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MAY 2026</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On May 5, 2026, BioNTech SE (the “Company”) provided a development update and reported its financial results for the three months ended March 31, 2026. The interim condensed consolidated financial statements as well as the operating and financial review and prospects of the Company for the three months ended March 31, 2026 are attached hereto as Exhibit 99.1 and shall be deemed “filed” for purposes of Section 18 of the Securities Exchange Act of 1934, as amended (the “Exchange Act”) and incorporated by reference herein.</w:t>
      </w:r>
    </w:p>
    <w:p>
      <w:pPr>
        <w:sectPr>
          <w:pgSz w:w="11900" w:h="16838" w:orient="portrait"/>
          <w:cols w:equalWidth="0" w:num="1">
            <w:col w:w="11240"/>
          </w:cols>
          <w:pgMar w:left="320" w:top="109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BioNTech SE</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By:  /s/ Ramón Zapata-Gomez</w:t>
            </w:r>
          </w:p>
        </w:tc>
        <w:tc>
          <w:tcPr>
            <w:tcW w:w="590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54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89"/>
        </w:trPr>
        <w:tc>
          <w:tcPr>
            <w:tcW w:w="540" w:type="dxa"/>
            <w:vAlign w:val="bottom"/>
          </w:tcPr>
          <w:p>
            <w:pPr>
              <w:spacing w:after="0"/>
              <w:rPr>
                <w:sz w:val="24"/>
                <w:szCs w:val="24"/>
                <w:color w:val="auto"/>
              </w:rPr>
            </w:pPr>
          </w:p>
        </w:tc>
        <w:tc>
          <w:tcPr>
            <w:tcW w:w="4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Ramón Zapata-Gomez</w:t>
            </w:r>
          </w:p>
        </w:tc>
        <w:tc>
          <w:tcPr>
            <w:tcW w:w="1120" w:type="dxa"/>
            <w:vAlign w:val="bottom"/>
          </w:tcPr>
          <w:p>
            <w:pPr>
              <w:spacing w:after="0"/>
              <w:rPr>
                <w:sz w:val="24"/>
                <w:szCs w:val="24"/>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540" w:type="dxa"/>
            <w:vAlign w:val="bottom"/>
          </w:tcPr>
          <w:p>
            <w:pPr>
              <w:spacing w:after="0"/>
              <w:rPr>
                <w:sz w:val="24"/>
                <w:szCs w:val="24"/>
                <w:color w:val="auto"/>
              </w:rPr>
            </w:pPr>
          </w:p>
        </w:tc>
        <w:tc>
          <w:tcPr>
            <w:tcW w:w="4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120" w:type="dxa"/>
            <w:vAlign w:val="bottom"/>
          </w:tcPr>
          <w:p>
            <w:pPr>
              <w:spacing w:after="0"/>
              <w:rPr>
                <w:sz w:val="24"/>
                <w:szCs w:val="24"/>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729"/>
        </w:trPr>
        <w:tc>
          <w:tcPr>
            <w:tcW w:w="5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May 5, 2026</w:t>
            </w:r>
          </w:p>
        </w:tc>
        <w:tc>
          <w:tcPr>
            <w:tcW w:w="112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240"/>
          </w:cols>
          <w:pgMar w:left="320" w:top="109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60" w:type="dxa"/>
            <w:vAlign w:val="bottom"/>
          </w:tcPr>
          <w:p>
            <w:pPr>
              <w:ind w:left="158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703"/>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5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Description of Exhibit</w:t>
            </w:r>
          </w:p>
        </w:tc>
      </w:tr>
      <w:tr>
        <w:trPr>
          <w:trHeight w:val="20"/>
        </w:trPr>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533"/>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99.1</w:t>
            </w:r>
          </w:p>
        </w:tc>
        <w:tc>
          <w:tcPr>
            <w:tcW w:w="600" w:type="dxa"/>
            <w:vAlign w:val="bottom"/>
          </w:tcPr>
          <w:p>
            <w:pPr>
              <w:spacing w:after="0"/>
              <w:rPr>
                <w:sz w:val="24"/>
                <w:szCs w:val="24"/>
                <w:color w:val="auto"/>
              </w:rPr>
            </w:pPr>
          </w:p>
        </w:tc>
        <w:tc>
          <w:tcPr>
            <w:tcW w:w="54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7"/>
              </w:rPr>
              <w:t>Quarterly Report for the Three Months Ended March 31, 2026</w:t>
            </w:r>
          </w:p>
        </w:tc>
      </w:tr>
    </w:tbl>
    <w:p>
      <w:pPr>
        <w:sectPr>
          <w:pgSz w:w="11900" w:h="16838" w:orient="portrait"/>
          <w:cols w:equalWidth="0" w:num="1">
            <w:col w:w="10099"/>
          </w:cols>
          <w:pgMar w:left="360" w:top="1094"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6806565" cy="96183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806565" cy="9618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080509"/>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Our principal executive offices are located at An der Goldgrube 12, D-55131 Mainz, Germany. Our telephone number is +49 6131-9084-0. Our website address is www.biontech.com. The information contained on, or that can be accessed through, our website is not part of this document. Our agent for service solely for the purpose of notices and communications from the Securities and Exchange Commission in the United States is c/o BioNTech US Inc., 40 Erie Street, Suite 110, Cambridge, Massachusetts 02139, +1 (617) 337-4701.</w:t>
      </w:r>
    </w:p>
    <w:p>
      <w:pPr>
        <w:sectPr>
          <w:pgSz w:w="11900" w:h="16838" w:orient="portrait"/>
          <w:cols w:equalWidth="0" w:num="1">
            <w:col w:w="11220"/>
          </w:cols>
          <w:pgMar w:left="320" w:top="14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080509"/>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1460"/>
        <w:spacing w:after="0" w:line="287" w:lineRule="auto"/>
        <w:rPr>
          <w:sz w:val="20"/>
          <w:szCs w:val="20"/>
          <w:color w:val="auto"/>
        </w:rPr>
      </w:pPr>
      <w:r>
        <w:rPr>
          <w:rFonts w:ascii="Times New Roman" w:cs="Times New Roman" w:eastAsia="Times New Roman" w:hAnsi="Times New Roman"/>
          <w:sz w:val="36"/>
          <w:szCs w:val="36"/>
          <w:b w:val="1"/>
          <w:bCs w:val="1"/>
          <w:color w:val="107072"/>
        </w:rPr>
        <w:t>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Condensed Consolidated Statements of Profit or Loss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Condensed Consolidated Statements of Comprehensive Income</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Condensed Consolidated Statements of Financial Position</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Condensed Consolidated Statements of Changes in Stockholders’ Equity</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Condensed Consolidated Statements of Cash Flows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5</w:t>
            </w:r>
          </w:p>
        </w:tc>
      </w:tr>
      <w:tr>
        <w:trPr>
          <w:trHeight w:val="252"/>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Selected Explanatory Notes to the Unaudited Interim Condensed Consolidated</w:t>
            </w:r>
          </w:p>
        </w:tc>
        <w:tc>
          <w:tcPr>
            <w:tcW w:w="2360" w:type="dxa"/>
            <w:vAlign w:val="bottom"/>
          </w:tcPr>
          <w:p>
            <w:pPr>
              <w:spacing w:after="0"/>
              <w:rPr>
                <w:sz w:val="21"/>
                <w:szCs w:val="21"/>
                <w:color w:val="auto"/>
              </w:rPr>
            </w:pPr>
          </w:p>
        </w:tc>
      </w:tr>
      <w:tr>
        <w:trPr>
          <w:trHeight w:val="23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Information</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Basis of Preparation, Significant Accounting Policies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and Expenses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11</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12</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Assets and Financial Liabilities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12</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Issued Capital and Reserves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17</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17</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Contingent Liabilities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17</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11</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Related Party Disclosures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23</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12</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Events after the Reporting Period</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000"/>
        <w:spacing w:after="0" w:line="287" w:lineRule="auto"/>
        <w:rPr>
          <w:sz w:val="20"/>
          <w:szCs w:val="20"/>
          <w:color w:val="auto"/>
        </w:rPr>
      </w:pPr>
      <w:r>
        <w:rPr>
          <w:rFonts w:ascii="Times New Roman" w:cs="Times New Roman" w:eastAsia="Times New Roman" w:hAnsi="Times New Roman"/>
          <w:sz w:val="36"/>
          <w:szCs w:val="36"/>
          <w:b w:val="1"/>
          <w:bCs w:val="1"/>
          <w:color w:val="107072"/>
        </w:rPr>
        <w:t>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Operating Results</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Liquidity and Capital Resources</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bl>
    <w:p>
      <w:pPr>
        <w:sectPr>
          <w:pgSz w:w="11900" w:h="16838" w:orient="portrait"/>
          <w:cols w:equalWidth="0" w:num="1">
            <w:col w:w="10960"/>
          </w:cols>
          <w:pgMar w:left="320" w:top="148" w:right="619" w:bottom="1440" w:gutter="0" w:footer="0" w:header="0"/>
        </w:sectPr>
      </w:pPr>
    </w:p>
    <w:bookmarkStart w:id="7" w:name="page8"/>
    <w:bookmarkEnd w:id="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3C9673"/>
        </w:rPr>
        <w:drawing>
          <wp:anchor simplePos="0" relativeHeight="251657728" behindDoc="1" locked="0" layoutInCell="0" allowOverlap="1">
            <wp:simplePos x="0" y="0"/>
            <wp:positionH relativeFrom="page">
              <wp:posOffset>2016760</wp:posOffset>
            </wp:positionH>
            <wp:positionV relativeFrom="page">
              <wp:posOffset>106045</wp:posOffset>
            </wp:positionV>
            <wp:extent cx="222885" cy="685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C3C3C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20320</wp:posOffset>
            </wp:positionV>
            <wp:extent cx="222885"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107072"/>
        </w:rPr>
        <w:t>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Interim Condensed Consolidated Statements of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20"/>
          </w:cols>
          <w:pgMar w:left="320" w:top="38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005A64"/>
        </w:rPr>
        <w:t>(in millions €,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38061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38061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1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3806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1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38061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1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Sales and marketing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38061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1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38061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1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Other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38061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1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Other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38061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1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38061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Finance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38061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1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Finance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38061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1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Loss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38061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38061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1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38061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3C9673"/>
        </w:rPr>
        <w:t>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38061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Basic and diluted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38061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80" w:type="dxa"/>
            <w:vAlign w:val="bottom"/>
            <w:gridSpan w:val="4"/>
          </w:tcPr>
          <w:p>
            <w:pPr>
              <w:jc w:val="right"/>
              <w:ind w:right="548"/>
              <w:spacing w:after="0"/>
              <w:rPr>
                <w:sz w:val="20"/>
                <w:szCs w:val="20"/>
                <w:color w:val="auto"/>
              </w:rPr>
            </w:pPr>
            <w:r>
              <w:rPr>
                <w:rFonts w:ascii="Times New Roman" w:cs="Times New Roman" w:eastAsia="Times New Roman" w:hAnsi="Times New Roman"/>
                <w:sz w:val="14"/>
                <w:szCs w:val="14"/>
                <w:b w:val="1"/>
                <w:bCs w:val="1"/>
                <w:color w:val="005A64"/>
              </w:rPr>
              <w:t>Three months ended March 31,</w:t>
            </w:r>
          </w:p>
        </w:tc>
        <w:tc>
          <w:tcPr>
            <w:tcW w:w="0" w:type="dxa"/>
            <w:vAlign w:val="bottom"/>
          </w:tcPr>
          <w:p>
            <w:pPr>
              <w:spacing w:after="0"/>
              <w:rPr>
                <w:sz w:val="1"/>
                <w:szCs w:val="1"/>
                <w:color w:val="auto"/>
              </w:rPr>
            </w:pPr>
          </w:p>
        </w:tc>
      </w:tr>
      <w:tr>
        <w:trPr>
          <w:trHeight w:val="158"/>
        </w:trPr>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Borders>
              <w:bottom w:val="single" w:sz="8" w:color="BECD32"/>
            </w:tcBorders>
            <w:gridSpan w:val="2"/>
          </w:tcPr>
          <w:p>
            <w:pPr>
              <w:spacing w:after="0"/>
              <w:rPr>
                <w:sz w:val="13"/>
                <w:szCs w:val="13"/>
                <w:color w:val="auto"/>
              </w:rPr>
            </w:pPr>
          </w:p>
        </w:tc>
        <w:tc>
          <w:tcPr>
            <w:tcW w:w="120" w:type="dxa"/>
            <w:vAlign w:val="bottom"/>
            <w:tcBorders>
              <w:bottom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0" w:type="dxa"/>
            <w:vAlign w:val="bottom"/>
          </w:tcPr>
          <w:p>
            <w:pPr>
              <w:spacing w:after="0"/>
              <w:rPr>
                <w:sz w:val="1"/>
                <w:szCs w:val="1"/>
                <w:color w:val="auto"/>
              </w:rPr>
            </w:pPr>
          </w:p>
        </w:tc>
      </w:tr>
      <w:tr>
        <w:trPr>
          <w:trHeight w:val="199"/>
        </w:trPr>
        <w:tc>
          <w:tcPr>
            <w:tcW w:w="150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2026</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640" w:type="dxa"/>
            <w:vAlign w:val="bottom"/>
            <w:tcBorders>
              <w:right w:val="single" w:sz="8" w:color="BECD32"/>
            </w:tcBorders>
            <w:gridSpan w:val="2"/>
          </w:tcPr>
          <w:p>
            <w:pPr>
              <w:ind w:left="1180"/>
              <w:spacing w:after="0"/>
              <w:rPr>
                <w:sz w:val="20"/>
                <w:szCs w:val="20"/>
                <w:color w:val="auto"/>
              </w:rPr>
            </w:pPr>
            <w:r>
              <w:rPr>
                <w:rFonts w:ascii="Times New Roman" w:cs="Times New Roman" w:eastAsia="Times New Roman" w:hAnsi="Times New Roman"/>
                <w:sz w:val="14"/>
                <w:szCs w:val="14"/>
                <w:b w:val="1"/>
                <w:bCs w:val="1"/>
                <w:color w:val="005A64"/>
              </w:rPr>
              <w:t>Note</w:t>
            </w:r>
          </w:p>
        </w:tc>
        <w:tc>
          <w:tcPr>
            <w:tcW w:w="80" w:type="dxa"/>
            <w:vAlign w:val="bottom"/>
          </w:tcPr>
          <w:p>
            <w:pPr>
              <w:spacing w:after="0"/>
              <w:rPr>
                <w:sz w:val="22"/>
                <w:szCs w:val="22"/>
                <w:color w:val="auto"/>
              </w:rPr>
            </w:pPr>
          </w:p>
        </w:tc>
        <w:tc>
          <w:tcPr>
            <w:tcW w:w="1660" w:type="dxa"/>
            <w:vAlign w:val="bottom"/>
            <w:tcBorders>
              <w:right w:val="single" w:sz="8" w:color="BECD32"/>
            </w:tcBorders>
            <w:gridSpan w:val="2"/>
          </w:tcPr>
          <w:p>
            <w:pPr>
              <w:ind w:left="780"/>
              <w:spacing w:after="0"/>
              <w:rPr>
                <w:sz w:val="20"/>
                <w:szCs w:val="20"/>
                <w:color w:val="auto"/>
              </w:rPr>
            </w:pPr>
            <w:r>
              <w:rPr>
                <w:rFonts w:ascii="Times New Roman" w:cs="Times New Roman" w:eastAsia="Times New Roman" w:hAnsi="Times New Roman"/>
                <w:sz w:val="14"/>
                <w:szCs w:val="14"/>
                <w:i w:val="1"/>
                <w:iCs w:val="1"/>
                <w:color w:val="005A64"/>
              </w:rPr>
              <w:t>(unaudited)</w:t>
            </w:r>
          </w:p>
        </w:tc>
        <w:tc>
          <w:tcPr>
            <w:tcW w:w="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005A64"/>
              </w:rPr>
              <w:t>(unaudited)</w:t>
            </w:r>
          </w:p>
        </w:tc>
        <w:tc>
          <w:tcPr>
            <w:tcW w:w="0" w:type="dxa"/>
            <w:vAlign w:val="bottom"/>
          </w:tcPr>
          <w:p>
            <w:pPr>
              <w:spacing w:after="0"/>
              <w:rPr>
                <w:sz w:val="1"/>
                <w:szCs w:val="1"/>
                <w:color w:val="auto"/>
              </w:rPr>
            </w:pPr>
          </w:p>
        </w:tc>
      </w:tr>
      <w:tr>
        <w:trPr>
          <w:trHeight w:val="51"/>
        </w:trPr>
        <w:tc>
          <w:tcPr>
            <w:tcW w:w="15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w:t>
            </w:r>
          </w:p>
        </w:tc>
        <w:tc>
          <w:tcPr>
            <w:tcW w:w="140" w:type="dxa"/>
            <w:vAlign w:val="bottom"/>
            <w:tcBorders>
              <w:right w:val="single" w:sz="8" w:color="BECD32"/>
            </w:tcBorders>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118.1</w:t>
            </w:r>
          </w:p>
        </w:tc>
        <w:tc>
          <w:tcPr>
            <w:tcW w:w="12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182.8</w:t>
            </w:r>
          </w:p>
        </w:tc>
        <w:tc>
          <w:tcPr>
            <w:tcW w:w="0" w:type="dxa"/>
            <w:vAlign w:val="bottom"/>
          </w:tcPr>
          <w:p>
            <w:pPr>
              <w:spacing w:after="0"/>
              <w:rPr>
                <w:sz w:val="1"/>
                <w:szCs w:val="1"/>
                <w:color w:val="auto"/>
              </w:rPr>
            </w:pPr>
          </w:p>
        </w:tc>
      </w:tr>
      <w:tr>
        <w:trPr>
          <w:trHeight w:val="91"/>
        </w:trPr>
        <w:tc>
          <w:tcPr>
            <w:tcW w:w="1500" w:type="dxa"/>
            <w:vAlign w:val="bottom"/>
            <w:tcBorders>
              <w:bottom w:val="single" w:sz="8" w:color="7FACB1"/>
            </w:tcBorders>
          </w:tcPr>
          <w:p>
            <w:pPr>
              <w:spacing w:after="0"/>
              <w:rPr>
                <w:sz w:val="7"/>
                <w:szCs w:val="7"/>
                <w:color w:val="auto"/>
              </w:rPr>
            </w:pPr>
          </w:p>
        </w:tc>
        <w:tc>
          <w:tcPr>
            <w:tcW w:w="140" w:type="dxa"/>
            <w:vAlign w:val="bottom"/>
            <w:tcBorders>
              <w:right w:val="single" w:sz="8" w:color="BECD32"/>
            </w:tcBorders>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tcBorders>
              <w:bottom w:val="single" w:sz="8" w:color="7FACB1"/>
            </w:tcBorders>
          </w:tcPr>
          <w:p>
            <w:pPr>
              <w:spacing w:after="0"/>
              <w:rPr>
                <w:sz w:val="7"/>
                <w:szCs w:val="7"/>
                <w:color w:val="auto"/>
              </w:rPr>
            </w:pPr>
          </w:p>
        </w:tc>
        <w:tc>
          <w:tcPr>
            <w:tcW w:w="120" w:type="dxa"/>
            <w:vAlign w:val="bottom"/>
            <w:tcBorders>
              <w:right w:val="single" w:sz="8" w:color="BECD32"/>
            </w:tcBorders>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tcBorders>
              <w:bottom w:val="single" w:sz="8" w:color="7FACB1"/>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4.1</w:t>
            </w:r>
          </w:p>
        </w:tc>
        <w:tc>
          <w:tcPr>
            <w:tcW w:w="140" w:type="dxa"/>
            <w:vAlign w:val="bottom"/>
            <w:tcBorders>
              <w:right w:val="single" w:sz="8" w:color="BECD32"/>
            </w:tcBorders>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(71.4)</w:t>
            </w:r>
          </w:p>
        </w:tc>
        <w:tc>
          <w:tcPr>
            <w:tcW w:w="12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(83.8)</w:t>
            </w:r>
          </w:p>
        </w:tc>
        <w:tc>
          <w:tcPr>
            <w:tcW w:w="0" w:type="dxa"/>
            <w:vAlign w:val="bottom"/>
          </w:tcPr>
          <w:p>
            <w:pPr>
              <w:spacing w:after="0"/>
              <w:rPr>
                <w:sz w:val="1"/>
                <w:szCs w:val="1"/>
                <w:color w:val="auto"/>
              </w:rPr>
            </w:pPr>
          </w:p>
        </w:tc>
      </w:tr>
      <w:tr>
        <w:trPr>
          <w:trHeight w:val="91"/>
        </w:trPr>
        <w:tc>
          <w:tcPr>
            <w:tcW w:w="1500" w:type="dxa"/>
            <w:vAlign w:val="bottom"/>
            <w:tcBorders>
              <w:bottom w:val="single" w:sz="8" w:color="7FACB1"/>
            </w:tcBorders>
          </w:tcPr>
          <w:p>
            <w:pPr>
              <w:spacing w:after="0"/>
              <w:rPr>
                <w:sz w:val="7"/>
                <w:szCs w:val="7"/>
                <w:color w:val="auto"/>
              </w:rPr>
            </w:pPr>
          </w:p>
        </w:tc>
        <w:tc>
          <w:tcPr>
            <w:tcW w:w="140" w:type="dxa"/>
            <w:vAlign w:val="bottom"/>
            <w:tcBorders>
              <w:right w:val="single" w:sz="8" w:color="BECD32"/>
            </w:tcBorders>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tcBorders>
              <w:bottom w:val="single" w:sz="8" w:color="7FACB1"/>
            </w:tcBorders>
          </w:tcPr>
          <w:p>
            <w:pPr>
              <w:spacing w:after="0"/>
              <w:rPr>
                <w:sz w:val="7"/>
                <w:szCs w:val="7"/>
                <w:color w:val="auto"/>
              </w:rPr>
            </w:pPr>
          </w:p>
        </w:tc>
        <w:tc>
          <w:tcPr>
            <w:tcW w:w="120" w:type="dxa"/>
            <w:vAlign w:val="bottom"/>
            <w:tcBorders>
              <w:right w:val="single" w:sz="8" w:color="BECD32"/>
            </w:tcBorders>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tcBorders>
              <w:bottom w:val="single" w:sz="8" w:color="7FACB1"/>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4.1</w:t>
            </w:r>
          </w:p>
        </w:tc>
        <w:tc>
          <w:tcPr>
            <w:tcW w:w="140" w:type="dxa"/>
            <w:vAlign w:val="bottom"/>
            <w:tcBorders>
              <w:right w:val="single" w:sz="8" w:color="BECD32"/>
            </w:tcBorders>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(557.0)</w:t>
            </w:r>
          </w:p>
        </w:tc>
        <w:tc>
          <w:tcPr>
            <w:tcW w:w="12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(525.6)</w:t>
            </w:r>
          </w:p>
        </w:tc>
        <w:tc>
          <w:tcPr>
            <w:tcW w:w="0" w:type="dxa"/>
            <w:vAlign w:val="bottom"/>
          </w:tcPr>
          <w:p>
            <w:pPr>
              <w:spacing w:after="0"/>
              <w:rPr>
                <w:sz w:val="1"/>
                <w:szCs w:val="1"/>
                <w:color w:val="auto"/>
              </w:rPr>
            </w:pPr>
          </w:p>
        </w:tc>
      </w:tr>
      <w:tr>
        <w:trPr>
          <w:trHeight w:val="91"/>
        </w:trPr>
        <w:tc>
          <w:tcPr>
            <w:tcW w:w="1500" w:type="dxa"/>
            <w:vAlign w:val="bottom"/>
            <w:tcBorders>
              <w:bottom w:val="single" w:sz="8" w:color="7FACB1"/>
            </w:tcBorders>
          </w:tcPr>
          <w:p>
            <w:pPr>
              <w:spacing w:after="0"/>
              <w:rPr>
                <w:sz w:val="7"/>
                <w:szCs w:val="7"/>
                <w:color w:val="auto"/>
              </w:rPr>
            </w:pPr>
          </w:p>
        </w:tc>
        <w:tc>
          <w:tcPr>
            <w:tcW w:w="140" w:type="dxa"/>
            <w:vAlign w:val="bottom"/>
            <w:tcBorders>
              <w:right w:val="single" w:sz="8" w:color="BECD32"/>
            </w:tcBorders>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tcBorders>
              <w:bottom w:val="single" w:sz="8" w:color="7FACB1"/>
            </w:tcBorders>
          </w:tcPr>
          <w:p>
            <w:pPr>
              <w:spacing w:after="0"/>
              <w:rPr>
                <w:sz w:val="7"/>
                <w:szCs w:val="7"/>
                <w:color w:val="auto"/>
              </w:rPr>
            </w:pPr>
          </w:p>
        </w:tc>
        <w:tc>
          <w:tcPr>
            <w:tcW w:w="120" w:type="dxa"/>
            <w:vAlign w:val="bottom"/>
            <w:tcBorders>
              <w:right w:val="single" w:sz="8" w:color="BECD32"/>
            </w:tcBorders>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tcBorders>
              <w:bottom w:val="single" w:sz="8" w:color="7FACB1"/>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4.1</w:t>
            </w:r>
          </w:p>
        </w:tc>
        <w:tc>
          <w:tcPr>
            <w:tcW w:w="140" w:type="dxa"/>
            <w:vAlign w:val="bottom"/>
            <w:tcBorders>
              <w:right w:val="single" w:sz="8" w:color="BECD32"/>
            </w:tcBorders>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(27.9)</w:t>
            </w:r>
          </w:p>
        </w:tc>
        <w:tc>
          <w:tcPr>
            <w:tcW w:w="12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(13.7)</w:t>
            </w:r>
          </w:p>
        </w:tc>
        <w:tc>
          <w:tcPr>
            <w:tcW w:w="0" w:type="dxa"/>
            <w:vAlign w:val="bottom"/>
          </w:tcPr>
          <w:p>
            <w:pPr>
              <w:spacing w:after="0"/>
              <w:rPr>
                <w:sz w:val="1"/>
                <w:szCs w:val="1"/>
                <w:color w:val="auto"/>
              </w:rPr>
            </w:pPr>
          </w:p>
        </w:tc>
      </w:tr>
      <w:tr>
        <w:trPr>
          <w:trHeight w:val="91"/>
        </w:trPr>
        <w:tc>
          <w:tcPr>
            <w:tcW w:w="1500" w:type="dxa"/>
            <w:vAlign w:val="bottom"/>
            <w:tcBorders>
              <w:bottom w:val="single" w:sz="8" w:color="7FACB1"/>
            </w:tcBorders>
          </w:tcPr>
          <w:p>
            <w:pPr>
              <w:spacing w:after="0"/>
              <w:rPr>
                <w:sz w:val="7"/>
                <w:szCs w:val="7"/>
                <w:color w:val="auto"/>
              </w:rPr>
            </w:pPr>
          </w:p>
        </w:tc>
        <w:tc>
          <w:tcPr>
            <w:tcW w:w="140" w:type="dxa"/>
            <w:vAlign w:val="bottom"/>
            <w:tcBorders>
              <w:right w:val="single" w:sz="8" w:color="BECD32"/>
            </w:tcBorders>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tcBorders>
              <w:bottom w:val="single" w:sz="8" w:color="7FACB1"/>
            </w:tcBorders>
          </w:tcPr>
          <w:p>
            <w:pPr>
              <w:spacing w:after="0"/>
              <w:rPr>
                <w:sz w:val="7"/>
                <w:szCs w:val="7"/>
                <w:color w:val="auto"/>
              </w:rPr>
            </w:pPr>
          </w:p>
        </w:tc>
        <w:tc>
          <w:tcPr>
            <w:tcW w:w="120" w:type="dxa"/>
            <w:vAlign w:val="bottom"/>
            <w:tcBorders>
              <w:right w:val="single" w:sz="8" w:color="BECD32"/>
            </w:tcBorders>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tcBorders>
              <w:bottom w:val="single" w:sz="8" w:color="7FACB1"/>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4.1</w:t>
            </w:r>
          </w:p>
        </w:tc>
        <w:tc>
          <w:tcPr>
            <w:tcW w:w="140" w:type="dxa"/>
            <w:vAlign w:val="bottom"/>
            <w:tcBorders>
              <w:right w:val="single" w:sz="8" w:color="BECD32"/>
            </w:tcBorders>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(122.9)</w:t>
            </w:r>
          </w:p>
        </w:tc>
        <w:tc>
          <w:tcPr>
            <w:tcW w:w="12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(106.9)</w:t>
            </w:r>
          </w:p>
        </w:tc>
        <w:tc>
          <w:tcPr>
            <w:tcW w:w="0" w:type="dxa"/>
            <w:vAlign w:val="bottom"/>
          </w:tcPr>
          <w:p>
            <w:pPr>
              <w:spacing w:after="0"/>
              <w:rPr>
                <w:sz w:val="1"/>
                <w:szCs w:val="1"/>
                <w:color w:val="auto"/>
              </w:rPr>
            </w:pPr>
          </w:p>
        </w:tc>
      </w:tr>
      <w:tr>
        <w:trPr>
          <w:trHeight w:val="91"/>
        </w:trPr>
        <w:tc>
          <w:tcPr>
            <w:tcW w:w="1500" w:type="dxa"/>
            <w:vAlign w:val="bottom"/>
            <w:tcBorders>
              <w:bottom w:val="single" w:sz="8" w:color="7FACB1"/>
            </w:tcBorders>
          </w:tcPr>
          <w:p>
            <w:pPr>
              <w:spacing w:after="0"/>
              <w:rPr>
                <w:sz w:val="7"/>
                <w:szCs w:val="7"/>
                <w:color w:val="auto"/>
              </w:rPr>
            </w:pPr>
          </w:p>
        </w:tc>
        <w:tc>
          <w:tcPr>
            <w:tcW w:w="140" w:type="dxa"/>
            <w:vAlign w:val="bottom"/>
            <w:tcBorders>
              <w:right w:val="single" w:sz="8" w:color="BECD32"/>
            </w:tcBorders>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tcBorders>
              <w:bottom w:val="single" w:sz="8" w:color="7FACB1"/>
            </w:tcBorders>
          </w:tcPr>
          <w:p>
            <w:pPr>
              <w:spacing w:after="0"/>
              <w:rPr>
                <w:sz w:val="7"/>
                <w:szCs w:val="7"/>
                <w:color w:val="auto"/>
              </w:rPr>
            </w:pPr>
          </w:p>
        </w:tc>
        <w:tc>
          <w:tcPr>
            <w:tcW w:w="120" w:type="dxa"/>
            <w:vAlign w:val="bottom"/>
            <w:tcBorders>
              <w:right w:val="single" w:sz="8" w:color="BECD32"/>
            </w:tcBorders>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tcBorders>
              <w:bottom w:val="single" w:sz="8" w:color="7FACB1"/>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4.2</w:t>
            </w:r>
          </w:p>
        </w:tc>
        <w:tc>
          <w:tcPr>
            <w:tcW w:w="140" w:type="dxa"/>
            <w:vAlign w:val="bottom"/>
            <w:tcBorders>
              <w:right w:val="single" w:sz="8" w:color="BECD32"/>
            </w:tcBorders>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(46.8)</w:t>
            </w:r>
          </w:p>
        </w:tc>
        <w:tc>
          <w:tcPr>
            <w:tcW w:w="12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(48.5)</w:t>
            </w:r>
          </w:p>
        </w:tc>
        <w:tc>
          <w:tcPr>
            <w:tcW w:w="0" w:type="dxa"/>
            <w:vAlign w:val="bottom"/>
          </w:tcPr>
          <w:p>
            <w:pPr>
              <w:spacing w:after="0"/>
              <w:rPr>
                <w:sz w:val="1"/>
                <w:szCs w:val="1"/>
                <w:color w:val="auto"/>
              </w:rPr>
            </w:pPr>
          </w:p>
        </w:tc>
      </w:tr>
      <w:tr>
        <w:trPr>
          <w:trHeight w:val="91"/>
        </w:trPr>
        <w:tc>
          <w:tcPr>
            <w:tcW w:w="1500" w:type="dxa"/>
            <w:vAlign w:val="bottom"/>
            <w:tcBorders>
              <w:bottom w:val="single" w:sz="8" w:color="7FACB1"/>
            </w:tcBorders>
          </w:tcPr>
          <w:p>
            <w:pPr>
              <w:spacing w:after="0"/>
              <w:rPr>
                <w:sz w:val="7"/>
                <w:szCs w:val="7"/>
                <w:color w:val="auto"/>
              </w:rPr>
            </w:pPr>
          </w:p>
        </w:tc>
        <w:tc>
          <w:tcPr>
            <w:tcW w:w="140" w:type="dxa"/>
            <w:vAlign w:val="bottom"/>
            <w:tcBorders>
              <w:right w:val="single" w:sz="8" w:color="BECD32"/>
            </w:tcBorders>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tcBorders>
              <w:bottom w:val="single" w:sz="8" w:color="7FACB1"/>
            </w:tcBorders>
          </w:tcPr>
          <w:p>
            <w:pPr>
              <w:spacing w:after="0"/>
              <w:rPr>
                <w:sz w:val="7"/>
                <w:szCs w:val="7"/>
                <w:color w:val="auto"/>
              </w:rPr>
            </w:pPr>
          </w:p>
        </w:tc>
        <w:tc>
          <w:tcPr>
            <w:tcW w:w="120" w:type="dxa"/>
            <w:vAlign w:val="bottom"/>
            <w:tcBorders>
              <w:right w:val="single" w:sz="8" w:color="BECD32"/>
            </w:tcBorders>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tcBorders>
              <w:bottom w:val="single" w:sz="8" w:color="7FACB1"/>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4.2</w:t>
            </w:r>
          </w:p>
        </w:tc>
        <w:tc>
          <w:tcPr>
            <w:tcW w:w="140" w:type="dxa"/>
            <w:vAlign w:val="bottom"/>
            <w:tcBorders>
              <w:right w:val="single" w:sz="8" w:color="BECD32"/>
            </w:tcBorders>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30.4</w:t>
            </w:r>
          </w:p>
        </w:tc>
        <w:tc>
          <w:tcPr>
            <w:tcW w:w="12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61.6</w:t>
            </w:r>
          </w:p>
        </w:tc>
        <w:tc>
          <w:tcPr>
            <w:tcW w:w="0" w:type="dxa"/>
            <w:vAlign w:val="bottom"/>
          </w:tcPr>
          <w:p>
            <w:pPr>
              <w:spacing w:after="0"/>
              <w:rPr>
                <w:sz w:val="1"/>
                <w:szCs w:val="1"/>
                <w:color w:val="auto"/>
              </w:rPr>
            </w:pPr>
          </w:p>
        </w:tc>
      </w:tr>
      <w:tr>
        <w:trPr>
          <w:trHeight w:val="91"/>
        </w:trPr>
        <w:tc>
          <w:tcPr>
            <w:tcW w:w="1500" w:type="dxa"/>
            <w:vAlign w:val="bottom"/>
            <w:tcBorders>
              <w:bottom w:val="single" w:sz="8" w:color="7FACB1"/>
            </w:tcBorders>
          </w:tcPr>
          <w:p>
            <w:pPr>
              <w:spacing w:after="0"/>
              <w:rPr>
                <w:sz w:val="7"/>
                <w:szCs w:val="7"/>
                <w:color w:val="auto"/>
              </w:rPr>
            </w:pPr>
          </w:p>
        </w:tc>
        <w:tc>
          <w:tcPr>
            <w:tcW w:w="140" w:type="dxa"/>
            <w:vAlign w:val="bottom"/>
            <w:tcBorders>
              <w:right w:val="single" w:sz="8" w:color="BECD32"/>
            </w:tcBorders>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tcBorders>
              <w:bottom w:val="single" w:sz="8" w:color="7FACB1"/>
            </w:tcBorders>
          </w:tcPr>
          <w:p>
            <w:pPr>
              <w:spacing w:after="0"/>
              <w:rPr>
                <w:sz w:val="7"/>
                <w:szCs w:val="7"/>
                <w:color w:val="auto"/>
              </w:rPr>
            </w:pPr>
          </w:p>
        </w:tc>
        <w:tc>
          <w:tcPr>
            <w:tcW w:w="120" w:type="dxa"/>
            <w:vAlign w:val="bottom"/>
            <w:tcBorders>
              <w:right w:val="single" w:sz="8" w:color="BECD32"/>
            </w:tcBorders>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tcBorders>
              <w:bottom w:val="single" w:sz="8" w:color="7FACB1"/>
            </w:tcBorders>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150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(677.5)</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(534.1)</w:t>
            </w:r>
          </w:p>
        </w:tc>
        <w:tc>
          <w:tcPr>
            <w:tcW w:w="0" w:type="dxa"/>
            <w:vAlign w:val="bottom"/>
          </w:tcPr>
          <w:p>
            <w:pPr>
              <w:spacing w:after="0"/>
              <w:rPr>
                <w:sz w:val="1"/>
                <w:szCs w:val="1"/>
                <w:color w:val="auto"/>
              </w:rPr>
            </w:pPr>
          </w:p>
        </w:tc>
      </w:tr>
      <w:tr>
        <w:trPr>
          <w:trHeight w:val="50"/>
        </w:trPr>
        <w:tc>
          <w:tcPr>
            <w:tcW w:w="15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4.3</w:t>
            </w:r>
          </w:p>
        </w:tc>
        <w:tc>
          <w:tcPr>
            <w:tcW w:w="140" w:type="dxa"/>
            <w:vAlign w:val="bottom"/>
            <w:tcBorders>
              <w:right w:val="single" w:sz="8" w:color="BECD32"/>
            </w:tcBorders>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120.6</w:t>
            </w:r>
          </w:p>
        </w:tc>
        <w:tc>
          <w:tcPr>
            <w:tcW w:w="12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122.6</w:t>
            </w:r>
          </w:p>
        </w:tc>
        <w:tc>
          <w:tcPr>
            <w:tcW w:w="0" w:type="dxa"/>
            <w:vAlign w:val="bottom"/>
          </w:tcPr>
          <w:p>
            <w:pPr>
              <w:spacing w:after="0"/>
              <w:rPr>
                <w:sz w:val="1"/>
                <w:szCs w:val="1"/>
                <w:color w:val="auto"/>
              </w:rPr>
            </w:pPr>
          </w:p>
        </w:tc>
      </w:tr>
      <w:tr>
        <w:trPr>
          <w:trHeight w:val="91"/>
        </w:trPr>
        <w:tc>
          <w:tcPr>
            <w:tcW w:w="1500" w:type="dxa"/>
            <w:vAlign w:val="bottom"/>
            <w:tcBorders>
              <w:bottom w:val="single" w:sz="8" w:color="7FACB1"/>
            </w:tcBorders>
          </w:tcPr>
          <w:p>
            <w:pPr>
              <w:spacing w:after="0"/>
              <w:rPr>
                <w:sz w:val="7"/>
                <w:szCs w:val="7"/>
                <w:color w:val="auto"/>
              </w:rPr>
            </w:pPr>
          </w:p>
        </w:tc>
        <w:tc>
          <w:tcPr>
            <w:tcW w:w="140" w:type="dxa"/>
            <w:vAlign w:val="bottom"/>
            <w:tcBorders>
              <w:right w:val="single" w:sz="8" w:color="BECD32"/>
            </w:tcBorders>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tcBorders>
              <w:bottom w:val="single" w:sz="8" w:color="7FACB1"/>
            </w:tcBorders>
          </w:tcPr>
          <w:p>
            <w:pPr>
              <w:spacing w:after="0"/>
              <w:rPr>
                <w:sz w:val="7"/>
                <w:szCs w:val="7"/>
                <w:color w:val="auto"/>
              </w:rPr>
            </w:pPr>
          </w:p>
        </w:tc>
        <w:tc>
          <w:tcPr>
            <w:tcW w:w="120" w:type="dxa"/>
            <w:vAlign w:val="bottom"/>
            <w:tcBorders>
              <w:right w:val="single" w:sz="8" w:color="BECD32"/>
            </w:tcBorders>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tcBorders>
              <w:bottom w:val="single" w:sz="8" w:color="7FACB1"/>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4.3</w:t>
            </w:r>
          </w:p>
        </w:tc>
        <w:tc>
          <w:tcPr>
            <w:tcW w:w="140" w:type="dxa"/>
            <w:vAlign w:val="bottom"/>
            <w:tcBorders>
              <w:right w:val="single" w:sz="8" w:color="BECD32"/>
            </w:tcBorders>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(11.2)</w:t>
            </w:r>
          </w:p>
        </w:tc>
        <w:tc>
          <w:tcPr>
            <w:tcW w:w="12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(33.9)</w:t>
            </w:r>
          </w:p>
        </w:tc>
        <w:tc>
          <w:tcPr>
            <w:tcW w:w="0" w:type="dxa"/>
            <w:vAlign w:val="bottom"/>
          </w:tcPr>
          <w:p>
            <w:pPr>
              <w:spacing w:after="0"/>
              <w:rPr>
                <w:sz w:val="1"/>
                <w:szCs w:val="1"/>
                <w:color w:val="auto"/>
              </w:rPr>
            </w:pPr>
          </w:p>
        </w:tc>
      </w:tr>
      <w:tr>
        <w:trPr>
          <w:trHeight w:val="91"/>
        </w:trPr>
        <w:tc>
          <w:tcPr>
            <w:tcW w:w="1500" w:type="dxa"/>
            <w:vAlign w:val="bottom"/>
            <w:tcBorders>
              <w:bottom w:val="single" w:sz="8" w:color="7FACB1"/>
            </w:tcBorders>
          </w:tcPr>
          <w:p>
            <w:pPr>
              <w:spacing w:after="0"/>
              <w:rPr>
                <w:sz w:val="7"/>
                <w:szCs w:val="7"/>
                <w:color w:val="auto"/>
              </w:rPr>
            </w:pPr>
          </w:p>
        </w:tc>
        <w:tc>
          <w:tcPr>
            <w:tcW w:w="140" w:type="dxa"/>
            <w:vAlign w:val="bottom"/>
            <w:tcBorders>
              <w:right w:val="single" w:sz="8" w:color="BECD32"/>
            </w:tcBorders>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tcBorders>
              <w:bottom w:val="single" w:sz="8" w:color="7FACB1"/>
            </w:tcBorders>
          </w:tcPr>
          <w:p>
            <w:pPr>
              <w:spacing w:after="0"/>
              <w:rPr>
                <w:sz w:val="7"/>
                <w:szCs w:val="7"/>
                <w:color w:val="auto"/>
              </w:rPr>
            </w:pPr>
          </w:p>
        </w:tc>
        <w:tc>
          <w:tcPr>
            <w:tcW w:w="120" w:type="dxa"/>
            <w:vAlign w:val="bottom"/>
            <w:tcBorders>
              <w:right w:val="single" w:sz="8" w:color="BECD32"/>
            </w:tcBorders>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tcBorders>
              <w:bottom w:val="single" w:sz="8" w:color="7FACB1"/>
            </w:tcBorders>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150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(568.1)</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(445.4)</w:t>
            </w:r>
          </w:p>
        </w:tc>
        <w:tc>
          <w:tcPr>
            <w:tcW w:w="0" w:type="dxa"/>
            <w:vAlign w:val="bottom"/>
          </w:tcPr>
          <w:p>
            <w:pPr>
              <w:spacing w:after="0"/>
              <w:rPr>
                <w:sz w:val="1"/>
                <w:szCs w:val="1"/>
                <w:color w:val="auto"/>
              </w:rPr>
            </w:pPr>
          </w:p>
        </w:tc>
      </w:tr>
      <w:tr>
        <w:trPr>
          <w:trHeight w:val="50"/>
        </w:trPr>
        <w:tc>
          <w:tcPr>
            <w:tcW w:w="15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w:t>
            </w:r>
          </w:p>
        </w:tc>
        <w:tc>
          <w:tcPr>
            <w:tcW w:w="140" w:type="dxa"/>
            <w:vAlign w:val="bottom"/>
            <w:tcBorders>
              <w:right w:val="single" w:sz="8" w:color="BECD32"/>
            </w:tcBorders>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36.2</w:t>
            </w:r>
          </w:p>
        </w:tc>
        <w:tc>
          <w:tcPr>
            <w:tcW w:w="12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29.6</w:t>
            </w:r>
          </w:p>
        </w:tc>
        <w:tc>
          <w:tcPr>
            <w:tcW w:w="0" w:type="dxa"/>
            <w:vAlign w:val="bottom"/>
          </w:tcPr>
          <w:p>
            <w:pPr>
              <w:spacing w:after="0"/>
              <w:rPr>
                <w:sz w:val="1"/>
                <w:szCs w:val="1"/>
                <w:color w:val="auto"/>
              </w:rPr>
            </w:pPr>
          </w:p>
        </w:tc>
      </w:tr>
      <w:tr>
        <w:trPr>
          <w:trHeight w:val="91"/>
        </w:trPr>
        <w:tc>
          <w:tcPr>
            <w:tcW w:w="1500" w:type="dxa"/>
            <w:vAlign w:val="bottom"/>
            <w:tcBorders>
              <w:bottom w:val="single" w:sz="8" w:color="7FACB1"/>
            </w:tcBorders>
          </w:tcPr>
          <w:p>
            <w:pPr>
              <w:spacing w:after="0"/>
              <w:rPr>
                <w:sz w:val="7"/>
                <w:szCs w:val="7"/>
                <w:color w:val="auto"/>
              </w:rPr>
            </w:pPr>
          </w:p>
        </w:tc>
        <w:tc>
          <w:tcPr>
            <w:tcW w:w="140" w:type="dxa"/>
            <w:vAlign w:val="bottom"/>
            <w:tcBorders>
              <w:right w:val="single" w:sz="8" w:color="BECD32"/>
            </w:tcBorders>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tcBorders>
              <w:bottom w:val="single" w:sz="8" w:color="7FACB1"/>
            </w:tcBorders>
          </w:tcPr>
          <w:p>
            <w:pPr>
              <w:spacing w:after="0"/>
              <w:rPr>
                <w:sz w:val="7"/>
                <w:szCs w:val="7"/>
                <w:color w:val="auto"/>
              </w:rPr>
            </w:pPr>
          </w:p>
        </w:tc>
        <w:tc>
          <w:tcPr>
            <w:tcW w:w="120" w:type="dxa"/>
            <w:vAlign w:val="bottom"/>
            <w:tcBorders>
              <w:right w:val="single" w:sz="8" w:color="BECD32"/>
            </w:tcBorders>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tcBorders>
              <w:bottom w:val="single" w:sz="8" w:color="7FACB1"/>
            </w:tcBorders>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150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(531.9)</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(415.8)</w:t>
            </w:r>
          </w:p>
        </w:tc>
        <w:tc>
          <w:tcPr>
            <w:tcW w:w="0" w:type="dxa"/>
            <w:vAlign w:val="bottom"/>
          </w:tcPr>
          <w:p>
            <w:pPr>
              <w:spacing w:after="0"/>
              <w:rPr>
                <w:sz w:val="1"/>
                <w:szCs w:val="1"/>
                <w:color w:val="auto"/>
              </w:rPr>
            </w:pPr>
          </w:p>
        </w:tc>
      </w:tr>
      <w:tr>
        <w:trPr>
          <w:trHeight w:val="50"/>
        </w:trPr>
        <w:tc>
          <w:tcPr>
            <w:tcW w:w="15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500" w:type="dxa"/>
            <w:vAlign w:val="bottom"/>
            <w:tcBorders>
              <w:bottom w:val="single" w:sz="8" w:color="7FACB1"/>
            </w:tcBorders>
          </w:tcPr>
          <w:p>
            <w:pPr>
              <w:spacing w:after="0"/>
              <w:rPr>
                <w:sz w:val="19"/>
                <w:szCs w:val="19"/>
                <w:color w:val="auto"/>
              </w:rPr>
            </w:pPr>
          </w:p>
        </w:tc>
        <w:tc>
          <w:tcPr>
            <w:tcW w:w="14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Borders>
              <w:bottom w:val="single" w:sz="8" w:color="7FACB1"/>
            </w:tcBorders>
          </w:tcPr>
          <w:p>
            <w:pPr>
              <w:spacing w:after="0"/>
              <w:rPr>
                <w:sz w:val="19"/>
                <w:szCs w:val="19"/>
                <w:color w:val="auto"/>
              </w:rPr>
            </w:pPr>
          </w:p>
        </w:tc>
        <w:tc>
          <w:tcPr>
            <w:tcW w:w="12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Borders>
              <w:bottom w:val="single" w:sz="8" w:color="7FACB1"/>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50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(2.10)</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(1.73)</w:t>
            </w:r>
          </w:p>
        </w:tc>
        <w:tc>
          <w:tcPr>
            <w:tcW w:w="0" w:type="dxa"/>
            <w:vAlign w:val="bottom"/>
          </w:tcPr>
          <w:p>
            <w:pPr>
              <w:spacing w:after="0"/>
              <w:rPr>
                <w:sz w:val="1"/>
                <w:szCs w:val="1"/>
                <w:color w:val="auto"/>
              </w:rPr>
            </w:pPr>
          </w:p>
        </w:tc>
      </w:tr>
      <w:tr>
        <w:trPr>
          <w:trHeight w:val="50"/>
        </w:trPr>
        <w:tc>
          <w:tcPr>
            <w:tcW w:w="15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Borders>
              <w:bottom w:val="single" w:sz="8" w:color="BECD32"/>
            </w:tcBorders>
          </w:tcPr>
          <w:p>
            <w:pPr>
              <w:spacing w:after="0"/>
              <w:rPr>
                <w:sz w:val="4"/>
                <w:szCs w:val="4"/>
                <w:color w:val="auto"/>
              </w:rPr>
            </w:pPr>
          </w:p>
        </w:tc>
        <w:tc>
          <w:tcPr>
            <w:tcW w:w="1540" w:type="dxa"/>
            <w:vAlign w:val="bottom"/>
            <w:tcBorders>
              <w:bottom w:val="single" w:sz="8" w:color="BECD32"/>
            </w:tcBorders>
          </w:tcPr>
          <w:p>
            <w:pPr>
              <w:spacing w:after="0"/>
              <w:rPr>
                <w:sz w:val="4"/>
                <w:szCs w:val="4"/>
                <w:color w:val="auto"/>
              </w:rPr>
            </w:pPr>
          </w:p>
        </w:tc>
        <w:tc>
          <w:tcPr>
            <w:tcW w:w="120" w:type="dxa"/>
            <w:vAlign w:val="bottom"/>
            <w:tcBorders>
              <w:bottom w:val="single" w:sz="8" w:color="BECD32"/>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500" w:space="720"/>
            <w:col w:w="5000"/>
          </w:cols>
          <w:pgMar w:left="320" w:top="388" w:right="359" w:bottom="1440" w:gutter="0" w:footer="0" w:header="0"/>
          <w:type w:val="continuous"/>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80509"/>
        </w:rPr>
        <w:t>The accompanying notes form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3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w:t>
            </w:r>
          </w:p>
        </w:tc>
      </w:tr>
    </w:tbl>
    <w:p>
      <w:pPr>
        <w:sectPr>
          <w:pgSz w:w="11900" w:h="16838" w:orient="portrait"/>
          <w:cols w:equalWidth="0" w:num="1">
            <w:col w:w="11220"/>
          </w:cols>
          <w:pgMar w:left="320" w:top="388" w:right="359" w:bottom="1440" w:gutter="0" w:footer="0" w:header="0"/>
          <w:type w:val="continuous"/>
        </w:sectPr>
      </w:pPr>
    </w:p>
    <w:bookmarkStart w:id="8" w:name="page9"/>
    <w:bookmarkEnd w:id="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3C9673"/>
        </w:rPr>
        <w:drawing>
          <wp:anchor simplePos="0" relativeHeight="251657728" behindDoc="1" locked="0" layoutInCell="0" allowOverlap="1">
            <wp:simplePos x="0" y="0"/>
            <wp:positionH relativeFrom="page">
              <wp:posOffset>2016760</wp:posOffset>
            </wp:positionH>
            <wp:positionV relativeFrom="page">
              <wp:posOffset>106045</wp:posOffset>
            </wp:positionV>
            <wp:extent cx="222885"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C3C3C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20320</wp:posOffset>
            </wp:positionV>
            <wp:extent cx="222885"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Interim Condensed Consolidated Statements of</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11517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4"/>
          <w:szCs w:val="14"/>
          <w:b w:val="1"/>
          <w:bCs w:val="1"/>
          <w:color w:val="005A64"/>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119380</wp:posOffset>
            </wp:positionV>
            <wp:extent cx="1105535" cy="2682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05535" cy="2682875"/>
                    </a:xfrm>
                    <a:prstGeom prst="rect">
                      <a:avLst/>
                    </a:prstGeom>
                    <a:noFill/>
                  </pic:spPr>
                </pic:pic>
              </a:graphicData>
            </a:graphic>
          </wp:anchor>
        </w:drawing>
      </w:r>
    </w:p>
    <w:p>
      <w:pPr>
        <w:sectPr>
          <w:pgSz w:w="11900" w:h="16838" w:orient="portrait"/>
          <w:cols w:equalWidth="0" w:num="1">
            <w:col w:w="11200"/>
          </w:cols>
          <w:pgMar w:left="320" w:top="388" w:right="37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37719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37719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3C9673"/>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37719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76" w:lineRule="exact"/>
        <w:rPr>
          <w:sz w:val="20"/>
          <w:szCs w:val="20"/>
          <w:color w:val="auto"/>
        </w:rPr>
      </w:pPr>
    </w:p>
    <w:p>
      <w:pPr>
        <w:ind w:left="20" w:right="840"/>
        <w:spacing w:after="0" w:line="292" w:lineRule="auto"/>
        <w:rPr>
          <w:sz w:val="20"/>
          <w:szCs w:val="20"/>
          <w:color w:val="auto"/>
        </w:rPr>
      </w:pPr>
      <w:r>
        <w:rPr>
          <w:rFonts w:ascii="Times New Roman" w:cs="Times New Roman" w:eastAsia="Times New Roman" w:hAnsi="Times New Roman"/>
          <w:sz w:val="14"/>
          <w:szCs w:val="14"/>
          <w:i w:val="1"/>
          <w:iCs w:val="1"/>
          <w:color w:val="005A64"/>
        </w:rPr>
        <w:t>Other comprehensive income that may be reclassified to profit or loss in subsequent periods,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37719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Exchange differences on translation of foreign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37719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87" w:lineRule="exact"/>
        <w:rPr>
          <w:sz w:val="20"/>
          <w:szCs w:val="20"/>
          <w:color w:val="auto"/>
        </w:rPr>
      </w:pPr>
    </w:p>
    <w:p>
      <w:pPr>
        <w:ind w:left="20" w:right="1280"/>
        <w:spacing w:after="0" w:line="345" w:lineRule="auto"/>
        <w:rPr>
          <w:sz w:val="20"/>
          <w:szCs w:val="20"/>
          <w:color w:val="auto"/>
        </w:rPr>
      </w:pPr>
      <w:r>
        <w:rPr>
          <w:rFonts w:ascii="Times New Roman" w:cs="Times New Roman" w:eastAsia="Times New Roman" w:hAnsi="Times New Roman"/>
          <w:sz w:val="14"/>
          <w:szCs w:val="14"/>
          <w:b w:val="1"/>
          <w:bCs w:val="1"/>
          <w:color w:val="005A64"/>
        </w:rPr>
        <w:t>Net other comprehensive income / (loss) that may be reclassified to profit or loss in subsequent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37719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ind w:left="20" w:right="820"/>
        <w:spacing w:after="0" w:line="292" w:lineRule="auto"/>
        <w:rPr>
          <w:sz w:val="20"/>
          <w:szCs w:val="20"/>
          <w:color w:val="auto"/>
        </w:rPr>
      </w:pPr>
      <w:r>
        <w:rPr>
          <w:rFonts w:ascii="Times New Roman" w:cs="Times New Roman" w:eastAsia="Times New Roman" w:hAnsi="Times New Roman"/>
          <w:sz w:val="14"/>
          <w:szCs w:val="14"/>
          <w:i w:val="1"/>
          <w:iCs w:val="1"/>
          <w:color w:val="005A64"/>
        </w:rPr>
        <w:t>Other comprehensive loss that will not be reclassified to profit or loss in subsequent periods,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37719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259" w:lineRule="exact"/>
        <w:rPr>
          <w:sz w:val="20"/>
          <w:szCs w:val="20"/>
          <w:color w:val="auto"/>
        </w:rPr>
      </w:pPr>
    </w:p>
    <w:p>
      <w:pPr>
        <w:ind w:left="20" w:right="860"/>
        <w:spacing w:after="0" w:line="291" w:lineRule="auto"/>
        <w:rPr>
          <w:sz w:val="20"/>
          <w:szCs w:val="20"/>
          <w:color w:val="auto"/>
        </w:rPr>
      </w:pPr>
      <w:r>
        <w:rPr>
          <w:rFonts w:ascii="Times New Roman" w:cs="Times New Roman" w:eastAsia="Times New Roman" w:hAnsi="Times New Roman"/>
          <w:sz w:val="14"/>
          <w:szCs w:val="14"/>
          <w:color w:val="005A64"/>
        </w:rPr>
        <w:t>Net gain / (loss) on equity instruments designated at fair value through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37719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255" w:lineRule="exact"/>
        <w:rPr>
          <w:sz w:val="20"/>
          <w:szCs w:val="20"/>
          <w:color w:val="auto"/>
        </w:rPr>
      </w:pPr>
    </w:p>
    <w:p>
      <w:pPr>
        <w:ind w:left="20" w:right="1060"/>
        <w:spacing w:after="0" w:line="345" w:lineRule="auto"/>
        <w:rPr>
          <w:sz w:val="20"/>
          <w:szCs w:val="20"/>
          <w:color w:val="auto"/>
        </w:rPr>
      </w:pPr>
      <w:r>
        <w:rPr>
          <w:rFonts w:ascii="Times New Roman" w:cs="Times New Roman" w:eastAsia="Times New Roman" w:hAnsi="Times New Roman"/>
          <w:sz w:val="14"/>
          <w:szCs w:val="14"/>
          <w:b w:val="1"/>
          <w:bCs w:val="1"/>
          <w:color w:val="005A64"/>
        </w:rPr>
        <w:t>Net other comprehensive income / (loss) that will not be reclassified to profit or loss in subsequent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37719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b w:val="1"/>
          <w:bCs w:val="1"/>
          <w:color w:val="005A64"/>
        </w:rPr>
        <w:t>Other comprehensive income /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37719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Comprehensive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37719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5A64"/>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-749935</wp:posOffset>
            </wp:positionH>
            <wp:positionV relativeFrom="paragraph">
              <wp:posOffset>1447800</wp:posOffset>
            </wp:positionV>
            <wp:extent cx="9512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51230" cy="8890"/>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847725</wp:posOffset>
            </wp:positionV>
            <wp:extent cx="9512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51230" cy="8890"/>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1148080</wp:posOffset>
            </wp:positionV>
            <wp:extent cx="9512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51230" cy="8890"/>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676275</wp:posOffset>
            </wp:positionV>
            <wp:extent cx="9512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51230" cy="8255"/>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376555</wp:posOffset>
            </wp:positionV>
            <wp:extent cx="9512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51230" cy="8255"/>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222250</wp:posOffset>
            </wp:positionV>
            <wp:extent cx="9512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51230" cy="8255"/>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50800</wp:posOffset>
            </wp:positionV>
            <wp:extent cx="9512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005A64"/>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-749935</wp:posOffset>
            </wp:positionH>
            <wp:positionV relativeFrom="paragraph">
              <wp:posOffset>777875</wp:posOffset>
            </wp:positionV>
            <wp:extent cx="9512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51230" cy="8255"/>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606425</wp:posOffset>
            </wp:positionV>
            <wp:extent cx="9512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51230" cy="8255"/>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135255</wp:posOffset>
            </wp:positionV>
            <wp:extent cx="9512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51230" cy="8255"/>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434975</wp:posOffset>
            </wp:positionV>
            <wp:extent cx="9512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4"/>
          <w:szCs w:val="14"/>
          <w:b w:val="1"/>
          <w:bCs w:val="1"/>
          <w:color w:val="005A64"/>
        </w:rPr>
        <w:t>2026</w:t>
      </w:r>
    </w:p>
    <w:p>
      <w:pPr>
        <w:spacing w:after="0" w:line="96"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4"/>
          <w:szCs w:val="14"/>
          <w:i w:val="1"/>
          <w:iCs w:val="1"/>
          <w:color w:val="005A64"/>
        </w:rPr>
        <w:t>(unaudited)</w:t>
      </w:r>
    </w:p>
    <w:p>
      <w:pPr>
        <w:spacing w:after="0" w:line="109"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4"/>
          <w:szCs w:val="14"/>
          <w:b w:val="1"/>
          <w:bCs w:val="1"/>
          <w:color w:val="005A64"/>
        </w:rPr>
        <w:t>(531.9)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005A64"/>
        </w:rPr>
        <w:t>13.6</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005A64"/>
        </w:rPr>
        <w:t>13.6</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005A64"/>
        </w:rPr>
        <w:t>(18.6)</w:t>
      </w:r>
    </w:p>
    <w:p>
      <w:pPr>
        <w:spacing w:after="0" w:line="3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005A64"/>
        </w:rPr>
        <w:t>(18.6)</w:t>
      </w:r>
    </w:p>
    <w:p>
      <w:pPr>
        <w:spacing w:after="0" w:line="2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005A64"/>
        </w:rPr>
        <w:t>(5.0)</w:t>
      </w:r>
    </w:p>
    <w:p>
      <w:pPr>
        <w:spacing w:after="0" w:line="1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005A64"/>
        </w:rPr>
        <w:t>(536.9)</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p>
      <w:pPr>
        <w:spacing w:after="0" w:line="10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i w:val="1"/>
          <w:iCs w:val="1"/>
          <w:color w:val="005A64"/>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50800</wp:posOffset>
            </wp:positionV>
            <wp:extent cx="9601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005A64"/>
        </w:rPr>
        <w:t>(415.8)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504825</wp:posOffset>
            </wp:positionV>
            <wp:extent cx="9601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-481330</wp:posOffset>
            </wp:positionH>
            <wp:positionV relativeFrom="paragraph">
              <wp:posOffset>205105</wp:posOffset>
            </wp:positionV>
            <wp:extent cx="9601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-481330</wp:posOffset>
            </wp:positionH>
            <wp:positionV relativeFrom="paragraph">
              <wp:posOffset>50800</wp:posOffset>
            </wp:positionV>
            <wp:extent cx="9601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005A64"/>
        </w:rPr>
        <w:t>(30.9)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49530</wp:posOffset>
            </wp:positionV>
            <wp:extent cx="9601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005A64"/>
        </w:rPr>
        <w:t>(30.9)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419100</wp:posOffset>
            </wp:positionV>
            <wp:extent cx="9601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60120" cy="8890"/>
                    </a:xfrm>
                    <a:prstGeom prst="rect">
                      <a:avLst/>
                    </a:prstGeom>
                    <a:noFill/>
                  </pic:spPr>
                </pic:pic>
              </a:graphicData>
            </a:graphic>
          </wp:anchor>
        </w:drawing>
        <w:drawing>
          <wp:anchor simplePos="0" relativeHeight="251657728" behindDoc="1" locked="0" layoutInCell="0" allowOverlap="1">
            <wp:simplePos x="0" y="0"/>
            <wp:positionH relativeFrom="column">
              <wp:posOffset>-481330</wp:posOffset>
            </wp:positionH>
            <wp:positionV relativeFrom="paragraph">
              <wp:posOffset>119380</wp:posOffset>
            </wp:positionV>
            <wp:extent cx="9601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005A64"/>
        </w:rPr>
        <w:t>(32.1)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118110</wp:posOffset>
            </wp:positionV>
            <wp:extent cx="9601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005A64"/>
        </w:rPr>
        <w:t>(32.1)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119380</wp:posOffset>
            </wp:positionV>
            <wp:extent cx="9601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005A64"/>
        </w:rPr>
        <w:t>(63.0)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50800</wp:posOffset>
            </wp:positionV>
            <wp:extent cx="9601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005A64"/>
        </w:rPr>
        <w:t>(478.8)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50800</wp:posOffset>
            </wp:positionV>
            <wp:extent cx="9601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4">
            <w:col w:w="6720" w:space="720"/>
            <w:col w:w="580" w:space="720"/>
            <w:col w:w="1000" w:space="720"/>
            <w:col w:w="740"/>
          </w:cols>
          <w:pgMar w:left="320" w:top="388" w:right="379" w:bottom="1440" w:gutter="0" w:footer="0" w:header="0"/>
          <w:type w:val="continuous"/>
        </w:sect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080509"/>
        </w:rPr>
        <w:t>The accompanying notes form an integral part of these unaudited interim condensed consolidated financial statements.</w:t>
      </w:r>
    </w:p>
    <w:p>
      <w:pPr>
        <w:spacing w:after="0" w:line="200" w:lineRule="exact"/>
        <w:rPr>
          <w:sz w:val="20"/>
          <w:szCs w:val="20"/>
          <w:color w:val="auto"/>
        </w:rPr>
      </w:pP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3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w:t>
            </w:r>
          </w:p>
        </w:tc>
      </w:tr>
    </w:tbl>
    <w:p>
      <w:pPr>
        <w:sectPr>
          <w:pgSz w:w="11900" w:h="16838" w:orient="portrait"/>
          <w:cols w:equalWidth="0" w:num="1">
            <w:col w:w="11200"/>
          </w:cols>
          <w:pgMar w:left="320" w:top="388" w:right="379" w:bottom="1440" w:gutter="0" w:footer="0" w:header="0"/>
          <w:type w:val="continuous"/>
        </w:sectPr>
      </w:pPr>
    </w:p>
    <w:bookmarkStart w:id="9" w:name="page10"/>
    <w:bookmarkEnd w:id="9"/>
    <w:p>
      <w:pPr>
        <w:ind w:left="1060"/>
        <w:spacing w:after="0"/>
        <w:tabs>
          <w:tab w:leader="none" w:pos="7420" w:val="left"/>
        </w:tabs>
        <w:rPr>
          <w:sz w:val="20"/>
          <w:szCs w:val="20"/>
          <w:color w:val="auto"/>
        </w:rPr>
      </w:pPr>
      <w:r>
        <w:rPr>
          <w:rFonts w:ascii="Times New Roman" w:cs="Times New Roman" w:eastAsia="Times New Roman" w:hAnsi="Times New Roman"/>
          <w:sz w:val="12"/>
          <w:szCs w:val="12"/>
          <w:color w:val="3C9673"/>
        </w:rPr>
        <w:drawing>
          <wp:anchor simplePos="0" relativeHeight="251657728" behindDoc="1" locked="0" layoutInCell="0" allowOverlap="1">
            <wp:simplePos x="0" y="0"/>
            <wp:positionH relativeFrom="page">
              <wp:posOffset>2016760</wp:posOffset>
            </wp:positionH>
            <wp:positionV relativeFrom="page">
              <wp:posOffset>106045</wp:posOffset>
            </wp:positionV>
            <wp:extent cx="222885" cy="685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C3C3C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20320</wp:posOffset>
            </wp:positionV>
            <wp:extent cx="222885" cy="685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Interim Condensed Consolidated Statements of Financial Position</w:t>
      </w:r>
    </w:p>
    <w:p>
      <w:pPr>
        <w:sectPr>
          <w:pgSz w:w="11900" w:h="16838" w:orient="portrait"/>
          <w:cols w:equalWidth="0" w:num="1">
            <w:col w:w="10660"/>
          </w:cols>
          <w:pgMar w:left="320" w:top="388" w:right="919" w:bottom="1440" w:gutter="0" w:footer="0" w:header="0"/>
        </w:sectPr>
      </w:pPr>
    </w:p>
    <w:bookmarkStart w:id="10" w:name="page11"/>
    <w:bookmarkEnd w:id="10"/>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005A64"/>
        </w:rPr>
        <w:t>(in millions €)</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5A64"/>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33261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3C9673"/>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33261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33261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33261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33261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33261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33261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Other 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33261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Other non-financial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33261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33261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5A64"/>
        </w:rPr>
        <w:t>Total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33261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3C9673"/>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33261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33261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Trade and 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33261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33261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Other 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33261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Other non-financial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33261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Income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33261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33261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5A64"/>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33261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5A64"/>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33261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5A64"/>
        </w:rPr>
        <w:t>Equity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33261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3C9673"/>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33261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33261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Capital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33261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Treasury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33261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33261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Other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33261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5A64"/>
        </w:rPr>
        <w:t>Total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33261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3C9673"/>
        </w:rPr>
        <w:t>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33261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Lease liabilities, loans and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33261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Other 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33261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33261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33261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Other non-financial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33261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33261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5A64"/>
        </w:rPr>
        <w:t>Total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33261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3C9673"/>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33261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Lease liabilities, loans and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33261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Trade payables and other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33261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Other 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33261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Income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33261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33261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33261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Other non-financial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332613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5A64"/>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33261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5A64"/>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33261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5A64"/>
        </w:rPr>
        <w:t>Total equity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33261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5A64"/>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376555</wp:posOffset>
            </wp:positionV>
            <wp:extent cx="7112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1200" cy="8890"/>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205105</wp:posOffset>
            </wp:positionV>
            <wp:extent cx="7112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1200" cy="8890"/>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50800</wp:posOffset>
            </wp:positionV>
            <wp:extent cx="7112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-557530</wp:posOffset>
            </wp:positionV>
            <wp:extent cx="712343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005A64"/>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606425</wp:posOffset>
            </wp:positionV>
            <wp:extent cx="7112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1200" cy="8890"/>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434975</wp:posOffset>
            </wp:positionV>
            <wp:extent cx="7112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1200" cy="8890"/>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263525</wp:posOffset>
            </wp:positionV>
            <wp:extent cx="7112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1200" cy="8890"/>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92075</wp:posOffset>
            </wp:positionV>
            <wp:extent cx="7112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005A64"/>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263525</wp:posOffset>
            </wp:positionV>
            <wp:extent cx="7112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92075</wp:posOffset>
            </wp:positionV>
            <wp:extent cx="7112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005A64"/>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589280</wp:posOffset>
            </wp:positionV>
            <wp:extent cx="7112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417830</wp:posOffset>
            </wp:positionV>
            <wp:extent cx="7112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263525</wp:posOffset>
            </wp:positionV>
            <wp:extent cx="7112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92075</wp:posOffset>
            </wp:positionV>
            <wp:extent cx="7112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005A64"/>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263525</wp:posOffset>
            </wp:positionV>
            <wp:extent cx="7112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92075</wp:posOffset>
            </wp:positionV>
            <wp:extent cx="7112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005A64"/>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263525</wp:posOffset>
            </wp:positionV>
            <wp:extent cx="7112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92075</wp:posOffset>
            </wp:positionV>
            <wp:extent cx="7112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005A64"/>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92075</wp:posOffset>
            </wp:positionV>
            <wp:extent cx="7112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005A64"/>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880745</wp:posOffset>
            </wp:positionV>
            <wp:extent cx="7112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726440</wp:posOffset>
            </wp:positionV>
            <wp:extent cx="7112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434975</wp:posOffset>
            </wp:positionV>
            <wp:extent cx="7112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263525</wp:posOffset>
            </wp:positionV>
            <wp:extent cx="7112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1200" cy="8890"/>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92075</wp:posOffset>
            </wp:positionV>
            <wp:extent cx="7112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005A64"/>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1103630</wp:posOffset>
            </wp:positionV>
            <wp:extent cx="7112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777875</wp:posOffset>
            </wp:positionV>
            <wp:extent cx="7112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1200" cy="8890"/>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949325</wp:posOffset>
            </wp:positionV>
            <wp:extent cx="7112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1200" cy="8890"/>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606425</wp:posOffset>
            </wp:positionV>
            <wp:extent cx="7112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434975</wp:posOffset>
            </wp:positionV>
            <wp:extent cx="7112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263525</wp:posOffset>
            </wp:positionV>
            <wp:extent cx="7112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92075</wp:posOffset>
            </wp:positionV>
            <wp:extent cx="7112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005A64"/>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92075</wp:posOffset>
            </wp:positionV>
            <wp:extent cx="7112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005A64"/>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92075</wp:posOffset>
            </wp:positionV>
            <wp:extent cx="7112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005A64"/>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263525</wp:posOffset>
            </wp:positionV>
            <wp:extent cx="7112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1200" cy="8890"/>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434975</wp:posOffset>
            </wp:positionV>
            <wp:extent cx="7112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1200" cy="8890"/>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92075</wp:posOffset>
            </wp:positionV>
            <wp:extent cx="7112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005A64"/>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417830</wp:posOffset>
            </wp:positionV>
            <wp:extent cx="7112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263525</wp:posOffset>
            </wp:positionV>
            <wp:extent cx="7112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1200" cy="8890"/>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92075</wp:posOffset>
            </wp:positionV>
            <wp:extent cx="7112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005A64"/>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92075</wp:posOffset>
            </wp:positionV>
            <wp:extent cx="7112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005A64"/>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92075</wp:posOffset>
            </wp:positionV>
            <wp:extent cx="7112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005A64"/>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92075</wp:posOffset>
            </wp:positionV>
            <wp:extent cx="7112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005A64"/>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92075</wp:posOffset>
            </wp:positionV>
            <wp:extent cx="7112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005A64"/>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949325</wp:posOffset>
            </wp:positionV>
            <wp:extent cx="7112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1200" cy="8890"/>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777875</wp:posOffset>
            </wp:positionV>
            <wp:extent cx="7112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1200" cy="8890"/>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606425</wp:posOffset>
            </wp:positionV>
            <wp:extent cx="7112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1200" cy="8890"/>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434975</wp:posOffset>
            </wp:positionV>
            <wp:extent cx="7112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1200" cy="8890"/>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263525</wp:posOffset>
            </wp:positionV>
            <wp:extent cx="7112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1200" cy="8890"/>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92075</wp:posOffset>
            </wp:positionV>
            <wp:extent cx="7112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720"/>
        <w:spacing w:after="0"/>
        <w:rPr>
          <w:sz w:val="20"/>
          <w:szCs w:val="20"/>
          <w:color w:val="auto"/>
        </w:rPr>
      </w:pPr>
      <w:r>
        <w:rPr>
          <w:rFonts w:ascii="Times New Roman" w:cs="Times New Roman" w:eastAsia="Times New Roman" w:hAnsi="Times New Roman"/>
          <w:sz w:val="14"/>
          <w:szCs w:val="14"/>
          <w:b w:val="1"/>
          <w:bCs w:val="1"/>
          <w:color w:val="005A64"/>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-932815</wp:posOffset>
            </wp:positionH>
            <wp:positionV relativeFrom="paragraph">
              <wp:posOffset>-120015</wp:posOffset>
            </wp:positionV>
            <wp:extent cx="1482725" cy="93268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82725" cy="9326880"/>
                    </a:xfrm>
                    <a:prstGeom prst="rect">
                      <a:avLst/>
                    </a:prstGeom>
                    <a:noFill/>
                  </pic:spPr>
                </pic:pic>
              </a:graphicData>
            </a:graphic>
          </wp:anchor>
        </w:drawing>
      </w:r>
    </w:p>
    <w:p>
      <w:pPr>
        <w:spacing w:after="0" w:line="76"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4"/>
          <w:szCs w:val="14"/>
          <w:b w:val="1"/>
          <w:bCs w:val="1"/>
          <w:color w:val="005A64"/>
        </w:rPr>
        <w:t>2026</w:t>
      </w:r>
    </w:p>
    <w:p>
      <w:pPr>
        <w:spacing w:after="0" w:line="96"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4"/>
          <w:szCs w:val="14"/>
          <w:i w:val="1"/>
          <w:iCs w:val="1"/>
          <w:color w:val="005A64"/>
        </w:rPr>
        <w:t>(unaudited)</w:t>
      </w:r>
    </w:p>
    <w:p>
      <w:pPr>
        <w:spacing w:after="0" w:line="3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005A64"/>
        </w:rPr>
        <w:t>370.5</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005A64"/>
        </w:rPr>
        <w:t>1,546.8</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005A64"/>
        </w:rPr>
        <w:t>1,112.7</w:t>
      </w:r>
    </w:p>
    <w:p>
      <w:pPr>
        <w:spacing w:after="0" w:line="109"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4"/>
          <w:szCs w:val="14"/>
          <w:color w:val="005A64"/>
        </w:rPr>
        <w:t>205.5</w:t>
      </w:r>
    </w:p>
    <w:p>
      <w:pPr>
        <w:spacing w:after="0" w:line="109"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4"/>
          <w:szCs w:val="14"/>
          <w:color w:val="005A64"/>
        </w:rPr>
        <w:t>—</w:t>
      </w:r>
    </w:p>
    <w:p>
      <w:pPr>
        <w:spacing w:after="0" w:line="136"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4"/>
          <w:szCs w:val="14"/>
          <w:color w:val="005A64"/>
        </w:rPr>
        <w:t>2,279.9</w:t>
      </w:r>
    </w:p>
    <w:p>
      <w:pPr>
        <w:spacing w:after="0" w:line="150"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4"/>
          <w:szCs w:val="14"/>
          <w:color w:val="005A64"/>
        </w:rPr>
        <w:t>12.2</w:t>
      </w:r>
    </w:p>
    <w:p>
      <w:pPr>
        <w:spacing w:after="0" w:line="136"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4"/>
          <w:szCs w:val="14"/>
          <w:color w:val="005A64"/>
        </w:rPr>
        <w:t>14.7</w:t>
      </w:r>
    </w:p>
    <w:p>
      <w:pPr>
        <w:spacing w:after="0" w:line="148"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4"/>
          <w:szCs w:val="14"/>
          <w:b w:val="1"/>
          <w:bCs w:val="1"/>
          <w:color w:val="005A64"/>
        </w:rPr>
        <w:t>5,542.3</w:t>
      </w:r>
    </w:p>
    <w:p>
      <w:pPr>
        <w:spacing w:after="0" w:line="354"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4"/>
          <w:szCs w:val="14"/>
          <w:color w:val="005A64"/>
        </w:rPr>
        <w:t>103.8</w:t>
      </w:r>
    </w:p>
    <w:p>
      <w:pPr>
        <w:spacing w:after="0" w:line="136"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4"/>
          <w:szCs w:val="14"/>
          <w:color w:val="005A64"/>
        </w:rPr>
        <w:t>539.2</w:t>
      </w:r>
    </w:p>
    <w:p>
      <w:pPr>
        <w:spacing w:after="0" w:line="150"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4"/>
          <w:szCs w:val="14"/>
          <w:color w:val="005A64"/>
        </w:rPr>
        <w:t>8.9</w:t>
      </w:r>
    </w:p>
    <w:p>
      <w:pPr>
        <w:spacing w:after="0" w:line="136"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4"/>
          <w:szCs w:val="14"/>
          <w:color w:val="005A64"/>
        </w:rPr>
        <w:t>4,699.8</w:t>
      </w:r>
    </w:p>
    <w:p>
      <w:pPr>
        <w:spacing w:after="0" w:line="150"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4"/>
          <w:szCs w:val="14"/>
          <w:color w:val="005A64"/>
        </w:rPr>
        <w:t>176.6</w:t>
      </w:r>
    </w:p>
    <w:p>
      <w:pPr>
        <w:spacing w:after="0" w:line="136"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4"/>
          <w:szCs w:val="14"/>
          <w:color w:val="005A64"/>
        </w:rPr>
        <w:t>64.1</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005A64"/>
        </w:rPr>
        <w:t>9,939.4</w:t>
      </w:r>
    </w:p>
    <w:p>
      <w:pPr>
        <w:spacing w:after="0" w:line="148"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4"/>
          <w:szCs w:val="14"/>
          <w:b w:val="1"/>
          <w:bCs w:val="1"/>
          <w:color w:val="005A64"/>
        </w:rPr>
        <w:t>15,531.8</w:t>
      </w:r>
    </w:p>
    <w:p>
      <w:pPr>
        <w:spacing w:after="0" w:line="109"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4"/>
          <w:szCs w:val="14"/>
          <w:b w:val="1"/>
          <w:bCs w:val="1"/>
          <w:color w:val="005A64"/>
        </w:rPr>
        <w:t>21,074.1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005A64"/>
        </w:rPr>
        <w:t>259.0</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005A64"/>
        </w:rPr>
        <w:t>2,468.2</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005A64"/>
        </w:rPr>
        <w:t>(6.1)</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005A64"/>
        </w:rPr>
        <w:t>17,430.0</w:t>
      </w:r>
    </w:p>
    <w:p>
      <w:pPr>
        <w:spacing w:after="0" w:line="1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005A64"/>
        </w:rPr>
        <w:t>(1,453.3)</w:t>
      </w:r>
    </w:p>
    <w:p>
      <w:pPr>
        <w:spacing w:after="0" w:line="107"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4"/>
          <w:szCs w:val="14"/>
          <w:b w:val="1"/>
          <w:bCs w:val="1"/>
          <w:color w:val="005A64"/>
        </w:rPr>
        <w:t>18,697.8</w:t>
      </w:r>
    </w:p>
    <w:p>
      <w:pPr>
        <w:spacing w:after="0" w:line="381"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4"/>
          <w:szCs w:val="14"/>
          <w:color w:val="005A64"/>
        </w:rPr>
        <w:t>246.1</w:t>
      </w:r>
    </w:p>
    <w:p>
      <w:pPr>
        <w:spacing w:after="0" w:line="177"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4"/>
          <w:szCs w:val="14"/>
          <w:color w:val="005A64"/>
        </w:rPr>
        <w:t>92.0</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005A64"/>
        </w:rPr>
        <w:t>23.8</w:t>
      </w:r>
    </w:p>
    <w:p>
      <w:pPr>
        <w:spacing w:after="0" w:line="150"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4"/>
          <w:szCs w:val="14"/>
          <w:color w:val="005A64"/>
        </w:rPr>
        <w:t>87.7</w:t>
      </w:r>
    </w:p>
    <w:p>
      <w:pPr>
        <w:spacing w:after="0" w:line="109"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4"/>
          <w:szCs w:val="14"/>
          <w:color w:val="005A64"/>
        </w:rPr>
        <w:t>108.8</w:t>
      </w:r>
    </w:p>
    <w:p>
      <w:pPr>
        <w:spacing w:after="0" w:line="136"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4"/>
          <w:szCs w:val="14"/>
          <w:color w:val="005A64"/>
        </w:rPr>
        <w:t>52.9</w:t>
      </w:r>
    </w:p>
    <w:p>
      <w:pPr>
        <w:spacing w:after="0" w:line="148"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4"/>
          <w:szCs w:val="14"/>
          <w:b w:val="1"/>
          <w:bCs w:val="1"/>
          <w:color w:val="005A64"/>
        </w:rPr>
        <w:t>611.3</w:t>
      </w:r>
    </w:p>
    <w:p>
      <w:pPr>
        <w:spacing w:after="0" w:line="381"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4"/>
          <w:szCs w:val="14"/>
          <w:color w:val="005A64"/>
        </w:rPr>
        <w:t>56.7</w:t>
      </w:r>
    </w:p>
    <w:p>
      <w:pPr>
        <w:spacing w:after="0" w:line="177"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4"/>
          <w:szCs w:val="14"/>
          <w:color w:val="005A64"/>
        </w:rPr>
        <w:t>468.8</w:t>
      </w:r>
    </w:p>
    <w:p>
      <w:pPr>
        <w:spacing w:after="0" w:line="177"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4"/>
          <w:szCs w:val="14"/>
          <w:color w:val="005A64"/>
        </w:rPr>
        <w:t>77.5</w:t>
      </w:r>
    </w:p>
    <w:p>
      <w:pPr>
        <w:spacing w:after="0" w:line="177"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4"/>
          <w:szCs w:val="14"/>
          <w:color w:val="005A64"/>
        </w:rPr>
        <w:t>38.1</w:t>
      </w:r>
    </w:p>
    <w:p>
      <w:pPr>
        <w:spacing w:after="0" w:line="177"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4"/>
          <w:szCs w:val="14"/>
          <w:color w:val="005A64"/>
        </w:rPr>
        <w:t>167.0</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005A64"/>
        </w:rPr>
        <w:t>758.5</w:t>
      </w:r>
    </w:p>
    <w:p>
      <w:pPr>
        <w:spacing w:after="0" w:line="109"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4"/>
          <w:szCs w:val="14"/>
          <w:color w:val="005A64"/>
        </w:rPr>
        <w:t>198.4</w:t>
      </w:r>
    </w:p>
    <w:p>
      <w:pPr>
        <w:spacing w:after="0" w:line="107"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4"/>
          <w:szCs w:val="14"/>
          <w:b w:val="1"/>
          <w:bCs w:val="1"/>
          <w:color w:val="005A64"/>
        </w:rPr>
        <w:t>1,765.0</w:t>
      </w:r>
    </w:p>
    <w:p>
      <w:pPr>
        <w:spacing w:after="0" w:line="109"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4"/>
          <w:szCs w:val="14"/>
          <w:b w:val="1"/>
          <w:bCs w:val="1"/>
          <w:color w:val="005A64"/>
        </w:rPr>
        <w:t>2,376.3</w:t>
      </w:r>
    </w:p>
    <w:p>
      <w:pPr>
        <w:spacing w:after="0" w:line="109"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4"/>
          <w:szCs w:val="14"/>
          <w:b w:val="1"/>
          <w:bCs w:val="1"/>
          <w:color w:val="005A64"/>
        </w:rPr>
        <w:t>21,074.1</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Times New Roman" w:cs="Times New Roman" w:eastAsia="Times New Roman" w:hAnsi="Times New Roman"/>
          <w:sz w:val="14"/>
          <w:szCs w:val="14"/>
          <w:b w:val="1"/>
          <w:bCs w:val="1"/>
          <w:color w:val="005A64"/>
        </w:rPr>
        <w:t>December 31,</w:t>
      </w:r>
    </w:p>
    <w:p>
      <w:pPr>
        <w:spacing w:after="0" w:line="10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b w:val="1"/>
          <w:bCs w:val="1"/>
          <w:color w:val="005A64"/>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367665</wp:posOffset>
            </wp:positionV>
            <wp:extent cx="133731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37310" cy="8890"/>
                    </a:xfrm>
                    <a:prstGeom prst="rect">
                      <a:avLst/>
                    </a:prstGeom>
                    <a:noFill/>
                  </pic:spPr>
                </pic:pic>
              </a:graphicData>
            </a:graphic>
          </wp:anchor>
        </w:drawing>
        <w:drawing>
          <wp:anchor simplePos="0" relativeHeight="251657728" behindDoc="1" locked="0" layoutInCell="0" allowOverlap="1">
            <wp:simplePos x="0" y="0"/>
            <wp:positionH relativeFrom="column">
              <wp:posOffset>-761365</wp:posOffset>
            </wp:positionH>
            <wp:positionV relativeFrom="paragraph">
              <wp:posOffset>213360</wp:posOffset>
            </wp:positionV>
            <wp:extent cx="133731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005A64"/>
        </w:rPr>
        <w:t>367.9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49530</wp:posOffset>
            </wp:positionV>
            <wp:extent cx="133731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005A64"/>
        </w:rPr>
        <w:t>1,606.0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74930</wp:posOffset>
            </wp:positionV>
            <wp:extent cx="133731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005A64"/>
        </w:rPr>
        <w:t>1,080.9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49530</wp:posOffset>
            </wp:positionV>
            <wp:extent cx="133731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8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005A64"/>
        </w:rPr>
        <w:t>210.2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49530</wp:posOffset>
            </wp:positionV>
            <wp:extent cx="133731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8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005A64"/>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49530</wp:posOffset>
            </wp:positionV>
            <wp:extent cx="133731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005A64"/>
        </w:rPr>
        <w:t>2,554.2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74930</wp:posOffset>
            </wp:positionV>
            <wp:extent cx="133731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3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005A64"/>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49530</wp:posOffset>
            </wp:positionV>
            <wp:extent cx="133731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005A64"/>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74930</wp:posOffset>
            </wp:positionV>
            <wp:extent cx="133731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2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b w:val="1"/>
          <w:bCs w:val="1"/>
          <w:color w:val="005A64"/>
        </w:rPr>
        <w:t>5,842.0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205105</wp:posOffset>
            </wp:positionV>
            <wp:extent cx="133731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37310" cy="8255"/>
                    </a:xfrm>
                    <a:prstGeom prst="rect">
                      <a:avLst/>
                    </a:prstGeom>
                    <a:noFill/>
                  </pic:spPr>
                </pic:pic>
              </a:graphicData>
            </a:graphic>
          </wp:anchor>
        </w:drawing>
        <w:drawing>
          <wp:anchor simplePos="0" relativeHeight="251657728" behindDoc="1" locked="0" layoutInCell="0" allowOverlap="1">
            <wp:simplePos x="0" y="0"/>
            <wp:positionH relativeFrom="column">
              <wp:posOffset>-761365</wp:posOffset>
            </wp:positionH>
            <wp:positionV relativeFrom="paragraph">
              <wp:posOffset>50800</wp:posOffset>
            </wp:positionV>
            <wp:extent cx="133731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33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005A64"/>
        </w:rPr>
        <w:t>110.7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49530</wp:posOffset>
            </wp:positionV>
            <wp:extent cx="133731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005A64"/>
        </w:rPr>
        <w:t>924.2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74930</wp:posOffset>
            </wp:positionV>
            <wp:extent cx="133731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3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005A64"/>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49530</wp:posOffset>
            </wp:positionV>
            <wp:extent cx="133731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005A64"/>
        </w:rPr>
        <w:t>7,201.8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74930</wp:posOffset>
            </wp:positionV>
            <wp:extent cx="133731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3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005A64"/>
        </w:rPr>
        <w:t>173.8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49530</wp:posOffset>
            </wp:positionV>
            <wp:extent cx="133731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005A64"/>
        </w:rPr>
        <w:t>52.6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74930</wp:posOffset>
            </wp:positionV>
            <wp:extent cx="133731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005A64"/>
        </w:rPr>
        <w:t>7,675.4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74930</wp:posOffset>
            </wp:positionV>
            <wp:extent cx="133731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2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b w:val="1"/>
          <w:bCs w:val="1"/>
          <w:color w:val="005A64"/>
        </w:rPr>
        <w:t>16,146.6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50800</wp:posOffset>
            </wp:positionV>
            <wp:extent cx="133731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8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b w:val="1"/>
          <w:bCs w:val="1"/>
          <w:color w:val="005A64"/>
        </w:rPr>
        <w:t>21,988.6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496570</wp:posOffset>
            </wp:positionV>
            <wp:extent cx="133731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37310" cy="8255"/>
                    </a:xfrm>
                    <a:prstGeom prst="rect">
                      <a:avLst/>
                    </a:prstGeom>
                    <a:noFill/>
                  </pic:spPr>
                </pic:pic>
              </a:graphicData>
            </a:graphic>
          </wp:anchor>
        </w:drawing>
        <w:drawing>
          <wp:anchor simplePos="0" relativeHeight="251657728" behindDoc="1" locked="0" layoutInCell="0" allowOverlap="1">
            <wp:simplePos x="0" y="0"/>
            <wp:positionH relativeFrom="column">
              <wp:posOffset>-761365</wp:posOffset>
            </wp:positionH>
            <wp:positionV relativeFrom="paragraph">
              <wp:posOffset>342265</wp:posOffset>
            </wp:positionV>
            <wp:extent cx="133731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37310" cy="8255"/>
                    </a:xfrm>
                    <a:prstGeom prst="rect">
                      <a:avLst/>
                    </a:prstGeom>
                    <a:noFill/>
                  </pic:spPr>
                </pic:pic>
              </a:graphicData>
            </a:graphic>
          </wp:anchor>
        </w:drawing>
        <w:drawing>
          <wp:anchor simplePos="0" relativeHeight="251657728" behindDoc="1" locked="0" layoutInCell="0" allowOverlap="1">
            <wp:simplePos x="0" y="0"/>
            <wp:positionH relativeFrom="column">
              <wp:posOffset>-761365</wp:posOffset>
            </wp:positionH>
            <wp:positionV relativeFrom="paragraph">
              <wp:posOffset>50800</wp:posOffset>
            </wp:positionV>
            <wp:extent cx="133731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005A64"/>
        </w:rPr>
        <w:t>259.0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74930</wp:posOffset>
            </wp:positionV>
            <wp:extent cx="133731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005A64"/>
        </w:rPr>
        <w:t>2,473.3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49530</wp:posOffset>
            </wp:positionV>
            <wp:extent cx="133731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005A64"/>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49530</wp:posOffset>
            </wp:positionV>
            <wp:extent cx="133731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005A64"/>
        </w:rPr>
        <w:t>17,961.9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49530</wp:posOffset>
            </wp:positionV>
            <wp:extent cx="133731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005A64"/>
        </w:rPr>
        <w:t>(1,462.3)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49530</wp:posOffset>
            </wp:positionV>
            <wp:extent cx="133731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8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b w:val="1"/>
          <w:bCs w:val="1"/>
          <w:color w:val="005A64"/>
        </w:rPr>
        <w:t>19,224.2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205105</wp:posOffset>
            </wp:positionV>
            <wp:extent cx="133731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37310" cy="8255"/>
                    </a:xfrm>
                    <a:prstGeom prst="rect">
                      <a:avLst/>
                    </a:prstGeom>
                    <a:noFill/>
                  </pic:spPr>
                </pic:pic>
              </a:graphicData>
            </a:graphic>
          </wp:anchor>
        </w:drawing>
        <w:drawing>
          <wp:anchor simplePos="0" relativeHeight="251657728" behindDoc="1" locked="0" layoutInCell="0" allowOverlap="1">
            <wp:simplePos x="0" y="0"/>
            <wp:positionH relativeFrom="column">
              <wp:posOffset>-761365</wp:posOffset>
            </wp:positionH>
            <wp:positionV relativeFrom="paragraph">
              <wp:posOffset>50800</wp:posOffset>
            </wp:positionV>
            <wp:extent cx="133731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36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005A64"/>
        </w:rPr>
        <w:t>215.2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74930</wp:posOffset>
            </wp:positionV>
            <wp:extent cx="133731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5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005A64"/>
        </w:rPr>
        <w:t>94.9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74930</wp:posOffset>
            </wp:positionV>
            <wp:extent cx="133731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005A64"/>
        </w:rPr>
        <w:t>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74930</wp:posOffset>
            </wp:positionV>
            <wp:extent cx="133731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3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005A64"/>
        </w:rPr>
        <w:t>88.0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49530</wp:posOffset>
            </wp:positionV>
            <wp:extent cx="133731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8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005A64"/>
        </w:rPr>
        <w:t>104.2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49530</wp:posOffset>
            </wp:positionV>
            <wp:extent cx="133731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005A64"/>
        </w:rPr>
        <w:t>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74930</wp:posOffset>
            </wp:positionV>
            <wp:extent cx="133731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b w:val="1"/>
          <w:bCs w:val="1"/>
          <w:color w:val="005A64"/>
        </w:rPr>
        <w:t>622.1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205105</wp:posOffset>
            </wp:positionV>
            <wp:extent cx="133731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37310" cy="8255"/>
                    </a:xfrm>
                    <a:prstGeom prst="rect">
                      <a:avLst/>
                    </a:prstGeom>
                    <a:noFill/>
                  </pic:spPr>
                </pic:pic>
              </a:graphicData>
            </a:graphic>
          </wp:anchor>
        </w:drawing>
        <w:drawing>
          <wp:anchor simplePos="0" relativeHeight="251657728" behindDoc="1" locked="0" layoutInCell="0" allowOverlap="1">
            <wp:simplePos x="0" y="0"/>
            <wp:positionH relativeFrom="column">
              <wp:posOffset>-761365</wp:posOffset>
            </wp:positionH>
            <wp:positionV relativeFrom="paragraph">
              <wp:posOffset>50800</wp:posOffset>
            </wp:positionV>
            <wp:extent cx="133731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36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005A64"/>
        </w:rPr>
        <w:t>52.2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74930</wp:posOffset>
            </wp:positionV>
            <wp:extent cx="133731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5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005A64"/>
        </w:rPr>
        <w:t>534.9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74930</wp:posOffset>
            </wp:positionV>
            <wp:extent cx="133731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5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005A64"/>
        </w:rPr>
        <w:t>351.7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74930</wp:posOffset>
            </wp:positionV>
            <wp:extent cx="133731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5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005A64"/>
        </w:rPr>
        <w:t>65.6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74930</wp:posOffset>
            </wp:positionV>
            <wp:extent cx="133731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5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005A64"/>
        </w:rPr>
        <w:t>145.3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74930</wp:posOffset>
            </wp:positionV>
            <wp:extent cx="133731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005A64"/>
        </w:rPr>
        <w:t>754.9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49530</wp:posOffset>
            </wp:positionV>
            <wp:extent cx="133731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8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005A64"/>
        </w:rPr>
        <w:t>237.7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49530</wp:posOffset>
            </wp:positionV>
            <wp:extent cx="133731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8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b w:val="1"/>
          <w:bCs w:val="1"/>
          <w:color w:val="005A64"/>
        </w:rPr>
        <w:t>2,142.3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50800</wp:posOffset>
            </wp:positionV>
            <wp:extent cx="133731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8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b w:val="1"/>
          <w:bCs w:val="1"/>
          <w:color w:val="005A64"/>
        </w:rPr>
        <w:t>2,764.4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50800</wp:posOffset>
            </wp:positionV>
            <wp:extent cx="133731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8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b w:val="1"/>
          <w:bCs w:val="1"/>
          <w:color w:val="005A64"/>
        </w:rPr>
        <w:t>21,988.6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50800</wp:posOffset>
            </wp:positionV>
            <wp:extent cx="133731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4">
            <w:col w:w="5520" w:space="720"/>
            <w:col w:w="1180" w:space="720"/>
            <w:col w:w="1440" w:space="720"/>
            <w:col w:w="900"/>
          </w:cols>
          <w:pgMar w:left="340" w:top="358" w:right="359" w:bottom="0" w:gutter="0" w:footer="0" w:header="0"/>
        </w:sect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80509"/>
        </w:rPr>
        <w:t>The accompanying notes form an integral part of these unaudited interim condensed consolidated financial statements.</w:t>
      </w:r>
    </w:p>
    <w:p>
      <w:pPr>
        <w:sectPr>
          <w:pgSz w:w="11900" w:h="16838" w:orient="portrait"/>
          <w:cols w:equalWidth="0" w:num="1">
            <w:col w:w="11200"/>
          </w:cols>
          <w:pgMar w:left="340" w:top="358" w:right="3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tabs>
          <w:tab w:leader="none" w:pos="11060" w:val="left"/>
        </w:tabs>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r>
        <w:rPr>
          <w:sz w:val="20"/>
          <w:szCs w:val="20"/>
          <w:color w:val="auto"/>
        </w:rPr>
        <w:tab/>
      </w:r>
      <w:r>
        <w:rPr>
          <w:rFonts w:ascii="Times New Roman" w:cs="Times New Roman" w:eastAsia="Times New Roman" w:hAnsi="Times New Roman"/>
          <w:sz w:val="22"/>
          <w:szCs w:val="22"/>
          <w:b w:val="1"/>
          <w:bCs w:val="1"/>
          <w:color w:val="C3C3C3"/>
        </w:rPr>
        <w:t>3</w:t>
      </w:r>
    </w:p>
    <w:p>
      <w:pPr>
        <w:sectPr>
          <w:pgSz w:w="11900" w:h="16838" w:orient="portrait"/>
          <w:cols w:equalWidth="0" w:num="1">
            <w:col w:w="11200"/>
          </w:cols>
          <w:pgMar w:left="340" w:top="358" w:right="359" w:bottom="0" w:gutter="0" w:footer="0" w:header="0"/>
          <w:type w:val="continuous"/>
        </w:sectPr>
      </w:pPr>
    </w:p>
    <w:bookmarkStart w:id="11" w:name="page12"/>
    <w:bookmarkEnd w:id="11"/>
    <w:p>
      <w:pPr>
        <w:spacing w:after="0"/>
        <w:tabs>
          <w:tab w:leader="none" w:pos="11060" w:val="left"/>
        </w:tabs>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3C9673"/>
        </w:rPr>
        <w:drawing>
          <wp:anchor simplePos="0" relativeHeight="251657728" behindDoc="1" locked="0" layoutInCell="0" allowOverlap="1">
            <wp:simplePos x="0" y="0"/>
            <wp:positionH relativeFrom="page">
              <wp:posOffset>2016760</wp:posOffset>
            </wp:positionH>
            <wp:positionV relativeFrom="page">
              <wp:posOffset>106045</wp:posOffset>
            </wp:positionV>
            <wp:extent cx="222885" cy="685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C3C3C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20320</wp:posOffset>
            </wp:positionV>
            <wp:extent cx="222885" cy="685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Interim Condensed Consolidated Statements of Changes in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466090</wp:posOffset>
            </wp:positionV>
            <wp:extent cx="704659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0465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540" w:type="dxa"/>
            <w:vAlign w:val="bottom"/>
            <w:gridSpan w:val="6"/>
          </w:tcPr>
          <w:p>
            <w:pPr>
              <w:ind w:left="340"/>
              <w:spacing w:after="0"/>
              <w:rPr>
                <w:sz w:val="20"/>
                <w:szCs w:val="20"/>
                <w:color w:val="auto"/>
              </w:rPr>
            </w:pPr>
            <w:r>
              <w:rPr>
                <w:rFonts w:ascii="Times New Roman" w:cs="Times New Roman" w:eastAsia="Times New Roman" w:hAnsi="Times New Roman"/>
                <w:sz w:val="12"/>
                <w:szCs w:val="12"/>
                <w:b w:val="1"/>
                <w:bCs w:val="1"/>
                <w:color w:val="005A64"/>
              </w:rPr>
              <w:t>Equity attributable to equity holders of the parent</w:t>
            </w: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33"/>
        </w:trPr>
        <w:tc>
          <w:tcPr>
            <w:tcW w:w="2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180" w:type="dxa"/>
            <w:vAlign w:val="bottom"/>
            <w:tcBorders>
              <w:bottom w:val="single" w:sz="8" w:color="005A64"/>
            </w:tcBorders>
            <w:gridSpan w:val="2"/>
          </w:tcPr>
          <w:p>
            <w:pPr>
              <w:spacing w:after="0"/>
              <w:rPr>
                <w:sz w:val="2"/>
                <w:szCs w:val="2"/>
                <w:color w:val="auto"/>
              </w:rPr>
            </w:pPr>
          </w:p>
        </w:tc>
        <w:tc>
          <w:tcPr>
            <w:tcW w:w="1160" w:type="dxa"/>
            <w:vAlign w:val="bottom"/>
            <w:tcBorders>
              <w:bottom w:val="single" w:sz="8" w:color="005A64"/>
            </w:tcBorders>
            <w:gridSpan w:val="2"/>
          </w:tcPr>
          <w:p>
            <w:pPr>
              <w:spacing w:after="0"/>
              <w:rPr>
                <w:sz w:val="2"/>
                <w:szCs w:val="2"/>
                <w:color w:val="auto"/>
              </w:rPr>
            </w:pPr>
          </w:p>
        </w:tc>
        <w:tc>
          <w:tcPr>
            <w:tcW w:w="1200" w:type="dxa"/>
            <w:vAlign w:val="bottom"/>
            <w:tcBorders>
              <w:bottom w:val="single" w:sz="8" w:color="005A64"/>
            </w:tcBorders>
            <w:gridSpan w:val="2"/>
          </w:tcPr>
          <w:p>
            <w:pPr>
              <w:spacing w:after="0"/>
              <w:rPr>
                <w:sz w:val="2"/>
                <w:szCs w:val="2"/>
                <w:color w:val="auto"/>
              </w:rPr>
            </w:pPr>
          </w:p>
        </w:tc>
        <w:tc>
          <w:tcPr>
            <w:tcW w:w="1180" w:type="dxa"/>
            <w:vAlign w:val="bottom"/>
            <w:tcBorders>
              <w:bottom w:val="single" w:sz="8" w:color="005A64"/>
            </w:tcBorders>
            <w:gridSpan w:val="2"/>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r>
      <w:tr>
        <w:trPr>
          <w:trHeight w:val="257"/>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2"/>
                <w:szCs w:val="12"/>
                <w:i w:val="1"/>
                <w:iCs w:val="1"/>
                <w:color w:val="005A64"/>
              </w:rPr>
              <w:t>(in millions €)</w:t>
            </w:r>
          </w:p>
        </w:tc>
        <w:tc>
          <w:tcPr>
            <w:tcW w:w="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Note</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005A64"/>
              </w:rPr>
              <w:t>Share capital</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005A64"/>
              </w:rPr>
              <w:t>Capital reserve</w:t>
            </w: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005A64"/>
              </w:rPr>
              <w:t>Treasury shares</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Retained earnings</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005A64"/>
              </w:rPr>
              <w:t>Other reserves</w:t>
            </w: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005A64"/>
              </w:rPr>
              <w:t>Total equity</w:t>
            </w:r>
          </w:p>
        </w:tc>
      </w:tr>
      <w:tr>
        <w:trPr>
          <w:trHeight w:val="33"/>
        </w:trPr>
        <w:tc>
          <w:tcPr>
            <w:tcW w:w="2800" w:type="dxa"/>
            <w:vAlign w:val="bottom"/>
            <w:tcBorders>
              <w:bottom w:val="single" w:sz="8" w:color="005A64"/>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40" w:type="dxa"/>
            <w:vAlign w:val="bottom"/>
          </w:tcPr>
          <w:p>
            <w:pPr>
              <w:spacing w:after="0"/>
              <w:rPr>
                <w:sz w:val="2"/>
                <w:szCs w:val="2"/>
                <w:color w:val="auto"/>
              </w:rPr>
            </w:pPr>
          </w:p>
        </w:tc>
      </w:tr>
      <w:tr>
        <w:trPr>
          <w:trHeight w:val="176"/>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As of January 1, 2025</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248.6</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1,398.6</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(8.6)</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19,098.0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(1,325.5)</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19,411.1</w:t>
            </w:r>
          </w:p>
        </w:tc>
        <w:tc>
          <w:tcPr>
            <w:tcW w:w="140" w:type="dxa"/>
            <w:vAlign w:val="bottom"/>
          </w:tcPr>
          <w:p>
            <w:pPr>
              <w:spacing w:after="0"/>
              <w:rPr>
                <w:sz w:val="15"/>
                <w:szCs w:val="15"/>
                <w:color w:val="auto"/>
              </w:rPr>
            </w:pPr>
          </w:p>
        </w:tc>
      </w:tr>
      <w:tr>
        <w:trPr>
          <w:trHeight w:val="33"/>
        </w:trPr>
        <w:tc>
          <w:tcPr>
            <w:tcW w:w="2800" w:type="dxa"/>
            <w:vAlign w:val="bottom"/>
            <w:tcBorders>
              <w:bottom w:val="single" w:sz="8" w:color="005A64"/>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40" w:type="dxa"/>
            <w:vAlign w:val="bottom"/>
          </w:tcPr>
          <w:p>
            <w:pPr>
              <w:spacing w:after="0"/>
              <w:rPr>
                <w:sz w:val="2"/>
                <w:szCs w:val="2"/>
                <w:color w:val="auto"/>
              </w:rPr>
            </w:pPr>
          </w:p>
        </w:tc>
      </w:tr>
      <w:tr>
        <w:trPr>
          <w:trHeight w:val="176"/>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Net loss</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(415.8)</w:t>
            </w:r>
          </w:p>
        </w:tc>
        <w:tc>
          <w:tcPr>
            <w:tcW w:w="18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(415.8)</w:t>
            </w:r>
          </w:p>
        </w:tc>
        <w:tc>
          <w:tcPr>
            <w:tcW w:w="140" w:type="dxa"/>
            <w:vAlign w:val="bottom"/>
          </w:tcPr>
          <w:p>
            <w:pPr>
              <w:spacing w:after="0"/>
              <w:rPr>
                <w:sz w:val="15"/>
                <w:szCs w:val="15"/>
                <w:color w:val="auto"/>
              </w:rPr>
            </w:pPr>
          </w:p>
        </w:tc>
      </w:tr>
      <w:tr>
        <w:trPr>
          <w:trHeight w:val="33"/>
        </w:trPr>
        <w:tc>
          <w:tcPr>
            <w:tcW w:w="2800" w:type="dxa"/>
            <w:vAlign w:val="bottom"/>
            <w:tcBorders>
              <w:bottom w:val="single" w:sz="8" w:color="A8C7CA"/>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40" w:type="dxa"/>
            <w:vAlign w:val="bottom"/>
          </w:tcPr>
          <w:p>
            <w:pPr>
              <w:spacing w:after="0"/>
              <w:rPr>
                <w:sz w:val="2"/>
                <w:szCs w:val="2"/>
                <w:color w:val="auto"/>
              </w:rPr>
            </w:pPr>
          </w:p>
        </w:tc>
      </w:tr>
      <w:tr>
        <w:trPr>
          <w:trHeight w:val="176"/>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Other comprehensive loss</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(63.0)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(63.0)</w:t>
            </w:r>
          </w:p>
        </w:tc>
        <w:tc>
          <w:tcPr>
            <w:tcW w:w="140" w:type="dxa"/>
            <w:vAlign w:val="bottom"/>
          </w:tcPr>
          <w:p>
            <w:pPr>
              <w:spacing w:after="0"/>
              <w:rPr>
                <w:sz w:val="15"/>
                <w:szCs w:val="15"/>
                <w:color w:val="auto"/>
              </w:rPr>
            </w:pPr>
          </w:p>
        </w:tc>
      </w:tr>
      <w:tr>
        <w:trPr>
          <w:trHeight w:val="33"/>
        </w:trPr>
        <w:tc>
          <w:tcPr>
            <w:tcW w:w="2800" w:type="dxa"/>
            <w:vAlign w:val="bottom"/>
            <w:tcBorders>
              <w:bottom w:val="single" w:sz="8" w:color="A8C7CA"/>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40" w:type="dxa"/>
            <w:vAlign w:val="bottom"/>
          </w:tcPr>
          <w:p>
            <w:pPr>
              <w:spacing w:after="0"/>
              <w:rPr>
                <w:sz w:val="2"/>
                <w:szCs w:val="2"/>
                <w:color w:val="auto"/>
              </w:rPr>
            </w:pPr>
          </w:p>
        </w:tc>
      </w:tr>
      <w:tr>
        <w:trPr>
          <w:trHeight w:val="176"/>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Total comprehensive loss</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005A64"/>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(415.8)</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(63.0)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(478.8)</w:t>
            </w:r>
          </w:p>
        </w:tc>
        <w:tc>
          <w:tcPr>
            <w:tcW w:w="140" w:type="dxa"/>
            <w:vAlign w:val="bottom"/>
          </w:tcPr>
          <w:p>
            <w:pPr>
              <w:spacing w:after="0"/>
              <w:rPr>
                <w:sz w:val="15"/>
                <w:szCs w:val="15"/>
                <w:color w:val="auto"/>
              </w:rPr>
            </w:pPr>
          </w:p>
        </w:tc>
      </w:tr>
      <w:tr>
        <w:trPr>
          <w:trHeight w:val="33"/>
        </w:trPr>
        <w:tc>
          <w:tcPr>
            <w:tcW w:w="2800" w:type="dxa"/>
            <w:vAlign w:val="bottom"/>
            <w:tcBorders>
              <w:bottom w:val="single" w:sz="8" w:color="005A64"/>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40" w:type="dxa"/>
            <w:vAlign w:val="bottom"/>
          </w:tcPr>
          <w:p>
            <w:pPr>
              <w:spacing w:after="0"/>
              <w:rPr>
                <w:sz w:val="2"/>
                <w:szCs w:val="2"/>
                <w:color w:val="auto"/>
              </w:rPr>
            </w:pPr>
          </w:p>
        </w:tc>
      </w:tr>
      <w:tr>
        <w:trPr>
          <w:trHeight w:val="176"/>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Share-based payments</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48.8</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0.4</w:t>
            </w: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(54.9)</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(5.7)</w:t>
            </w:r>
          </w:p>
        </w:tc>
        <w:tc>
          <w:tcPr>
            <w:tcW w:w="140" w:type="dxa"/>
            <w:vAlign w:val="bottom"/>
          </w:tcPr>
          <w:p>
            <w:pPr>
              <w:spacing w:after="0"/>
              <w:rPr>
                <w:sz w:val="15"/>
                <w:szCs w:val="15"/>
                <w:color w:val="auto"/>
              </w:rPr>
            </w:pPr>
          </w:p>
        </w:tc>
      </w:tr>
      <w:tr>
        <w:trPr>
          <w:trHeight w:val="33"/>
        </w:trPr>
        <w:tc>
          <w:tcPr>
            <w:tcW w:w="2800" w:type="dxa"/>
            <w:vAlign w:val="bottom"/>
            <w:tcBorders>
              <w:bottom w:val="single" w:sz="8" w:color="A8C7CA"/>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40" w:type="dxa"/>
            <w:vAlign w:val="bottom"/>
          </w:tcPr>
          <w:p>
            <w:pPr>
              <w:spacing w:after="0"/>
              <w:rPr>
                <w:sz w:val="2"/>
                <w:szCs w:val="2"/>
                <w:color w:val="auto"/>
              </w:rPr>
            </w:pPr>
          </w:p>
        </w:tc>
      </w:tr>
      <w:tr>
        <w:trPr>
          <w:trHeight w:val="176"/>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As of March 31, 2025</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248.6</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1,447.4</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(8.2)</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18,682.2</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(1,443.4)</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18,926.6</w:t>
            </w:r>
          </w:p>
        </w:tc>
        <w:tc>
          <w:tcPr>
            <w:tcW w:w="140" w:type="dxa"/>
            <w:vAlign w:val="bottom"/>
          </w:tcPr>
          <w:p>
            <w:pPr>
              <w:spacing w:after="0"/>
              <w:rPr>
                <w:sz w:val="15"/>
                <w:szCs w:val="15"/>
                <w:color w:val="auto"/>
              </w:rPr>
            </w:pPr>
          </w:p>
        </w:tc>
      </w:tr>
      <w:tr>
        <w:trPr>
          <w:trHeight w:val="33"/>
        </w:trPr>
        <w:tc>
          <w:tcPr>
            <w:tcW w:w="2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2800" w:type="dxa"/>
            <w:vAlign w:val="bottom"/>
            <w:tcBorders>
              <w:top w:val="single" w:sz="8" w:color="005A64"/>
              <w:bottom w:val="single" w:sz="8" w:color="005A64"/>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Borders>
              <w:bottom w:val="single" w:sz="8" w:color="BECE33"/>
            </w:tcBorders>
          </w:tcPr>
          <w:p>
            <w:pPr>
              <w:spacing w:after="0"/>
              <w:rPr>
                <w:sz w:val="21"/>
                <w:szCs w:val="21"/>
                <w:color w:val="auto"/>
              </w:rPr>
            </w:pPr>
          </w:p>
        </w:tc>
        <w:tc>
          <w:tcPr>
            <w:tcW w:w="980" w:type="dxa"/>
            <w:vAlign w:val="bottom"/>
            <w:tcBorders>
              <w:top w:val="single" w:sz="8" w:color="005A64"/>
              <w:bottom w:val="single" w:sz="8" w:color="BECE33"/>
            </w:tcBorders>
          </w:tcPr>
          <w:p>
            <w:pPr>
              <w:spacing w:after="0"/>
              <w:rPr>
                <w:sz w:val="21"/>
                <w:szCs w:val="21"/>
                <w:color w:val="auto"/>
              </w:rPr>
            </w:pPr>
          </w:p>
        </w:tc>
        <w:tc>
          <w:tcPr>
            <w:tcW w:w="180" w:type="dxa"/>
            <w:vAlign w:val="bottom"/>
            <w:tcBorders>
              <w:bottom w:val="single" w:sz="8" w:color="BECE33"/>
            </w:tcBorders>
          </w:tcPr>
          <w:p>
            <w:pPr>
              <w:spacing w:after="0"/>
              <w:rPr>
                <w:sz w:val="21"/>
                <w:szCs w:val="21"/>
                <w:color w:val="auto"/>
              </w:rPr>
            </w:pPr>
          </w:p>
        </w:tc>
        <w:tc>
          <w:tcPr>
            <w:tcW w:w="1000" w:type="dxa"/>
            <w:vAlign w:val="bottom"/>
            <w:tcBorders>
              <w:top w:val="single" w:sz="8" w:color="005A64"/>
              <w:bottom w:val="single" w:sz="8" w:color="BECE33"/>
            </w:tcBorders>
          </w:tcPr>
          <w:p>
            <w:pPr>
              <w:spacing w:after="0"/>
              <w:rPr>
                <w:sz w:val="21"/>
                <w:szCs w:val="21"/>
                <w:color w:val="auto"/>
              </w:rPr>
            </w:pPr>
          </w:p>
        </w:tc>
        <w:tc>
          <w:tcPr>
            <w:tcW w:w="180" w:type="dxa"/>
            <w:vAlign w:val="bottom"/>
            <w:tcBorders>
              <w:bottom w:val="single" w:sz="8" w:color="BECE33"/>
            </w:tcBorders>
          </w:tcPr>
          <w:p>
            <w:pPr>
              <w:spacing w:after="0"/>
              <w:rPr>
                <w:sz w:val="21"/>
                <w:szCs w:val="21"/>
                <w:color w:val="auto"/>
              </w:rPr>
            </w:pPr>
          </w:p>
        </w:tc>
        <w:tc>
          <w:tcPr>
            <w:tcW w:w="1000" w:type="dxa"/>
            <w:vAlign w:val="bottom"/>
            <w:tcBorders>
              <w:top w:val="single" w:sz="8" w:color="005A64"/>
              <w:bottom w:val="single" w:sz="8" w:color="BECE33"/>
            </w:tcBorders>
          </w:tcPr>
          <w:p>
            <w:pPr>
              <w:spacing w:after="0"/>
              <w:rPr>
                <w:sz w:val="21"/>
                <w:szCs w:val="21"/>
                <w:color w:val="auto"/>
              </w:rPr>
            </w:pPr>
          </w:p>
        </w:tc>
        <w:tc>
          <w:tcPr>
            <w:tcW w:w="160" w:type="dxa"/>
            <w:vAlign w:val="bottom"/>
            <w:tcBorders>
              <w:bottom w:val="single" w:sz="8" w:color="BECE33"/>
            </w:tcBorders>
          </w:tcPr>
          <w:p>
            <w:pPr>
              <w:spacing w:after="0"/>
              <w:rPr>
                <w:sz w:val="21"/>
                <w:szCs w:val="21"/>
                <w:color w:val="auto"/>
              </w:rPr>
            </w:pPr>
          </w:p>
        </w:tc>
        <w:tc>
          <w:tcPr>
            <w:tcW w:w="1020" w:type="dxa"/>
            <w:vAlign w:val="bottom"/>
            <w:tcBorders>
              <w:top w:val="single" w:sz="8" w:color="005A64"/>
              <w:bottom w:val="single" w:sz="8" w:color="BECE33"/>
            </w:tcBorders>
          </w:tcPr>
          <w:p>
            <w:pPr>
              <w:spacing w:after="0"/>
              <w:rPr>
                <w:sz w:val="21"/>
                <w:szCs w:val="21"/>
                <w:color w:val="auto"/>
              </w:rPr>
            </w:pPr>
          </w:p>
        </w:tc>
        <w:tc>
          <w:tcPr>
            <w:tcW w:w="180" w:type="dxa"/>
            <w:vAlign w:val="bottom"/>
            <w:tcBorders>
              <w:bottom w:val="single" w:sz="8" w:color="BECE33"/>
            </w:tcBorders>
          </w:tcPr>
          <w:p>
            <w:pPr>
              <w:spacing w:after="0"/>
              <w:rPr>
                <w:sz w:val="21"/>
                <w:szCs w:val="21"/>
                <w:color w:val="auto"/>
              </w:rPr>
            </w:pPr>
          </w:p>
        </w:tc>
        <w:tc>
          <w:tcPr>
            <w:tcW w:w="1000" w:type="dxa"/>
            <w:vAlign w:val="bottom"/>
            <w:tcBorders>
              <w:top w:val="single" w:sz="8" w:color="005A64"/>
              <w:bottom w:val="single" w:sz="8" w:color="BECE33"/>
            </w:tcBorders>
          </w:tcPr>
          <w:p>
            <w:pPr>
              <w:spacing w:after="0"/>
              <w:rPr>
                <w:sz w:val="21"/>
                <w:szCs w:val="21"/>
                <w:color w:val="auto"/>
              </w:rPr>
            </w:pPr>
          </w:p>
        </w:tc>
        <w:tc>
          <w:tcPr>
            <w:tcW w:w="180" w:type="dxa"/>
            <w:vAlign w:val="bottom"/>
            <w:tcBorders>
              <w:bottom w:val="single" w:sz="8" w:color="BECE33"/>
            </w:tcBorders>
          </w:tcPr>
          <w:p>
            <w:pPr>
              <w:spacing w:after="0"/>
              <w:rPr>
                <w:sz w:val="21"/>
                <w:szCs w:val="21"/>
                <w:color w:val="auto"/>
              </w:rPr>
            </w:pPr>
          </w:p>
        </w:tc>
        <w:tc>
          <w:tcPr>
            <w:tcW w:w="1020" w:type="dxa"/>
            <w:vAlign w:val="bottom"/>
            <w:tcBorders>
              <w:top w:val="single" w:sz="8" w:color="005A64"/>
              <w:bottom w:val="single" w:sz="8" w:color="BECE33"/>
            </w:tcBorders>
          </w:tcPr>
          <w:p>
            <w:pPr>
              <w:spacing w:after="0"/>
              <w:rPr>
                <w:sz w:val="21"/>
                <w:szCs w:val="21"/>
                <w:color w:val="auto"/>
              </w:rPr>
            </w:pPr>
          </w:p>
        </w:tc>
        <w:tc>
          <w:tcPr>
            <w:tcW w:w="180" w:type="dxa"/>
            <w:vAlign w:val="bottom"/>
            <w:tcBorders>
              <w:bottom w:val="single" w:sz="8" w:color="BECE33"/>
            </w:tcBorders>
          </w:tcPr>
          <w:p>
            <w:pPr>
              <w:spacing w:after="0"/>
              <w:rPr>
                <w:sz w:val="21"/>
                <w:szCs w:val="21"/>
                <w:color w:val="auto"/>
              </w:rPr>
            </w:pPr>
          </w:p>
        </w:tc>
        <w:tc>
          <w:tcPr>
            <w:tcW w:w="1000" w:type="dxa"/>
            <w:vAlign w:val="bottom"/>
            <w:tcBorders>
              <w:top w:val="single" w:sz="8" w:color="005A64"/>
              <w:bottom w:val="single" w:sz="8" w:color="BECE33"/>
            </w:tcBorders>
          </w:tcPr>
          <w:p>
            <w:pPr>
              <w:spacing w:after="0"/>
              <w:rPr>
                <w:sz w:val="21"/>
                <w:szCs w:val="21"/>
                <w:color w:val="auto"/>
              </w:rPr>
            </w:pPr>
          </w:p>
        </w:tc>
        <w:tc>
          <w:tcPr>
            <w:tcW w:w="140" w:type="dxa"/>
            <w:vAlign w:val="bottom"/>
            <w:tcBorders>
              <w:bottom w:val="single" w:sz="8" w:color="BECE33"/>
            </w:tcBorders>
          </w:tcPr>
          <w:p>
            <w:pPr>
              <w:spacing w:after="0"/>
              <w:rPr>
                <w:sz w:val="21"/>
                <w:szCs w:val="21"/>
                <w:color w:val="auto"/>
              </w:rPr>
            </w:pPr>
          </w:p>
        </w:tc>
      </w:tr>
      <w:tr>
        <w:trPr>
          <w:trHeight w:val="176"/>
        </w:trPr>
        <w:tc>
          <w:tcPr>
            <w:tcW w:w="29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As of January 1, 2026</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259.0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2,473.3</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(7.7)</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17,961.9</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(1,462.3)</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19,224.2</w:t>
            </w:r>
          </w:p>
        </w:tc>
        <w:tc>
          <w:tcPr>
            <w:tcW w:w="140" w:type="dxa"/>
            <w:vAlign w:val="bottom"/>
            <w:tcBorders>
              <w:right w:val="single" w:sz="8" w:color="BECE33"/>
            </w:tcBorders>
          </w:tcPr>
          <w:p>
            <w:pPr>
              <w:spacing w:after="0"/>
              <w:rPr>
                <w:sz w:val="15"/>
                <w:szCs w:val="15"/>
                <w:color w:val="auto"/>
              </w:rPr>
            </w:pPr>
          </w:p>
        </w:tc>
      </w:tr>
      <w:tr>
        <w:trPr>
          <w:trHeight w:val="33"/>
        </w:trPr>
        <w:tc>
          <w:tcPr>
            <w:tcW w:w="2800" w:type="dxa"/>
            <w:vAlign w:val="bottom"/>
            <w:tcBorders>
              <w:bottom w:val="single" w:sz="8" w:color="005A64"/>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r>
      <w:tr>
        <w:trPr>
          <w:trHeight w:val="176"/>
        </w:trPr>
        <w:tc>
          <w:tcPr>
            <w:tcW w:w="29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Net loss</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(531.9)</w:t>
            </w:r>
          </w:p>
        </w:tc>
        <w:tc>
          <w:tcPr>
            <w:tcW w:w="18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(531.9)</w:t>
            </w:r>
          </w:p>
        </w:tc>
        <w:tc>
          <w:tcPr>
            <w:tcW w:w="140" w:type="dxa"/>
            <w:vAlign w:val="bottom"/>
            <w:tcBorders>
              <w:right w:val="single" w:sz="8" w:color="BECE33"/>
            </w:tcBorders>
          </w:tcPr>
          <w:p>
            <w:pPr>
              <w:spacing w:after="0"/>
              <w:rPr>
                <w:sz w:val="15"/>
                <w:szCs w:val="15"/>
                <w:color w:val="auto"/>
              </w:rPr>
            </w:pPr>
          </w:p>
        </w:tc>
      </w:tr>
      <w:tr>
        <w:trPr>
          <w:trHeight w:val="33"/>
        </w:trPr>
        <w:tc>
          <w:tcPr>
            <w:tcW w:w="2800" w:type="dxa"/>
            <w:vAlign w:val="bottom"/>
            <w:tcBorders>
              <w:bottom w:val="single" w:sz="8" w:color="A8C7CA"/>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r>
      <w:tr>
        <w:trPr>
          <w:trHeight w:val="176"/>
        </w:trPr>
        <w:tc>
          <w:tcPr>
            <w:tcW w:w="29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Other comprehensive loss</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(5.0)</w:t>
            </w:r>
          </w:p>
        </w:tc>
        <w:tc>
          <w:tcPr>
            <w:tcW w:w="140" w:type="dxa"/>
            <w:vAlign w:val="bottom"/>
            <w:tcBorders>
              <w:right w:val="single" w:sz="8" w:color="BECE33"/>
            </w:tcBorders>
          </w:tcPr>
          <w:p>
            <w:pPr>
              <w:spacing w:after="0"/>
              <w:rPr>
                <w:sz w:val="15"/>
                <w:szCs w:val="15"/>
                <w:color w:val="auto"/>
              </w:rPr>
            </w:pPr>
          </w:p>
        </w:tc>
      </w:tr>
      <w:tr>
        <w:trPr>
          <w:trHeight w:val="33"/>
        </w:trPr>
        <w:tc>
          <w:tcPr>
            <w:tcW w:w="2800" w:type="dxa"/>
            <w:vAlign w:val="bottom"/>
            <w:tcBorders>
              <w:bottom w:val="single" w:sz="8" w:color="A8C7CA"/>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r>
      <w:tr>
        <w:trPr>
          <w:trHeight w:val="176"/>
        </w:trPr>
        <w:tc>
          <w:tcPr>
            <w:tcW w:w="29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Total comprehensive loss</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005A64"/>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(531.9)</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(5.0)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(536.9)</w:t>
            </w:r>
          </w:p>
        </w:tc>
        <w:tc>
          <w:tcPr>
            <w:tcW w:w="140" w:type="dxa"/>
            <w:vAlign w:val="bottom"/>
            <w:tcBorders>
              <w:right w:val="single" w:sz="8" w:color="BECE33"/>
            </w:tcBorders>
          </w:tcPr>
          <w:p>
            <w:pPr>
              <w:spacing w:after="0"/>
              <w:rPr>
                <w:sz w:val="15"/>
                <w:szCs w:val="15"/>
                <w:color w:val="auto"/>
              </w:rPr>
            </w:pPr>
          </w:p>
        </w:tc>
      </w:tr>
      <w:tr>
        <w:trPr>
          <w:trHeight w:val="33"/>
        </w:trPr>
        <w:tc>
          <w:tcPr>
            <w:tcW w:w="2800" w:type="dxa"/>
            <w:vAlign w:val="bottom"/>
            <w:tcBorders>
              <w:bottom w:val="single" w:sz="8" w:color="005A64"/>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r>
      <w:tr>
        <w:trPr>
          <w:trHeight w:val="203"/>
        </w:trPr>
        <w:tc>
          <w:tcPr>
            <w:tcW w:w="29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Issuance of share capital, net of transaction costs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8</w:t>
            </w:r>
          </w:p>
        </w:tc>
        <w:tc>
          <w:tcPr>
            <w:tcW w:w="18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127.0</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1.6</w:t>
            </w:r>
          </w:p>
        </w:tc>
        <w:tc>
          <w:tcPr>
            <w:tcW w:w="18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128.6</w:t>
            </w:r>
          </w:p>
        </w:tc>
        <w:tc>
          <w:tcPr>
            <w:tcW w:w="140" w:type="dxa"/>
            <w:vAlign w:val="bottom"/>
            <w:tcBorders>
              <w:right w:val="single" w:sz="8" w:color="BECE33"/>
            </w:tcBorders>
          </w:tcPr>
          <w:p>
            <w:pPr>
              <w:spacing w:after="0"/>
              <w:rPr>
                <w:sz w:val="17"/>
                <w:szCs w:val="17"/>
                <w:color w:val="auto"/>
              </w:rPr>
            </w:pPr>
          </w:p>
        </w:tc>
      </w:tr>
      <w:tr>
        <w:trPr>
          <w:trHeight w:val="74"/>
        </w:trPr>
        <w:tc>
          <w:tcPr>
            <w:tcW w:w="2800" w:type="dxa"/>
            <w:vAlign w:val="bottom"/>
            <w:tcBorders>
              <w:bottom w:val="single" w:sz="8" w:color="A8C7CA"/>
            </w:tcBorders>
          </w:tcPr>
          <w:p>
            <w:pPr>
              <w:spacing w:after="0"/>
              <w:rPr>
                <w:sz w:val="6"/>
                <w:szCs w:val="6"/>
                <w:color w:val="auto"/>
              </w:rPr>
            </w:pPr>
          </w:p>
        </w:tc>
        <w:tc>
          <w:tcPr>
            <w:tcW w:w="140" w:type="dxa"/>
            <w:vAlign w:val="bottom"/>
            <w:tcBorders>
              <w:right w:val="single" w:sz="8" w:color="BECE33"/>
            </w:tcBorders>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Borders>
              <w:bottom w:val="single" w:sz="8" w:color="A8C7CA"/>
            </w:tcBorders>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Borders>
              <w:bottom w:val="single" w:sz="8" w:color="A8C7CA"/>
            </w:tcBorders>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Borders>
              <w:bottom w:val="single" w:sz="8" w:color="A8C7CA"/>
            </w:tcBorders>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Borders>
              <w:bottom w:val="single" w:sz="8" w:color="A8C7CA"/>
            </w:tcBorders>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Borders>
              <w:bottom w:val="single" w:sz="8" w:color="A8C7CA"/>
            </w:tcBorders>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Borders>
              <w:bottom w:val="single" w:sz="8" w:color="A8C7CA"/>
            </w:tcBorders>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Borders>
              <w:bottom w:val="single" w:sz="8" w:color="A8C7CA"/>
            </w:tcBorders>
          </w:tcPr>
          <w:p>
            <w:pPr>
              <w:spacing w:after="0"/>
              <w:rPr>
                <w:sz w:val="6"/>
                <w:szCs w:val="6"/>
                <w:color w:val="auto"/>
              </w:rPr>
            </w:pPr>
          </w:p>
        </w:tc>
        <w:tc>
          <w:tcPr>
            <w:tcW w:w="140" w:type="dxa"/>
            <w:vAlign w:val="bottom"/>
            <w:tcBorders>
              <w:right w:val="single" w:sz="8" w:color="BECE33"/>
            </w:tcBorders>
          </w:tcPr>
          <w:p>
            <w:pPr>
              <w:spacing w:after="0"/>
              <w:rPr>
                <w:sz w:val="6"/>
                <w:szCs w:val="6"/>
                <w:color w:val="auto"/>
              </w:rPr>
            </w:pPr>
          </w:p>
        </w:tc>
      </w:tr>
      <w:tr>
        <w:trPr>
          <w:trHeight w:val="176"/>
        </w:trPr>
        <w:tc>
          <w:tcPr>
            <w:tcW w:w="29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Obligation to issue share capital</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(132.6)</w:t>
            </w:r>
          </w:p>
        </w:tc>
        <w:tc>
          <w:tcPr>
            <w:tcW w:w="16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(132.6)</w:t>
            </w:r>
          </w:p>
        </w:tc>
        <w:tc>
          <w:tcPr>
            <w:tcW w:w="140" w:type="dxa"/>
            <w:vAlign w:val="bottom"/>
            <w:tcBorders>
              <w:right w:val="single" w:sz="8" w:color="BECE33"/>
            </w:tcBorders>
          </w:tcPr>
          <w:p>
            <w:pPr>
              <w:spacing w:after="0"/>
              <w:rPr>
                <w:sz w:val="15"/>
                <w:szCs w:val="15"/>
                <w:color w:val="auto"/>
              </w:rPr>
            </w:pPr>
          </w:p>
        </w:tc>
      </w:tr>
      <w:tr>
        <w:trPr>
          <w:trHeight w:val="33"/>
        </w:trPr>
        <w:tc>
          <w:tcPr>
            <w:tcW w:w="2800" w:type="dxa"/>
            <w:vAlign w:val="bottom"/>
            <w:tcBorders>
              <w:bottom w:val="single" w:sz="8" w:color="A8C7CA"/>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r>
      <w:tr>
        <w:trPr>
          <w:trHeight w:val="176"/>
        </w:trPr>
        <w:tc>
          <w:tcPr>
            <w:tcW w:w="29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Share-based payments</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0.5</w:t>
            </w:r>
          </w:p>
        </w:tc>
        <w:tc>
          <w:tcPr>
            <w:tcW w:w="16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14.0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14.5</w:t>
            </w:r>
          </w:p>
        </w:tc>
        <w:tc>
          <w:tcPr>
            <w:tcW w:w="140" w:type="dxa"/>
            <w:vAlign w:val="bottom"/>
            <w:tcBorders>
              <w:right w:val="single" w:sz="8" w:color="BECE33"/>
            </w:tcBorders>
          </w:tcPr>
          <w:p>
            <w:pPr>
              <w:spacing w:after="0"/>
              <w:rPr>
                <w:sz w:val="15"/>
                <w:szCs w:val="15"/>
                <w:color w:val="auto"/>
              </w:rPr>
            </w:pPr>
          </w:p>
        </w:tc>
      </w:tr>
      <w:tr>
        <w:trPr>
          <w:trHeight w:val="33"/>
        </w:trPr>
        <w:tc>
          <w:tcPr>
            <w:tcW w:w="2800" w:type="dxa"/>
            <w:vAlign w:val="bottom"/>
            <w:tcBorders>
              <w:bottom w:val="single" w:sz="8" w:color="A8C7CA"/>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r>
      <w:tr>
        <w:trPr>
          <w:trHeight w:val="176"/>
        </w:trPr>
        <w:tc>
          <w:tcPr>
            <w:tcW w:w="29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As of March 31, 2026</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259.0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2,468.2</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(6.1)</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17,430.0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(1,453.3)</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18,697.8</w:t>
            </w:r>
          </w:p>
        </w:tc>
        <w:tc>
          <w:tcPr>
            <w:tcW w:w="140" w:type="dxa"/>
            <w:vAlign w:val="bottom"/>
            <w:tcBorders>
              <w:right w:val="single" w:sz="8" w:color="BECE33"/>
            </w:tcBorders>
          </w:tcPr>
          <w:p>
            <w:pPr>
              <w:spacing w:after="0"/>
              <w:rPr>
                <w:sz w:val="15"/>
                <w:szCs w:val="15"/>
                <w:color w:val="auto"/>
              </w:rPr>
            </w:pPr>
          </w:p>
        </w:tc>
      </w:tr>
      <w:tr>
        <w:trPr>
          <w:trHeight w:val="33"/>
        </w:trPr>
        <w:tc>
          <w:tcPr>
            <w:tcW w:w="2800" w:type="dxa"/>
            <w:vAlign w:val="bottom"/>
            <w:tcBorders>
              <w:bottom w:val="single" w:sz="8" w:color="005A64"/>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80" w:type="dxa"/>
            <w:vAlign w:val="bottom"/>
            <w:tcBorders>
              <w:bottom w:val="single" w:sz="8" w:color="BECE33"/>
            </w:tcBorders>
          </w:tcPr>
          <w:p>
            <w:pPr>
              <w:spacing w:after="0"/>
              <w:rPr>
                <w:sz w:val="2"/>
                <w:szCs w:val="2"/>
                <w:color w:val="auto"/>
              </w:rPr>
            </w:pPr>
          </w:p>
        </w:tc>
        <w:tc>
          <w:tcPr>
            <w:tcW w:w="980" w:type="dxa"/>
            <w:vAlign w:val="bottom"/>
            <w:tcBorders>
              <w:bottom w:val="single" w:sz="8" w:color="BECE33"/>
            </w:tcBorders>
          </w:tcPr>
          <w:p>
            <w:pPr>
              <w:spacing w:after="0"/>
              <w:rPr>
                <w:sz w:val="2"/>
                <w:szCs w:val="2"/>
                <w:color w:val="auto"/>
              </w:rPr>
            </w:pPr>
          </w:p>
        </w:tc>
        <w:tc>
          <w:tcPr>
            <w:tcW w:w="180" w:type="dxa"/>
            <w:vAlign w:val="bottom"/>
            <w:tcBorders>
              <w:bottom w:val="single" w:sz="8" w:color="BECE33"/>
            </w:tcBorders>
          </w:tcPr>
          <w:p>
            <w:pPr>
              <w:spacing w:after="0"/>
              <w:rPr>
                <w:sz w:val="2"/>
                <w:szCs w:val="2"/>
                <w:color w:val="auto"/>
              </w:rPr>
            </w:pPr>
          </w:p>
        </w:tc>
        <w:tc>
          <w:tcPr>
            <w:tcW w:w="1000" w:type="dxa"/>
            <w:vAlign w:val="bottom"/>
            <w:tcBorders>
              <w:bottom w:val="single" w:sz="8" w:color="BECE33"/>
            </w:tcBorders>
          </w:tcPr>
          <w:p>
            <w:pPr>
              <w:spacing w:after="0"/>
              <w:rPr>
                <w:sz w:val="2"/>
                <w:szCs w:val="2"/>
                <w:color w:val="auto"/>
              </w:rPr>
            </w:pPr>
          </w:p>
        </w:tc>
        <w:tc>
          <w:tcPr>
            <w:tcW w:w="180" w:type="dxa"/>
            <w:vAlign w:val="bottom"/>
            <w:tcBorders>
              <w:bottom w:val="single" w:sz="8" w:color="BECE33"/>
            </w:tcBorders>
          </w:tcPr>
          <w:p>
            <w:pPr>
              <w:spacing w:after="0"/>
              <w:rPr>
                <w:sz w:val="2"/>
                <w:szCs w:val="2"/>
                <w:color w:val="auto"/>
              </w:rPr>
            </w:pPr>
          </w:p>
        </w:tc>
        <w:tc>
          <w:tcPr>
            <w:tcW w:w="1000" w:type="dxa"/>
            <w:vAlign w:val="bottom"/>
            <w:tcBorders>
              <w:bottom w:val="single" w:sz="8" w:color="BECE33"/>
            </w:tcBorders>
          </w:tcPr>
          <w:p>
            <w:pPr>
              <w:spacing w:after="0"/>
              <w:rPr>
                <w:sz w:val="2"/>
                <w:szCs w:val="2"/>
                <w:color w:val="auto"/>
              </w:rPr>
            </w:pPr>
          </w:p>
        </w:tc>
        <w:tc>
          <w:tcPr>
            <w:tcW w:w="160" w:type="dxa"/>
            <w:vAlign w:val="bottom"/>
            <w:tcBorders>
              <w:bottom w:val="single" w:sz="8" w:color="BECE33"/>
            </w:tcBorders>
          </w:tcPr>
          <w:p>
            <w:pPr>
              <w:spacing w:after="0"/>
              <w:rPr>
                <w:sz w:val="2"/>
                <w:szCs w:val="2"/>
                <w:color w:val="auto"/>
              </w:rPr>
            </w:pPr>
          </w:p>
        </w:tc>
        <w:tc>
          <w:tcPr>
            <w:tcW w:w="1020" w:type="dxa"/>
            <w:vAlign w:val="bottom"/>
            <w:tcBorders>
              <w:bottom w:val="single" w:sz="8" w:color="BECE33"/>
            </w:tcBorders>
          </w:tcPr>
          <w:p>
            <w:pPr>
              <w:spacing w:after="0"/>
              <w:rPr>
                <w:sz w:val="2"/>
                <w:szCs w:val="2"/>
                <w:color w:val="auto"/>
              </w:rPr>
            </w:pPr>
          </w:p>
        </w:tc>
        <w:tc>
          <w:tcPr>
            <w:tcW w:w="180" w:type="dxa"/>
            <w:vAlign w:val="bottom"/>
            <w:tcBorders>
              <w:bottom w:val="single" w:sz="8" w:color="BECE33"/>
            </w:tcBorders>
          </w:tcPr>
          <w:p>
            <w:pPr>
              <w:spacing w:after="0"/>
              <w:rPr>
                <w:sz w:val="2"/>
                <w:szCs w:val="2"/>
                <w:color w:val="auto"/>
              </w:rPr>
            </w:pPr>
          </w:p>
        </w:tc>
        <w:tc>
          <w:tcPr>
            <w:tcW w:w="1000" w:type="dxa"/>
            <w:vAlign w:val="bottom"/>
            <w:tcBorders>
              <w:bottom w:val="single" w:sz="8" w:color="BECE33"/>
            </w:tcBorders>
          </w:tcPr>
          <w:p>
            <w:pPr>
              <w:spacing w:after="0"/>
              <w:rPr>
                <w:sz w:val="2"/>
                <w:szCs w:val="2"/>
                <w:color w:val="auto"/>
              </w:rPr>
            </w:pPr>
          </w:p>
        </w:tc>
        <w:tc>
          <w:tcPr>
            <w:tcW w:w="180" w:type="dxa"/>
            <w:vAlign w:val="bottom"/>
            <w:tcBorders>
              <w:bottom w:val="single" w:sz="8" w:color="BECE33"/>
            </w:tcBorders>
          </w:tcPr>
          <w:p>
            <w:pPr>
              <w:spacing w:after="0"/>
              <w:rPr>
                <w:sz w:val="2"/>
                <w:szCs w:val="2"/>
                <w:color w:val="auto"/>
              </w:rPr>
            </w:pPr>
          </w:p>
        </w:tc>
        <w:tc>
          <w:tcPr>
            <w:tcW w:w="1020" w:type="dxa"/>
            <w:vAlign w:val="bottom"/>
            <w:tcBorders>
              <w:bottom w:val="single" w:sz="8" w:color="BECE33"/>
            </w:tcBorders>
          </w:tcPr>
          <w:p>
            <w:pPr>
              <w:spacing w:after="0"/>
              <w:rPr>
                <w:sz w:val="2"/>
                <w:szCs w:val="2"/>
                <w:color w:val="auto"/>
              </w:rPr>
            </w:pPr>
          </w:p>
        </w:tc>
        <w:tc>
          <w:tcPr>
            <w:tcW w:w="180" w:type="dxa"/>
            <w:vAlign w:val="bottom"/>
            <w:tcBorders>
              <w:bottom w:val="single" w:sz="8" w:color="BECE33"/>
            </w:tcBorders>
          </w:tcPr>
          <w:p>
            <w:pPr>
              <w:spacing w:after="0"/>
              <w:rPr>
                <w:sz w:val="2"/>
                <w:szCs w:val="2"/>
                <w:color w:val="auto"/>
              </w:rPr>
            </w:pPr>
          </w:p>
        </w:tc>
        <w:tc>
          <w:tcPr>
            <w:tcW w:w="1000" w:type="dxa"/>
            <w:vAlign w:val="bottom"/>
            <w:tcBorders>
              <w:bottom w:val="single" w:sz="8" w:color="BECE33"/>
            </w:tcBorders>
          </w:tcPr>
          <w:p>
            <w:pPr>
              <w:spacing w:after="0"/>
              <w:rPr>
                <w:sz w:val="2"/>
                <w:szCs w:val="2"/>
                <w:color w:val="auto"/>
              </w:rPr>
            </w:pPr>
          </w:p>
        </w:tc>
        <w:tc>
          <w:tcPr>
            <w:tcW w:w="140" w:type="dxa"/>
            <w:vAlign w:val="bottom"/>
            <w:tcBorders>
              <w:bottom w:val="single" w:sz="8" w:color="BECE33"/>
              <w:right w:val="single" w:sz="8" w:color="BECE33"/>
            </w:tcBorders>
          </w:tcPr>
          <w:p>
            <w:pPr>
              <w:spacing w:after="0"/>
              <w:rPr>
                <w:sz w:val="2"/>
                <w:szCs w:val="2"/>
                <w:color w:val="auto"/>
              </w:rPr>
            </w:pPr>
          </w:p>
        </w:tc>
      </w:tr>
    </w:tbl>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80509"/>
        </w:rPr>
        <w:t>The accompanying notes form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3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w:t>
            </w:r>
          </w:p>
        </w:tc>
      </w:tr>
    </w:tbl>
    <w:p>
      <w:pPr>
        <w:sectPr>
          <w:pgSz w:w="11900" w:h="16838" w:orient="portrait"/>
          <w:cols w:equalWidth="0" w:num="1">
            <w:col w:w="11220"/>
          </w:cols>
          <w:pgMar w:left="320" w:top="388" w:right="359" w:bottom="1440" w:gutter="0" w:footer="0" w:header="0"/>
        </w:sectPr>
      </w:pPr>
    </w:p>
    <w:bookmarkStart w:id="13" w:name="page14"/>
    <w:bookmarkEnd w:id="1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3C9673"/>
        </w:rPr>
        <w:drawing>
          <wp:anchor simplePos="0" relativeHeight="251657728" behindDoc="1" locked="0" layoutInCell="0" allowOverlap="1">
            <wp:simplePos x="0" y="0"/>
            <wp:positionH relativeFrom="page">
              <wp:posOffset>2016760</wp:posOffset>
            </wp:positionH>
            <wp:positionV relativeFrom="page">
              <wp:posOffset>106045</wp:posOffset>
            </wp:positionV>
            <wp:extent cx="222885" cy="685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C3C3C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20320</wp:posOffset>
            </wp:positionV>
            <wp:extent cx="222885" cy="685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Interim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11517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20"/>
          </w:cols>
          <w:pgMar w:left="320" w:top="38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43891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389120" cy="8890"/>
                    </a:xfrm>
                    <a:prstGeom prst="rect">
                      <a:avLst/>
                    </a:prstGeom>
                    <a:noFill/>
                  </pic:spPr>
                </pic:pic>
              </a:graphicData>
            </a:graphic>
          </wp:anchor>
        </w:drawing>
      </w:r>
    </w:p>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3C9673"/>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43891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89120" cy="8890"/>
                    </a:xfrm>
                    <a:prstGeom prst="rect">
                      <a:avLst/>
                    </a:prstGeom>
                    <a:noFill/>
                  </pic:spPr>
                </pic:pic>
              </a:graphicData>
            </a:graphic>
          </wp:anchor>
        </w:drawing>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005A64"/>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3891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005A64"/>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43891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005A64"/>
        </w:rPr>
        <w:t>Loss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43891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389120" cy="8890"/>
                    </a:xfrm>
                    <a:prstGeom prst="rect">
                      <a:avLst/>
                    </a:prstGeom>
                    <a:noFill/>
                  </pic:spPr>
                </pic:pic>
              </a:graphicData>
            </a:graphic>
          </wp:anchor>
        </w:drawing>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3C9673"/>
        </w:rPr>
        <w:t>Adjustments to reconcile loss before tax to net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43891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389120" cy="8890"/>
                    </a:xfrm>
                    <a:prstGeom prst="rect">
                      <a:avLst/>
                    </a:prstGeom>
                    <a:noFill/>
                  </pic:spPr>
                </pic:pic>
              </a:graphicData>
            </a:graphic>
          </wp:anchor>
        </w:drawing>
      </w:r>
    </w:p>
    <w:p>
      <w:pPr>
        <w:spacing w:after="0" w:line="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005A64"/>
        </w:rPr>
        <w:t>Depreciation, amortization and impairment of property, plant, equipment, intangible assets and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3891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005A64"/>
        </w:rPr>
        <w:t>Share-based payment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3891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005A64"/>
        </w:rPr>
        <w:t>Net foreign exchange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3891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005A64"/>
        </w:rPr>
        <w:t>Gain on disposal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3891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005A64"/>
        </w:rPr>
        <w:t>Finance income excluding foreign exchange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43891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389120" cy="8890"/>
                    </a:xfrm>
                    <a:prstGeom prst="rect">
                      <a:avLst/>
                    </a:prstGeom>
                    <a:noFill/>
                  </pic:spPr>
                </pic:pic>
              </a:graphicData>
            </a:graphic>
          </wp:anchor>
        </w:drawing>
      </w:r>
    </w:p>
    <w:p>
      <w:pPr>
        <w:spacing w:after="0" w:line="1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005A64"/>
        </w:rPr>
        <w:t>Finance expense excluding foreign exchange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43891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1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005A64"/>
        </w:rPr>
        <w:t>Government and similar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43891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1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005A64"/>
        </w:rPr>
        <w:t>Other non-cash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43891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3C9673"/>
        </w:rPr>
        <w:t>Working capital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43891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005A64"/>
        </w:rPr>
        <w:t>Decrease in trade and other receivables, contract assets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3891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005A64"/>
        </w:rPr>
        <w:t>Decrease in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3891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389120" cy="8890"/>
                    </a:xfrm>
                    <a:prstGeom prst="rect">
                      <a:avLst/>
                    </a:prstGeom>
                    <a:noFill/>
                  </pic:spPr>
                </pic:pic>
              </a:graphicData>
            </a:graphic>
          </wp:anchor>
        </w:drawing>
      </w:r>
    </w:p>
    <w:p>
      <w:pPr>
        <w:spacing w:after="0" w:line="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005A64"/>
        </w:rPr>
        <w:t>Decrease in trade payables, other financial liabilities, other liabilities, contract liabilities, refund liabilities and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3891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389120" cy="8890"/>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005A64"/>
        </w:rPr>
        <w:t>Interest received and realized gains from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3891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005A64"/>
        </w:rPr>
        <w:t>Interest paid and realized losses from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3891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005A64"/>
        </w:rPr>
        <w:t>Income tax paid,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3891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389120" cy="8890"/>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005A64"/>
        </w:rPr>
        <w:t>Share-based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3891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389120" cy="8890"/>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005A64"/>
        </w:rPr>
        <w:t>Government and similar grants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3891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005A64"/>
        </w:rPr>
        <w:t>Net cash flows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43891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3C9673"/>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43891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005A64"/>
        </w:rPr>
        <w:t>Purchase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3891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389120" cy="8890"/>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005A64"/>
        </w:rPr>
        <w:t>Proceeds from sale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3891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389120" cy="8890"/>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005A64"/>
        </w:rPr>
        <w:t>Purchase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3891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005A64"/>
        </w:rPr>
        <w:t>Acquisition of subsidiaries and businesses,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3891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005A64"/>
        </w:rPr>
        <w:t>Investment in other 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3891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389120" cy="8890"/>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005A64"/>
        </w:rPr>
        <w:t>Proceeds from maturity of other 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3891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389120" cy="889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005A64"/>
        </w:rPr>
        <w:t>Net 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43891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3C9673"/>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43891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005A64"/>
        </w:rPr>
        <w:t>Proceeds from loans and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3891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005A64"/>
        </w:rPr>
        <w:t>Repayment of loans and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3891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389120" cy="8890"/>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005A64"/>
        </w:rPr>
        <w:t>Payments related to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3891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389120" cy="889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005A64"/>
        </w:rPr>
        <w:t>Net cash flows from /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43891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389120" cy="8890"/>
                    </a:xfrm>
                    <a:prstGeom prst="rect">
                      <a:avLst/>
                    </a:prstGeom>
                    <a:noFill/>
                  </pic:spPr>
                </pic:pic>
              </a:graphicData>
            </a:graphic>
          </wp:anchor>
        </w:drawing>
      </w: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005A64"/>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3891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389120" cy="8890"/>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005A64"/>
        </w:rPr>
        <w:t>Change in cash and cash equivalents resulting from exchange rate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3891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389120" cy="8890"/>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005A64"/>
        </w:rPr>
        <w:t>Change in cash and cash equivalents resulting from other valuation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3891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389120" cy="8890"/>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005A64"/>
        </w:rPr>
        <w:t>Cash and cash equivalents at the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3891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389120" cy="889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005A64"/>
        </w:rPr>
        <w:t>Cash and cash equivalents 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43891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389120" cy="889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107072"/>
        </w:rPr>
        <w:t>Certain prior period lines were aggregated to conform to current period presentation.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005A64"/>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347345</wp:posOffset>
            </wp:positionV>
            <wp:extent cx="57404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201930</wp:posOffset>
            </wp:positionV>
            <wp:extent cx="57404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74040" cy="8890"/>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73025</wp:posOffset>
            </wp:positionV>
            <wp:extent cx="57404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005A64"/>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929005</wp:posOffset>
            </wp:positionV>
            <wp:extent cx="57404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783590</wp:posOffset>
            </wp:positionV>
            <wp:extent cx="57404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637540</wp:posOffset>
            </wp:positionV>
            <wp:extent cx="57404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492125</wp:posOffset>
            </wp:positionV>
            <wp:extent cx="57404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346075</wp:posOffset>
            </wp:positionV>
            <wp:extent cx="57404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74040" cy="8890"/>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217805</wp:posOffset>
            </wp:positionV>
            <wp:extent cx="57404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74040" cy="8890"/>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71755</wp:posOffset>
            </wp:positionV>
            <wp:extent cx="57404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005A64"/>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71755</wp:posOffset>
            </wp:positionV>
            <wp:extent cx="57404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005A64"/>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71755</wp:posOffset>
            </wp:positionV>
            <wp:extent cx="57404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005A64"/>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71755</wp:posOffset>
            </wp:positionV>
            <wp:extent cx="57404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005A64"/>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4100830</wp:posOffset>
            </wp:positionV>
            <wp:extent cx="57404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74040" cy="8890"/>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3955415</wp:posOffset>
            </wp:positionV>
            <wp:extent cx="57404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74040" cy="8890"/>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3809365</wp:posOffset>
            </wp:positionV>
            <wp:extent cx="57404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74040" cy="8890"/>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3663950</wp:posOffset>
            </wp:positionV>
            <wp:extent cx="57404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74040" cy="8890"/>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3517900</wp:posOffset>
            </wp:positionV>
            <wp:extent cx="57404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74040" cy="8890"/>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3226435</wp:posOffset>
            </wp:positionV>
            <wp:extent cx="57404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74040" cy="8890"/>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3372485</wp:posOffset>
            </wp:positionV>
            <wp:extent cx="57404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74040" cy="8890"/>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3081020</wp:posOffset>
            </wp:positionV>
            <wp:extent cx="57404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74040" cy="8890"/>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2789555</wp:posOffset>
            </wp:positionV>
            <wp:extent cx="57404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2934970</wp:posOffset>
            </wp:positionV>
            <wp:extent cx="57404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2515235</wp:posOffset>
            </wp:positionV>
            <wp:extent cx="57404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74040" cy="8890"/>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2660650</wp:posOffset>
            </wp:positionV>
            <wp:extent cx="57404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2369185</wp:posOffset>
            </wp:positionV>
            <wp:extent cx="57404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74040" cy="8890"/>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2223770</wp:posOffset>
            </wp:positionV>
            <wp:extent cx="57404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2077720</wp:posOffset>
            </wp:positionV>
            <wp:extent cx="57404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1932305</wp:posOffset>
            </wp:positionV>
            <wp:extent cx="57404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74040" cy="8890"/>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1786255</wp:posOffset>
            </wp:positionV>
            <wp:extent cx="57404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74040" cy="8890"/>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1640840</wp:posOffset>
            </wp:positionV>
            <wp:extent cx="57404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1511935</wp:posOffset>
            </wp:positionV>
            <wp:extent cx="57404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1366520</wp:posOffset>
            </wp:positionV>
            <wp:extent cx="57404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1220470</wp:posOffset>
            </wp:positionV>
            <wp:extent cx="57404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74040" cy="8890"/>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1075055</wp:posOffset>
            </wp:positionV>
            <wp:extent cx="57404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74040" cy="8890"/>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929005</wp:posOffset>
            </wp:positionV>
            <wp:extent cx="57404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783590</wp:posOffset>
            </wp:positionV>
            <wp:extent cx="57404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637540</wp:posOffset>
            </wp:positionV>
            <wp:extent cx="57404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74040" cy="8890"/>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492125</wp:posOffset>
            </wp:positionV>
            <wp:extent cx="57404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74040" cy="8890"/>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346075</wp:posOffset>
            </wp:positionV>
            <wp:extent cx="57404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200660</wp:posOffset>
            </wp:positionV>
            <wp:extent cx="57404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71755</wp:posOffset>
            </wp:positionV>
            <wp:extent cx="57404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2"/>
          <w:szCs w:val="12"/>
          <w:b w:val="1"/>
          <w:bCs w:val="1"/>
          <w:color w:val="005A64"/>
        </w:rPr>
        <w:t>Three months ended March 31,</w:t>
      </w:r>
    </w:p>
    <w:p>
      <w:pPr>
        <w:spacing w:after="0" w:line="136"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1500" w:type="dxa"/>
            <w:vAlign w:val="bottom"/>
            <w:tcBorders>
              <w:top w:val="single" w:sz="8" w:color="BECD32"/>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2026</w:t>
            </w:r>
          </w:p>
        </w:tc>
        <w:tc>
          <w:tcPr>
            <w:tcW w:w="140" w:type="dxa"/>
            <w:vAlign w:val="bottom"/>
            <w:tcBorders>
              <w:top w:val="single" w:sz="8" w:color="BECD32"/>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2025</w:t>
            </w:r>
          </w:p>
        </w:tc>
      </w:tr>
      <w:tr>
        <w:trPr>
          <w:trHeight w:val="243"/>
        </w:trPr>
        <w:tc>
          <w:tcPr>
            <w:tcW w:w="120" w:type="dxa"/>
            <w:vAlign w:val="bottom"/>
            <w:tcBorders>
              <w:left w:val="single" w:sz="8" w:color="BECD32"/>
            </w:tcBorders>
          </w:tcPr>
          <w:p>
            <w:pPr>
              <w:spacing w:after="0"/>
              <w:rPr>
                <w:sz w:val="21"/>
                <w:szCs w:val="21"/>
                <w:color w:val="auto"/>
              </w:rPr>
            </w:pPr>
          </w:p>
        </w:tc>
        <w:tc>
          <w:tcPr>
            <w:tcW w:w="1520" w:type="dxa"/>
            <w:vAlign w:val="bottom"/>
            <w:tcBorders>
              <w:right w:val="single" w:sz="8" w:color="BECD32"/>
            </w:tcBorders>
            <w:gridSpan w:val="2"/>
          </w:tcPr>
          <w:p>
            <w:pPr>
              <w:ind w:left="780"/>
              <w:spacing w:after="0"/>
              <w:rPr>
                <w:sz w:val="20"/>
                <w:szCs w:val="20"/>
                <w:color w:val="auto"/>
              </w:rPr>
            </w:pPr>
            <w:r>
              <w:rPr>
                <w:rFonts w:ascii="Times New Roman" w:cs="Times New Roman" w:eastAsia="Times New Roman" w:hAnsi="Times New Roman"/>
                <w:sz w:val="12"/>
                <w:szCs w:val="12"/>
                <w:i w:val="1"/>
                <w:iCs w:val="1"/>
                <w:color w:val="005A64"/>
              </w:rPr>
              <w:t>(unaudited)</w:t>
            </w: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005A64"/>
              </w:rPr>
              <w:t>(unaudited)</w:t>
            </w:r>
          </w:p>
        </w:tc>
      </w:tr>
      <w:tr>
        <w:trPr>
          <w:trHeight w:val="74"/>
        </w:trPr>
        <w:tc>
          <w:tcPr>
            <w:tcW w:w="1500" w:type="dxa"/>
            <w:vAlign w:val="bottom"/>
            <w:tcBorders>
              <w:left w:val="single" w:sz="8" w:color="BECD32"/>
            </w:tcBorders>
            <w:gridSpan w:val="2"/>
          </w:tcPr>
          <w:p>
            <w:pPr>
              <w:spacing w:after="0"/>
              <w:rPr>
                <w:sz w:val="6"/>
                <w:szCs w:val="6"/>
                <w:color w:val="auto"/>
              </w:rPr>
            </w:pPr>
          </w:p>
        </w:tc>
        <w:tc>
          <w:tcPr>
            <w:tcW w:w="140" w:type="dxa"/>
            <w:vAlign w:val="bottom"/>
            <w:tcBorders>
              <w:right w:val="single" w:sz="8" w:color="BECD32"/>
            </w:tcBorders>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tcPr>
          <w:p>
            <w:pPr>
              <w:spacing w:after="0"/>
              <w:rPr>
                <w:sz w:val="6"/>
                <w:szCs w:val="6"/>
                <w:color w:val="auto"/>
              </w:rPr>
            </w:pPr>
          </w:p>
        </w:tc>
      </w:tr>
      <w:tr>
        <w:trPr>
          <w:trHeight w:val="183"/>
        </w:trPr>
        <w:tc>
          <w:tcPr>
            <w:tcW w:w="120" w:type="dxa"/>
            <w:vAlign w:val="bottom"/>
            <w:tcBorders>
              <w:left w:val="single" w:sz="8" w:color="BECD32"/>
            </w:tcBorders>
          </w:tcPr>
          <w:p>
            <w:pPr>
              <w:spacing w:after="0"/>
              <w:rPr>
                <w:sz w:val="15"/>
                <w:szCs w:val="15"/>
                <w:color w:val="auto"/>
              </w:rPr>
            </w:pPr>
          </w:p>
        </w:tc>
        <w:tc>
          <w:tcPr>
            <w:tcW w:w="1380" w:type="dxa"/>
            <w:vAlign w:val="bottom"/>
            <w:tcBorders>
              <w:top w:val="single" w:sz="8" w:color="005A64"/>
              <w:bottom w:val="single" w:sz="8" w:color="7FACB1"/>
            </w:tcBorders>
          </w:tcPr>
          <w:p>
            <w:pPr>
              <w:spacing w:after="0"/>
              <w:rPr>
                <w:sz w:val="15"/>
                <w:szCs w:val="15"/>
                <w:color w:val="auto"/>
              </w:rPr>
            </w:pP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Borders>
              <w:top w:val="single" w:sz="8" w:color="005A64"/>
              <w:bottom w:val="single" w:sz="8" w:color="7FACB1"/>
            </w:tcBorders>
          </w:tcPr>
          <w:p>
            <w:pPr>
              <w:spacing w:after="0"/>
              <w:rPr>
                <w:sz w:val="15"/>
                <w:szCs w:val="15"/>
                <w:color w:val="auto"/>
              </w:rPr>
            </w:pPr>
          </w:p>
        </w:tc>
      </w:tr>
      <w:tr>
        <w:trPr>
          <w:trHeight w:val="176"/>
        </w:trPr>
        <w:tc>
          <w:tcPr>
            <w:tcW w:w="15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(531.9)</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(415.8)</w:t>
            </w:r>
          </w:p>
        </w:tc>
      </w:tr>
      <w:tr>
        <w:trPr>
          <w:trHeight w:val="33"/>
        </w:trPr>
        <w:tc>
          <w:tcPr>
            <w:tcW w:w="120" w:type="dxa"/>
            <w:vAlign w:val="bottom"/>
            <w:tcBorders>
              <w:left w:val="single" w:sz="8" w:color="BECD32"/>
            </w:tcBorders>
          </w:tcPr>
          <w:p>
            <w:pPr>
              <w:spacing w:after="0"/>
              <w:rPr>
                <w:sz w:val="2"/>
                <w:szCs w:val="2"/>
                <w:color w:val="auto"/>
              </w:rPr>
            </w:pPr>
          </w:p>
        </w:tc>
        <w:tc>
          <w:tcPr>
            <w:tcW w:w="13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r>
      <w:tr>
        <w:trPr>
          <w:trHeight w:val="203"/>
        </w:trPr>
        <w:tc>
          <w:tcPr>
            <w:tcW w:w="15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(36.2)</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(29.6)</w:t>
            </w:r>
          </w:p>
        </w:tc>
      </w:tr>
      <w:tr>
        <w:trPr>
          <w:trHeight w:val="74"/>
        </w:trPr>
        <w:tc>
          <w:tcPr>
            <w:tcW w:w="120" w:type="dxa"/>
            <w:vAlign w:val="bottom"/>
            <w:tcBorders>
              <w:left w:val="single" w:sz="8" w:color="BECD32"/>
            </w:tcBorders>
          </w:tcPr>
          <w:p>
            <w:pPr>
              <w:spacing w:after="0"/>
              <w:rPr>
                <w:sz w:val="6"/>
                <w:szCs w:val="6"/>
                <w:color w:val="auto"/>
              </w:rPr>
            </w:pPr>
          </w:p>
        </w:tc>
        <w:tc>
          <w:tcPr>
            <w:tcW w:w="1380" w:type="dxa"/>
            <w:vAlign w:val="bottom"/>
            <w:tcBorders>
              <w:bottom w:val="single" w:sz="8" w:color="7FACB1"/>
            </w:tcBorders>
          </w:tcPr>
          <w:p>
            <w:pPr>
              <w:spacing w:after="0"/>
              <w:rPr>
                <w:sz w:val="6"/>
                <w:szCs w:val="6"/>
                <w:color w:val="auto"/>
              </w:rPr>
            </w:pPr>
          </w:p>
        </w:tc>
        <w:tc>
          <w:tcPr>
            <w:tcW w:w="140" w:type="dxa"/>
            <w:vAlign w:val="bottom"/>
            <w:tcBorders>
              <w:right w:val="single" w:sz="8" w:color="BECD32"/>
            </w:tcBorders>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tcBorders>
              <w:bottom w:val="single" w:sz="8" w:color="7FACB1"/>
            </w:tcBorders>
          </w:tcPr>
          <w:p>
            <w:pPr>
              <w:spacing w:after="0"/>
              <w:rPr>
                <w:sz w:val="6"/>
                <w:szCs w:val="6"/>
                <w:color w:val="auto"/>
              </w:rPr>
            </w:pPr>
          </w:p>
        </w:tc>
      </w:tr>
      <w:tr>
        <w:trPr>
          <w:trHeight w:val="176"/>
        </w:trPr>
        <w:tc>
          <w:tcPr>
            <w:tcW w:w="15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(568.1)</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(445.4)</w:t>
            </w:r>
          </w:p>
        </w:tc>
      </w:tr>
      <w:tr>
        <w:trPr>
          <w:trHeight w:val="33"/>
        </w:trPr>
        <w:tc>
          <w:tcPr>
            <w:tcW w:w="1500" w:type="dxa"/>
            <w:vAlign w:val="bottom"/>
            <w:tcBorders>
              <w:left w:val="single" w:sz="8" w:color="BECD32"/>
            </w:tcBorders>
            <w:gridSpan w:val="2"/>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83"/>
        </w:trPr>
        <w:tc>
          <w:tcPr>
            <w:tcW w:w="120" w:type="dxa"/>
            <w:vAlign w:val="bottom"/>
            <w:tcBorders>
              <w:left w:val="single" w:sz="8" w:color="BECD32"/>
            </w:tcBorders>
          </w:tcPr>
          <w:p>
            <w:pPr>
              <w:spacing w:after="0"/>
              <w:rPr>
                <w:sz w:val="15"/>
                <w:szCs w:val="15"/>
                <w:color w:val="auto"/>
              </w:rPr>
            </w:pPr>
          </w:p>
        </w:tc>
        <w:tc>
          <w:tcPr>
            <w:tcW w:w="1380" w:type="dxa"/>
            <w:vAlign w:val="bottom"/>
            <w:tcBorders>
              <w:top w:val="single" w:sz="8" w:color="005A64"/>
              <w:bottom w:val="single" w:sz="8" w:color="7FACB1"/>
            </w:tcBorders>
          </w:tcPr>
          <w:p>
            <w:pPr>
              <w:spacing w:after="0"/>
              <w:rPr>
                <w:sz w:val="15"/>
                <w:szCs w:val="15"/>
                <w:color w:val="auto"/>
              </w:rPr>
            </w:pP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Borders>
              <w:top w:val="single" w:sz="8" w:color="005A64"/>
              <w:bottom w:val="single" w:sz="8" w:color="7FACB1"/>
            </w:tcBorders>
          </w:tcPr>
          <w:p>
            <w:pPr>
              <w:spacing w:after="0"/>
              <w:rPr>
                <w:sz w:val="15"/>
                <w:szCs w:val="15"/>
                <w:color w:val="auto"/>
              </w:rPr>
            </w:pPr>
          </w:p>
        </w:tc>
      </w:tr>
      <w:tr>
        <w:trPr>
          <w:trHeight w:val="176"/>
        </w:trPr>
        <w:tc>
          <w:tcPr>
            <w:tcW w:w="15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121.3</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42.8</w:t>
            </w:r>
          </w:p>
        </w:tc>
      </w:tr>
      <w:tr>
        <w:trPr>
          <w:trHeight w:val="33"/>
        </w:trPr>
        <w:tc>
          <w:tcPr>
            <w:tcW w:w="120" w:type="dxa"/>
            <w:vAlign w:val="bottom"/>
            <w:tcBorders>
              <w:left w:val="single" w:sz="8" w:color="BECD32"/>
            </w:tcBorders>
          </w:tcPr>
          <w:p>
            <w:pPr>
              <w:spacing w:after="0"/>
              <w:rPr>
                <w:sz w:val="2"/>
                <w:szCs w:val="2"/>
                <w:color w:val="auto"/>
              </w:rPr>
            </w:pPr>
          </w:p>
        </w:tc>
        <w:tc>
          <w:tcPr>
            <w:tcW w:w="13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r>
      <w:tr>
        <w:trPr>
          <w:trHeight w:val="176"/>
        </w:trPr>
        <w:tc>
          <w:tcPr>
            <w:tcW w:w="15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22.8</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22.1</w:t>
            </w:r>
          </w:p>
        </w:tc>
      </w:tr>
      <w:tr>
        <w:trPr>
          <w:trHeight w:val="33"/>
        </w:trPr>
        <w:tc>
          <w:tcPr>
            <w:tcW w:w="120" w:type="dxa"/>
            <w:vAlign w:val="bottom"/>
            <w:tcBorders>
              <w:left w:val="single" w:sz="8" w:color="BECD32"/>
            </w:tcBorders>
          </w:tcPr>
          <w:p>
            <w:pPr>
              <w:spacing w:after="0"/>
              <w:rPr>
                <w:sz w:val="2"/>
                <w:szCs w:val="2"/>
                <w:color w:val="auto"/>
              </w:rPr>
            </w:pPr>
          </w:p>
        </w:tc>
        <w:tc>
          <w:tcPr>
            <w:tcW w:w="13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r>
      <w:tr>
        <w:trPr>
          <w:trHeight w:val="176"/>
        </w:trPr>
        <w:tc>
          <w:tcPr>
            <w:tcW w:w="15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0.4</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48.3</w:t>
            </w:r>
          </w:p>
        </w:tc>
      </w:tr>
      <w:tr>
        <w:trPr>
          <w:trHeight w:val="33"/>
        </w:trPr>
        <w:tc>
          <w:tcPr>
            <w:tcW w:w="120" w:type="dxa"/>
            <w:vAlign w:val="bottom"/>
            <w:tcBorders>
              <w:left w:val="single" w:sz="8" w:color="BECD32"/>
            </w:tcBorders>
          </w:tcPr>
          <w:p>
            <w:pPr>
              <w:spacing w:after="0"/>
              <w:rPr>
                <w:sz w:val="2"/>
                <w:szCs w:val="2"/>
                <w:color w:val="auto"/>
              </w:rPr>
            </w:pPr>
          </w:p>
        </w:tc>
        <w:tc>
          <w:tcPr>
            <w:tcW w:w="13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r>
      <w:tr>
        <w:trPr>
          <w:trHeight w:val="176"/>
        </w:trPr>
        <w:tc>
          <w:tcPr>
            <w:tcW w:w="15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(0.1)</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(0.1)</w:t>
            </w:r>
          </w:p>
        </w:tc>
      </w:tr>
      <w:tr>
        <w:trPr>
          <w:trHeight w:val="33"/>
        </w:trPr>
        <w:tc>
          <w:tcPr>
            <w:tcW w:w="120" w:type="dxa"/>
            <w:vAlign w:val="bottom"/>
            <w:tcBorders>
              <w:left w:val="single" w:sz="8" w:color="BECD32"/>
            </w:tcBorders>
          </w:tcPr>
          <w:p>
            <w:pPr>
              <w:spacing w:after="0"/>
              <w:rPr>
                <w:sz w:val="2"/>
                <w:szCs w:val="2"/>
                <w:color w:val="auto"/>
              </w:rPr>
            </w:pPr>
          </w:p>
        </w:tc>
        <w:tc>
          <w:tcPr>
            <w:tcW w:w="13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r>
      <w:tr>
        <w:trPr>
          <w:trHeight w:val="203"/>
        </w:trPr>
        <w:tc>
          <w:tcPr>
            <w:tcW w:w="15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(111.0)</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(122.6)</w:t>
            </w:r>
          </w:p>
        </w:tc>
      </w:tr>
      <w:tr>
        <w:trPr>
          <w:trHeight w:val="74"/>
        </w:trPr>
        <w:tc>
          <w:tcPr>
            <w:tcW w:w="120" w:type="dxa"/>
            <w:vAlign w:val="bottom"/>
            <w:tcBorders>
              <w:left w:val="single" w:sz="8" w:color="BECD32"/>
            </w:tcBorders>
          </w:tcPr>
          <w:p>
            <w:pPr>
              <w:spacing w:after="0"/>
              <w:rPr>
                <w:sz w:val="6"/>
                <w:szCs w:val="6"/>
                <w:color w:val="auto"/>
              </w:rPr>
            </w:pPr>
          </w:p>
        </w:tc>
        <w:tc>
          <w:tcPr>
            <w:tcW w:w="1380" w:type="dxa"/>
            <w:vAlign w:val="bottom"/>
            <w:tcBorders>
              <w:bottom w:val="single" w:sz="8" w:color="7FACB1"/>
            </w:tcBorders>
          </w:tcPr>
          <w:p>
            <w:pPr>
              <w:spacing w:after="0"/>
              <w:rPr>
                <w:sz w:val="6"/>
                <w:szCs w:val="6"/>
                <w:color w:val="auto"/>
              </w:rPr>
            </w:pPr>
          </w:p>
        </w:tc>
        <w:tc>
          <w:tcPr>
            <w:tcW w:w="140" w:type="dxa"/>
            <w:vAlign w:val="bottom"/>
            <w:tcBorders>
              <w:right w:val="single" w:sz="8" w:color="BECD32"/>
            </w:tcBorders>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tcBorders>
              <w:bottom w:val="single" w:sz="8" w:color="7FACB1"/>
            </w:tcBorders>
          </w:tcPr>
          <w:p>
            <w:pPr>
              <w:spacing w:after="0"/>
              <w:rPr>
                <w:sz w:val="6"/>
                <w:szCs w:val="6"/>
                <w:color w:val="auto"/>
              </w:rPr>
            </w:pPr>
          </w:p>
        </w:tc>
      </w:tr>
      <w:tr>
        <w:trPr>
          <w:trHeight w:val="203"/>
        </w:trPr>
        <w:tc>
          <w:tcPr>
            <w:tcW w:w="15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11.2</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7.9</w:t>
            </w:r>
          </w:p>
        </w:tc>
      </w:tr>
      <w:tr>
        <w:trPr>
          <w:trHeight w:val="74"/>
        </w:trPr>
        <w:tc>
          <w:tcPr>
            <w:tcW w:w="120" w:type="dxa"/>
            <w:vAlign w:val="bottom"/>
            <w:tcBorders>
              <w:left w:val="single" w:sz="8" w:color="BECD32"/>
            </w:tcBorders>
          </w:tcPr>
          <w:p>
            <w:pPr>
              <w:spacing w:after="0"/>
              <w:rPr>
                <w:sz w:val="6"/>
                <w:szCs w:val="6"/>
                <w:color w:val="auto"/>
              </w:rPr>
            </w:pPr>
          </w:p>
        </w:tc>
        <w:tc>
          <w:tcPr>
            <w:tcW w:w="1380" w:type="dxa"/>
            <w:vAlign w:val="bottom"/>
            <w:tcBorders>
              <w:bottom w:val="single" w:sz="8" w:color="7FACB1"/>
            </w:tcBorders>
          </w:tcPr>
          <w:p>
            <w:pPr>
              <w:spacing w:after="0"/>
              <w:rPr>
                <w:sz w:val="6"/>
                <w:szCs w:val="6"/>
                <w:color w:val="auto"/>
              </w:rPr>
            </w:pPr>
          </w:p>
        </w:tc>
        <w:tc>
          <w:tcPr>
            <w:tcW w:w="140" w:type="dxa"/>
            <w:vAlign w:val="bottom"/>
            <w:tcBorders>
              <w:right w:val="single" w:sz="8" w:color="BECD32"/>
            </w:tcBorders>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tcBorders>
              <w:bottom w:val="single" w:sz="8" w:color="7FACB1"/>
            </w:tcBorders>
          </w:tcPr>
          <w:p>
            <w:pPr>
              <w:spacing w:after="0"/>
              <w:rPr>
                <w:sz w:val="6"/>
                <w:szCs w:val="6"/>
                <w:color w:val="auto"/>
              </w:rPr>
            </w:pPr>
          </w:p>
        </w:tc>
      </w:tr>
      <w:tr>
        <w:trPr>
          <w:trHeight w:val="203"/>
        </w:trPr>
        <w:tc>
          <w:tcPr>
            <w:tcW w:w="15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(17.6)</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(14.5)</w:t>
            </w:r>
          </w:p>
        </w:tc>
      </w:tr>
      <w:tr>
        <w:trPr>
          <w:trHeight w:val="74"/>
        </w:trPr>
        <w:tc>
          <w:tcPr>
            <w:tcW w:w="120" w:type="dxa"/>
            <w:vAlign w:val="bottom"/>
            <w:tcBorders>
              <w:left w:val="single" w:sz="8" w:color="BECD32"/>
            </w:tcBorders>
          </w:tcPr>
          <w:p>
            <w:pPr>
              <w:spacing w:after="0"/>
              <w:rPr>
                <w:sz w:val="6"/>
                <w:szCs w:val="6"/>
                <w:color w:val="auto"/>
              </w:rPr>
            </w:pPr>
          </w:p>
        </w:tc>
        <w:tc>
          <w:tcPr>
            <w:tcW w:w="1380" w:type="dxa"/>
            <w:vAlign w:val="bottom"/>
            <w:tcBorders>
              <w:bottom w:val="single" w:sz="8" w:color="7FACB1"/>
            </w:tcBorders>
          </w:tcPr>
          <w:p>
            <w:pPr>
              <w:spacing w:after="0"/>
              <w:rPr>
                <w:sz w:val="6"/>
                <w:szCs w:val="6"/>
                <w:color w:val="auto"/>
              </w:rPr>
            </w:pPr>
          </w:p>
        </w:tc>
        <w:tc>
          <w:tcPr>
            <w:tcW w:w="140" w:type="dxa"/>
            <w:vAlign w:val="bottom"/>
            <w:tcBorders>
              <w:right w:val="single" w:sz="8" w:color="BECD32"/>
            </w:tcBorders>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tcBorders>
              <w:bottom w:val="single" w:sz="8" w:color="7FACB1"/>
            </w:tcBorders>
          </w:tcPr>
          <w:p>
            <w:pPr>
              <w:spacing w:after="0"/>
              <w:rPr>
                <w:sz w:val="6"/>
                <w:szCs w:val="6"/>
                <w:color w:val="auto"/>
              </w:rPr>
            </w:pPr>
          </w:p>
        </w:tc>
      </w:tr>
      <w:tr>
        <w:trPr>
          <w:trHeight w:val="203"/>
        </w:trPr>
        <w:tc>
          <w:tcPr>
            <w:tcW w:w="120" w:type="dxa"/>
            <w:vAlign w:val="bottom"/>
            <w:tcBorders>
              <w:left w:val="single" w:sz="8" w:color="BECD32"/>
            </w:tcBorders>
          </w:tcPr>
          <w:p>
            <w:pPr>
              <w:spacing w:after="0"/>
              <w:rPr>
                <w:sz w:val="17"/>
                <w:szCs w:val="17"/>
                <w:color w:val="auto"/>
              </w:rPr>
            </w:pPr>
          </w:p>
        </w:tc>
        <w:tc>
          <w:tcPr>
            <w:tcW w:w="1520" w:type="dxa"/>
            <w:vAlign w:val="bottom"/>
            <w:tcBorders>
              <w:right w:val="single" w:sz="8" w:color="BECD32"/>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005A64"/>
              </w:rPr>
              <w:t>—</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(15.0)</w:t>
            </w:r>
          </w:p>
        </w:tc>
      </w:tr>
      <w:tr>
        <w:trPr>
          <w:trHeight w:val="74"/>
        </w:trPr>
        <w:tc>
          <w:tcPr>
            <w:tcW w:w="1500" w:type="dxa"/>
            <w:vAlign w:val="bottom"/>
            <w:tcBorders>
              <w:left w:val="single" w:sz="8" w:color="BECD32"/>
            </w:tcBorders>
            <w:gridSpan w:val="2"/>
          </w:tcPr>
          <w:p>
            <w:pPr>
              <w:spacing w:after="0"/>
              <w:rPr>
                <w:sz w:val="6"/>
                <w:szCs w:val="6"/>
                <w:color w:val="auto"/>
              </w:rPr>
            </w:pPr>
          </w:p>
        </w:tc>
        <w:tc>
          <w:tcPr>
            <w:tcW w:w="140" w:type="dxa"/>
            <w:vAlign w:val="bottom"/>
            <w:tcBorders>
              <w:right w:val="single" w:sz="8" w:color="BECD32"/>
            </w:tcBorders>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tcPr>
          <w:p>
            <w:pPr>
              <w:spacing w:after="0"/>
              <w:rPr>
                <w:sz w:val="6"/>
                <w:szCs w:val="6"/>
                <w:color w:val="auto"/>
              </w:rPr>
            </w:pPr>
          </w:p>
        </w:tc>
      </w:tr>
      <w:tr>
        <w:trPr>
          <w:trHeight w:val="183"/>
        </w:trPr>
        <w:tc>
          <w:tcPr>
            <w:tcW w:w="120" w:type="dxa"/>
            <w:vAlign w:val="bottom"/>
            <w:tcBorders>
              <w:left w:val="single" w:sz="8" w:color="BECD32"/>
            </w:tcBorders>
          </w:tcPr>
          <w:p>
            <w:pPr>
              <w:spacing w:after="0"/>
              <w:rPr>
                <w:sz w:val="15"/>
                <w:szCs w:val="15"/>
                <w:color w:val="auto"/>
              </w:rPr>
            </w:pPr>
          </w:p>
        </w:tc>
        <w:tc>
          <w:tcPr>
            <w:tcW w:w="1380" w:type="dxa"/>
            <w:vAlign w:val="bottom"/>
            <w:tcBorders>
              <w:top w:val="single" w:sz="8" w:color="7FACB1"/>
              <w:bottom w:val="single" w:sz="8" w:color="7FACB1"/>
            </w:tcBorders>
          </w:tcPr>
          <w:p>
            <w:pPr>
              <w:spacing w:after="0"/>
              <w:rPr>
                <w:sz w:val="15"/>
                <w:szCs w:val="15"/>
                <w:color w:val="auto"/>
              </w:rPr>
            </w:pP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Borders>
              <w:top w:val="single" w:sz="8" w:color="7FACB1"/>
              <w:bottom w:val="single" w:sz="8" w:color="7FACB1"/>
            </w:tcBorders>
          </w:tcPr>
          <w:p>
            <w:pPr>
              <w:spacing w:after="0"/>
              <w:rPr>
                <w:sz w:val="15"/>
                <w:szCs w:val="15"/>
                <w:color w:val="auto"/>
              </w:rPr>
            </w:pPr>
          </w:p>
        </w:tc>
      </w:tr>
      <w:tr>
        <w:trPr>
          <w:trHeight w:val="176"/>
        </w:trPr>
        <w:tc>
          <w:tcPr>
            <w:tcW w:w="15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431.1</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520.7</w:t>
            </w:r>
          </w:p>
        </w:tc>
      </w:tr>
      <w:tr>
        <w:trPr>
          <w:trHeight w:val="33"/>
        </w:trPr>
        <w:tc>
          <w:tcPr>
            <w:tcW w:w="120" w:type="dxa"/>
            <w:vAlign w:val="bottom"/>
            <w:tcBorders>
              <w:left w:val="single" w:sz="8" w:color="BECD32"/>
            </w:tcBorders>
          </w:tcPr>
          <w:p>
            <w:pPr>
              <w:spacing w:after="0"/>
              <w:rPr>
                <w:sz w:val="2"/>
                <w:szCs w:val="2"/>
                <w:color w:val="auto"/>
              </w:rPr>
            </w:pPr>
          </w:p>
        </w:tc>
        <w:tc>
          <w:tcPr>
            <w:tcW w:w="13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r>
      <w:tr>
        <w:trPr>
          <w:trHeight w:val="176"/>
        </w:trPr>
        <w:tc>
          <w:tcPr>
            <w:tcW w:w="15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7.0</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33.8</w:t>
            </w:r>
          </w:p>
        </w:tc>
      </w:tr>
      <w:tr>
        <w:trPr>
          <w:trHeight w:val="33"/>
        </w:trPr>
        <w:tc>
          <w:tcPr>
            <w:tcW w:w="120" w:type="dxa"/>
            <w:vAlign w:val="bottom"/>
            <w:tcBorders>
              <w:left w:val="single" w:sz="8" w:color="BECD32"/>
            </w:tcBorders>
          </w:tcPr>
          <w:p>
            <w:pPr>
              <w:spacing w:after="0"/>
              <w:rPr>
                <w:sz w:val="2"/>
                <w:szCs w:val="2"/>
                <w:color w:val="auto"/>
              </w:rPr>
            </w:pPr>
          </w:p>
        </w:tc>
        <w:tc>
          <w:tcPr>
            <w:tcW w:w="13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r>
      <w:tr>
        <w:trPr>
          <w:trHeight w:val="176"/>
        </w:trPr>
        <w:tc>
          <w:tcPr>
            <w:tcW w:w="15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(371.9)</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(981.6)</w:t>
            </w:r>
          </w:p>
        </w:tc>
      </w:tr>
      <w:tr>
        <w:trPr>
          <w:trHeight w:val="33"/>
        </w:trPr>
        <w:tc>
          <w:tcPr>
            <w:tcW w:w="120" w:type="dxa"/>
            <w:vAlign w:val="bottom"/>
            <w:tcBorders>
              <w:left w:val="single" w:sz="8" w:color="BECD32"/>
            </w:tcBorders>
          </w:tcPr>
          <w:p>
            <w:pPr>
              <w:spacing w:after="0"/>
              <w:rPr>
                <w:sz w:val="2"/>
                <w:szCs w:val="2"/>
                <w:color w:val="auto"/>
              </w:rPr>
            </w:pPr>
          </w:p>
        </w:tc>
        <w:tc>
          <w:tcPr>
            <w:tcW w:w="13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r>
      <w:tr>
        <w:trPr>
          <w:trHeight w:val="176"/>
        </w:trPr>
        <w:tc>
          <w:tcPr>
            <w:tcW w:w="15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86.6</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118.6</w:t>
            </w:r>
          </w:p>
        </w:tc>
      </w:tr>
      <w:tr>
        <w:trPr>
          <w:trHeight w:val="33"/>
        </w:trPr>
        <w:tc>
          <w:tcPr>
            <w:tcW w:w="120" w:type="dxa"/>
            <w:vAlign w:val="bottom"/>
            <w:tcBorders>
              <w:left w:val="single" w:sz="8" w:color="BECD32"/>
            </w:tcBorders>
          </w:tcPr>
          <w:p>
            <w:pPr>
              <w:spacing w:after="0"/>
              <w:rPr>
                <w:sz w:val="2"/>
                <w:szCs w:val="2"/>
                <w:color w:val="auto"/>
              </w:rPr>
            </w:pPr>
          </w:p>
        </w:tc>
        <w:tc>
          <w:tcPr>
            <w:tcW w:w="13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r>
      <w:tr>
        <w:trPr>
          <w:trHeight w:val="176"/>
        </w:trPr>
        <w:tc>
          <w:tcPr>
            <w:tcW w:w="15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(3.3)</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(3.1)</w:t>
            </w:r>
          </w:p>
        </w:tc>
      </w:tr>
      <w:tr>
        <w:trPr>
          <w:trHeight w:val="33"/>
        </w:trPr>
        <w:tc>
          <w:tcPr>
            <w:tcW w:w="120" w:type="dxa"/>
            <w:vAlign w:val="bottom"/>
            <w:tcBorders>
              <w:left w:val="single" w:sz="8" w:color="BECD32"/>
            </w:tcBorders>
          </w:tcPr>
          <w:p>
            <w:pPr>
              <w:spacing w:after="0"/>
              <w:rPr>
                <w:sz w:val="2"/>
                <w:szCs w:val="2"/>
                <w:color w:val="auto"/>
              </w:rPr>
            </w:pPr>
          </w:p>
        </w:tc>
        <w:tc>
          <w:tcPr>
            <w:tcW w:w="13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r>
      <w:tr>
        <w:trPr>
          <w:trHeight w:val="176"/>
        </w:trPr>
        <w:tc>
          <w:tcPr>
            <w:tcW w:w="15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(41.6)</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(12.2)</w:t>
            </w:r>
          </w:p>
        </w:tc>
      </w:tr>
      <w:tr>
        <w:trPr>
          <w:trHeight w:val="33"/>
        </w:trPr>
        <w:tc>
          <w:tcPr>
            <w:tcW w:w="120" w:type="dxa"/>
            <w:vAlign w:val="bottom"/>
            <w:tcBorders>
              <w:left w:val="single" w:sz="8" w:color="BECD32"/>
            </w:tcBorders>
          </w:tcPr>
          <w:p>
            <w:pPr>
              <w:spacing w:after="0"/>
              <w:rPr>
                <w:sz w:val="2"/>
                <w:szCs w:val="2"/>
                <w:color w:val="auto"/>
              </w:rPr>
            </w:pPr>
          </w:p>
        </w:tc>
        <w:tc>
          <w:tcPr>
            <w:tcW w:w="13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r>
      <w:tr>
        <w:trPr>
          <w:trHeight w:val="176"/>
        </w:trPr>
        <w:tc>
          <w:tcPr>
            <w:tcW w:w="15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(2.1)</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(3.6)</w:t>
            </w:r>
          </w:p>
        </w:tc>
      </w:tr>
      <w:tr>
        <w:trPr>
          <w:trHeight w:val="33"/>
        </w:trPr>
        <w:tc>
          <w:tcPr>
            <w:tcW w:w="120" w:type="dxa"/>
            <w:vAlign w:val="bottom"/>
            <w:tcBorders>
              <w:left w:val="single" w:sz="8" w:color="BECD32"/>
            </w:tcBorders>
          </w:tcPr>
          <w:p>
            <w:pPr>
              <w:spacing w:after="0"/>
              <w:rPr>
                <w:sz w:val="2"/>
                <w:szCs w:val="2"/>
                <w:color w:val="auto"/>
              </w:rPr>
            </w:pPr>
          </w:p>
        </w:tc>
        <w:tc>
          <w:tcPr>
            <w:tcW w:w="13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r>
      <w:tr>
        <w:trPr>
          <w:trHeight w:val="176"/>
        </w:trPr>
        <w:tc>
          <w:tcPr>
            <w:tcW w:w="15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14.3</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23.2</w:t>
            </w:r>
          </w:p>
        </w:tc>
      </w:tr>
      <w:tr>
        <w:trPr>
          <w:trHeight w:val="33"/>
        </w:trPr>
        <w:tc>
          <w:tcPr>
            <w:tcW w:w="120" w:type="dxa"/>
            <w:vAlign w:val="bottom"/>
            <w:tcBorders>
              <w:left w:val="single" w:sz="8" w:color="BECD32"/>
            </w:tcBorders>
          </w:tcPr>
          <w:p>
            <w:pPr>
              <w:spacing w:after="0"/>
              <w:rPr>
                <w:sz w:val="2"/>
                <w:szCs w:val="2"/>
                <w:color w:val="auto"/>
              </w:rPr>
            </w:pPr>
          </w:p>
        </w:tc>
        <w:tc>
          <w:tcPr>
            <w:tcW w:w="13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r>
      <w:tr>
        <w:trPr>
          <w:trHeight w:val="176"/>
        </w:trPr>
        <w:tc>
          <w:tcPr>
            <w:tcW w:w="15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(421.0)</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(780.7)</w:t>
            </w:r>
          </w:p>
        </w:tc>
      </w:tr>
      <w:tr>
        <w:trPr>
          <w:trHeight w:val="33"/>
        </w:trPr>
        <w:tc>
          <w:tcPr>
            <w:tcW w:w="1500" w:type="dxa"/>
            <w:vAlign w:val="bottom"/>
            <w:tcBorders>
              <w:left w:val="single" w:sz="8" w:color="BECD32"/>
            </w:tcBorders>
            <w:gridSpan w:val="2"/>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83"/>
        </w:trPr>
        <w:tc>
          <w:tcPr>
            <w:tcW w:w="120" w:type="dxa"/>
            <w:vAlign w:val="bottom"/>
            <w:tcBorders>
              <w:left w:val="single" w:sz="8" w:color="BECD32"/>
            </w:tcBorders>
          </w:tcPr>
          <w:p>
            <w:pPr>
              <w:spacing w:after="0"/>
              <w:rPr>
                <w:sz w:val="15"/>
                <w:szCs w:val="15"/>
                <w:color w:val="auto"/>
              </w:rPr>
            </w:pPr>
          </w:p>
        </w:tc>
        <w:tc>
          <w:tcPr>
            <w:tcW w:w="1380" w:type="dxa"/>
            <w:vAlign w:val="bottom"/>
            <w:tcBorders>
              <w:top w:val="single" w:sz="8" w:color="005A64"/>
              <w:bottom w:val="single" w:sz="8" w:color="7FACB1"/>
            </w:tcBorders>
          </w:tcPr>
          <w:p>
            <w:pPr>
              <w:spacing w:after="0"/>
              <w:rPr>
                <w:sz w:val="15"/>
                <w:szCs w:val="15"/>
                <w:color w:val="auto"/>
              </w:rPr>
            </w:pP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Borders>
              <w:top w:val="single" w:sz="8" w:color="005A64"/>
              <w:bottom w:val="single" w:sz="8" w:color="7FACB1"/>
            </w:tcBorders>
          </w:tcPr>
          <w:p>
            <w:pPr>
              <w:spacing w:after="0"/>
              <w:rPr>
                <w:sz w:val="15"/>
                <w:szCs w:val="15"/>
                <w:color w:val="auto"/>
              </w:rPr>
            </w:pPr>
          </w:p>
        </w:tc>
      </w:tr>
      <w:tr>
        <w:trPr>
          <w:trHeight w:val="176"/>
        </w:trPr>
        <w:tc>
          <w:tcPr>
            <w:tcW w:w="15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(56.8)</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(48.9)</w:t>
            </w:r>
          </w:p>
        </w:tc>
      </w:tr>
      <w:tr>
        <w:trPr>
          <w:trHeight w:val="33"/>
        </w:trPr>
        <w:tc>
          <w:tcPr>
            <w:tcW w:w="120" w:type="dxa"/>
            <w:vAlign w:val="bottom"/>
            <w:tcBorders>
              <w:left w:val="single" w:sz="8" w:color="BECD32"/>
            </w:tcBorders>
          </w:tcPr>
          <w:p>
            <w:pPr>
              <w:spacing w:after="0"/>
              <w:rPr>
                <w:sz w:val="2"/>
                <w:szCs w:val="2"/>
                <w:color w:val="auto"/>
              </w:rPr>
            </w:pPr>
          </w:p>
        </w:tc>
        <w:tc>
          <w:tcPr>
            <w:tcW w:w="13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r>
      <w:tr>
        <w:trPr>
          <w:trHeight w:val="176"/>
        </w:trPr>
        <w:tc>
          <w:tcPr>
            <w:tcW w:w="15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1.6</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0.5</w:t>
            </w:r>
          </w:p>
        </w:tc>
      </w:tr>
      <w:tr>
        <w:trPr>
          <w:trHeight w:val="33"/>
        </w:trPr>
        <w:tc>
          <w:tcPr>
            <w:tcW w:w="120" w:type="dxa"/>
            <w:vAlign w:val="bottom"/>
            <w:tcBorders>
              <w:left w:val="single" w:sz="8" w:color="BECD32"/>
            </w:tcBorders>
          </w:tcPr>
          <w:p>
            <w:pPr>
              <w:spacing w:after="0"/>
              <w:rPr>
                <w:sz w:val="2"/>
                <w:szCs w:val="2"/>
                <w:color w:val="auto"/>
              </w:rPr>
            </w:pPr>
          </w:p>
        </w:tc>
        <w:tc>
          <w:tcPr>
            <w:tcW w:w="13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r>
      <w:tr>
        <w:trPr>
          <w:trHeight w:val="176"/>
        </w:trPr>
        <w:tc>
          <w:tcPr>
            <w:tcW w:w="15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(22.1)</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(569.2)</w:t>
            </w:r>
          </w:p>
        </w:tc>
      </w:tr>
      <w:tr>
        <w:trPr>
          <w:trHeight w:val="33"/>
        </w:trPr>
        <w:tc>
          <w:tcPr>
            <w:tcW w:w="120" w:type="dxa"/>
            <w:vAlign w:val="bottom"/>
            <w:tcBorders>
              <w:left w:val="single" w:sz="8" w:color="BECD32"/>
            </w:tcBorders>
          </w:tcPr>
          <w:p>
            <w:pPr>
              <w:spacing w:after="0"/>
              <w:rPr>
                <w:sz w:val="2"/>
                <w:szCs w:val="2"/>
                <w:color w:val="auto"/>
              </w:rPr>
            </w:pPr>
          </w:p>
        </w:tc>
        <w:tc>
          <w:tcPr>
            <w:tcW w:w="13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r>
      <w:tr>
        <w:trPr>
          <w:trHeight w:val="176"/>
        </w:trPr>
        <w:tc>
          <w:tcPr>
            <w:tcW w:w="120" w:type="dxa"/>
            <w:vAlign w:val="bottom"/>
            <w:tcBorders>
              <w:left w:val="single" w:sz="8" w:color="BECD32"/>
            </w:tcBorders>
          </w:tcPr>
          <w:p>
            <w:pPr>
              <w:spacing w:after="0"/>
              <w:rPr>
                <w:sz w:val="15"/>
                <w:szCs w:val="15"/>
                <w:color w:val="auto"/>
              </w:rPr>
            </w:pPr>
          </w:p>
        </w:tc>
        <w:tc>
          <w:tcPr>
            <w:tcW w:w="1520" w:type="dxa"/>
            <w:vAlign w:val="bottom"/>
            <w:tcBorders>
              <w:right w:val="single" w:sz="8" w:color="BECD32"/>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005A64"/>
              </w:rPr>
              <w:t>—</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(78.5)</w:t>
            </w:r>
          </w:p>
        </w:tc>
      </w:tr>
      <w:tr>
        <w:trPr>
          <w:trHeight w:val="33"/>
        </w:trPr>
        <w:tc>
          <w:tcPr>
            <w:tcW w:w="120" w:type="dxa"/>
            <w:vAlign w:val="bottom"/>
            <w:tcBorders>
              <w:left w:val="single" w:sz="8" w:color="BECD32"/>
            </w:tcBorders>
          </w:tcPr>
          <w:p>
            <w:pPr>
              <w:spacing w:after="0"/>
              <w:rPr>
                <w:sz w:val="2"/>
                <w:szCs w:val="2"/>
                <w:color w:val="auto"/>
              </w:rPr>
            </w:pPr>
          </w:p>
        </w:tc>
        <w:tc>
          <w:tcPr>
            <w:tcW w:w="13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r>
      <w:tr>
        <w:trPr>
          <w:trHeight w:val="176"/>
        </w:trPr>
        <w:tc>
          <w:tcPr>
            <w:tcW w:w="15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(1,550.2)</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(2,507.7)</w:t>
            </w:r>
          </w:p>
        </w:tc>
      </w:tr>
      <w:tr>
        <w:trPr>
          <w:trHeight w:val="33"/>
        </w:trPr>
        <w:tc>
          <w:tcPr>
            <w:tcW w:w="120" w:type="dxa"/>
            <w:vAlign w:val="bottom"/>
            <w:tcBorders>
              <w:left w:val="single" w:sz="8" w:color="BECD32"/>
            </w:tcBorders>
          </w:tcPr>
          <w:p>
            <w:pPr>
              <w:spacing w:after="0"/>
              <w:rPr>
                <w:sz w:val="2"/>
                <w:szCs w:val="2"/>
                <w:color w:val="auto"/>
              </w:rPr>
            </w:pPr>
          </w:p>
        </w:tc>
        <w:tc>
          <w:tcPr>
            <w:tcW w:w="13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r>
      <w:tr>
        <w:trPr>
          <w:trHeight w:val="176"/>
        </w:trPr>
        <w:tc>
          <w:tcPr>
            <w:tcW w:w="15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4,278.1</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4,450.6</w:t>
            </w:r>
          </w:p>
        </w:tc>
      </w:tr>
      <w:tr>
        <w:trPr>
          <w:trHeight w:val="33"/>
        </w:trPr>
        <w:tc>
          <w:tcPr>
            <w:tcW w:w="120" w:type="dxa"/>
            <w:vAlign w:val="bottom"/>
            <w:tcBorders>
              <w:left w:val="single" w:sz="8" w:color="BECD32"/>
            </w:tcBorders>
          </w:tcPr>
          <w:p>
            <w:pPr>
              <w:spacing w:after="0"/>
              <w:rPr>
                <w:sz w:val="2"/>
                <w:szCs w:val="2"/>
                <w:color w:val="auto"/>
              </w:rPr>
            </w:pPr>
          </w:p>
        </w:tc>
        <w:tc>
          <w:tcPr>
            <w:tcW w:w="13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r>
      <w:tr>
        <w:trPr>
          <w:trHeight w:val="176"/>
        </w:trPr>
        <w:tc>
          <w:tcPr>
            <w:tcW w:w="15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2,650.6</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1,246.8</w:t>
            </w:r>
          </w:p>
        </w:tc>
      </w:tr>
      <w:tr>
        <w:trPr>
          <w:trHeight w:val="33"/>
        </w:trPr>
        <w:tc>
          <w:tcPr>
            <w:tcW w:w="1500" w:type="dxa"/>
            <w:vAlign w:val="bottom"/>
            <w:tcBorders>
              <w:left w:val="single" w:sz="8" w:color="BECD32"/>
            </w:tcBorders>
            <w:gridSpan w:val="2"/>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83"/>
        </w:trPr>
        <w:tc>
          <w:tcPr>
            <w:tcW w:w="120" w:type="dxa"/>
            <w:vAlign w:val="bottom"/>
            <w:tcBorders>
              <w:left w:val="single" w:sz="8" w:color="BECD32"/>
            </w:tcBorders>
          </w:tcPr>
          <w:p>
            <w:pPr>
              <w:spacing w:after="0"/>
              <w:rPr>
                <w:sz w:val="15"/>
                <w:szCs w:val="15"/>
                <w:color w:val="auto"/>
              </w:rPr>
            </w:pPr>
          </w:p>
        </w:tc>
        <w:tc>
          <w:tcPr>
            <w:tcW w:w="1380" w:type="dxa"/>
            <w:vAlign w:val="bottom"/>
            <w:tcBorders>
              <w:top w:val="single" w:sz="8" w:color="005A64"/>
              <w:bottom w:val="single" w:sz="8" w:color="7FACB1"/>
            </w:tcBorders>
          </w:tcPr>
          <w:p>
            <w:pPr>
              <w:spacing w:after="0"/>
              <w:rPr>
                <w:sz w:val="15"/>
                <w:szCs w:val="15"/>
                <w:color w:val="auto"/>
              </w:rPr>
            </w:pP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Borders>
              <w:top w:val="single" w:sz="8" w:color="005A64"/>
              <w:bottom w:val="single" w:sz="8" w:color="7FACB1"/>
            </w:tcBorders>
          </w:tcPr>
          <w:p>
            <w:pPr>
              <w:spacing w:after="0"/>
              <w:rPr>
                <w:sz w:val="15"/>
                <w:szCs w:val="15"/>
                <w:color w:val="auto"/>
              </w:rPr>
            </w:pPr>
          </w:p>
        </w:tc>
      </w:tr>
      <w:tr>
        <w:trPr>
          <w:trHeight w:val="176"/>
        </w:trPr>
        <w:tc>
          <w:tcPr>
            <w:tcW w:w="15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38.4</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r>
      <w:tr>
        <w:trPr>
          <w:trHeight w:val="33"/>
        </w:trPr>
        <w:tc>
          <w:tcPr>
            <w:tcW w:w="120" w:type="dxa"/>
            <w:vAlign w:val="bottom"/>
            <w:tcBorders>
              <w:left w:val="single" w:sz="8" w:color="BECD32"/>
            </w:tcBorders>
          </w:tcPr>
          <w:p>
            <w:pPr>
              <w:spacing w:after="0"/>
              <w:rPr>
                <w:sz w:val="2"/>
                <w:szCs w:val="2"/>
                <w:color w:val="auto"/>
              </w:rPr>
            </w:pPr>
          </w:p>
        </w:tc>
        <w:tc>
          <w:tcPr>
            <w:tcW w:w="13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r>
      <w:tr>
        <w:trPr>
          <w:trHeight w:val="176"/>
        </w:trPr>
        <w:tc>
          <w:tcPr>
            <w:tcW w:w="15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(0.1)</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(4.5)</w:t>
            </w:r>
          </w:p>
        </w:tc>
      </w:tr>
      <w:tr>
        <w:trPr>
          <w:trHeight w:val="33"/>
        </w:trPr>
        <w:tc>
          <w:tcPr>
            <w:tcW w:w="120" w:type="dxa"/>
            <w:vAlign w:val="bottom"/>
            <w:tcBorders>
              <w:left w:val="single" w:sz="8" w:color="BECD32"/>
            </w:tcBorders>
          </w:tcPr>
          <w:p>
            <w:pPr>
              <w:spacing w:after="0"/>
              <w:rPr>
                <w:sz w:val="2"/>
                <w:szCs w:val="2"/>
                <w:color w:val="auto"/>
              </w:rPr>
            </w:pPr>
          </w:p>
        </w:tc>
        <w:tc>
          <w:tcPr>
            <w:tcW w:w="13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r>
      <w:tr>
        <w:trPr>
          <w:trHeight w:val="176"/>
        </w:trPr>
        <w:tc>
          <w:tcPr>
            <w:tcW w:w="15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(11.9)</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(9.3)</w:t>
            </w:r>
          </w:p>
        </w:tc>
      </w:tr>
      <w:tr>
        <w:trPr>
          <w:trHeight w:val="34"/>
        </w:trPr>
        <w:tc>
          <w:tcPr>
            <w:tcW w:w="120" w:type="dxa"/>
            <w:vAlign w:val="bottom"/>
            <w:tcBorders>
              <w:left w:val="single" w:sz="8" w:color="BECD32"/>
            </w:tcBorders>
          </w:tcPr>
          <w:p>
            <w:pPr>
              <w:spacing w:after="0"/>
              <w:rPr>
                <w:sz w:val="2"/>
                <w:szCs w:val="2"/>
                <w:color w:val="auto"/>
              </w:rPr>
            </w:pPr>
          </w:p>
        </w:tc>
        <w:tc>
          <w:tcPr>
            <w:tcW w:w="13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r>
      <w:tr>
        <w:trPr>
          <w:trHeight w:val="176"/>
        </w:trPr>
        <w:tc>
          <w:tcPr>
            <w:tcW w:w="15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26.4</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(13.8)</w:t>
            </w:r>
          </w:p>
        </w:tc>
      </w:tr>
      <w:tr>
        <w:trPr>
          <w:trHeight w:val="34"/>
        </w:trPr>
        <w:tc>
          <w:tcPr>
            <w:tcW w:w="120" w:type="dxa"/>
            <w:vAlign w:val="bottom"/>
            <w:tcBorders>
              <w:left w:val="single" w:sz="8" w:color="BECD32"/>
            </w:tcBorders>
          </w:tcPr>
          <w:p>
            <w:pPr>
              <w:spacing w:after="0"/>
              <w:rPr>
                <w:sz w:val="2"/>
                <w:szCs w:val="2"/>
                <w:color w:val="auto"/>
              </w:rPr>
            </w:pPr>
          </w:p>
        </w:tc>
        <w:tc>
          <w:tcPr>
            <w:tcW w:w="138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005A64"/>
            </w:tcBorders>
          </w:tcPr>
          <w:p>
            <w:pPr>
              <w:spacing w:after="0"/>
              <w:rPr>
                <w:sz w:val="2"/>
                <w:szCs w:val="2"/>
                <w:color w:val="auto"/>
              </w:rPr>
            </w:pPr>
          </w:p>
        </w:tc>
      </w:tr>
      <w:tr>
        <w:trPr>
          <w:trHeight w:val="176"/>
        </w:trPr>
        <w:tc>
          <w:tcPr>
            <w:tcW w:w="15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2,256.0</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452.3</w:t>
            </w:r>
          </w:p>
        </w:tc>
      </w:tr>
      <w:tr>
        <w:trPr>
          <w:trHeight w:val="34"/>
        </w:trPr>
        <w:tc>
          <w:tcPr>
            <w:tcW w:w="120" w:type="dxa"/>
            <w:vAlign w:val="bottom"/>
            <w:tcBorders>
              <w:left w:val="single" w:sz="8" w:color="BECD32"/>
            </w:tcBorders>
          </w:tcPr>
          <w:p>
            <w:pPr>
              <w:spacing w:after="0"/>
              <w:rPr>
                <w:sz w:val="2"/>
                <w:szCs w:val="2"/>
                <w:color w:val="auto"/>
              </w:rPr>
            </w:pPr>
          </w:p>
        </w:tc>
        <w:tc>
          <w:tcPr>
            <w:tcW w:w="13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r>
      <w:tr>
        <w:trPr>
          <w:trHeight w:val="176"/>
        </w:trPr>
        <w:tc>
          <w:tcPr>
            <w:tcW w:w="15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(3.4)</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(16.1)</w:t>
            </w:r>
          </w:p>
        </w:tc>
      </w:tr>
      <w:tr>
        <w:trPr>
          <w:trHeight w:val="34"/>
        </w:trPr>
        <w:tc>
          <w:tcPr>
            <w:tcW w:w="120" w:type="dxa"/>
            <w:vAlign w:val="bottom"/>
            <w:tcBorders>
              <w:left w:val="single" w:sz="8" w:color="BECD32"/>
            </w:tcBorders>
          </w:tcPr>
          <w:p>
            <w:pPr>
              <w:spacing w:after="0"/>
              <w:rPr>
                <w:sz w:val="2"/>
                <w:szCs w:val="2"/>
                <w:color w:val="auto"/>
              </w:rPr>
            </w:pPr>
          </w:p>
        </w:tc>
        <w:tc>
          <w:tcPr>
            <w:tcW w:w="13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r>
      <w:tr>
        <w:trPr>
          <w:trHeight w:val="176"/>
        </w:trPr>
        <w:tc>
          <w:tcPr>
            <w:tcW w:w="15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11.4</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(13.2)</w:t>
            </w:r>
          </w:p>
        </w:tc>
      </w:tr>
      <w:tr>
        <w:trPr>
          <w:trHeight w:val="34"/>
        </w:trPr>
        <w:tc>
          <w:tcPr>
            <w:tcW w:w="120" w:type="dxa"/>
            <w:vAlign w:val="bottom"/>
            <w:tcBorders>
              <w:left w:val="single" w:sz="8" w:color="BECD32"/>
            </w:tcBorders>
          </w:tcPr>
          <w:p>
            <w:pPr>
              <w:spacing w:after="0"/>
              <w:rPr>
                <w:sz w:val="2"/>
                <w:szCs w:val="2"/>
                <w:color w:val="auto"/>
              </w:rPr>
            </w:pPr>
          </w:p>
        </w:tc>
        <w:tc>
          <w:tcPr>
            <w:tcW w:w="13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r>
      <w:tr>
        <w:trPr>
          <w:trHeight w:val="176"/>
        </w:trPr>
        <w:tc>
          <w:tcPr>
            <w:tcW w:w="15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7,675.4</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9,761.9</w:t>
            </w:r>
          </w:p>
        </w:tc>
      </w:tr>
      <w:tr>
        <w:trPr>
          <w:trHeight w:val="34"/>
        </w:trPr>
        <w:tc>
          <w:tcPr>
            <w:tcW w:w="120" w:type="dxa"/>
            <w:vAlign w:val="bottom"/>
            <w:tcBorders>
              <w:left w:val="single" w:sz="8" w:color="BECD32"/>
            </w:tcBorders>
          </w:tcPr>
          <w:p>
            <w:pPr>
              <w:spacing w:after="0"/>
              <w:rPr>
                <w:sz w:val="2"/>
                <w:szCs w:val="2"/>
                <w:color w:val="auto"/>
              </w:rPr>
            </w:pPr>
          </w:p>
        </w:tc>
        <w:tc>
          <w:tcPr>
            <w:tcW w:w="13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r>
      <w:tr>
        <w:trPr>
          <w:trHeight w:val="176"/>
        </w:trPr>
        <w:tc>
          <w:tcPr>
            <w:tcW w:w="15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9,939.4</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10,184.9</w:t>
            </w:r>
          </w:p>
        </w:tc>
      </w:tr>
      <w:tr>
        <w:trPr>
          <w:trHeight w:val="34"/>
        </w:trPr>
        <w:tc>
          <w:tcPr>
            <w:tcW w:w="120" w:type="dxa"/>
            <w:vAlign w:val="bottom"/>
            <w:tcBorders>
              <w:left w:val="single" w:sz="8" w:color="BECD32"/>
              <w:bottom w:val="single" w:sz="8" w:color="BECD32"/>
            </w:tcBorders>
          </w:tcPr>
          <w:p>
            <w:pPr>
              <w:spacing w:after="0"/>
              <w:rPr>
                <w:sz w:val="2"/>
                <w:szCs w:val="2"/>
                <w:color w:val="auto"/>
              </w:rPr>
            </w:pPr>
          </w:p>
        </w:tc>
        <w:tc>
          <w:tcPr>
            <w:tcW w:w="1380" w:type="dxa"/>
            <w:vAlign w:val="bottom"/>
            <w:tcBorders>
              <w:bottom w:val="single" w:sz="8" w:color="BECD32"/>
            </w:tcBorders>
          </w:tcPr>
          <w:p>
            <w:pPr>
              <w:spacing w:after="0"/>
              <w:rPr>
                <w:sz w:val="2"/>
                <w:szCs w:val="2"/>
                <w:color w:val="auto"/>
              </w:rPr>
            </w:pPr>
          </w:p>
        </w:tc>
        <w:tc>
          <w:tcPr>
            <w:tcW w:w="140" w:type="dxa"/>
            <w:vAlign w:val="bottom"/>
            <w:tcBorders>
              <w:bottom w:val="single" w:sz="8" w:color="BECD32"/>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005A64"/>
            </w:tcBorders>
          </w:tcPr>
          <w:p>
            <w:pPr>
              <w:spacing w:after="0"/>
              <w:rPr>
                <w:sz w:val="2"/>
                <w:szCs w:val="2"/>
                <w:color w:val="auto"/>
              </w:rPr>
            </w:pPr>
          </w:p>
        </w:tc>
      </w:tr>
    </w:tbl>
    <w:p>
      <w:pPr>
        <w:spacing w:after="0" w:line="471" w:lineRule="exact"/>
        <w:rPr>
          <w:sz w:val="20"/>
          <w:szCs w:val="20"/>
          <w:color w:val="auto"/>
        </w:rPr>
      </w:pPr>
    </w:p>
    <w:p>
      <w:pPr>
        <w:sectPr>
          <w:pgSz w:w="11900" w:h="16838" w:orient="portrait"/>
          <w:cols w:equalWidth="0" w:num="3">
            <w:col w:w="7020" w:space="720"/>
            <w:col w:w="240" w:space="120"/>
            <w:col w:w="3120"/>
          </w:cols>
          <w:pgMar w:left="320" w:top="388" w:right="359" w:bottom="1440" w:gutter="0" w:footer="0" w:header="0"/>
          <w:type w:val="continuous"/>
        </w:sectPr>
      </w:pP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80509"/>
        </w:rPr>
        <w:t>The accompanying notes form an integral part of these unaudited interim condensed consolidated financial statements.</w:t>
      </w:r>
    </w:p>
    <w:p>
      <w:pPr>
        <w:sectPr>
          <w:pgSz w:w="11900" w:h="16838" w:orient="portrait"/>
          <w:cols w:equalWidth="0" w:num="1">
            <w:col w:w="11220"/>
          </w:cols>
          <w:pgMar w:left="320" w:top="38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tabs>
          <w:tab w:leader="none" w:pos="11080" w:val="left"/>
        </w:tabs>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r>
        <w:rPr>
          <w:sz w:val="20"/>
          <w:szCs w:val="20"/>
          <w:color w:val="auto"/>
        </w:rPr>
        <w:tab/>
      </w:r>
      <w:r>
        <w:rPr>
          <w:rFonts w:ascii="Times New Roman" w:cs="Times New Roman" w:eastAsia="Times New Roman" w:hAnsi="Times New Roman"/>
          <w:sz w:val="19"/>
          <w:szCs w:val="19"/>
          <w:b w:val="1"/>
          <w:bCs w:val="1"/>
          <w:color w:val="C3C3C3"/>
        </w:rPr>
        <w:t>5</w:t>
      </w:r>
    </w:p>
    <w:p>
      <w:pPr>
        <w:sectPr>
          <w:pgSz w:w="11900" w:h="16838" w:orient="portrait"/>
          <w:cols w:equalWidth="0" w:num="1">
            <w:col w:w="11220"/>
          </w:cols>
          <w:pgMar w:left="320" w:top="388" w:right="359" w:bottom="1440" w:gutter="0" w:footer="0" w:header="0"/>
          <w:type w:val="continuous"/>
        </w:sectPr>
      </w:pPr>
    </w:p>
    <w:bookmarkStart w:id="14" w:name="page15"/>
    <w:bookmarkEnd w:id="1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3C9673"/>
        </w:rPr>
        <w:drawing>
          <wp:anchor simplePos="0" relativeHeight="251657728" behindDoc="1" locked="0" layoutInCell="0" allowOverlap="1">
            <wp:simplePos x="0" y="0"/>
            <wp:positionH relativeFrom="page">
              <wp:posOffset>2016760</wp:posOffset>
            </wp:positionH>
            <wp:positionV relativeFrom="page">
              <wp:posOffset>106045</wp:posOffset>
            </wp:positionV>
            <wp:extent cx="222885" cy="685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C3C3C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20320</wp:posOffset>
            </wp:positionV>
            <wp:extent cx="222885" cy="685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60"/>
        <w:spacing w:after="0" w:line="287" w:lineRule="auto"/>
        <w:rPr>
          <w:sz w:val="20"/>
          <w:szCs w:val="20"/>
          <w:color w:val="auto"/>
        </w:rPr>
      </w:pPr>
      <w:r>
        <w:rPr>
          <w:rFonts w:ascii="Times New Roman" w:cs="Times New Roman" w:eastAsia="Times New Roman" w:hAnsi="Times New Roman"/>
          <w:sz w:val="36"/>
          <w:szCs w:val="36"/>
          <w:b w:val="1"/>
          <w:bCs w:val="1"/>
          <w:color w:val="107072"/>
        </w:rPr>
        <w:t>Selected Explanatory Notes to the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1. Corporate Information</w:t>
      </w:r>
    </w:p>
    <w:p>
      <w:pPr>
        <w:spacing w:after="0" w:line="190"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BioNTech SE is a limited company incorporated and domiciled in Germany. The registered office is located in Mainz, Germany (An der Goldgrube 12, 55131 Mainz). The accompanying unaudited interim condensed consolidated financial statements present the financial position and the results of operation of BioNTech SE and its subsidiaries and have been prepared on a going concern basis in accordance with the IFRS Accounting Standards as issued by the International Accounting Standards Board and as endorsed by the European Union. References to the “Company”, “BioNTech”, “Group”, “we”, “us” and “our” refer to BioNTech SE and its consolidated subsidiaries.</w:t>
      </w:r>
    </w:p>
    <w:p>
      <w:pPr>
        <w:spacing w:after="0" w:line="240" w:lineRule="exact"/>
        <w:rPr>
          <w:sz w:val="20"/>
          <w:szCs w:val="20"/>
          <w:color w:val="auto"/>
        </w:rPr>
      </w:pPr>
    </w:p>
    <w:p>
      <w:pPr>
        <w:jc w:val="both"/>
        <w:ind w:right="20"/>
        <w:spacing w:after="0" w:line="322" w:lineRule="auto"/>
        <w:rPr>
          <w:sz w:val="20"/>
          <w:szCs w:val="20"/>
          <w:color w:val="auto"/>
        </w:rPr>
      </w:pPr>
      <w:r>
        <w:rPr>
          <w:rFonts w:ascii="Times New Roman" w:cs="Times New Roman" w:eastAsia="Times New Roman" w:hAnsi="Times New Roman"/>
          <w:sz w:val="18"/>
          <w:szCs w:val="18"/>
          <w:color w:val="080509"/>
        </w:rPr>
        <w:t>We are a global next-generation immunotherapy company aiming to pioneer novel medicines against cancer, infectious diseases and other serious diseases. Since our founding in 2008, we have focused on harnessing the power of the immune system to address human diseases with unmet medical needs and major global health burdens. Our fully integrated model combines decades of research in immunology with a multi-technology innovation engine, GMP manufacturing, translational drug discovery, clinical development, commercial capabilities, computational medicine, data science and artificial intelligence, or AI, and machine learning, or ML, capabilities to discover, develop and commercialize our marketed product and product candidates.</w:t>
      </w:r>
    </w:p>
    <w:p>
      <w:pPr>
        <w:spacing w:after="0" w:line="200" w:lineRule="exact"/>
        <w:rPr>
          <w:sz w:val="20"/>
          <w:szCs w:val="20"/>
          <w:color w:val="auto"/>
        </w:rPr>
      </w:pPr>
    </w:p>
    <w:p>
      <w:pPr>
        <w:spacing w:after="0" w:line="301"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We have built a broad toolkit across multiple technology platforms, including a diverse range of potentially first-in-class therapeutic approaches. This includes investigational messenger ribonucleic acid, or mRNA immunotherapies and protein-based therapeutics (including targeted antibodies such as monoclonal, bispecific and antibody-drug conjugates, or ADCs).</w:t>
      </w:r>
    </w:p>
    <w:p>
      <w:pPr>
        <w:spacing w:after="0" w:line="231"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Our multi-technology combination of platforms and product candidates aims to position us as pioneers in the field of individualized, patient-centric therapeutic approaches in oncology and infectious diseases. We believe that by combining complementary treatment modalities, we can leverage the potential of each technology to provide precise and personalized treatments to patients. Such treatments, if approved, could both increase the likelihood of therapeutic success and reduce the risk of therapeutic resistance.</w:t>
      </w:r>
    </w:p>
    <w:p>
      <w:pPr>
        <w:spacing w:after="0" w:line="236"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Our primary focus is oncology, where we endeavor to address the full continuum of cancer from early to late disease stages. The root causes of cancer treatment failure are cancer heterogeneity and interindividual variability. Driven by random sequential mutations, every patient’s cancer is different and within one patient’s tumor, every cell is different. Addressing these two challenges is the core of our strategy. To augment anti-tumor activity and to counteract resistance mechanisms, we seek to combine compounds with non-overlapping, potentially synergistic mechanisms of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3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w:t>
            </w:r>
          </w:p>
        </w:tc>
      </w:tr>
    </w:tbl>
    <w:p>
      <w:pPr>
        <w:sectPr>
          <w:pgSz w:w="11900" w:h="16838" w:orient="portrait"/>
          <w:cols w:equalWidth="0" w:num="1">
            <w:col w:w="11240"/>
          </w:cols>
          <w:pgMar w:left="320" w:top="388" w:right="339" w:bottom="1440" w:gutter="0" w:footer="0" w:header="0"/>
        </w:sectPr>
      </w:pPr>
    </w:p>
    <w:bookmarkStart w:id="15" w:name="page16"/>
    <w:bookmarkEnd w:id="1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3C9673"/>
        </w:rPr>
        <w:drawing>
          <wp:anchor simplePos="0" relativeHeight="251657728" behindDoc="1" locked="0" layoutInCell="0" allowOverlap="1">
            <wp:simplePos x="0" y="0"/>
            <wp:positionH relativeFrom="page">
              <wp:posOffset>2016760</wp:posOffset>
            </wp:positionH>
            <wp:positionV relativeFrom="page">
              <wp:posOffset>106045</wp:posOffset>
            </wp:positionV>
            <wp:extent cx="222885" cy="685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C3C3C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20320</wp:posOffset>
            </wp:positionV>
            <wp:extent cx="222885" cy="685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In infectious diseases, our goal is to develop vaccines and therapeutics caused by respiratory viruses, latent viruses, bacteria and parasites. We believe our scientific approach and our mRNA technology have the potential to significantly contribute to the fight against global health threats caused by infectious diseases. We have pursued both strategic partnerships and corporate collaborations to partially fund our infectious disease global health programs and aim to continue to do so. Our infectious disease programs aim to contribute to equitable access to innovative vaccines for high medical need indications.</w:t>
      </w:r>
    </w:p>
    <w:p>
      <w:pPr>
        <w:spacing w:after="0" w:line="200" w:lineRule="exact"/>
        <w:rPr>
          <w:sz w:val="20"/>
          <w:szCs w:val="20"/>
          <w:color w:val="auto"/>
        </w:rPr>
      </w:pPr>
    </w:p>
    <w:p>
      <w:pPr>
        <w:spacing w:after="0" w:line="295"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 xml:space="preserve">Our approach has generated a robust and diversified product candidate pipeline across a range of technologies in oncology and infectious disease, and has led to the approval of our first marketed pharmaceutical product,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Innovation is at the core of our company, and we see potential for our technologies to expand beyond oncology and infectious diseases.</w:t>
      </w:r>
    </w:p>
    <w:p>
      <w:pPr>
        <w:spacing w:after="0" w:line="231"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Our unaudited interim condensed consolidated financial statements as of and for the three months ended March 31, 2026 were authorized for issuance in accordance with a resolution of the Audit Committee of our Supervisory Board on May 4,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2. Basis of Preparation, Significant Accounting Policies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Basis of Preparation and Principles of Consolidation</w:t>
      </w:r>
    </w:p>
    <w:p>
      <w:pPr>
        <w:spacing w:after="0" w:line="179"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The accompanying unaudited interim condensed consolidated financial statements as of and for the three months ended March 31, 2026 have been prepared in accordance with IAS 34 Interim Financial Reporting.</w:t>
      </w:r>
    </w:p>
    <w:p>
      <w:pPr>
        <w:spacing w:after="0" w:line="217"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The unaudited interim condensed consolidated financial statements do not include all the information and disclosures required in the audited consolidated financial statements, and should be read in conjunction with our audited consolidated financial statements and accompanying notes included in our Annual Report on Form 20-F as of and for the year ended December 31, 2025.</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We prepare and present our unaudited interim condensed consolidated financial statements in Euros and round numbers to millions of Euros.</w:t>
      </w:r>
    </w:p>
    <w:p>
      <w:pPr>
        <w:spacing w:after="0" w:line="33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The unaudited interim condensed consolidated financial statements as of and for the three months ended March 31, 2026, include BioNTech SE and its subsidiaries. All intercompany transactions and balances have been eliminated in consolidation.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Significant Accounting Judgments, Estimates and Assumptions and Accounting Policies</w:t>
      </w:r>
    </w:p>
    <w:p>
      <w:pPr>
        <w:spacing w:after="0" w:line="179"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The preparation of the unaudited interim condensed consolidated financial statements requires our management to make judgments, estimates and assumptions that affect the reported amounts of revenues, expenses, assets, liabilities and contingent liabilities and the accompanying disclosures.</w:t>
      </w:r>
    </w:p>
    <w:p>
      <w:pPr>
        <w:spacing w:after="0" w:line="200" w:lineRule="exact"/>
        <w:rPr>
          <w:sz w:val="20"/>
          <w:szCs w:val="20"/>
          <w:color w:val="auto"/>
        </w:rPr>
      </w:pPr>
    </w:p>
    <w:p>
      <w:pPr>
        <w:spacing w:after="0" w:line="262"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8"/>
          <w:szCs w:val="18"/>
          <w:color w:val="080509"/>
        </w:rPr>
        <w:t>The significant accounting judgments, estimates and assumptions applied in the preparation of the unaudited interim condensed consolidated financial statements are consistent with those described in Note 3 and applied in the preparation of our audited consolidated financial statements as of and for the year ended December 31, 2025. Significant changes compared to the year ended December 31, 2025 are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3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w:t>
            </w:r>
          </w:p>
        </w:tc>
      </w:tr>
    </w:tbl>
    <w:p>
      <w:pPr>
        <w:sectPr>
          <w:pgSz w:w="11900" w:h="16838" w:orient="portrait"/>
          <w:cols w:equalWidth="0" w:num="1">
            <w:col w:w="11240"/>
          </w:cols>
          <w:pgMar w:left="320" w:top="388" w:right="339" w:bottom="1440" w:gutter="0" w:footer="0" w:header="0"/>
        </w:sectPr>
      </w:pPr>
    </w:p>
    <w:bookmarkStart w:id="16" w:name="page17"/>
    <w:bookmarkEnd w:id="1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3C9673"/>
        </w:rPr>
        <w:drawing>
          <wp:anchor simplePos="0" relativeHeight="251657728" behindDoc="1" locked="0" layoutInCell="0" allowOverlap="1">
            <wp:simplePos x="0" y="0"/>
            <wp:positionH relativeFrom="page">
              <wp:posOffset>2016760</wp:posOffset>
            </wp:positionH>
            <wp:positionV relativeFrom="page">
              <wp:posOffset>106045</wp:posOffset>
            </wp:positionV>
            <wp:extent cx="222885" cy="685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C3C3C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20320</wp:posOffset>
            </wp:positionV>
            <wp:extent cx="222885" cy="685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8"/>
          <w:szCs w:val="18"/>
          <w:color w:val="080509"/>
        </w:rPr>
        <w:t>Judgment is required including, but not limited to, when accounting for the amortization of intangible assets. Generally, the straight-line method is used unless the expected consumption of the economic benefits is better reflected by applying, for example, the diminishing balance (degressive) method. Intangible assets are amortized over their useful lives. A summary of the useful lives applied to the Group’s intangible assets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1517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543496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Intellectual property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543496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1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543496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1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543496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b w:val="1"/>
          <w:bCs w:val="1"/>
          <w:color w:val="005A64"/>
        </w:rPr>
        <w:t>Useful life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50800</wp:posOffset>
            </wp:positionV>
            <wp:extent cx="156908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569085" cy="8255"/>
                    </a:xfrm>
                    <a:prstGeom prst="rect">
                      <a:avLst/>
                    </a:prstGeom>
                    <a:noFill/>
                  </pic:spPr>
                </pic:pic>
              </a:graphicData>
            </a:graphic>
          </wp:anchor>
        </w:drawing>
      </w:r>
    </w:p>
    <w:p>
      <w:pPr>
        <w:spacing w:after="0" w:line="9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92075</wp:posOffset>
            </wp:positionV>
            <wp:extent cx="156908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569085" cy="8255"/>
                    </a:xfrm>
                    <a:prstGeom prst="rect">
                      <a:avLst/>
                    </a:prstGeom>
                    <a:noFill/>
                  </pic:spPr>
                </pic:pic>
              </a:graphicData>
            </a:graphic>
          </wp:anchor>
        </w:drawing>
      </w:r>
    </w:p>
    <w:p>
      <w:pPr>
        <w:spacing w:after="0" w:line="15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92075</wp:posOffset>
            </wp:positionV>
            <wp:extent cx="156908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569085" cy="8255"/>
                    </a:xfrm>
                    <a:prstGeom prst="rect">
                      <a:avLst/>
                    </a:prstGeom>
                    <a:noFill/>
                  </pic:spPr>
                </pic:pic>
              </a:graphicData>
            </a:graphic>
          </wp:anchor>
        </w:drawing>
      </w:r>
    </w:p>
    <w:p>
      <w:pPr>
        <w:spacing w:after="0" w:line="15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92075</wp:posOffset>
            </wp:positionV>
            <wp:extent cx="156908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569085"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320" w:space="720"/>
            <w:col w:w="1200"/>
          </w:cols>
          <w:pgMar w:left="320" w:top="388" w:right="339" w:bottom="1440" w:gutter="0" w:footer="0" w:header="0"/>
          <w:type w:val="continuous"/>
        </w:sectPr>
      </w:pPr>
    </w:p>
    <w:p>
      <w:pPr>
        <w:spacing w:after="0" w:line="251"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Management bases its judgments and estimates on information available at the time when the unaudited interim condensed consolidated financial statements were prepared. Existing circumstances and assumptions about future developments, however, may change due to market changes or circumstances arising that are beyond our control. Such changes are reflected in the assumptions when they occur.</w:t>
      </w:r>
    </w:p>
    <w:p>
      <w:pPr>
        <w:spacing w:after="0" w:line="231"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8"/>
          <w:szCs w:val="18"/>
          <w:color w:val="080509"/>
        </w:rPr>
        <w:t>The accounting policies adopted in the preparation of the unaudited interim condensed consolidated financial statements are consistent with those followed in the preparation of our audited consolidated financial statements as of and for the year ended December 31, 2025, except for income taxes, which are accounted for using the expected annual tax rate in our unaudited interim condensed consolidated financial statements (see Note 5).</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Standards Applied for the First Time</w:t>
      </w:r>
    </w:p>
    <w:p>
      <w:pPr>
        <w:spacing w:after="0" w:line="179"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IFRS Accounting Standards that were applied for the first time as of January 1, 2026, as disclosed in the notes to the audited consolidated financial statements as of and for the year ended December 31, 2025, had no impact on our unaudited interim condensed consolidated financial statements as of and for the three months ended March 31, 2026.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3. Revenues from Contracts with Customers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Disaggregated Information on Revenues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Set out below is the disaggregation of our revenues from contracts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1517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005A64"/>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119380</wp:posOffset>
            </wp:positionV>
            <wp:extent cx="1114425" cy="6946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114425" cy="69469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type w:val="continuous"/>
        </w:sectPr>
      </w:pP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490347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903470" cy="8890"/>
                    </a:xfrm>
                    <a:prstGeom prst="rect">
                      <a:avLst/>
                    </a:prstGeom>
                    <a:noFill/>
                  </pic:spPr>
                </pic:pic>
              </a:graphicData>
            </a:graphic>
          </wp:anchor>
        </w:drawing>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COVID-19 vaccine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90347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903470" cy="8890"/>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Other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90347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903470" cy="8890"/>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490347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9034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4"/>
          <w:szCs w:val="14"/>
          <w:b w:val="1"/>
          <w:bCs w:val="1"/>
          <w:color w:val="005A64"/>
        </w:rPr>
        <w:t>2026</w:t>
      </w:r>
    </w:p>
    <w:p>
      <w:pPr>
        <w:spacing w:after="0" w:line="111"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4"/>
          <w:szCs w:val="14"/>
          <w:color w:val="005A64"/>
        </w:rPr>
        <w:t>66.9</w:t>
      </w:r>
    </w:p>
    <w:p>
      <w:pPr>
        <w:spacing w:after="0" w:line="109"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4"/>
          <w:szCs w:val="14"/>
          <w:color w:val="005A64"/>
        </w:rPr>
        <w:t>51.2</w:t>
      </w:r>
    </w:p>
    <w:p>
      <w:pPr>
        <w:spacing w:after="0" w:line="107"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4"/>
          <w:szCs w:val="14"/>
          <w:b w:val="1"/>
          <w:bCs w:val="1"/>
          <w:color w:val="005A64"/>
        </w:rPr>
        <w:t>118.1</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b w:val="1"/>
          <w:bCs w:val="1"/>
          <w:color w:val="005A64"/>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59055</wp:posOffset>
            </wp:positionV>
            <wp:extent cx="96901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0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133.0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49530</wp:posOffset>
            </wp:positionV>
            <wp:extent cx="96901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8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49.8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49530</wp:posOffset>
            </wp:positionV>
            <wp:extent cx="96901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8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b w:val="1"/>
          <w:bCs w:val="1"/>
          <w:color w:val="005A64"/>
        </w:rPr>
        <w:t>182.8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50800</wp:posOffset>
            </wp:positionV>
            <wp:extent cx="96901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8400" w:space="720"/>
            <w:col w:w="1000" w:space="720"/>
            <w:col w:w="400"/>
          </w:cols>
          <w:pgMar w:left="320" w:top="388" w:right="339" w:bottom="1440" w:gutter="0" w:footer="0" w:header="0"/>
          <w:type w:val="continuous"/>
        </w:sect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COVID-19 Vaccine Revenues</w:t>
      </w:r>
    </w:p>
    <w:p>
      <w:pPr>
        <w:spacing w:after="0" w:line="16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Our COVID-19 vaccine revenues were recognized from the supply and sales of our COVID-19 vaccine worldwide during the three months ended March 31, 2026 and 2025, mainly comprising our share of the collaboration partner’s gross profit derived from sales in the collaboration partner’s territory. Overall, our COVID-19 vaccine revenues amounted to €66.9 million during the three months ended</w:t>
      </w:r>
    </w:p>
    <w:p>
      <w:pPr>
        <w:sectPr>
          <w:pgSz w:w="11900" w:h="16838" w:orient="portrait"/>
          <w:cols w:equalWidth="0" w:num="1">
            <w:col w:w="11240"/>
          </w:cols>
          <w:pgMar w:left="320" w:top="388" w:right="339"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ind w:left="40"/>
        <w:spacing w:after="0"/>
        <w:tabs>
          <w:tab w:leader="none" w:pos="11080" w:val="left"/>
        </w:tabs>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r>
        <w:rPr>
          <w:sz w:val="20"/>
          <w:szCs w:val="20"/>
          <w:color w:val="auto"/>
        </w:rPr>
        <w:tab/>
      </w:r>
      <w:r>
        <w:rPr>
          <w:rFonts w:ascii="Times New Roman" w:cs="Times New Roman" w:eastAsia="Times New Roman" w:hAnsi="Times New Roman"/>
          <w:sz w:val="19"/>
          <w:szCs w:val="19"/>
          <w:b w:val="1"/>
          <w:bCs w:val="1"/>
          <w:color w:val="C3C3C3"/>
        </w:rPr>
        <w:t>8</w:t>
      </w:r>
    </w:p>
    <w:p>
      <w:pPr>
        <w:sectPr>
          <w:pgSz w:w="11900" w:h="16838" w:orient="portrait"/>
          <w:cols w:equalWidth="0" w:num="1">
            <w:col w:w="11240"/>
          </w:cols>
          <w:pgMar w:left="320" w:top="388" w:right="339" w:bottom="1440" w:gutter="0" w:footer="0" w:header="0"/>
          <w:type w:val="continuous"/>
        </w:sectPr>
      </w:pPr>
    </w:p>
    <w:bookmarkStart w:id="17" w:name="page18"/>
    <w:bookmarkEnd w:id="1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3C9673"/>
        </w:rPr>
        <w:drawing>
          <wp:anchor simplePos="0" relativeHeight="251657728" behindDoc="1" locked="0" layoutInCell="0" allowOverlap="1">
            <wp:simplePos x="0" y="0"/>
            <wp:positionH relativeFrom="page">
              <wp:posOffset>2016760</wp:posOffset>
            </wp:positionH>
            <wp:positionV relativeFrom="page">
              <wp:posOffset>106045</wp:posOffset>
            </wp:positionV>
            <wp:extent cx="222885" cy="6858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C3C3C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20320</wp:posOffset>
            </wp:positionV>
            <wp:extent cx="222885" cy="6858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March 31, 2026, compared to €133.0 million for the comparative prior year period. The year-to-date change compared to the comparative prior year period was mainly driven by lower revenues derived from our COVID-19 vaccine collaboration during the three months ended March 31, 2026. Our COVID-19 vaccine revenues are subject to seasonal effects in the fall and winter of the northern hemisphere.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Other Revenues</w:t>
      </w:r>
    </w:p>
    <w:p>
      <w:pPr>
        <w:spacing w:after="0" w:line="166"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Our remaining other revenues were mainly derived from a pandemic preparedness contract with the German government, during the three months ended March 31, 2026 and 2025.</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Revenues from contracts with customers were recognized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1517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490347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3C9673"/>
        </w:rPr>
        <w:t>Timing of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49034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Goods and services transferred at a point in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90347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903470" cy="889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Goods and services transferred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90347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903470" cy="889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 xml:space="preserve">Revenue recognition applying the sales-based or usage-based royalty recognition constraint model </w:t>
      </w:r>
      <w:r>
        <w:rPr>
          <w:rFonts w:ascii="Times New Roman" w:cs="Times New Roman" w:eastAsia="Times New Roman" w:hAnsi="Times New Roman"/>
          <w:sz w:val="9"/>
          <w:szCs w:val="9"/>
          <w:color w:val="005A64"/>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490347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903470" cy="8890"/>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490347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176" w:lineRule="exact"/>
        <w:rPr>
          <w:sz w:val="20"/>
          <w:szCs w:val="20"/>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Represents sales based on the share of the collaboration partners’ gross profit.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4. Income and Expenses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4.1 General Expenses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Cost of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90"/>
        </w:trPr>
        <w:tc>
          <w:tcPr>
            <w:tcW w:w="100" w:type="dxa"/>
            <w:vAlign w:val="bottom"/>
          </w:tcPr>
          <w:p>
            <w:pPr>
              <w:spacing w:after="0"/>
              <w:rPr>
                <w:sz w:val="16"/>
                <w:szCs w:val="16"/>
                <w:color w:val="auto"/>
              </w:rPr>
            </w:pPr>
          </w:p>
        </w:tc>
        <w:tc>
          <w:tcPr>
            <w:tcW w:w="278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005A64"/>
              </w:rPr>
              <w:t>Three months ended March 31,</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640" w:type="dxa"/>
            <w:vAlign w:val="bottom"/>
            <w:tcBorders>
              <w:bottom w:val="single" w:sz="8" w:color="BECD32"/>
            </w:tcBorders>
            <w:gridSpan w:val="2"/>
          </w:tcPr>
          <w:p>
            <w:pPr>
              <w:spacing w:after="0"/>
              <w:rPr>
                <w:sz w:val="13"/>
                <w:szCs w:val="13"/>
                <w:color w:val="auto"/>
              </w:rPr>
            </w:pPr>
          </w:p>
        </w:tc>
        <w:tc>
          <w:tcPr>
            <w:tcW w:w="120" w:type="dxa"/>
            <w:vAlign w:val="bottom"/>
            <w:tcBorders>
              <w:bottom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0" w:type="dxa"/>
            <w:vAlign w:val="bottom"/>
          </w:tcPr>
          <w:p>
            <w:pPr>
              <w:spacing w:after="0"/>
              <w:rPr>
                <w:sz w:val="1"/>
                <w:szCs w:val="1"/>
                <w:color w:val="auto"/>
              </w:rPr>
            </w:pPr>
          </w:p>
        </w:tc>
      </w:tr>
      <w:tr>
        <w:trPr>
          <w:trHeight w:val="200"/>
        </w:trPr>
        <w:tc>
          <w:tcPr>
            <w:tcW w:w="16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2026</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1640" w:type="dxa"/>
            <w:vAlign w:val="bottom"/>
            <w:tcBorders>
              <w:left w:val="single" w:sz="8" w:color="BECD32"/>
            </w:tcBorders>
            <w:gridSpan w:val="2"/>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00" w:type="dxa"/>
            <w:vAlign w:val="bottom"/>
            <w:tcBorders>
              <w:left w:val="single" w:sz="8" w:color="BECD32"/>
            </w:tcBorders>
          </w:tcPr>
          <w:p>
            <w:pPr>
              <w:spacing w:after="0"/>
              <w:rPr>
                <w:sz w:val="19"/>
                <w:szCs w:val="19"/>
                <w:color w:val="auto"/>
              </w:rPr>
            </w:pPr>
          </w:p>
        </w:tc>
        <w:tc>
          <w:tcPr>
            <w:tcW w:w="1540" w:type="dxa"/>
            <w:vAlign w:val="bottom"/>
            <w:tcBorders>
              <w:top w:val="single" w:sz="8" w:color="005A64"/>
              <w:bottom w:val="single" w:sz="8" w:color="7FACB1"/>
            </w:tcBorders>
          </w:tcPr>
          <w:p>
            <w:pPr>
              <w:spacing w:after="0"/>
              <w:rPr>
                <w:sz w:val="19"/>
                <w:szCs w:val="19"/>
                <w:color w:val="auto"/>
              </w:rPr>
            </w:pPr>
          </w:p>
        </w:tc>
        <w:tc>
          <w:tcPr>
            <w:tcW w:w="12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Borders>
              <w:top w:val="single" w:sz="8" w:color="005A64"/>
              <w:bottom w:val="single" w:sz="8" w:color="7FACB1"/>
            </w:tcBorders>
          </w:tcPr>
          <w:p>
            <w:pPr>
              <w:spacing w:after="0"/>
              <w:rPr>
                <w:sz w:val="19"/>
                <w:szCs w:val="19"/>
                <w:color w:val="auto"/>
              </w:rPr>
            </w:pPr>
          </w:p>
        </w:tc>
        <w:tc>
          <w:tcPr>
            <w:tcW w:w="500" w:type="dxa"/>
            <w:vAlign w:val="bottom"/>
            <w:tcBorders>
              <w:top w:val="single" w:sz="8" w:color="005A64"/>
              <w:bottom w:val="single" w:sz="8" w:color="7FACB1"/>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6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8.4</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66.8</w:t>
            </w:r>
          </w:p>
        </w:tc>
        <w:tc>
          <w:tcPr>
            <w:tcW w:w="0" w:type="dxa"/>
            <w:vAlign w:val="bottom"/>
          </w:tcPr>
          <w:p>
            <w:pPr>
              <w:spacing w:after="0"/>
              <w:rPr>
                <w:sz w:val="1"/>
                <w:szCs w:val="1"/>
                <w:color w:val="auto"/>
              </w:rPr>
            </w:pPr>
          </w:p>
        </w:tc>
      </w:tr>
      <w:tr>
        <w:trPr>
          <w:trHeight w:val="50"/>
        </w:trPr>
        <w:tc>
          <w:tcPr>
            <w:tcW w:w="100" w:type="dxa"/>
            <w:vAlign w:val="bottom"/>
            <w:tcBorders>
              <w:left w:val="single" w:sz="8" w:color="BECD32"/>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Borders>
              <w:bottom w:val="single" w:sz="8" w:color="7FACB1"/>
            </w:tcBorders>
          </w:tcPr>
          <w:p>
            <w:pPr>
              <w:spacing w:after="0"/>
              <w:rPr>
                <w:sz w:val="4"/>
                <w:szCs w:val="4"/>
                <w:color w:val="auto"/>
              </w:rPr>
            </w:pPr>
          </w:p>
        </w:tc>
        <w:tc>
          <w:tcPr>
            <w:tcW w:w="5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6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46.9</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45.7</w:t>
            </w:r>
          </w:p>
        </w:tc>
        <w:tc>
          <w:tcPr>
            <w:tcW w:w="0" w:type="dxa"/>
            <w:vAlign w:val="bottom"/>
          </w:tcPr>
          <w:p>
            <w:pPr>
              <w:spacing w:after="0"/>
              <w:rPr>
                <w:sz w:val="1"/>
                <w:szCs w:val="1"/>
                <w:color w:val="auto"/>
              </w:rPr>
            </w:pPr>
          </w:p>
        </w:tc>
      </w:tr>
      <w:tr>
        <w:trPr>
          <w:trHeight w:val="50"/>
        </w:trPr>
        <w:tc>
          <w:tcPr>
            <w:tcW w:w="100" w:type="dxa"/>
            <w:vAlign w:val="bottom"/>
            <w:tcBorders>
              <w:left w:val="single" w:sz="8" w:color="BECD32"/>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Borders>
              <w:bottom w:val="single" w:sz="8" w:color="7FACB1"/>
            </w:tcBorders>
          </w:tcPr>
          <w:p>
            <w:pPr>
              <w:spacing w:after="0"/>
              <w:rPr>
                <w:sz w:val="4"/>
                <w:szCs w:val="4"/>
                <w:color w:val="auto"/>
              </w:rPr>
            </w:pPr>
          </w:p>
        </w:tc>
        <w:tc>
          <w:tcPr>
            <w:tcW w:w="5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6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62.8</w:t>
            </w:r>
          </w:p>
        </w:tc>
        <w:tc>
          <w:tcPr>
            <w:tcW w:w="12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70.3</w:t>
            </w:r>
          </w:p>
        </w:tc>
        <w:tc>
          <w:tcPr>
            <w:tcW w:w="0" w:type="dxa"/>
            <w:vAlign w:val="bottom"/>
          </w:tcPr>
          <w:p>
            <w:pPr>
              <w:spacing w:after="0"/>
              <w:rPr>
                <w:sz w:val="1"/>
                <w:szCs w:val="1"/>
                <w:color w:val="auto"/>
              </w:rPr>
            </w:pPr>
          </w:p>
        </w:tc>
      </w:tr>
      <w:tr>
        <w:trPr>
          <w:trHeight w:val="91"/>
        </w:trPr>
        <w:tc>
          <w:tcPr>
            <w:tcW w:w="100" w:type="dxa"/>
            <w:vAlign w:val="bottom"/>
            <w:tcBorders>
              <w:left w:val="single" w:sz="8" w:color="BECD32"/>
            </w:tcBorders>
          </w:tcPr>
          <w:p>
            <w:pPr>
              <w:spacing w:after="0"/>
              <w:rPr>
                <w:sz w:val="7"/>
                <w:szCs w:val="7"/>
                <w:color w:val="auto"/>
              </w:rPr>
            </w:pPr>
          </w:p>
        </w:tc>
        <w:tc>
          <w:tcPr>
            <w:tcW w:w="1540" w:type="dxa"/>
            <w:vAlign w:val="bottom"/>
            <w:tcBorders>
              <w:bottom w:val="single" w:sz="8" w:color="7FACB1"/>
            </w:tcBorders>
          </w:tcPr>
          <w:p>
            <w:pPr>
              <w:spacing w:after="0"/>
              <w:rPr>
                <w:sz w:val="7"/>
                <w:szCs w:val="7"/>
                <w:color w:val="auto"/>
              </w:rPr>
            </w:pPr>
          </w:p>
        </w:tc>
        <w:tc>
          <w:tcPr>
            <w:tcW w:w="120" w:type="dxa"/>
            <w:vAlign w:val="bottom"/>
            <w:tcBorders>
              <w:right w:val="single" w:sz="8" w:color="BECD32"/>
            </w:tcBorders>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Borders>
              <w:bottom w:val="single" w:sz="8" w:color="7FACB1"/>
            </w:tcBorders>
          </w:tcPr>
          <w:p>
            <w:pPr>
              <w:spacing w:after="0"/>
              <w:rPr>
                <w:sz w:val="7"/>
                <w:szCs w:val="7"/>
                <w:color w:val="auto"/>
              </w:rPr>
            </w:pPr>
          </w:p>
        </w:tc>
        <w:tc>
          <w:tcPr>
            <w:tcW w:w="500" w:type="dxa"/>
            <w:vAlign w:val="bottom"/>
            <w:tcBorders>
              <w:bottom w:val="single" w:sz="8" w:color="7FACB1"/>
            </w:tcBorders>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16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118.1</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182.8</w:t>
            </w:r>
          </w:p>
        </w:tc>
        <w:tc>
          <w:tcPr>
            <w:tcW w:w="0" w:type="dxa"/>
            <w:vAlign w:val="bottom"/>
          </w:tcPr>
          <w:p>
            <w:pPr>
              <w:spacing w:after="0"/>
              <w:rPr>
                <w:sz w:val="1"/>
                <w:szCs w:val="1"/>
                <w:color w:val="auto"/>
              </w:rPr>
            </w:pPr>
          </w:p>
        </w:tc>
      </w:tr>
      <w:tr>
        <w:trPr>
          <w:trHeight w:val="50"/>
        </w:trPr>
        <w:tc>
          <w:tcPr>
            <w:tcW w:w="100" w:type="dxa"/>
            <w:vAlign w:val="bottom"/>
            <w:tcBorders>
              <w:left w:val="single" w:sz="8" w:color="BECD32"/>
              <w:bottom w:val="single" w:sz="8" w:color="BECD32"/>
            </w:tcBorders>
          </w:tcPr>
          <w:p>
            <w:pPr>
              <w:spacing w:after="0"/>
              <w:rPr>
                <w:sz w:val="4"/>
                <w:szCs w:val="4"/>
                <w:color w:val="auto"/>
              </w:rPr>
            </w:pPr>
          </w:p>
        </w:tc>
        <w:tc>
          <w:tcPr>
            <w:tcW w:w="1540" w:type="dxa"/>
            <w:vAlign w:val="bottom"/>
            <w:tcBorders>
              <w:bottom w:val="single" w:sz="8" w:color="BECD32"/>
            </w:tcBorders>
          </w:tcPr>
          <w:p>
            <w:pPr>
              <w:spacing w:after="0"/>
              <w:rPr>
                <w:sz w:val="4"/>
                <w:szCs w:val="4"/>
                <w:color w:val="auto"/>
              </w:rPr>
            </w:pPr>
          </w:p>
        </w:tc>
        <w:tc>
          <w:tcPr>
            <w:tcW w:w="120" w:type="dxa"/>
            <w:vAlign w:val="bottom"/>
            <w:tcBorders>
              <w:bottom w:val="single" w:sz="8" w:color="BECD32"/>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Borders>
              <w:bottom w:val="single" w:sz="8" w:color="005A64"/>
            </w:tcBorders>
          </w:tcPr>
          <w:p>
            <w:pPr>
              <w:spacing w:after="0"/>
              <w:rPr>
                <w:sz w:val="4"/>
                <w:szCs w:val="4"/>
                <w:color w:val="auto"/>
              </w:rPr>
            </w:pPr>
          </w:p>
        </w:tc>
        <w:tc>
          <w:tcPr>
            <w:tcW w:w="50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66" w:lineRule="exact"/>
        <w:rPr>
          <w:sz w:val="20"/>
          <w:szCs w:val="20"/>
          <w:color w:val="auto"/>
        </w:rPr>
      </w:pPr>
    </w:p>
    <w:p>
      <w:pPr>
        <w:sectPr>
          <w:pgSz w:w="11900" w:h="16838" w:orient="portrait"/>
          <w:cols w:equalWidth="0" w:num="2">
            <w:col w:w="7120" w:space="720"/>
            <w:col w:w="3400"/>
          </w:cols>
          <w:pgMar w:left="320" w:top="388" w:right="339" w:bottom="1440" w:gutter="0" w:footer="0" w:header="0"/>
          <w:type w:val="continuous"/>
        </w:sectPr>
      </w:pPr>
    </w:p>
    <w:p>
      <w:pPr>
        <w:jc w:val="both"/>
        <w:spacing w:after="0" w:line="276" w:lineRule="exact"/>
        <w:rPr>
          <w:sz w:val="20"/>
          <w:szCs w:val="20"/>
          <w:color w:val="auto"/>
        </w:rPr>
      </w:pPr>
      <w:r>
        <w:rPr>
          <w:rFonts w:ascii="Times New Roman" w:cs="Times New Roman" w:eastAsia="Times New Roman" w:hAnsi="Times New Roman"/>
          <w:sz w:val="18"/>
          <w:szCs w:val="18"/>
          <w:color w:val="080509"/>
        </w:rPr>
        <w:t>Our cost of sales decreased by €12.4 million, or 15%, from €83.8 million during the three months ended March 31, 2025 to €71.4 million during the three months ended March 31, 2026. The decrease was mainly driven by decreased COVID</w:t>
      </w:r>
      <w:r>
        <w:rPr>
          <w:rFonts w:ascii="MS PGothic" w:cs="MS PGothic" w:eastAsia="MS PGothic" w:hAnsi="MS PGothic"/>
          <w:sz w:val="18"/>
          <w:szCs w:val="18"/>
          <w:color w:val="080509"/>
        </w:rPr>
        <w:t>‑</w:t>
      </w:r>
      <w:r>
        <w:rPr>
          <w:rFonts w:ascii="Times New Roman" w:cs="Times New Roman" w:eastAsia="Times New Roman" w:hAnsi="Times New Roman"/>
          <w:sz w:val="18"/>
          <w:szCs w:val="18"/>
          <w:color w:val="080509"/>
        </w:rPr>
        <w:t>19 vaccine sales, partly offset by the inclusion of degressive amortization charges related to assets acquired in connection with the CureVac transaction. During both periods, cost of sales was impacted by expenses arising from inventory write-downs to net realizable value due to inventories expected to be unsellable, not fulfilling the specification defined by our quality standards, shelf-life expiry or destruction of inventory amounting to €1.1 million, compared to €37.7 million in the previous period. The inventories valued at net realizable value in our consolidated statement of financial position as of March 31, 2026 reflect contractual compensation payments.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Research and Development Expenses</w:t>
      </w:r>
    </w:p>
    <w:p>
      <w:pPr>
        <w:spacing w:after="0" w:line="153"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8"/>
          <w:szCs w:val="18"/>
          <w:color w:val="080509"/>
        </w:rPr>
        <w:t>Our research and development expenses increased by €31.4 million, or 6%, from €525.6 million during the three months ended March 31, 2025 to €557.0 million during the three months ended March 31, 2026. The slight increase was mainly driven by higher expenses for our immuno-oncology, or IO, and antibody-drug conjugate, or ADC, programs, in particular pumitamig and gotistobart, as well as research and development costs from operations of entities acquired during the year ended December 31, 2025 and an impairment related to BNT331 recorded in March 2026 (see Note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3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w:t>
            </w:r>
          </w:p>
        </w:tc>
      </w:tr>
    </w:tbl>
    <w:p>
      <w:pPr>
        <w:sectPr>
          <w:pgSz w:w="11900" w:h="16838" w:orient="portrait"/>
          <w:cols w:equalWidth="0" w:num="1">
            <w:col w:w="11240"/>
          </w:cols>
          <w:pgMar w:left="320" w:top="388" w:right="339" w:bottom="1440" w:gutter="0" w:footer="0" w:header="0"/>
          <w:type w:val="continuous"/>
        </w:sectPr>
      </w:pPr>
    </w:p>
    <w:bookmarkStart w:id="18" w:name="page19"/>
    <w:bookmarkEnd w:id="1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3C9673"/>
        </w:rPr>
        <w:drawing>
          <wp:anchor simplePos="0" relativeHeight="251657728" behindDoc="1" locked="0" layoutInCell="0" allowOverlap="1">
            <wp:simplePos x="0" y="0"/>
            <wp:positionH relativeFrom="page">
              <wp:posOffset>2016760</wp:posOffset>
            </wp:positionH>
            <wp:positionV relativeFrom="page">
              <wp:posOffset>106045</wp:posOffset>
            </wp:positionV>
            <wp:extent cx="222885" cy="6858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C3C3C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20320</wp:posOffset>
            </wp:positionV>
            <wp:extent cx="222885" cy="6858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080509"/>
        </w:rPr>
        <w:t>These effects were partly offset by lower research and development expenses related to our COVID</w:t>
      </w:r>
      <w:r>
        <w:rPr>
          <w:rFonts w:ascii="MS PGothic" w:cs="MS PGothic" w:eastAsia="MS PGothic" w:hAnsi="MS PGothic"/>
          <w:sz w:val="18"/>
          <w:szCs w:val="18"/>
          <w:color w:val="080509"/>
        </w:rPr>
        <w:t>‑</w:t>
      </w:r>
      <w:r>
        <w:rPr>
          <w:rFonts w:ascii="Times New Roman" w:cs="Times New Roman" w:eastAsia="Times New Roman" w:hAnsi="Times New Roman"/>
          <w:sz w:val="18"/>
          <w:szCs w:val="18"/>
          <w:color w:val="080509"/>
        </w:rPr>
        <w:t>19 vaccine collaboration with Pfizer.</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Sales and Marketing Expenses</w:t>
      </w:r>
    </w:p>
    <w:p>
      <w:pPr>
        <w:spacing w:after="0" w:line="166" w:lineRule="exact"/>
        <w:rPr>
          <w:sz w:val="20"/>
          <w:szCs w:val="20"/>
          <w:color w:val="auto"/>
        </w:rPr>
      </w:pPr>
    </w:p>
    <w:p>
      <w:pPr>
        <w:jc w:val="both"/>
        <w:ind w:right="20"/>
        <w:spacing w:after="0" w:line="268" w:lineRule="exact"/>
        <w:rPr>
          <w:sz w:val="20"/>
          <w:szCs w:val="20"/>
          <w:color w:val="auto"/>
        </w:rPr>
      </w:pPr>
      <w:r>
        <w:rPr>
          <w:rFonts w:ascii="Times New Roman" w:cs="Times New Roman" w:eastAsia="Times New Roman" w:hAnsi="Times New Roman"/>
          <w:sz w:val="18"/>
          <w:szCs w:val="18"/>
          <w:color w:val="080509"/>
        </w:rPr>
        <w:t>Our sales and marketing expenses increased by €14.2 million, or 104%, from €13.7 million during the three months ended March 31, 2025 to €27.9 million during the three months ended March 31, 2026. The increase was mainly driven by pre</w:t>
      </w:r>
      <w:r>
        <w:rPr>
          <w:rFonts w:ascii="MS PGothic" w:cs="MS PGothic" w:eastAsia="MS PGothic" w:hAnsi="MS PGothic"/>
          <w:sz w:val="18"/>
          <w:szCs w:val="18"/>
          <w:color w:val="080509"/>
        </w:rPr>
        <w:t>‑</w:t>
      </w:r>
      <w:r>
        <w:rPr>
          <w:rFonts w:ascii="Times New Roman" w:cs="Times New Roman" w:eastAsia="Times New Roman" w:hAnsi="Times New Roman"/>
          <w:sz w:val="18"/>
          <w:szCs w:val="18"/>
          <w:color w:val="080509"/>
        </w:rPr>
        <w:t>launch activities for pumitamig, gotistobart and trastuzumab pamirtecan as well as our ongoing commercial build</w:t>
      </w:r>
      <w:r>
        <w:rPr>
          <w:rFonts w:ascii="MS PGothic" w:cs="MS PGothic" w:eastAsia="MS PGothic" w:hAnsi="MS PGothic"/>
          <w:sz w:val="18"/>
          <w:szCs w:val="18"/>
          <w:color w:val="080509"/>
        </w:rPr>
        <w:t>‑</w:t>
      </w:r>
      <w:r>
        <w:rPr>
          <w:rFonts w:ascii="Times New Roman" w:cs="Times New Roman" w:eastAsia="Times New Roman" w:hAnsi="Times New Roman"/>
          <w:sz w:val="18"/>
          <w:szCs w:val="18"/>
          <w:color w:val="080509"/>
        </w:rPr>
        <w:t>up, particularly in the United States.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General and Administrative Expenses</w:t>
      </w:r>
    </w:p>
    <w:p>
      <w:pPr>
        <w:spacing w:after="0" w:line="16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Our general and administrative expenses increased by €16.0 million, or 15%, from €106.9 million during the three months ended March 31, 2025 to €122.9 million during the three months ended March 31, 2026. The increase was primarily driven by general and administrative costs from operations of entities acquired during the year ended December 31, 2025, partly offset by a reduction in external services.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4.2 Other Operating Result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The other operating result recognized during the three months ended March 31, 2026 is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15175"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005A64"/>
              </w:rPr>
              <w:t>Three months ended March 31,</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1640" w:type="dxa"/>
            <w:vAlign w:val="bottom"/>
            <w:tcBorders>
              <w:bottom w:val="single" w:sz="8" w:color="BECE33"/>
            </w:tcBorders>
            <w:gridSpan w:val="2"/>
          </w:tcPr>
          <w:p>
            <w:pPr>
              <w:spacing w:after="0"/>
              <w:rPr>
                <w:sz w:val="13"/>
                <w:szCs w:val="13"/>
                <w:color w:val="auto"/>
              </w:rPr>
            </w:pPr>
          </w:p>
        </w:tc>
        <w:tc>
          <w:tcPr>
            <w:tcW w:w="120" w:type="dxa"/>
            <w:vAlign w:val="bottom"/>
            <w:tcBorders>
              <w:bottom w:val="single" w:sz="8" w:color="BECE33"/>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0" w:type="dxa"/>
            <w:vAlign w:val="bottom"/>
          </w:tcPr>
          <w:p>
            <w:pPr>
              <w:spacing w:after="0"/>
              <w:rPr>
                <w:sz w:val="1"/>
                <w:szCs w:val="1"/>
                <w:color w:val="auto"/>
              </w:rPr>
            </w:pPr>
          </w:p>
        </w:tc>
      </w:tr>
      <w:tr>
        <w:trPr>
          <w:trHeight w:val="200"/>
        </w:trPr>
        <w:tc>
          <w:tcPr>
            <w:tcW w:w="7840" w:type="dxa"/>
            <w:vAlign w:val="bottom"/>
            <w:gridSpan w:val="2"/>
            <w:vMerge w:val="continue"/>
          </w:tcPr>
          <w:p>
            <w:pPr>
              <w:spacing w:after="0"/>
              <w:rPr>
                <w:sz w:val="17"/>
                <w:szCs w:val="17"/>
                <w:color w:val="auto"/>
              </w:rPr>
            </w:pPr>
          </w:p>
        </w:tc>
        <w:tc>
          <w:tcPr>
            <w:tcW w:w="16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2026</w:t>
            </w:r>
          </w:p>
        </w:tc>
        <w:tc>
          <w:tcPr>
            <w:tcW w:w="12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77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005A64"/>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Borders>
              <w:bottom w:val="single" w:sz="8" w:color="005A64"/>
            </w:tcBorders>
          </w:tcPr>
          <w:p>
            <w:pPr>
              <w:spacing w:after="0"/>
              <w:rPr>
                <w:sz w:val="4"/>
                <w:szCs w:val="4"/>
                <w:color w:val="auto"/>
              </w:rPr>
            </w:pPr>
          </w:p>
        </w:tc>
        <w:tc>
          <w:tcPr>
            <w:tcW w:w="5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Other operating income</w:t>
            </w:r>
          </w:p>
        </w:tc>
        <w:tc>
          <w:tcPr>
            <w:tcW w:w="16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30.4</w:t>
            </w:r>
          </w:p>
        </w:tc>
        <w:tc>
          <w:tcPr>
            <w:tcW w:w="12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61.6</w:t>
            </w:r>
          </w:p>
        </w:tc>
        <w:tc>
          <w:tcPr>
            <w:tcW w:w="0" w:type="dxa"/>
            <w:vAlign w:val="bottom"/>
          </w:tcPr>
          <w:p>
            <w:pPr>
              <w:spacing w:after="0"/>
              <w:rPr>
                <w:sz w:val="1"/>
                <w:szCs w:val="1"/>
                <w:color w:val="auto"/>
              </w:rPr>
            </w:pPr>
          </w:p>
        </w:tc>
      </w:tr>
      <w:tr>
        <w:trPr>
          <w:trHeight w:val="50"/>
        </w:trPr>
        <w:tc>
          <w:tcPr>
            <w:tcW w:w="7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7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Government and similar grants</w:t>
            </w:r>
          </w:p>
        </w:tc>
        <w:tc>
          <w:tcPr>
            <w:tcW w:w="16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17.6</w:t>
            </w:r>
          </w:p>
        </w:tc>
        <w:tc>
          <w:tcPr>
            <w:tcW w:w="12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14.5</w:t>
            </w:r>
          </w:p>
        </w:tc>
        <w:tc>
          <w:tcPr>
            <w:tcW w:w="0" w:type="dxa"/>
            <w:vAlign w:val="bottom"/>
          </w:tcPr>
          <w:p>
            <w:pPr>
              <w:spacing w:after="0"/>
              <w:rPr>
                <w:sz w:val="1"/>
                <w:szCs w:val="1"/>
                <w:color w:val="auto"/>
              </w:rPr>
            </w:pPr>
          </w:p>
        </w:tc>
      </w:tr>
      <w:tr>
        <w:trPr>
          <w:trHeight w:val="50"/>
        </w:trPr>
        <w:tc>
          <w:tcPr>
            <w:tcW w:w="7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7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Foreign exchange differences, net</w:t>
            </w:r>
          </w:p>
        </w:tc>
        <w:tc>
          <w:tcPr>
            <w:tcW w:w="16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3.8</w:t>
            </w:r>
          </w:p>
        </w:tc>
        <w:tc>
          <w:tcPr>
            <w:tcW w:w="12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w:t>
            </w:r>
          </w:p>
        </w:tc>
        <w:tc>
          <w:tcPr>
            <w:tcW w:w="0" w:type="dxa"/>
            <w:vAlign w:val="bottom"/>
          </w:tcPr>
          <w:p>
            <w:pPr>
              <w:spacing w:after="0"/>
              <w:rPr>
                <w:sz w:val="1"/>
                <w:szCs w:val="1"/>
                <w:color w:val="auto"/>
              </w:rPr>
            </w:pPr>
          </w:p>
        </w:tc>
      </w:tr>
      <w:tr>
        <w:trPr>
          <w:trHeight w:val="50"/>
        </w:trPr>
        <w:tc>
          <w:tcPr>
            <w:tcW w:w="7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7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Gain on derivative instruments at fair value through profit or loss</w:t>
            </w:r>
          </w:p>
        </w:tc>
        <w:tc>
          <w:tcPr>
            <w:tcW w:w="100" w:type="dxa"/>
            <w:vAlign w:val="bottom"/>
            <w:tcBorders>
              <w:left w:val="single" w:sz="8" w:color="BECE33"/>
            </w:tcBorders>
          </w:tcPr>
          <w:p>
            <w:pPr>
              <w:spacing w:after="0"/>
              <w:rPr>
                <w:sz w:val="17"/>
                <w:szCs w:val="17"/>
                <w:color w:val="auto"/>
              </w:rPr>
            </w:pPr>
          </w:p>
        </w:tc>
        <w:tc>
          <w:tcPr>
            <w:tcW w:w="1660" w:type="dxa"/>
            <w:vAlign w:val="bottom"/>
            <w:tcBorders>
              <w:right w:val="single" w:sz="8" w:color="BECE33"/>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005A64"/>
              </w:rPr>
              <w:t>—</w:t>
            </w:r>
          </w:p>
        </w:tc>
        <w:tc>
          <w:tcPr>
            <w:tcW w:w="1100" w:type="dxa"/>
            <w:vAlign w:val="bottom"/>
            <w:gridSpan w:val="2"/>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26.2</w:t>
            </w:r>
          </w:p>
        </w:tc>
        <w:tc>
          <w:tcPr>
            <w:tcW w:w="0" w:type="dxa"/>
            <w:vAlign w:val="bottom"/>
          </w:tcPr>
          <w:p>
            <w:pPr>
              <w:spacing w:after="0"/>
              <w:rPr>
                <w:sz w:val="1"/>
                <w:szCs w:val="1"/>
                <w:color w:val="auto"/>
              </w:rPr>
            </w:pPr>
          </w:p>
        </w:tc>
      </w:tr>
      <w:tr>
        <w:trPr>
          <w:trHeight w:val="50"/>
        </w:trPr>
        <w:tc>
          <w:tcPr>
            <w:tcW w:w="7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7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Bargain purchase</w:t>
            </w:r>
          </w:p>
        </w:tc>
        <w:tc>
          <w:tcPr>
            <w:tcW w:w="100" w:type="dxa"/>
            <w:vAlign w:val="bottom"/>
            <w:tcBorders>
              <w:left w:val="single" w:sz="8" w:color="BECE33"/>
            </w:tcBorders>
          </w:tcPr>
          <w:p>
            <w:pPr>
              <w:spacing w:after="0"/>
              <w:rPr>
                <w:sz w:val="17"/>
                <w:szCs w:val="17"/>
                <w:color w:val="auto"/>
              </w:rPr>
            </w:pPr>
          </w:p>
        </w:tc>
        <w:tc>
          <w:tcPr>
            <w:tcW w:w="1660" w:type="dxa"/>
            <w:vAlign w:val="bottom"/>
            <w:tcBorders>
              <w:right w:val="single" w:sz="8" w:color="BECE33"/>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005A64"/>
              </w:rPr>
              <w:t>—</w:t>
            </w:r>
          </w:p>
        </w:tc>
        <w:tc>
          <w:tcPr>
            <w:tcW w:w="1100" w:type="dxa"/>
            <w:vAlign w:val="bottom"/>
            <w:gridSpan w:val="2"/>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15.0</w:t>
            </w:r>
          </w:p>
        </w:tc>
        <w:tc>
          <w:tcPr>
            <w:tcW w:w="0" w:type="dxa"/>
            <w:vAlign w:val="bottom"/>
          </w:tcPr>
          <w:p>
            <w:pPr>
              <w:spacing w:after="0"/>
              <w:rPr>
                <w:sz w:val="1"/>
                <w:szCs w:val="1"/>
                <w:color w:val="auto"/>
              </w:rPr>
            </w:pPr>
          </w:p>
        </w:tc>
      </w:tr>
      <w:tr>
        <w:trPr>
          <w:trHeight w:val="50"/>
        </w:trPr>
        <w:tc>
          <w:tcPr>
            <w:tcW w:w="7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7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Other</w:t>
            </w:r>
          </w:p>
        </w:tc>
        <w:tc>
          <w:tcPr>
            <w:tcW w:w="16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9.0</w:t>
            </w:r>
          </w:p>
        </w:tc>
        <w:tc>
          <w:tcPr>
            <w:tcW w:w="12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5.9</w:t>
            </w:r>
          </w:p>
        </w:tc>
        <w:tc>
          <w:tcPr>
            <w:tcW w:w="0" w:type="dxa"/>
            <w:vAlign w:val="bottom"/>
          </w:tcPr>
          <w:p>
            <w:pPr>
              <w:spacing w:after="0"/>
              <w:rPr>
                <w:sz w:val="1"/>
                <w:szCs w:val="1"/>
                <w:color w:val="auto"/>
              </w:rPr>
            </w:pPr>
          </w:p>
        </w:tc>
      </w:tr>
      <w:tr>
        <w:trPr>
          <w:trHeight w:val="50"/>
        </w:trPr>
        <w:tc>
          <w:tcPr>
            <w:tcW w:w="7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Other operating expenses</w:t>
            </w:r>
          </w:p>
        </w:tc>
        <w:tc>
          <w:tcPr>
            <w:tcW w:w="16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(46.8)</w:t>
            </w:r>
          </w:p>
        </w:tc>
        <w:tc>
          <w:tcPr>
            <w:tcW w:w="12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(48.5)</w:t>
            </w:r>
          </w:p>
        </w:tc>
        <w:tc>
          <w:tcPr>
            <w:tcW w:w="0" w:type="dxa"/>
            <w:vAlign w:val="bottom"/>
          </w:tcPr>
          <w:p>
            <w:pPr>
              <w:spacing w:after="0"/>
              <w:rPr>
                <w:sz w:val="1"/>
                <w:szCs w:val="1"/>
                <w:color w:val="auto"/>
              </w:rPr>
            </w:pPr>
          </w:p>
        </w:tc>
      </w:tr>
      <w:tr>
        <w:trPr>
          <w:trHeight w:val="50"/>
        </w:trPr>
        <w:tc>
          <w:tcPr>
            <w:tcW w:w="7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7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Pipeline prioritization costs</w:t>
            </w:r>
          </w:p>
        </w:tc>
        <w:tc>
          <w:tcPr>
            <w:tcW w:w="16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(18.7)</w:t>
            </w:r>
          </w:p>
        </w:tc>
        <w:tc>
          <w:tcPr>
            <w:tcW w:w="12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w:t>
            </w:r>
          </w:p>
        </w:tc>
        <w:tc>
          <w:tcPr>
            <w:tcW w:w="0" w:type="dxa"/>
            <w:vAlign w:val="bottom"/>
          </w:tcPr>
          <w:p>
            <w:pPr>
              <w:spacing w:after="0"/>
              <w:rPr>
                <w:sz w:val="1"/>
                <w:szCs w:val="1"/>
                <w:color w:val="auto"/>
              </w:rPr>
            </w:pPr>
          </w:p>
        </w:tc>
      </w:tr>
      <w:tr>
        <w:trPr>
          <w:trHeight w:val="50"/>
        </w:trPr>
        <w:tc>
          <w:tcPr>
            <w:tcW w:w="7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7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External legal advice services</w:t>
            </w:r>
          </w:p>
        </w:tc>
        <w:tc>
          <w:tcPr>
            <w:tcW w:w="16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(13.0)</w:t>
            </w:r>
          </w:p>
        </w:tc>
        <w:tc>
          <w:tcPr>
            <w:tcW w:w="12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(25.9)</w:t>
            </w:r>
          </w:p>
        </w:tc>
        <w:tc>
          <w:tcPr>
            <w:tcW w:w="0" w:type="dxa"/>
            <w:vAlign w:val="bottom"/>
          </w:tcPr>
          <w:p>
            <w:pPr>
              <w:spacing w:after="0"/>
              <w:rPr>
                <w:sz w:val="1"/>
                <w:szCs w:val="1"/>
                <w:color w:val="auto"/>
              </w:rPr>
            </w:pPr>
          </w:p>
        </w:tc>
      </w:tr>
      <w:tr>
        <w:trPr>
          <w:trHeight w:val="50"/>
        </w:trPr>
        <w:tc>
          <w:tcPr>
            <w:tcW w:w="7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7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Loss on derivative instruments at fair value through profit or loss</w:t>
            </w:r>
          </w:p>
        </w:tc>
        <w:tc>
          <w:tcPr>
            <w:tcW w:w="16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(9.8)</w:t>
            </w:r>
          </w:p>
        </w:tc>
        <w:tc>
          <w:tcPr>
            <w:tcW w:w="12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w:t>
            </w:r>
          </w:p>
        </w:tc>
        <w:tc>
          <w:tcPr>
            <w:tcW w:w="0" w:type="dxa"/>
            <w:vAlign w:val="bottom"/>
          </w:tcPr>
          <w:p>
            <w:pPr>
              <w:spacing w:after="0"/>
              <w:rPr>
                <w:sz w:val="1"/>
                <w:szCs w:val="1"/>
                <w:color w:val="auto"/>
              </w:rPr>
            </w:pPr>
          </w:p>
        </w:tc>
      </w:tr>
      <w:tr>
        <w:trPr>
          <w:trHeight w:val="50"/>
        </w:trPr>
        <w:tc>
          <w:tcPr>
            <w:tcW w:w="7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7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Foreign exchange differences, net</w:t>
            </w:r>
          </w:p>
        </w:tc>
        <w:tc>
          <w:tcPr>
            <w:tcW w:w="100" w:type="dxa"/>
            <w:vAlign w:val="bottom"/>
            <w:tcBorders>
              <w:left w:val="single" w:sz="8" w:color="BECE33"/>
            </w:tcBorders>
          </w:tcPr>
          <w:p>
            <w:pPr>
              <w:spacing w:after="0"/>
              <w:rPr>
                <w:sz w:val="17"/>
                <w:szCs w:val="17"/>
                <w:color w:val="auto"/>
              </w:rPr>
            </w:pPr>
          </w:p>
        </w:tc>
        <w:tc>
          <w:tcPr>
            <w:tcW w:w="1660" w:type="dxa"/>
            <w:vAlign w:val="bottom"/>
            <w:tcBorders>
              <w:right w:val="single" w:sz="8" w:color="BECE33"/>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005A64"/>
              </w:rPr>
              <w:t>—</w:t>
            </w:r>
          </w:p>
        </w:tc>
        <w:tc>
          <w:tcPr>
            <w:tcW w:w="1100" w:type="dxa"/>
            <w:vAlign w:val="bottom"/>
            <w:gridSpan w:val="2"/>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(13.8)</w:t>
            </w:r>
          </w:p>
        </w:tc>
        <w:tc>
          <w:tcPr>
            <w:tcW w:w="0" w:type="dxa"/>
            <w:vAlign w:val="bottom"/>
          </w:tcPr>
          <w:p>
            <w:pPr>
              <w:spacing w:after="0"/>
              <w:rPr>
                <w:sz w:val="1"/>
                <w:szCs w:val="1"/>
                <w:color w:val="auto"/>
              </w:rPr>
            </w:pPr>
          </w:p>
        </w:tc>
      </w:tr>
      <w:tr>
        <w:trPr>
          <w:trHeight w:val="50"/>
        </w:trPr>
        <w:tc>
          <w:tcPr>
            <w:tcW w:w="7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7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Impairment losses and reversals of impairment losses on financial assets (operating result), net</w:t>
            </w:r>
          </w:p>
        </w:tc>
        <w:tc>
          <w:tcPr>
            <w:tcW w:w="16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(0.3)</w:t>
            </w:r>
          </w:p>
        </w:tc>
        <w:tc>
          <w:tcPr>
            <w:tcW w:w="12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w:t>
            </w:r>
          </w:p>
        </w:tc>
        <w:tc>
          <w:tcPr>
            <w:tcW w:w="0" w:type="dxa"/>
            <w:vAlign w:val="bottom"/>
          </w:tcPr>
          <w:p>
            <w:pPr>
              <w:spacing w:after="0"/>
              <w:rPr>
                <w:sz w:val="1"/>
                <w:szCs w:val="1"/>
                <w:color w:val="auto"/>
              </w:rPr>
            </w:pPr>
          </w:p>
        </w:tc>
      </w:tr>
      <w:tr>
        <w:trPr>
          <w:trHeight w:val="50"/>
        </w:trPr>
        <w:tc>
          <w:tcPr>
            <w:tcW w:w="7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7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Other</w:t>
            </w:r>
          </w:p>
        </w:tc>
        <w:tc>
          <w:tcPr>
            <w:tcW w:w="16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(5.0)</w:t>
            </w:r>
          </w:p>
        </w:tc>
        <w:tc>
          <w:tcPr>
            <w:tcW w:w="12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(8.8)</w:t>
            </w:r>
          </w:p>
        </w:tc>
        <w:tc>
          <w:tcPr>
            <w:tcW w:w="0" w:type="dxa"/>
            <w:vAlign w:val="bottom"/>
          </w:tcPr>
          <w:p>
            <w:pPr>
              <w:spacing w:after="0"/>
              <w:rPr>
                <w:sz w:val="1"/>
                <w:szCs w:val="1"/>
                <w:color w:val="auto"/>
              </w:rPr>
            </w:pPr>
          </w:p>
        </w:tc>
      </w:tr>
      <w:tr>
        <w:trPr>
          <w:trHeight w:val="50"/>
        </w:trPr>
        <w:tc>
          <w:tcPr>
            <w:tcW w:w="7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other operating result</w:t>
            </w:r>
          </w:p>
        </w:tc>
        <w:tc>
          <w:tcPr>
            <w:tcW w:w="16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(16.4)</w:t>
            </w:r>
          </w:p>
        </w:tc>
        <w:tc>
          <w:tcPr>
            <w:tcW w:w="12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13.1</w:t>
            </w:r>
          </w:p>
        </w:tc>
        <w:tc>
          <w:tcPr>
            <w:tcW w:w="0" w:type="dxa"/>
            <w:vAlign w:val="bottom"/>
          </w:tcPr>
          <w:p>
            <w:pPr>
              <w:spacing w:after="0"/>
              <w:rPr>
                <w:sz w:val="1"/>
                <w:szCs w:val="1"/>
                <w:color w:val="auto"/>
              </w:rPr>
            </w:pPr>
          </w:p>
        </w:tc>
      </w:tr>
      <w:tr>
        <w:trPr>
          <w:trHeight w:val="50"/>
        </w:trPr>
        <w:tc>
          <w:tcPr>
            <w:tcW w:w="77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bottom w:val="single" w:sz="8" w:color="BECE33"/>
            </w:tcBorders>
          </w:tcPr>
          <w:p>
            <w:pPr>
              <w:spacing w:after="0"/>
              <w:rPr>
                <w:sz w:val="4"/>
                <w:szCs w:val="4"/>
                <w:color w:val="auto"/>
              </w:rPr>
            </w:pPr>
          </w:p>
        </w:tc>
        <w:tc>
          <w:tcPr>
            <w:tcW w:w="1540" w:type="dxa"/>
            <w:vAlign w:val="bottom"/>
            <w:tcBorders>
              <w:bottom w:val="single" w:sz="8" w:color="BECE33"/>
            </w:tcBorders>
          </w:tcPr>
          <w:p>
            <w:pPr>
              <w:spacing w:after="0"/>
              <w:rPr>
                <w:sz w:val="4"/>
                <w:szCs w:val="4"/>
                <w:color w:val="auto"/>
              </w:rPr>
            </w:pPr>
          </w:p>
        </w:tc>
        <w:tc>
          <w:tcPr>
            <w:tcW w:w="120" w:type="dxa"/>
            <w:vAlign w:val="bottom"/>
            <w:tcBorders>
              <w:bottom w:val="single" w:sz="8" w:color="BECE33"/>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Borders>
              <w:bottom w:val="single" w:sz="8" w:color="005A64"/>
            </w:tcBorders>
          </w:tcPr>
          <w:p>
            <w:pPr>
              <w:spacing w:after="0"/>
              <w:rPr>
                <w:sz w:val="4"/>
                <w:szCs w:val="4"/>
                <w:color w:val="auto"/>
              </w:rPr>
            </w:pPr>
          </w:p>
        </w:tc>
        <w:tc>
          <w:tcPr>
            <w:tcW w:w="5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Our total other operating result decreased by €29.5 million from a positive operating result of €13.1 million during the three months ended March 31, 2025 to a negative operating result of €16.4 million during the three months ended March 31, 2026. Our expenses in connection with our pipeline prioritization included employee-related costs of €7.4 million.</w:t>
      </w:r>
    </w:p>
    <w:p>
      <w:pPr>
        <w:spacing w:after="0" w:line="200" w:lineRule="exact"/>
        <w:rPr>
          <w:sz w:val="20"/>
          <w:szCs w:val="20"/>
          <w:color w:val="auto"/>
        </w:rPr>
      </w:pP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w:t>
            </w:r>
          </w:p>
        </w:tc>
      </w:tr>
    </w:tbl>
    <w:p>
      <w:pPr>
        <w:sectPr>
          <w:pgSz w:w="11900" w:h="16838" w:orient="portrait"/>
          <w:cols w:equalWidth="0" w:num="1">
            <w:col w:w="11240"/>
          </w:cols>
          <w:pgMar w:left="320" w:top="388" w:right="339" w:bottom="1440" w:gutter="0" w:footer="0" w:header="0"/>
        </w:sectPr>
      </w:pPr>
    </w:p>
    <w:bookmarkStart w:id="19" w:name="page20"/>
    <w:bookmarkEnd w:id="1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3C9673"/>
        </w:rPr>
        <w:drawing>
          <wp:anchor simplePos="0" relativeHeight="251657728" behindDoc="1" locked="0" layoutInCell="0" allowOverlap="1">
            <wp:simplePos x="0" y="0"/>
            <wp:positionH relativeFrom="page">
              <wp:posOffset>2016760</wp:posOffset>
            </wp:positionH>
            <wp:positionV relativeFrom="page">
              <wp:posOffset>106045</wp:posOffset>
            </wp:positionV>
            <wp:extent cx="222885" cy="6858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C3C3C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20320</wp:posOffset>
            </wp:positionV>
            <wp:extent cx="222885" cy="6858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4.3 Finance Result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The finance result recognized during the three months ended March 31, 2026, is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15175"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490347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903470" cy="8890"/>
                    </a:xfrm>
                    <a:prstGeom prst="rect">
                      <a:avLst/>
                    </a:prstGeom>
                    <a:noFill/>
                  </pic:spPr>
                </pic:pic>
              </a:graphicData>
            </a:graphic>
          </wp:anchor>
        </w:drawing>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Total finance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490347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903470" cy="8890"/>
                    </a:xfrm>
                    <a:prstGeom prst="rect">
                      <a:avLst/>
                    </a:prstGeom>
                    <a:noFill/>
                  </pic:spPr>
                </pic:pic>
              </a:graphicData>
            </a:graphic>
          </wp:anchor>
        </w:drawing>
      </w:r>
    </w:p>
    <w:p>
      <w:pPr>
        <w:spacing w:after="0" w:line="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Interest income from effective interest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90347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903470" cy="889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Other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90347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903470" cy="8890"/>
                    </a:xfrm>
                    <a:prstGeom prst="rect">
                      <a:avLst/>
                    </a:prstGeom>
                    <a:noFill/>
                  </pic:spPr>
                </pic:pic>
              </a:graphicData>
            </a:graphic>
          </wp:anchor>
        </w:drawing>
      </w:r>
    </w:p>
    <w:p>
      <w:pPr>
        <w:spacing w:after="0" w:line="89" w:lineRule="exact"/>
        <w:rPr>
          <w:sz w:val="20"/>
          <w:szCs w:val="20"/>
          <w:color w:val="auto"/>
        </w:rPr>
      </w:pPr>
    </w:p>
    <w:p>
      <w:pPr>
        <w:ind w:left="540" w:right="320"/>
        <w:spacing w:after="0" w:line="291" w:lineRule="auto"/>
        <w:rPr>
          <w:sz w:val="20"/>
          <w:szCs w:val="20"/>
          <w:color w:val="auto"/>
        </w:rPr>
      </w:pPr>
      <w:r>
        <w:rPr>
          <w:rFonts w:ascii="Times New Roman" w:cs="Times New Roman" w:eastAsia="Times New Roman" w:hAnsi="Times New Roman"/>
          <w:sz w:val="14"/>
          <w:szCs w:val="14"/>
          <w:color w:val="005A64"/>
        </w:rPr>
        <w:t>Gains from financial assets or financial liabilities that are mandatorily measured at fair value through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490347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2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005A64"/>
        </w:rPr>
        <w:t>Other gains from financial assets subsequently measured at amortized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90347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Foreign exchange differences,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9034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Total finance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49034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Interest expenses from effective interest method and other interest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9034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Foreign exchange differences,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9034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Other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90347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89" w:lineRule="exact"/>
        <w:rPr>
          <w:sz w:val="20"/>
          <w:szCs w:val="20"/>
          <w:color w:val="auto"/>
        </w:rPr>
      </w:pPr>
    </w:p>
    <w:p>
      <w:pPr>
        <w:ind w:left="540" w:right="260"/>
        <w:spacing w:after="0" w:line="291" w:lineRule="auto"/>
        <w:rPr>
          <w:sz w:val="20"/>
          <w:szCs w:val="20"/>
          <w:color w:val="auto"/>
        </w:rPr>
      </w:pPr>
      <w:r>
        <w:rPr>
          <w:rFonts w:ascii="Times New Roman" w:cs="Times New Roman" w:eastAsia="Times New Roman" w:hAnsi="Times New Roman"/>
          <w:sz w:val="14"/>
          <w:szCs w:val="14"/>
          <w:color w:val="005A64"/>
        </w:rPr>
        <w:t>Losses from financial assets or financial liabilities that are mandatorily measured at fair value through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490347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903470" cy="8890"/>
                    </a:xfrm>
                    <a:prstGeom prst="rect">
                      <a:avLst/>
                    </a:prstGeom>
                    <a:noFill/>
                  </pic:spPr>
                </pic:pic>
              </a:graphicData>
            </a:graphic>
          </wp:anchor>
        </w:drawing>
      </w:r>
    </w:p>
    <w:p>
      <w:pPr>
        <w:spacing w:after="0" w:line="257" w:lineRule="exact"/>
        <w:rPr>
          <w:sz w:val="20"/>
          <w:szCs w:val="20"/>
          <w:color w:val="auto"/>
        </w:rPr>
      </w:pPr>
    </w:p>
    <w:p>
      <w:pPr>
        <w:ind w:left="540" w:right="620"/>
        <w:spacing w:after="0" w:line="342" w:lineRule="auto"/>
        <w:rPr>
          <w:sz w:val="20"/>
          <w:szCs w:val="20"/>
          <w:color w:val="auto"/>
        </w:rPr>
      </w:pPr>
      <w:r>
        <w:rPr>
          <w:rFonts w:ascii="Times New Roman" w:cs="Times New Roman" w:eastAsia="Times New Roman" w:hAnsi="Times New Roman"/>
          <w:sz w:val="14"/>
          <w:szCs w:val="14"/>
          <w:color w:val="005A64"/>
        </w:rPr>
        <w:t>Fee expense from financial assets and financial liabilities that are not subsequently measured at fair value through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490347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b w:val="1"/>
          <w:bCs w:val="1"/>
          <w:color w:val="005A64"/>
        </w:rPr>
        <w:t>Total finance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490347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5A64"/>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119380</wp:posOffset>
            </wp:positionV>
            <wp:extent cx="1114425" cy="27946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114425" cy="2794635"/>
                    </a:xfrm>
                    <a:prstGeom prst="rect">
                      <a:avLst/>
                    </a:prstGeom>
                    <a:noFill/>
                  </pic:spPr>
                </pic:pic>
              </a:graphicData>
            </a:graphic>
          </wp:anchor>
        </w:drawing>
      </w:r>
    </w:p>
    <w:p>
      <w:pPr>
        <w:spacing w:after="0" w:line="184" w:lineRule="exact"/>
        <w:rPr>
          <w:sz w:val="20"/>
          <w:szCs w:val="20"/>
          <w:color w:val="auto"/>
        </w:rPr>
      </w:pPr>
    </w:p>
    <w:p>
      <w:pPr>
        <w:jc w:val="both"/>
        <w:ind w:left="580"/>
        <w:spacing w:after="0"/>
        <w:tabs>
          <w:tab w:leader="none" w:pos="2320" w:val="left"/>
        </w:tabs>
        <w:rPr>
          <w:sz w:val="20"/>
          <w:szCs w:val="20"/>
          <w:color w:val="auto"/>
        </w:rPr>
      </w:pPr>
      <w:r>
        <w:rPr>
          <w:rFonts w:ascii="Times New Roman" w:cs="Times New Roman" w:eastAsia="Times New Roman" w:hAnsi="Times New Roman"/>
          <w:sz w:val="14"/>
          <w:szCs w:val="14"/>
          <w:b w:val="1"/>
          <w:bCs w:val="1"/>
          <w:color w:val="005A64"/>
        </w:rPr>
        <w:t>2026</w:t>
      </w:r>
      <w:r>
        <w:rPr>
          <w:sz w:val="20"/>
          <w:szCs w:val="20"/>
          <w:color w:val="auto"/>
        </w:rPr>
        <w:tab/>
      </w:r>
      <w:r>
        <w:rPr>
          <w:rFonts w:ascii="Times New Roman" w:cs="Times New Roman" w:eastAsia="Times New Roman" w:hAnsi="Times New Roman"/>
          <w:sz w:val="14"/>
          <w:szCs w:val="14"/>
          <w:b w:val="1"/>
          <w:bCs w:val="1"/>
          <w:color w:val="005A64"/>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59055</wp:posOffset>
            </wp:positionV>
            <wp:extent cx="96901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03" w:lineRule="exact"/>
        <w:rPr>
          <w:sz w:val="20"/>
          <w:szCs w:val="20"/>
          <w:color w:val="auto"/>
        </w:rPr>
      </w:pPr>
    </w:p>
    <w:p>
      <w:pPr>
        <w:jc w:val="right"/>
        <w:ind w:right="40"/>
        <w:spacing w:after="0"/>
        <w:tabs>
          <w:tab w:leader="none" w:pos="320" w:val="left"/>
        </w:tabs>
        <w:rPr>
          <w:sz w:val="20"/>
          <w:szCs w:val="20"/>
          <w:color w:val="auto"/>
        </w:rPr>
      </w:pPr>
      <w:r>
        <w:rPr>
          <w:rFonts w:ascii="Times New Roman" w:cs="Times New Roman" w:eastAsia="Times New Roman" w:hAnsi="Times New Roman"/>
          <w:sz w:val="14"/>
          <w:szCs w:val="14"/>
          <w:b w:val="1"/>
          <w:bCs w:val="1"/>
          <w:color w:val="005A64"/>
        </w:rPr>
        <w:t>120.6</w:t>
      </w:r>
      <w:r>
        <w:rPr>
          <w:sz w:val="20"/>
          <w:szCs w:val="20"/>
          <w:color w:val="auto"/>
        </w:rPr>
        <w:tab/>
      </w:r>
      <w:r>
        <w:rPr>
          <w:rFonts w:ascii="Times New Roman" w:cs="Times New Roman" w:eastAsia="Times New Roman" w:hAnsi="Times New Roman"/>
          <w:sz w:val="14"/>
          <w:szCs w:val="14"/>
          <w:b w:val="1"/>
          <w:bCs w:val="1"/>
          <w:color w:val="005A64"/>
        </w:rPr>
        <w:t>122.6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50800</wp:posOffset>
            </wp:positionV>
            <wp:extent cx="96901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91" w:lineRule="exact"/>
        <w:rPr>
          <w:sz w:val="20"/>
          <w:szCs w:val="20"/>
          <w:color w:val="auto"/>
        </w:rPr>
      </w:pPr>
    </w:p>
    <w:p>
      <w:pPr>
        <w:ind w:left="620"/>
        <w:spacing w:after="0"/>
        <w:tabs>
          <w:tab w:leader="none" w:pos="2340" w:val="left"/>
        </w:tabs>
        <w:rPr>
          <w:sz w:val="20"/>
          <w:szCs w:val="20"/>
          <w:color w:val="auto"/>
        </w:rPr>
      </w:pPr>
      <w:r>
        <w:rPr>
          <w:rFonts w:ascii="Times New Roman" w:cs="Times New Roman" w:eastAsia="Times New Roman" w:hAnsi="Times New Roman"/>
          <w:sz w:val="14"/>
          <w:szCs w:val="14"/>
          <w:color w:val="005A64"/>
        </w:rPr>
        <w:t>61.7</w:t>
      </w:r>
      <w:r>
        <w:rPr>
          <w:sz w:val="20"/>
          <w:szCs w:val="20"/>
          <w:color w:val="auto"/>
        </w:rPr>
        <w:tab/>
      </w:r>
      <w:r>
        <w:rPr>
          <w:rFonts w:ascii="Times New Roman" w:cs="Times New Roman" w:eastAsia="Times New Roman" w:hAnsi="Times New Roman"/>
          <w:sz w:val="14"/>
          <w:szCs w:val="14"/>
          <w:color w:val="005A64"/>
        </w:rPr>
        <w:t>77.0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49530</wp:posOffset>
            </wp:positionV>
            <wp:extent cx="96901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89" w:lineRule="exact"/>
        <w:rPr>
          <w:sz w:val="20"/>
          <w:szCs w:val="20"/>
          <w:color w:val="auto"/>
        </w:rPr>
      </w:pPr>
    </w:p>
    <w:p>
      <w:pPr>
        <w:ind w:left="620"/>
        <w:spacing w:after="0"/>
        <w:tabs>
          <w:tab w:leader="none" w:pos="2340" w:val="left"/>
        </w:tabs>
        <w:rPr>
          <w:sz w:val="20"/>
          <w:szCs w:val="20"/>
          <w:color w:val="auto"/>
        </w:rPr>
      </w:pPr>
      <w:r>
        <w:rPr>
          <w:rFonts w:ascii="Times New Roman" w:cs="Times New Roman" w:eastAsia="Times New Roman" w:hAnsi="Times New Roman"/>
          <w:sz w:val="14"/>
          <w:szCs w:val="14"/>
          <w:color w:val="005A64"/>
        </w:rPr>
        <w:t>49.3</w:t>
      </w:r>
      <w:r>
        <w:rPr>
          <w:sz w:val="20"/>
          <w:szCs w:val="20"/>
          <w:color w:val="auto"/>
        </w:rPr>
        <w:tab/>
      </w:r>
      <w:r>
        <w:rPr>
          <w:rFonts w:ascii="Times New Roman" w:cs="Times New Roman" w:eastAsia="Times New Roman" w:hAnsi="Times New Roman"/>
          <w:sz w:val="14"/>
          <w:szCs w:val="14"/>
          <w:color w:val="005A64"/>
        </w:rPr>
        <w:t>45.6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49530</wp:posOffset>
            </wp:positionV>
            <wp:extent cx="96901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84" w:lineRule="exact"/>
        <w:rPr>
          <w:sz w:val="20"/>
          <w:szCs w:val="20"/>
          <w:color w:val="auto"/>
        </w:rPr>
      </w:pPr>
    </w:p>
    <w:p>
      <w:pPr>
        <w:ind w:left="620"/>
        <w:spacing w:after="0"/>
        <w:tabs>
          <w:tab w:leader="none" w:pos="2340" w:val="left"/>
        </w:tabs>
        <w:rPr>
          <w:sz w:val="20"/>
          <w:szCs w:val="20"/>
          <w:color w:val="auto"/>
        </w:rPr>
      </w:pPr>
      <w:r>
        <w:rPr>
          <w:rFonts w:ascii="Times New Roman" w:cs="Times New Roman" w:eastAsia="Times New Roman" w:hAnsi="Times New Roman"/>
          <w:sz w:val="14"/>
          <w:szCs w:val="14"/>
          <w:color w:val="005A64"/>
        </w:rPr>
        <w:t>48.2</w:t>
      </w:r>
      <w:r>
        <w:rPr>
          <w:sz w:val="20"/>
          <w:szCs w:val="20"/>
          <w:color w:val="auto"/>
        </w:rPr>
        <w:tab/>
      </w:r>
      <w:r>
        <w:rPr>
          <w:rFonts w:ascii="Times New Roman" w:cs="Times New Roman" w:eastAsia="Times New Roman" w:hAnsi="Times New Roman"/>
          <w:sz w:val="14"/>
          <w:szCs w:val="14"/>
          <w:color w:val="005A64"/>
        </w:rPr>
        <w:t>45.6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118110</wp:posOffset>
            </wp:positionV>
            <wp:extent cx="96901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spacing w:after="0" w:line="197" w:lineRule="exact"/>
        <w:rPr>
          <w:sz w:val="20"/>
          <w:szCs w:val="20"/>
          <w:color w:val="auto"/>
        </w:rPr>
      </w:pPr>
    </w:p>
    <w:p>
      <w:pPr>
        <w:ind w:left="700"/>
        <w:spacing w:after="0"/>
        <w:tabs>
          <w:tab w:leader="none" w:pos="2460" w:val="left"/>
        </w:tabs>
        <w:rPr>
          <w:sz w:val="20"/>
          <w:szCs w:val="20"/>
          <w:color w:val="auto"/>
        </w:rPr>
      </w:pPr>
      <w:r>
        <w:rPr>
          <w:rFonts w:ascii="Times New Roman" w:cs="Times New Roman" w:eastAsia="Times New Roman" w:hAnsi="Times New Roman"/>
          <w:sz w:val="14"/>
          <w:szCs w:val="14"/>
          <w:color w:val="005A64"/>
        </w:rPr>
        <w:t>1.1</w:t>
      </w:r>
      <w:r>
        <w:rPr>
          <w:sz w:val="20"/>
          <w:szCs w:val="20"/>
          <w:color w:val="auto"/>
        </w:rPr>
        <w:tab/>
      </w:r>
      <w:r>
        <w:rPr>
          <w:rFonts w:ascii="Times New Roman" w:cs="Times New Roman" w:eastAsia="Times New Roman" w:hAnsi="Times New Roman"/>
          <w:sz w:val="14"/>
          <w:szCs w:val="14"/>
          <w:color w:val="005A6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49530</wp:posOffset>
            </wp:positionV>
            <wp:extent cx="96901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spacing w:after="0" w:line="89" w:lineRule="exact"/>
        <w:rPr>
          <w:sz w:val="20"/>
          <w:szCs w:val="20"/>
          <w:color w:val="auto"/>
        </w:rPr>
      </w:pPr>
    </w:p>
    <w:p>
      <w:pPr>
        <w:ind w:left="700"/>
        <w:spacing w:after="0"/>
        <w:tabs>
          <w:tab w:leader="none" w:pos="2460" w:val="left"/>
        </w:tabs>
        <w:rPr>
          <w:sz w:val="20"/>
          <w:szCs w:val="20"/>
          <w:color w:val="auto"/>
        </w:rPr>
      </w:pPr>
      <w:r>
        <w:rPr>
          <w:rFonts w:ascii="Times New Roman" w:cs="Times New Roman" w:eastAsia="Times New Roman" w:hAnsi="Times New Roman"/>
          <w:sz w:val="14"/>
          <w:szCs w:val="14"/>
          <w:color w:val="005A64"/>
        </w:rPr>
        <w:t>9.6</w:t>
      </w:r>
      <w:r>
        <w:rPr>
          <w:sz w:val="20"/>
          <w:szCs w:val="20"/>
          <w:color w:val="auto"/>
        </w:rPr>
        <w:tab/>
      </w:r>
      <w:r>
        <w:rPr>
          <w:rFonts w:ascii="Times New Roman" w:cs="Times New Roman" w:eastAsia="Times New Roman" w:hAnsi="Times New Roman"/>
          <w:sz w:val="14"/>
          <w:szCs w:val="14"/>
          <w:color w:val="005A6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49530</wp:posOffset>
            </wp:positionV>
            <wp:extent cx="96901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spacing w:after="0" w:line="87" w:lineRule="exact"/>
        <w:rPr>
          <w:sz w:val="20"/>
          <w:szCs w:val="20"/>
          <w:color w:val="auto"/>
        </w:rPr>
      </w:pPr>
    </w:p>
    <w:p>
      <w:pPr>
        <w:ind w:left="520"/>
        <w:spacing w:after="0"/>
        <w:tabs>
          <w:tab w:leader="none" w:pos="2240" w:val="left"/>
        </w:tabs>
        <w:rPr>
          <w:sz w:val="20"/>
          <w:szCs w:val="20"/>
          <w:color w:val="auto"/>
        </w:rPr>
      </w:pPr>
      <w:r>
        <w:rPr>
          <w:rFonts w:ascii="Times New Roman" w:cs="Times New Roman" w:eastAsia="Times New Roman" w:hAnsi="Times New Roman"/>
          <w:sz w:val="14"/>
          <w:szCs w:val="14"/>
          <w:b w:val="1"/>
          <w:bCs w:val="1"/>
          <w:color w:val="005A64"/>
        </w:rPr>
        <w:t>(11.2)</w:t>
      </w:r>
      <w:r>
        <w:rPr>
          <w:sz w:val="20"/>
          <w:szCs w:val="20"/>
          <w:color w:val="auto"/>
        </w:rPr>
        <w:tab/>
      </w:r>
      <w:r>
        <w:rPr>
          <w:rFonts w:ascii="Times New Roman" w:cs="Times New Roman" w:eastAsia="Times New Roman" w:hAnsi="Times New Roman"/>
          <w:sz w:val="14"/>
          <w:szCs w:val="14"/>
          <w:b w:val="1"/>
          <w:bCs w:val="1"/>
          <w:color w:val="005A64"/>
        </w:rPr>
        <w:t>(33.9)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50800</wp:posOffset>
            </wp:positionV>
            <wp:extent cx="96901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spacing w:after="0" w:line="91" w:lineRule="exact"/>
        <w:rPr>
          <w:sz w:val="20"/>
          <w:szCs w:val="20"/>
          <w:color w:val="auto"/>
        </w:rPr>
      </w:pPr>
    </w:p>
    <w:p>
      <w:pPr>
        <w:ind w:left="580"/>
        <w:spacing w:after="0"/>
        <w:tabs>
          <w:tab w:leader="none" w:pos="2320" w:val="left"/>
        </w:tabs>
        <w:rPr>
          <w:sz w:val="20"/>
          <w:szCs w:val="20"/>
          <w:color w:val="auto"/>
        </w:rPr>
      </w:pPr>
      <w:r>
        <w:rPr>
          <w:rFonts w:ascii="Times New Roman" w:cs="Times New Roman" w:eastAsia="Times New Roman" w:hAnsi="Times New Roman"/>
          <w:sz w:val="14"/>
          <w:szCs w:val="14"/>
          <w:color w:val="005A64"/>
        </w:rPr>
        <w:t>(4.0)</w:t>
      </w:r>
      <w:r>
        <w:rPr>
          <w:sz w:val="20"/>
          <w:szCs w:val="20"/>
          <w:color w:val="auto"/>
        </w:rPr>
        <w:tab/>
      </w:r>
      <w:r>
        <w:rPr>
          <w:rFonts w:ascii="Times New Roman" w:cs="Times New Roman" w:eastAsia="Times New Roman" w:hAnsi="Times New Roman"/>
          <w:sz w:val="14"/>
          <w:szCs w:val="14"/>
          <w:color w:val="005A64"/>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49530</wp:posOffset>
            </wp:positionV>
            <wp:extent cx="96901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spacing w:after="0" w:line="89" w:lineRule="exact"/>
        <w:rPr>
          <w:sz w:val="20"/>
          <w:szCs w:val="20"/>
          <w:color w:val="auto"/>
        </w:rPr>
      </w:pPr>
    </w:p>
    <w:p>
      <w:pPr>
        <w:ind w:left="740"/>
        <w:spacing w:after="0"/>
        <w:tabs>
          <w:tab w:leader="none" w:pos="2240" w:val="left"/>
        </w:tabs>
        <w:rPr>
          <w:sz w:val="20"/>
          <w:szCs w:val="20"/>
          <w:color w:val="auto"/>
        </w:rPr>
      </w:pPr>
      <w:r>
        <w:rPr>
          <w:rFonts w:ascii="Times New Roman" w:cs="Times New Roman" w:eastAsia="Times New Roman" w:hAnsi="Times New Roman"/>
          <w:sz w:val="14"/>
          <w:szCs w:val="14"/>
          <w:color w:val="005A64"/>
        </w:rPr>
        <w:t>—</w:t>
      </w:r>
      <w:r>
        <w:rPr>
          <w:sz w:val="20"/>
          <w:szCs w:val="20"/>
          <w:color w:val="auto"/>
        </w:rPr>
        <w:tab/>
      </w:r>
      <w:r>
        <w:rPr>
          <w:rFonts w:ascii="Times New Roman" w:cs="Times New Roman" w:eastAsia="Times New Roman" w:hAnsi="Times New Roman"/>
          <w:sz w:val="14"/>
          <w:szCs w:val="14"/>
          <w:color w:val="005A64"/>
        </w:rPr>
        <w:t>(26.0)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49530</wp:posOffset>
            </wp:positionV>
            <wp:extent cx="96901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spacing w:after="0" w:line="89" w:lineRule="exact"/>
        <w:rPr>
          <w:sz w:val="20"/>
          <w:szCs w:val="20"/>
          <w:color w:val="auto"/>
        </w:rPr>
      </w:pPr>
    </w:p>
    <w:p>
      <w:pPr>
        <w:ind w:left="580"/>
        <w:spacing w:after="0"/>
        <w:tabs>
          <w:tab w:leader="none" w:pos="2320" w:val="left"/>
        </w:tabs>
        <w:rPr>
          <w:sz w:val="20"/>
          <w:szCs w:val="20"/>
          <w:color w:val="auto"/>
        </w:rPr>
      </w:pPr>
      <w:r>
        <w:rPr>
          <w:rFonts w:ascii="Times New Roman" w:cs="Times New Roman" w:eastAsia="Times New Roman" w:hAnsi="Times New Roman"/>
          <w:sz w:val="14"/>
          <w:szCs w:val="14"/>
          <w:color w:val="005A64"/>
        </w:rPr>
        <w:t>(7.2)</w:t>
      </w:r>
      <w:r>
        <w:rPr>
          <w:sz w:val="20"/>
          <w:szCs w:val="20"/>
          <w:color w:val="auto"/>
        </w:rPr>
        <w:tab/>
      </w:r>
      <w:r>
        <w:rPr>
          <w:rFonts w:ascii="Times New Roman" w:cs="Times New Roman" w:eastAsia="Times New Roman" w:hAnsi="Times New Roman"/>
          <w:sz w:val="14"/>
          <w:szCs w:val="14"/>
          <w:color w:val="005A64"/>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49530</wp:posOffset>
            </wp:positionV>
            <wp:extent cx="96901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spacing w:after="0" w:line="184" w:lineRule="exact"/>
        <w:rPr>
          <w:sz w:val="20"/>
          <w:szCs w:val="20"/>
          <w:color w:val="auto"/>
        </w:rPr>
      </w:pPr>
    </w:p>
    <w:p>
      <w:pPr>
        <w:ind w:left="580"/>
        <w:spacing w:after="0"/>
        <w:tabs>
          <w:tab w:leader="none" w:pos="2320" w:val="left"/>
        </w:tabs>
        <w:rPr>
          <w:sz w:val="20"/>
          <w:szCs w:val="20"/>
          <w:color w:val="auto"/>
        </w:rPr>
      </w:pPr>
      <w:r>
        <w:rPr>
          <w:rFonts w:ascii="Times New Roman" w:cs="Times New Roman" w:eastAsia="Times New Roman" w:hAnsi="Times New Roman"/>
          <w:sz w:val="14"/>
          <w:szCs w:val="14"/>
          <w:color w:val="005A64"/>
        </w:rPr>
        <w:t>(6.5)</w:t>
      </w:r>
      <w:r>
        <w:rPr>
          <w:sz w:val="20"/>
          <w:szCs w:val="20"/>
          <w:color w:val="auto"/>
        </w:rPr>
        <w:tab/>
      </w:r>
      <w:r>
        <w:rPr>
          <w:rFonts w:ascii="Times New Roman" w:cs="Times New Roman" w:eastAsia="Times New Roman" w:hAnsi="Times New Roman"/>
          <w:sz w:val="14"/>
          <w:szCs w:val="14"/>
          <w:color w:val="005A64"/>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118110</wp:posOffset>
            </wp:positionV>
            <wp:extent cx="96901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92" w:lineRule="exact"/>
        <w:rPr>
          <w:sz w:val="20"/>
          <w:szCs w:val="20"/>
          <w:color w:val="auto"/>
        </w:rPr>
      </w:pPr>
    </w:p>
    <w:p>
      <w:pPr>
        <w:ind w:left="580"/>
        <w:spacing w:after="0"/>
        <w:tabs>
          <w:tab w:leader="none" w:pos="2320" w:val="left"/>
        </w:tabs>
        <w:rPr>
          <w:sz w:val="20"/>
          <w:szCs w:val="20"/>
          <w:color w:val="auto"/>
        </w:rPr>
      </w:pPr>
      <w:r>
        <w:rPr>
          <w:rFonts w:ascii="Times New Roman" w:cs="Times New Roman" w:eastAsia="Times New Roman" w:hAnsi="Times New Roman"/>
          <w:sz w:val="14"/>
          <w:szCs w:val="14"/>
          <w:color w:val="005A64"/>
        </w:rPr>
        <w:t>(0.7)</w:t>
      </w:r>
      <w:r>
        <w:rPr>
          <w:sz w:val="20"/>
          <w:szCs w:val="20"/>
          <w:color w:val="auto"/>
        </w:rPr>
        <w:tab/>
      </w:r>
      <w:r>
        <w:rPr>
          <w:rFonts w:ascii="Times New Roman" w:cs="Times New Roman" w:eastAsia="Times New Roman" w:hAnsi="Times New Roman"/>
          <w:sz w:val="14"/>
          <w:szCs w:val="14"/>
          <w:color w:val="005A64"/>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118110</wp:posOffset>
            </wp:positionV>
            <wp:extent cx="96901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spacing w:after="0" w:line="195" w:lineRule="exact"/>
        <w:rPr>
          <w:sz w:val="20"/>
          <w:szCs w:val="20"/>
          <w:color w:val="auto"/>
        </w:rPr>
      </w:pPr>
    </w:p>
    <w:p>
      <w:pPr>
        <w:ind w:left="540"/>
        <w:spacing w:after="0"/>
        <w:tabs>
          <w:tab w:leader="none" w:pos="2340" w:val="left"/>
        </w:tabs>
        <w:rPr>
          <w:sz w:val="20"/>
          <w:szCs w:val="20"/>
          <w:color w:val="auto"/>
        </w:rPr>
      </w:pPr>
      <w:r>
        <w:rPr>
          <w:rFonts w:ascii="Times New Roman" w:cs="Times New Roman" w:eastAsia="Times New Roman" w:hAnsi="Times New Roman"/>
          <w:sz w:val="14"/>
          <w:szCs w:val="14"/>
          <w:b w:val="1"/>
          <w:bCs w:val="1"/>
          <w:color w:val="005A64"/>
        </w:rPr>
        <w:t>109.4</w:t>
      </w:r>
      <w:r>
        <w:rPr>
          <w:sz w:val="20"/>
          <w:szCs w:val="20"/>
          <w:color w:val="auto"/>
        </w:rPr>
        <w:tab/>
      </w:r>
      <w:r>
        <w:rPr>
          <w:rFonts w:ascii="Times New Roman" w:cs="Times New Roman" w:eastAsia="Times New Roman" w:hAnsi="Times New Roman"/>
          <w:sz w:val="14"/>
          <w:szCs w:val="14"/>
          <w:b w:val="1"/>
          <w:bCs w:val="1"/>
          <w:color w:val="005A64"/>
        </w:rPr>
        <w:t>88.7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50800</wp:posOffset>
            </wp:positionV>
            <wp:extent cx="96901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40" w:space="720"/>
            <w:col w:w="2680"/>
          </w:cols>
          <w:pgMar w:left="320" w:top="388" w:right="339" w:bottom="1440" w:gutter="0" w:footer="0" w:header="0"/>
          <w:type w:val="continuous"/>
        </w:sectPr>
      </w:pPr>
    </w:p>
    <w:p>
      <w:pPr>
        <w:spacing w:after="0" w:line="266"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Our finance result during the three months ended March 31, 2026 and 2025 was mainly derived from returns, such as interest, resulting from our financial investments as well as fair value adjustments of our money market funds. Our total finance result increased by €20.7 million from a positive finance result of €88.7 million during the three months ended March 31, 2025 to a positive finance result of €109.4 million during the three months ended March 31, 2026. This development was mainly due to positive impacts from foreign exchange differences, primarily derived from our security investments.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5. Income Taxes</w:t>
      </w:r>
    </w:p>
    <w:p>
      <w:pPr>
        <w:spacing w:after="0" w:line="190"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During the three months ended March 31, 2026 and 2025 income taxes were calculated based on the best estimate of the weighted average annual income tax rates expected for the full financial years (estimated annual effective income tax rates) on ordinary income before tax adjusted by the tax effect of any discrete items. During the three months ended March 31, 2026, our effective income tax rate was approximately 6.4%. During the three months ended March 31, 2025, our effective income tax rate was approximately 6.6%.</w:t>
      </w:r>
    </w:p>
    <w:p>
      <w:pPr>
        <w:spacing w:after="0" w:line="23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The effective income tax rate was mainly driven by the expected negative result for 2026 and management’s assessment of the requirements in International Accounting Standards, or IAS, 12, including on the character and amounts of taxable future profits, the periods in which those profits are expected to occur, and the availability of tax planning opportunities. Thus, in countries where the requirements of IAS 12 were not fulfilled, no deferred tax asset was recognized. Such assessment takes into account the fact that there is an inherent risk of failure in pharmaceutical development and uncertainty of approvals that depend on external regulatory agencies’ opinions.</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w:t>
            </w:r>
          </w:p>
        </w:tc>
      </w:tr>
    </w:tbl>
    <w:p>
      <w:pPr>
        <w:sectPr>
          <w:pgSz w:w="11900" w:h="16838" w:orient="portrait"/>
          <w:cols w:equalWidth="0" w:num="1">
            <w:col w:w="11240"/>
          </w:cols>
          <w:pgMar w:left="320" w:top="388" w:right="339" w:bottom="1440" w:gutter="0" w:footer="0" w:header="0"/>
          <w:type w:val="continuous"/>
        </w:sectPr>
      </w:pPr>
    </w:p>
    <w:bookmarkStart w:id="20" w:name="page21"/>
    <w:bookmarkEnd w:id="2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3C9673"/>
        </w:rPr>
        <w:drawing>
          <wp:anchor simplePos="0" relativeHeight="251657728" behindDoc="1" locked="0" layoutInCell="0" allowOverlap="1">
            <wp:simplePos x="0" y="0"/>
            <wp:positionH relativeFrom="page">
              <wp:posOffset>2016760</wp:posOffset>
            </wp:positionH>
            <wp:positionV relativeFrom="page">
              <wp:posOffset>106045</wp:posOffset>
            </wp:positionV>
            <wp:extent cx="222885" cy="6858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C3C3C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20320</wp:posOffset>
            </wp:positionV>
            <wp:extent cx="222885" cy="6858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apply the mandatory exception to recognizing and disclosing information about deferred tax assets and liabilities arising from Pillar Two income taxes. Furthermore, we reviewed the corporate structure with regard to the Pillar Two Model Rules in various jurisdictions. Since the Group’s relevant effective tax rate for Pillar Two purposes is expected mainly above 15% in all jurisdictions in which it operates, it has been determined that the Group is not materially subject to Pillar Two “top-up” taxes. Therefore, the consolidated financial statements for the three months ended March 31, 2026 do not include further information otherwise required by paragraphs 88B and 88C of IAS 12.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Our income taxes recognized during the three months ended March 31, 2026 and 2025, are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15175"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005A64"/>
              </w:rPr>
              <w:t>Three months ended March 31,</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1640" w:type="dxa"/>
            <w:vAlign w:val="bottom"/>
            <w:tcBorders>
              <w:bottom w:val="single" w:sz="8" w:color="BECD32"/>
            </w:tcBorders>
            <w:gridSpan w:val="2"/>
          </w:tcPr>
          <w:p>
            <w:pPr>
              <w:spacing w:after="0"/>
              <w:rPr>
                <w:sz w:val="13"/>
                <w:szCs w:val="13"/>
                <w:color w:val="auto"/>
              </w:rPr>
            </w:pPr>
          </w:p>
        </w:tc>
        <w:tc>
          <w:tcPr>
            <w:tcW w:w="120" w:type="dxa"/>
            <w:vAlign w:val="bottom"/>
            <w:tcBorders>
              <w:bottom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0" w:type="dxa"/>
            <w:vAlign w:val="bottom"/>
          </w:tcPr>
          <w:p>
            <w:pPr>
              <w:spacing w:after="0"/>
              <w:rPr>
                <w:sz w:val="1"/>
                <w:szCs w:val="1"/>
                <w:color w:val="auto"/>
              </w:rPr>
            </w:pPr>
          </w:p>
        </w:tc>
      </w:tr>
      <w:tr>
        <w:trPr>
          <w:trHeight w:val="199"/>
        </w:trPr>
        <w:tc>
          <w:tcPr>
            <w:tcW w:w="7840" w:type="dxa"/>
            <w:vAlign w:val="bottom"/>
            <w:gridSpan w:val="2"/>
            <w:vMerge w:val="continue"/>
          </w:tcPr>
          <w:p>
            <w:pPr>
              <w:spacing w:after="0"/>
              <w:rPr>
                <w:sz w:val="17"/>
                <w:szCs w:val="17"/>
                <w:color w:val="auto"/>
              </w:rPr>
            </w:pPr>
          </w:p>
        </w:tc>
        <w:tc>
          <w:tcPr>
            <w:tcW w:w="16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2026</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77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D32"/>
            </w:tcBorders>
          </w:tcPr>
          <w:p>
            <w:pPr>
              <w:spacing w:after="0"/>
              <w:rPr>
                <w:sz w:val="4"/>
                <w:szCs w:val="4"/>
                <w:color w:val="auto"/>
              </w:rPr>
            </w:pPr>
          </w:p>
        </w:tc>
        <w:tc>
          <w:tcPr>
            <w:tcW w:w="154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Borders>
              <w:bottom w:val="single" w:sz="8" w:color="005A64"/>
            </w:tcBorders>
          </w:tcPr>
          <w:p>
            <w:pPr>
              <w:spacing w:after="0"/>
              <w:rPr>
                <w:sz w:val="4"/>
                <w:szCs w:val="4"/>
                <w:color w:val="auto"/>
              </w:rPr>
            </w:pPr>
          </w:p>
        </w:tc>
        <w:tc>
          <w:tcPr>
            <w:tcW w:w="5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Current income taxes</w:t>
            </w:r>
          </w:p>
        </w:tc>
        <w:tc>
          <w:tcPr>
            <w:tcW w:w="16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2.2</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2.7</w:t>
            </w:r>
          </w:p>
        </w:tc>
        <w:tc>
          <w:tcPr>
            <w:tcW w:w="0" w:type="dxa"/>
            <w:vAlign w:val="bottom"/>
          </w:tcPr>
          <w:p>
            <w:pPr>
              <w:spacing w:after="0"/>
              <w:rPr>
                <w:sz w:val="1"/>
                <w:szCs w:val="1"/>
                <w:color w:val="auto"/>
              </w:rPr>
            </w:pPr>
          </w:p>
        </w:tc>
      </w:tr>
      <w:tr>
        <w:trPr>
          <w:trHeight w:val="51"/>
        </w:trPr>
        <w:tc>
          <w:tcPr>
            <w:tcW w:w="7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D32"/>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Deferred taxes</w:t>
            </w:r>
          </w:p>
        </w:tc>
        <w:tc>
          <w:tcPr>
            <w:tcW w:w="16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(38.4)</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(32.3)</w:t>
            </w:r>
          </w:p>
        </w:tc>
        <w:tc>
          <w:tcPr>
            <w:tcW w:w="0" w:type="dxa"/>
            <w:vAlign w:val="bottom"/>
          </w:tcPr>
          <w:p>
            <w:pPr>
              <w:spacing w:after="0"/>
              <w:rPr>
                <w:sz w:val="1"/>
                <w:szCs w:val="1"/>
                <w:color w:val="auto"/>
              </w:rPr>
            </w:pPr>
          </w:p>
        </w:tc>
      </w:tr>
      <w:tr>
        <w:trPr>
          <w:trHeight w:val="51"/>
        </w:trPr>
        <w:tc>
          <w:tcPr>
            <w:tcW w:w="7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D32"/>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Income taxes income</w:t>
            </w:r>
          </w:p>
        </w:tc>
        <w:tc>
          <w:tcPr>
            <w:tcW w:w="16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(36.2)</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(29.6)</w:t>
            </w:r>
          </w:p>
        </w:tc>
        <w:tc>
          <w:tcPr>
            <w:tcW w:w="0" w:type="dxa"/>
            <w:vAlign w:val="bottom"/>
          </w:tcPr>
          <w:p>
            <w:pPr>
              <w:spacing w:after="0"/>
              <w:rPr>
                <w:sz w:val="1"/>
                <w:szCs w:val="1"/>
                <w:color w:val="auto"/>
              </w:rPr>
            </w:pPr>
          </w:p>
        </w:tc>
      </w:tr>
      <w:tr>
        <w:trPr>
          <w:trHeight w:val="51"/>
        </w:trPr>
        <w:tc>
          <w:tcPr>
            <w:tcW w:w="77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D32"/>
              <w:bottom w:val="single" w:sz="8" w:color="BECD32"/>
            </w:tcBorders>
          </w:tcPr>
          <w:p>
            <w:pPr>
              <w:spacing w:after="0"/>
              <w:rPr>
                <w:sz w:val="4"/>
                <w:szCs w:val="4"/>
                <w:color w:val="auto"/>
              </w:rPr>
            </w:pPr>
          </w:p>
        </w:tc>
        <w:tc>
          <w:tcPr>
            <w:tcW w:w="1540" w:type="dxa"/>
            <w:vAlign w:val="bottom"/>
            <w:tcBorders>
              <w:bottom w:val="single" w:sz="8" w:color="BECD32"/>
            </w:tcBorders>
          </w:tcPr>
          <w:p>
            <w:pPr>
              <w:spacing w:after="0"/>
              <w:rPr>
                <w:sz w:val="4"/>
                <w:szCs w:val="4"/>
                <w:color w:val="auto"/>
              </w:rPr>
            </w:pPr>
          </w:p>
        </w:tc>
        <w:tc>
          <w:tcPr>
            <w:tcW w:w="120" w:type="dxa"/>
            <w:vAlign w:val="bottom"/>
            <w:tcBorders>
              <w:bottom w:val="single" w:sz="8" w:color="BECD32"/>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Borders>
              <w:bottom w:val="single" w:sz="8" w:color="005A64"/>
            </w:tcBorders>
          </w:tcPr>
          <w:p>
            <w:pPr>
              <w:spacing w:after="0"/>
              <w:rPr>
                <w:sz w:val="4"/>
                <w:szCs w:val="4"/>
                <w:color w:val="auto"/>
              </w:rPr>
            </w:pPr>
          </w:p>
        </w:tc>
        <w:tc>
          <w:tcPr>
            <w:tcW w:w="5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6. Other Intangible Assets</w:t>
      </w:r>
    </w:p>
    <w:p>
      <w:pPr>
        <w:spacing w:after="0" w:line="190"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We identify indications of impairment of other intangible assets using various factors from external and internal information sources, including deviations from sales forecasts and the analysis of changes in medium-term planning.</w:t>
      </w:r>
    </w:p>
    <w:p>
      <w:pPr>
        <w:spacing w:after="0" w:line="217"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During the three months ended March 31, 2026, we recognized impairment losses of €37.7 million, mainly recognized as research and development expenses in the interim consolidated statements of profit or loss and resulting mainly from our product candidate BNT331 of €29.9 million. This impairment was identified following management’s decision to pause the program due to strategic considerations. The recoverable amount of the intangible asset, calculated as its value in use, was determined to be zero and therefore the asset was fully impaired as of March 31, 2026.</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7. Financial Assets and Financial Liabilities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Financial Assets and Liabilities at Amortized Cost and at Fair Value through OCI and Profit or Loss</w:t>
      </w:r>
    </w:p>
    <w:p>
      <w:pPr>
        <w:spacing w:after="0" w:line="165"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Set out below is an overview of financial assets and liabilities at amortized cost and at fair value through OCI and profit or loss, as of the dates indicated. Security investments are debt instruments under our asset management policy that generate a return individually and independently of our core operating activities.</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w:t>
            </w:r>
          </w:p>
        </w:tc>
      </w:tr>
    </w:tbl>
    <w:p>
      <w:pPr>
        <w:sectPr>
          <w:pgSz w:w="11900" w:h="16838" w:orient="portrait"/>
          <w:cols w:equalWidth="0" w:num="1">
            <w:col w:w="11220"/>
          </w:cols>
          <w:pgMar w:left="320" w:top="388" w:right="359" w:bottom="1440" w:gutter="0" w:footer="0" w:header="0"/>
        </w:sectPr>
      </w:pPr>
    </w:p>
    <w:bookmarkStart w:id="21" w:name="page22"/>
    <w:bookmarkEnd w:id="2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3C9673"/>
        </w:rPr>
        <w:drawing>
          <wp:anchor simplePos="0" relativeHeight="251657728" behindDoc="1" locked="0" layoutInCell="0" allowOverlap="1">
            <wp:simplePos x="0" y="0"/>
            <wp:positionH relativeFrom="page">
              <wp:posOffset>2016760</wp:posOffset>
            </wp:positionH>
            <wp:positionV relativeFrom="page">
              <wp:posOffset>106045</wp:posOffset>
            </wp:positionV>
            <wp:extent cx="222885" cy="6858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C3C3C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20320</wp:posOffset>
            </wp:positionV>
            <wp:extent cx="222885" cy="6858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22885" cy="685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749300</wp:posOffset>
            </wp:positionV>
            <wp:extent cx="7115175"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005A64"/>
        </w:rPr>
        <w:t>March 31, 2026</w:t>
      </w:r>
    </w:p>
    <w:p>
      <w:pPr>
        <w:sectPr>
          <w:pgSz w:w="11900" w:h="16838" w:orient="portrait"/>
          <w:cols w:equalWidth="0" w:num="1">
            <w:col w:w="11240"/>
          </w:cols>
          <w:pgMar w:left="320" w:top="388" w:right="339" w:bottom="1440" w:gutter="0" w:footer="0" w:header="0"/>
        </w:sect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005A64"/>
              </w:rPr>
              <w:t>Security</w:t>
            </w:r>
          </w:p>
        </w:tc>
        <w:tc>
          <w:tcPr>
            <w:tcW w:w="0" w:type="dxa"/>
            <w:vAlign w:val="bottom"/>
          </w:tcPr>
          <w:p>
            <w:pPr>
              <w:spacing w:after="0"/>
              <w:rPr>
                <w:sz w:val="1"/>
                <w:szCs w:val="1"/>
                <w:color w:val="auto"/>
              </w:rPr>
            </w:pPr>
          </w:p>
        </w:tc>
      </w:tr>
      <w:tr>
        <w:trPr>
          <w:trHeight w:val="189"/>
        </w:trPr>
        <w:tc>
          <w:tcPr>
            <w:tcW w:w="2100" w:type="dxa"/>
            <w:vAlign w:val="bottom"/>
            <w:tcBorders>
              <w:bottom w:val="single" w:sz="8" w:color="005A64"/>
            </w:tcBorders>
          </w:tcPr>
          <w:p>
            <w:pPr>
              <w:ind w:left="20"/>
              <w:spacing w:after="0"/>
              <w:rPr>
                <w:sz w:val="20"/>
                <w:szCs w:val="20"/>
                <w:color w:val="auto"/>
              </w:rPr>
            </w:pPr>
            <w:r>
              <w:rPr>
                <w:rFonts w:ascii="Times New Roman" w:cs="Times New Roman" w:eastAsia="Times New Roman" w:hAnsi="Times New Roman"/>
                <w:sz w:val="12"/>
                <w:szCs w:val="12"/>
                <w:i w:val="1"/>
                <w:iCs w:val="1"/>
                <w:color w:val="005A64"/>
              </w:rPr>
              <w:t>(in millions €)</w:t>
            </w:r>
          </w:p>
        </w:tc>
        <w:tc>
          <w:tcPr>
            <w:tcW w:w="160" w:type="dxa"/>
            <w:vAlign w:val="bottom"/>
          </w:tcPr>
          <w:p>
            <w:pPr>
              <w:spacing w:after="0"/>
              <w:rPr>
                <w:sz w:val="16"/>
                <w:szCs w:val="16"/>
                <w:color w:val="auto"/>
              </w:rPr>
            </w:pPr>
          </w:p>
        </w:tc>
        <w:tc>
          <w:tcPr>
            <w:tcW w:w="1000" w:type="dxa"/>
            <w:vAlign w:val="bottom"/>
            <w:tcBorders>
              <w:bottom w:val="single" w:sz="8" w:color="005A64"/>
            </w:tcBorders>
          </w:tcPr>
          <w:p>
            <w:pPr>
              <w:ind w:left="20"/>
              <w:spacing w:after="0"/>
              <w:rPr>
                <w:sz w:val="20"/>
                <w:szCs w:val="20"/>
                <w:color w:val="auto"/>
              </w:rPr>
            </w:pPr>
            <w:r>
              <w:rPr>
                <w:rFonts w:ascii="Times New Roman" w:cs="Times New Roman" w:eastAsia="Times New Roman" w:hAnsi="Times New Roman"/>
                <w:sz w:val="12"/>
                <w:szCs w:val="12"/>
                <w:b w:val="1"/>
                <w:bCs w:val="1"/>
                <w:color w:val="005A64"/>
              </w:rPr>
              <w:t>Investment</w:t>
            </w:r>
          </w:p>
        </w:tc>
        <w:tc>
          <w:tcPr>
            <w:tcW w:w="0" w:type="dxa"/>
            <w:vAlign w:val="bottom"/>
          </w:tcPr>
          <w:p>
            <w:pPr>
              <w:spacing w:after="0"/>
              <w:rPr>
                <w:sz w:val="1"/>
                <w:szCs w:val="1"/>
                <w:color w:val="auto"/>
              </w:rPr>
            </w:pPr>
          </w:p>
        </w:tc>
      </w:tr>
      <w:tr>
        <w:trPr>
          <w:trHeight w:val="183"/>
        </w:trPr>
        <w:tc>
          <w:tcPr>
            <w:tcW w:w="210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assets</w:t>
            </w:r>
          </w:p>
        </w:tc>
        <w:tc>
          <w:tcPr>
            <w:tcW w:w="160" w:type="dxa"/>
            <w:vAlign w:val="bottom"/>
          </w:tcPr>
          <w:p>
            <w:pPr>
              <w:spacing w:after="0"/>
              <w:rPr>
                <w:sz w:val="15"/>
                <w:szCs w:val="15"/>
                <w:color w:val="auto"/>
              </w:rPr>
            </w:pPr>
          </w:p>
        </w:tc>
        <w:tc>
          <w:tcPr>
            <w:tcW w:w="1000" w:type="dxa"/>
            <w:vAlign w:val="bottom"/>
            <w:tcBorders>
              <w:bottom w:val="single" w:sz="8" w:color="7FACB1"/>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Foreign exchange forward contracts</w:t>
            </w:r>
          </w:p>
        </w:tc>
        <w:tc>
          <w:tcPr>
            <w:tcW w:w="1000" w:type="dxa"/>
            <w:vAlign w:val="bottom"/>
          </w:tcPr>
          <w:p>
            <w:pPr>
              <w:ind w:left="20"/>
              <w:spacing w:after="0"/>
              <w:rPr>
                <w:sz w:val="20"/>
                <w:szCs w:val="20"/>
                <w:color w:val="auto"/>
              </w:rPr>
            </w:pPr>
            <w:r>
              <w:rPr>
                <w:rFonts w:ascii="Times New Roman" w:cs="Times New Roman" w:eastAsia="Times New Roman" w:hAnsi="Times New Roman"/>
                <w:sz w:val="12"/>
                <w:szCs w:val="12"/>
                <w:color w:val="005A64"/>
              </w:rPr>
              <w:t>No</w:t>
            </w:r>
          </w:p>
        </w:tc>
        <w:tc>
          <w:tcPr>
            <w:tcW w:w="0" w:type="dxa"/>
            <w:vAlign w:val="bottom"/>
          </w:tcPr>
          <w:p>
            <w:pPr>
              <w:spacing w:after="0"/>
              <w:rPr>
                <w:sz w:val="1"/>
                <w:szCs w:val="1"/>
                <w:color w:val="auto"/>
              </w:rPr>
            </w:pPr>
          </w:p>
        </w:tc>
      </w:tr>
      <w:tr>
        <w:trPr>
          <w:trHeight w:val="33"/>
        </w:trPr>
        <w:tc>
          <w:tcPr>
            <w:tcW w:w="21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Other funds</w:t>
            </w:r>
          </w:p>
        </w:tc>
        <w:tc>
          <w:tcPr>
            <w:tcW w:w="1000" w:type="dxa"/>
            <w:vAlign w:val="bottom"/>
          </w:tcPr>
          <w:p>
            <w:pPr>
              <w:ind w:left="20"/>
              <w:spacing w:after="0"/>
              <w:rPr>
                <w:sz w:val="20"/>
                <w:szCs w:val="20"/>
                <w:color w:val="auto"/>
              </w:rPr>
            </w:pPr>
            <w:r>
              <w:rPr>
                <w:rFonts w:ascii="Times New Roman" w:cs="Times New Roman" w:eastAsia="Times New Roman" w:hAnsi="Times New Roman"/>
                <w:sz w:val="12"/>
                <w:szCs w:val="12"/>
                <w:color w:val="005A64"/>
              </w:rPr>
              <w:t>Yes</w:t>
            </w:r>
          </w:p>
        </w:tc>
        <w:tc>
          <w:tcPr>
            <w:tcW w:w="0" w:type="dxa"/>
            <w:vAlign w:val="bottom"/>
          </w:tcPr>
          <w:p>
            <w:pPr>
              <w:spacing w:after="0"/>
              <w:rPr>
                <w:sz w:val="1"/>
                <w:szCs w:val="1"/>
                <w:color w:val="auto"/>
              </w:rPr>
            </w:pPr>
          </w:p>
        </w:tc>
      </w:tr>
      <w:tr>
        <w:trPr>
          <w:trHeight w:val="33"/>
        </w:trPr>
        <w:tc>
          <w:tcPr>
            <w:tcW w:w="21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Deposits</w:t>
            </w:r>
          </w:p>
        </w:tc>
        <w:tc>
          <w:tcPr>
            <w:tcW w:w="1000" w:type="dxa"/>
            <w:vAlign w:val="bottom"/>
          </w:tcPr>
          <w:p>
            <w:pPr>
              <w:ind w:left="20"/>
              <w:spacing w:after="0"/>
              <w:rPr>
                <w:sz w:val="20"/>
                <w:szCs w:val="20"/>
                <w:color w:val="auto"/>
              </w:rPr>
            </w:pPr>
            <w:r>
              <w:rPr>
                <w:rFonts w:ascii="Times New Roman" w:cs="Times New Roman" w:eastAsia="Times New Roman" w:hAnsi="Times New Roman"/>
                <w:sz w:val="12"/>
                <w:szCs w:val="12"/>
                <w:color w:val="005A64"/>
              </w:rPr>
              <w:t>Yes</w:t>
            </w:r>
          </w:p>
        </w:tc>
        <w:tc>
          <w:tcPr>
            <w:tcW w:w="0" w:type="dxa"/>
            <w:vAlign w:val="bottom"/>
          </w:tcPr>
          <w:p>
            <w:pPr>
              <w:spacing w:after="0"/>
              <w:rPr>
                <w:sz w:val="1"/>
                <w:szCs w:val="1"/>
                <w:color w:val="auto"/>
              </w:rPr>
            </w:pPr>
          </w:p>
        </w:tc>
      </w:tr>
      <w:tr>
        <w:trPr>
          <w:trHeight w:val="74"/>
        </w:trPr>
        <w:tc>
          <w:tcPr>
            <w:tcW w:w="21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Commercial Paper</w:t>
            </w:r>
          </w:p>
        </w:tc>
        <w:tc>
          <w:tcPr>
            <w:tcW w:w="1000" w:type="dxa"/>
            <w:vAlign w:val="bottom"/>
          </w:tcPr>
          <w:p>
            <w:pPr>
              <w:ind w:left="20"/>
              <w:spacing w:after="0"/>
              <w:rPr>
                <w:sz w:val="20"/>
                <w:szCs w:val="20"/>
                <w:color w:val="auto"/>
              </w:rPr>
            </w:pPr>
            <w:r>
              <w:rPr>
                <w:rFonts w:ascii="Times New Roman" w:cs="Times New Roman" w:eastAsia="Times New Roman" w:hAnsi="Times New Roman"/>
                <w:sz w:val="12"/>
                <w:szCs w:val="12"/>
                <w:color w:val="005A64"/>
              </w:rPr>
              <w:t>Yes</w:t>
            </w:r>
          </w:p>
        </w:tc>
        <w:tc>
          <w:tcPr>
            <w:tcW w:w="0" w:type="dxa"/>
            <w:vAlign w:val="bottom"/>
          </w:tcPr>
          <w:p>
            <w:pPr>
              <w:spacing w:after="0"/>
              <w:rPr>
                <w:sz w:val="1"/>
                <w:szCs w:val="1"/>
                <w:color w:val="auto"/>
              </w:rPr>
            </w:pPr>
          </w:p>
        </w:tc>
      </w:tr>
      <w:tr>
        <w:trPr>
          <w:trHeight w:val="74"/>
        </w:trPr>
        <w:tc>
          <w:tcPr>
            <w:tcW w:w="21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Bonds</w:t>
            </w:r>
          </w:p>
        </w:tc>
        <w:tc>
          <w:tcPr>
            <w:tcW w:w="1000" w:type="dxa"/>
            <w:vAlign w:val="bottom"/>
          </w:tcPr>
          <w:p>
            <w:pPr>
              <w:ind w:left="20"/>
              <w:spacing w:after="0"/>
              <w:rPr>
                <w:sz w:val="20"/>
                <w:szCs w:val="20"/>
                <w:color w:val="auto"/>
              </w:rPr>
            </w:pPr>
            <w:r>
              <w:rPr>
                <w:rFonts w:ascii="Times New Roman" w:cs="Times New Roman" w:eastAsia="Times New Roman" w:hAnsi="Times New Roman"/>
                <w:sz w:val="12"/>
                <w:szCs w:val="12"/>
                <w:color w:val="005A64"/>
              </w:rPr>
              <w:t>Yes</w:t>
            </w:r>
          </w:p>
        </w:tc>
        <w:tc>
          <w:tcPr>
            <w:tcW w:w="0" w:type="dxa"/>
            <w:vAlign w:val="bottom"/>
          </w:tcPr>
          <w:p>
            <w:pPr>
              <w:spacing w:after="0"/>
              <w:rPr>
                <w:sz w:val="1"/>
                <w:szCs w:val="1"/>
                <w:color w:val="auto"/>
              </w:rPr>
            </w:pPr>
          </w:p>
        </w:tc>
      </w:tr>
      <w:tr>
        <w:trPr>
          <w:trHeight w:val="74"/>
        </w:trPr>
        <w:tc>
          <w:tcPr>
            <w:tcW w:w="21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Repos</w:t>
            </w:r>
          </w:p>
        </w:tc>
        <w:tc>
          <w:tcPr>
            <w:tcW w:w="1000" w:type="dxa"/>
            <w:vAlign w:val="bottom"/>
          </w:tcPr>
          <w:p>
            <w:pPr>
              <w:ind w:left="20"/>
              <w:spacing w:after="0"/>
              <w:rPr>
                <w:sz w:val="20"/>
                <w:szCs w:val="20"/>
                <w:color w:val="auto"/>
              </w:rPr>
            </w:pPr>
            <w:r>
              <w:rPr>
                <w:rFonts w:ascii="Times New Roman" w:cs="Times New Roman" w:eastAsia="Times New Roman" w:hAnsi="Times New Roman"/>
                <w:sz w:val="12"/>
                <w:szCs w:val="12"/>
                <w:color w:val="005A64"/>
              </w:rPr>
              <w:t>Yes</w:t>
            </w:r>
          </w:p>
        </w:tc>
        <w:tc>
          <w:tcPr>
            <w:tcW w:w="0" w:type="dxa"/>
            <w:vAlign w:val="bottom"/>
          </w:tcPr>
          <w:p>
            <w:pPr>
              <w:spacing w:after="0"/>
              <w:rPr>
                <w:sz w:val="1"/>
                <w:szCs w:val="1"/>
                <w:color w:val="auto"/>
              </w:rPr>
            </w:pPr>
          </w:p>
        </w:tc>
      </w:tr>
      <w:tr>
        <w:trPr>
          <w:trHeight w:val="74"/>
        </w:trPr>
        <w:tc>
          <w:tcPr>
            <w:tcW w:w="21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Non-listed equity investments</w:t>
            </w:r>
          </w:p>
        </w:tc>
        <w:tc>
          <w:tcPr>
            <w:tcW w:w="1000" w:type="dxa"/>
            <w:vAlign w:val="bottom"/>
          </w:tcPr>
          <w:p>
            <w:pPr>
              <w:ind w:left="20"/>
              <w:spacing w:after="0"/>
              <w:rPr>
                <w:sz w:val="20"/>
                <w:szCs w:val="20"/>
                <w:color w:val="auto"/>
              </w:rPr>
            </w:pPr>
            <w:r>
              <w:rPr>
                <w:rFonts w:ascii="Times New Roman" w:cs="Times New Roman" w:eastAsia="Times New Roman" w:hAnsi="Times New Roman"/>
                <w:sz w:val="12"/>
                <w:szCs w:val="12"/>
                <w:color w:val="005A64"/>
              </w:rPr>
              <w:t>No</w:t>
            </w:r>
          </w:p>
        </w:tc>
        <w:tc>
          <w:tcPr>
            <w:tcW w:w="0" w:type="dxa"/>
            <w:vAlign w:val="bottom"/>
          </w:tcPr>
          <w:p>
            <w:pPr>
              <w:spacing w:after="0"/>
              <w:rPr>
                <w:sz w:val="1"/>
                <w:szCs w:val="1"/>
                <w:color w:val="auto"/>
              </w:rPr>
            </w:pPr>
          </w:p>
        </w:tc>
      </w:tr>
      <w:tr>
        <w:trPr>
          <w:trHeight w:val="33"/>
        </w:trPr>
        <w:tc>
          <w:tcPr>
            <w:tcW w:w="21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Listed equity investments</w:t>
            </w:r>
          </w:p>
        </w:tc>
        <w:tc>
          <w:tcPr>
            <w:tcW w:w="1000" w:type="dxa"/>
            <w:vAlign w:val="bottom"/>
          </w:tcPr>
          <w:p>
            <w:pPr>
              <w:ind w:left="20"/>
              <w:spacing w:after="0"/>
              <w:rPr>
                <w:sz w:val="20"/>
                <w:szCs w:val="20"/>
                <w:color w:val="auto"/>
              </w:rPr>
            </w:pPr>
            <w:r>
              <w:rPr>
                <w:rFonts w:ascii="Times New Roman" w:cs="Times New Roman" w:eastAsia="Times New Roman" w:hAnsi="Times New Roman"/>
                <w:sz w:val="12"/>
                <w:szCs w:val="12"/>
                <w:color w:val="005A64"/>
              </w:rPr>
              <w:t>No</w:t>
            </w:r>
          </w:p>
        </w:tc>
        <w:tc>
          <w:tcPr>
            <w:tcW w:w="0" w:type="dxa"/>
            <w:vAlign w:val="bottom"/>
          </w:tcPr>
          <w:p>
            <w:pPr>
              <w:spacing w:after="0"/>
              <w:rPr>
                <w:sz w:val="1"/>
                <w:szCs w:val="1"/>
                <w:color w:val="auto"/>
              </w:rPr>
            </w:pPr>
          </w:p>
        </w:tc>
      </w:tr>
      <w:tr>
        <w:trPr>
          <w:trHeight w:val="33"/>
        </w:trPr>
        <w:tc>
          <w:tcPr>
            <w:tcW w:w="21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Trade and other receivables</w:t>
            </w:r>
          </w:p>
        </w:tc>
        <w:tc>
          <w:tcPr>
            <w:tcW w:w="1000" w:type="dxa"/>
            <w:vAlign w:val="bottom"/>
          </w:tcPr>
          <w:p>
            <w:pPr>
              <w:ind w:left="20"/>
              <w:spacing w:after="0"/>
              <w:rPr>
                <w:sz w:val="20"/>
                <w:szCs w:val="20"/>
                <w:color w:val="auto"/>
              </w:rPr>
            </w:pPr>
            <w:r>
              <w:rPr>
                <w:rFonts w:ascii="Times New Roman" w:cs="Times New Roman" w:eastAsia="Times New Roman" w:hAnsi="Times New Roman"/>
                <w:sz w:val="12"/>
                <w:szCs w:val="12"/>
                <w:color w:val="005A64"/>
              </w:rPr>
              <w:t>No</w:t>
            </w:r>
          </w:p>
        </w:tc>
        <w:tc>
          <w:tcPr>
            <w:tcW w:w="0" w:type="dxa"/>
            <w:vAlign w:val="bottom"/>
          </w:tcPr>
          <w:p>
            <w:pPr>
              <w:spacing w:after="0"/>
              <w:rPr>
                <w:sz w:val="1"/>
                <w:szCs w:val="1"/>
                <w:color w:val="auto"/>
              </w:rPr>
            </w:pPr>
          </w:p>
        </w:tc>
      </w:tr>
      <w:tr>
        <w:trPr>
          <w:trHeight w:val="74"/>
        </w:trPr>
        <w:tc>
          <w:tcPr>
            <w:tcW w:w="21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Reimbursement asset</w:t>
            </w:r>
          </w:p>
        </w:tc>
        <w:tc>
          <w:tcPr>
            <w:tcW w:w="1000" w:type="dxa"/>
            <w:vAlign w:val="bottom"/>
          </w:tcPr>
          <w:p>
            <w:pPr>
              <w:ind w:left="20"/>
              <w:spacing w:after="0"/>
              <w:rPr>
                <w:sz w:val="20"/>
                <w:szCs w:val="20"/>
                <w:color w:val="auto"/>
              </w:rPr>
            </w:pPr>
            <w:r>
              <w:rPr>
                <w:rFonts w:ascii="Times New Roman" w:cs="Times New Roman" w:eastAsia="Times New Roman" w:hAnsi="Times New Roman"/>
                <w:sz w:val="12"/>
                <w:szCs w:val="12"/>
                <w:color w:val="005A64"/>
              </w:rPr>
              <w:t>No</w:t>
            </w:r>
          </w:p>
        </w:tc>
        <w:tc>
          <w:tcPr>
            <w:tcW w:w="0" w:type="dxa"/>
            <w:vAlign w:val="bottom"/>
          </w:tcPr>
          <w:p>
            <w:pPr>
              <w:spacing w:after="0"/>
              <w:rPr>
                <w:sz w:val="1"/>
                <w:szCs w:val="1"/>
                <w:color w:val="auto"/>
              </w:rPr>
            </w:pPr>
          </w:p>
        </w:tc>
      </w:tr>
      <w:tr>
        <w:trPr>
          <w:trHeight w:val="74"/>
        </w:trPr>
        <w:tc>
          <w:tcPr>
            <w:tcW w:w="21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Other financial assets</w:t>
            </w:r>
          </w:p>
        </w:tc>
        <w:tc>
          <w:tcPr>
            <w:tcW w:w="1000" w:type="dxa"/>
            <w:vAlign w:val="bottom"/>
          </w:tcPr>
          <w:p>
            <w:pPr>
              <w:ind w:left="20"/>
              <w:spacing w:after="0"/>
              <w:rPr>
                <w:sz w:val="20"/>
                <w:szCs w:val="20"/>
                <w:color w:val="auto"/>
              </w:rPr>
            </w:pPr>
            <w:r>
              <w:rPr>
                <w:rFonts w:ascii="Times New Roman" w:cs="Times New Roman" w:eastAsia="Times New Roman" w:hAnsi="Times New Roman"/>
                <w:sz w:val="12"/>
                <w:szCs w:val="12"/>
                <w:color w:val="005A64"/>
              </w:rPr>
              <w:t>No</w:t>
            </w:r>
          </w:p>
        </w:tc>
        <w:tc>
          <w:tcPr>
            <w:tcW w:w="0" w:type="dxa"/>
            <w:vAlign w:val="bottom"/>
          </w:tcPr>
          <w:p>
            <w:pPr>
              <w:spacing w:after="0"/>
              <w:rPr>
                <w:sz w:val="1"/>
                <w:szCs w:val="1"/>
                <w:color w:val="auto"/>
              </w:rPr>
            </w:pPr>
          </w:p>
        </w:tc>
      </w:tr>
      <w:tr>
        <w:trPr>
          <w:trHeight w:val="74"/>
        </w:trPr>
        <w:tc>
          <w:tcPr>
            <w:tcW w:w="21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Other financial assets</w:t>
            </w:r>
          </w:p>
        </w:tc>
        <w:tc>
          <w:tcPr>
            <w:tcW w:w="1000" w:type="dxa"/>
            <w:vAlign w:val="bottom"/>
          </w:tcPr>
          <w:p>
            <w:pPr>
              <w:ind w:left="20"/>
              <w:spacing w:after="0"/>
              <w:rPr>
                <w:sz w:val="20"/>
                <w:szCs w:val="20"/>
                <w:color w:val="auto"/>
              </w:rPr>
            </w:pPr>
            <w:r>
              <w:rPr>
                <w:rFonts w:ascii="Times New Roman" w:cs="Times New Roman" w:eastAsia="Times New Roman" w:hAnsi="Times New Roman"/>
                <w:sz w:val="12"/>
                <w:szCs w:val="12"/>
                <w:color w:val="005A64"/>
              </w:rPr>
              <w:t>No</w:t>
            </w:r>
          </w:p>
        </w:tc>
        <w:tc>
          <w:tcPr>
            <w:tcW w:w="0" w:type="dxa"/>
            <w:vAlign w:val="bottom"/>
          </w:tcPr>
          <w:p>
            <w:pPr>
              <w:spacing w:after="0"/>
              <w:rPr>
                <w:sz w:val="1"/>
                <w:szCs w:val="1"/>
                <w:color w:val="auto"/>
              </w:rPr>
            </w:pPr>
          </w:p>
        </w:tc>
      </w:tr>
      <w:tr>
        <w:trPr>
          <w:trHeight w:val="33"/>
        </w:trPr>
        <w:tc>
          <w:tcPr>
            <w:tcW w:w="21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Subtotal</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260" w:type="dxa"/>
            <w:vAlign w:val="bottom"/>
            <w:tcBorders>
              <w:bottom w:val="single" w:sz="8" w:color="005A64"/>
            </w:tcBorders>
            <w:gridSpan w:val="2"/>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260" w:type="dxa"/>
            <w:vAlign w:val="bottom"/>
            <w:tcBorders>
              <w:bottom w:val="single" w:sz="8" w:color="7FACB1"/>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Cash and cash equivalents</w:t>
            </w:r>
          </w:p>
        </w:tc>
        <w:tc>
          <w:tcPr>
            <w:tcW w:w="1000" w:type="dxa"/>
            <w:vAlign w:val="bottom"/>
            <w:tcBorders>
              <w:bottom w:val="single" w:sz="8" w:color="7FACB1"/>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Cash at banks and on hand</w:t>
            </w:r>
          </w:p>
        </w:tc>
        <w:tc>
          <w:tcPr>
            <w:tcW w:w="1000" w:type="dxa"/>
            <w:vAlign w:val="bottom"/>
          </w:tcPr>
          <w:p>
            <w:pPr>
              <w:ind w:left="20"/>
              <w:spacing w:after="0"/>
              <w:rPr>
                <w:sz w:val="20"/>
                <w:szCs w:val="20"/>
                <w:color w:val="auto"/>
              </w:rPr>
            </w:pPr>
            <w:r>
              <w:rPr>
                <w:rFonts w:ascii="Times New Roman" w:cs="Times New Roman" w:eastAsia="Times New Roman" w:hAnsi="Times New Roman"/>
                <w:sz w:val="12"/>
                <w:szCs w:val="12"/>
                <w:color w:val="005A64"/>
              </w:rPr>
              <w:t>Yes</w:t>
            </w:r>
          </w:p>
        </w:tc>
        <w:tc>
          <w:tcPr>
            <w:tcW w:w="0" w:type="dxa"/>
            <w:vAlign w:val="bottom"/>
          </w:tcPr>
          <w:p>
            <w:pPr>
              <w:spacing w:after="0"/>
              <w:rPr>
                <w:sz w:val="1"/>
                <w:szCs w:val="1"/>
                <w:color w:val="auto"/>
              </w:rPr>
            </w:pPr>
          </w:p>
        </w:tc>
      </w:tr>
      <w:tr>
        <w:trPr>
          <w:trHeight w:val="74"/>
        </w:trPr>
        <w:tc>
          <w:tcPr>
            <w:tcW w:w="21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Money market funds</w:t>
            </w:r>
          </w:p>
        </w:tc>
        <w:tc>
          <w:tcPr>
            <w:tcW w:w="1000" w:type="dxa"/>
            <w:vAlign w:val="bottom"/>
          </w:tcPr>
          <w:p>
            <w:pPr>
              <w:ind w:left="20"/>
              <w:spacing w:after="0"/>
              <w:rPr>
                <w:sz w:val="20"/>
                <w:szCs w:val="20"/>
                <w:color w:val="auto"/>
              </w:rPr>
            </w:pPr>
            <w:r>
              <w:rPr>
                <w:rFonts w:ascii="Times New Roman" w:cs="Times New Roman" w:eastAsia="Times New Roman" w:hAnsi="Times New Roman"/>
                <w:sz w:val="12"/>
                <w:szCs w:val="12"/>
                <w:color w:val="005A64"/>
              </w:rPr>
              <w:t>Yes</w:t>
            </w:r>
          </w:p>
        </w:tc>
        <w:tc>
          <w:tcPr>
            <w:tcW w:w="0" w:type="dxa"/>
            <w:vAlign w:val="bottom"/>
          </w:tcPr>
          <w:p>
            <w:pPr>
              <w:spacing w:after="0"/>
              <w:rPr>
                <w:sz w:val="1"/>
                <w:szCs w:val="1"/>
                <w:color w:val="auto"/>
              </w:rPr>
            </w:pPr>
          </w:p>
        </w:tc>
      </w:tr>
      <w:tr>
        <w:trPr>
          <w:trHeight w:val="33"/>
        </w:trPr>
        <w:tc>
          <w:tcPr>
            <w:tcW w:w="21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Deposits, Commercial Paper, Repos (&lt;</w:t>
            </w: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5A64"/>
              </w:rPr>
              <w:t>Yes</w:t>
            </w:r>
          </w:p>
        </w:tc>
        <w:tc>
          <w:tcPr>
            <w:tcW w:w="0" w:type="dxa"/>
            <w:vAlign w:val="bottom"/>
          </w:tcPr>
          <w:p>
            <w:pPr>
              <w:spacing w:after="0"/>
              <w:rPr>
                <w:sz w:val="1"/>
                <w:szCs w:val="1"/>
                <w:color w:val="auto"/>
              </w:rPr>
            </w:pPr>
          </w:p>
        </w:tc>
      </w:tr>
      <w:tr>
        <w:trPr>
          <w:trHeight w:val="81"/>
        </w:trPr>
        <w:tc>
          <w:tcPr>
            <w:tcW w:w="2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5A64"/>
              </w:rPr>
              <w:t>3 months)</w:t>
            </w: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260" w:type="dxa"/>
            <w:vAlign w:val="bottom"/>
            <w:tcBorders>
              <w:bottom w:val="single" w:sz="8" w:color="7FACB1"/>
            </w:tcBorders>
            <w:gridSpan w:val="2"/>
            <w:vMerge w:val="continue"/>
          </w:tcPr>
          <w:p>
            <w:pPr>
              <w:spacing w:after="0"/>
              <w:rPr>
                <w:sz w:val="9"/>
                <w:szCs w:val="9"/>
                <w:color w:val="auto"/>
              </w:rPr>
            </w:pPr>
          </w:p>
        </w:tc>
        <w:tc>
          <w:tcPr>
            <w:tcW w:w="1000" w:type="dxa"/>
            <w:vAlign w:val="bottom"/>
            <w:tcBorders>
              <w:bottom w:val="single" w:sz="8" w:color="7FACB1"/>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Subtotal</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1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10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liabilities</w:t>
            </w:r>
          </w:p>
        </w:tc>
        <w:tc>
          <w:tcPr>
            <w:tcW w:w="160" w:type="dxa"/>
            <w:vAlign w:val="bottom"/>
          </w:tcPr>
          <w:p>
            <w:pPr>
              <w:spacing w:after="0"/>
              <w:rPr>
                <w:sz w:val="15"/>
                <w:szCs w:val="15"/>
                <w:color w:val="auto"/>
              </w:rPr>
            </w:pPr>
          </w:p>
        </w:tc>
        <w:tc>
          <w:tcPr>
            <w:tcW w:w="1000" w:type="dxa"/>
            <w:vAlign w:val="bottom"/>
            <w:tcBorders>
              <w:bottom w:val="single" w:sz="8" w:color="7FACB1"/>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Foreign exchange forward contracts</w:t>
            </w:r>
          </w:p>
        </w:tc>
        <w:tc>
          <w:tcPr>
            <w:tcW w:w="1000" w:type="dxa"/>
            <w:vAlign w:val="bottom"/>
          </w:tcPr>
          <w:p>
            <w:pPr>
              <w:ind w:left="20"/>
              <w:spacing w:after="0"/>
              <w:rPr>
                <w:sz w:val="20"/>
                <w:szCs w:val="20"/>
                <w:color w:val="auto"/>
              </w:rPr>
            </w:pPr>
            <w:r>
              <w:rPr>
                <w:rFonts w:ascii="Times New Roman" w:cs="Times New Roman" w:eastAsia="Times New Roman" w:hAnsi="Times New Roman"/>
                <w:sz w:val="12"/>
                <w:szCs w:val="12"/>
                <w:color w:val="005A64"/>
              </w:rPr>
              <w:t>No</w:t>
            </w:r>
          </w:p>
        </w:tc>
        <w:tc>
          <w:tcPr>
            <w:tcW w:w="0" w:type="dxa"/>
            <w:vAlign w:val="bottom"/>
          </w:tcPr>
          <w:p>
            <w:pPr>
              <w:spacing w:after="0"/>
              <w:rPr>
                <w:sz w:val="1"/>
                <w:szCs w:val="1"/>
                <w:color w:val="auto"/>
              </w:rPr>
            </w:pPr>
          </w:p>
        </w:tc>
      </w:tr>
      <w:tr>
        <w:trPr>
          <w:trHeight w:val="33"/>
        </w:trPr>
        <w:tc>
          <w:tcPr>
            <w:tcW w:w="21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Contingent consideration</w:t>
            </w:r>
          </w:p>
        </w:tc>
        <w:tc>
          <w:tcPr>
            <w:tcW w:w="1000" w:type="dxa"/>
            <w:vAlign w:val="bottom"/>
          </w:tcPr>
          <w:p>
            <w:pPr>
              <w:ind w:left="20"/>
              <w:spacing w:after="0"/>
              <w:rPr>
                <w:sz w:val="20"/>
                <w:szCs w:val="20"/>
                <w:color w:val="auto"/>
              </w:rPr>
            </w:pPr>
            <w:r>
              <w:rPr>
                <w:rFonts w:ascii="Times New Roman" w:cs="Times New Roman" w:eastAsia="Times New Roman" w:hAnsi="Times New Roman"/>
                <w:sz w:val="12"/>
                <w:szCs w:val="12"/>
                <w:color w:val="005A64"/>
              </w:rPr>
              <w:t>No</w:t>
            </w:r>
          </w:p>
        </w:tc>
        <w:tc>
          <w:tcPr>
            <w:tcW w:w="0" w:type="dxa"/>
            <w:vAlign w:val="bottom"/>
          </w:tcPr>
          <w:p>
            <w:pPr>
              <w:spacing w:after="0"/>
              <w:rPr>
                <w:sz w:val="1"/>
                <w:szCs w:val="1"/>
                <w:color w:val="auto"/>
              </w:rPr>
            </w:pPr>
          </w:p>
        </w:tc>
      </w:tr>
      <w:tr>
        <w:trPr>
          <w:trHeight w:val="33"/>
        </w:trPr>
        <w:tc>
          <w:tcPr>
            <w:tcW w:w="21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Loans and borrowings</w:t>
            </w:r>
          </w:p>
        </w:tc>
        <w:tc>
          <w:tcPr>
            <w:tcW w:w="1000" w:type="dxa"/>
            <w:vAlign w:val="bottom"/>
          </w:tcPr>
          <w:p>
            <w:pPr>
              <w:ind w:left="20"/>
              <w:spacing w:after="0"/>
              <w:rPr>
                <w:sz w:val="20"/>
                <w:szCs w:val="20"/>
                <w:color w:val="auto"/>
              </w:rPr>
            </w:pPr>
            <w:r>
              <w:rPr>
                <w:rFonts w:ascii="Times New Roman" w:cs="Times New Roman" w:eastAsia="Times New Roman" w:hAnsi="Times New Roman"/>
                <w:sz w:val="12"/>
                <w:szCs w:val="12"/>
                <w:color w:val="005A64"/>
              </w:rPr>
              <w:t>No</w:t>
            </w:r>
          </w:p>
        </w:tc>
        <w:tc>
          <w:tcPr>
            <w:tcW w:w="0" w:type="dxa"/>
            <w:vAlign w:val="bottom"/>
          </w:tcPr>
          <w:p>
            <w:pPr>
              <w:spacing w:after="0"/>
              <w:rPr>
                <w:sz w:val="1"/>
                <w:szCs w:val="1"/>
                <w:color w:val="auto"/>
              </w:rPr>
            </w:pPr>
          </w:p>
        </w:tc>
      </w:tr>
      <w:tr>
        <w:trPr>
          <w:trHeight w:val="74"/>
        </w:trPr>
        <w:tc>
          <w:tcPr>
            <w:tcW w:w="21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Trade payables and other payables</w:t>
            </w:r>
          </w:p>
        </w:tc>
        <w:tc>
          <w:tcPr>
            <w:tcW w:w="1000" w:type="dxa"/>
            <w:vAlign w:val="bottom"/>
          </w:tcPr>
          <w:p>
            <w:pPr>
              <w:ind w:left="20"/>
              <w:spacing w:after="0"/>
              <w:rPr>
                <w:sz w:val="20"/>
                <w:szCs w:val="20"/>
                <w:color w:val="auto"/>
              </w:rPr>
            </w:pPr>
            <w:r>
              <w:rPr>
                <w:rFonts w:ascii="Times New Roman" w:cs="Times New Roman" w:eastAsia="Times New Roman" w:hAnsi="Times New Roman"/>
                <w:sz w:val="12"/>
                <w:szCs w:val="12"/>
                <w:color w:val="005A64"/>
              </w:rPr>
              <w:t>No</w:t>
            </w:r>
          </w:p>
        </w:tc>
        <w:tc>
          <w:tcPr>
            <w:tcW w:w="0" w:type="dxa"/>
            <w:vAlign w:val="bottom"/>
          </w:tcPr>
          <w:p>
            <w:pPr>
              <w:spacing w:after="0"/>
              <w:rPr>
                <w:sz w:val="1"/>
                <w:szCs w:val="1"/>
                <w:color w:val="auto"/>
              </w:rPr>
            </w:pPr>
          </w:p>
        </w:tc>
      </w:tr>
      <w:tr>
        <w:trPr>
          <w:trHeight w:val="74"/>
        </w:trPr>
        <w:tc>
          <w:tcPr>
            <w:tcW w:w="21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Other financial liabilities</w:t>
            </w:r>
          </w:p>
        </w:tc>
        <w:tc>
          <w:tcPr>
            <w:tcW w:w="1000" w:type="dxa"/>
            <w:vAlign w:val="bottom"/>
          </w:tcPr>
          <w:p>
            <w:pPr>
              <w:ind w:left="20"/>
              <w:spacing w:after="0"/>
              <w:rPr>
                <w:sz w:val="20"/>
                <w:szCs w:val="20"/>
                <w:color w:val="auto"/>
              </w:rPr>
            </w:pPr>
            <w:r>
              <w:rPr>
                <w:rFonts w:ascii="Times New Roman" w:cs="Times New Roman" w:eastAsia="Times New Roman" w:hAnsi="Times New Roman"/>
                <w:sz w:val="12"/>
                <w:szCs w:val="12"/>
                <w:color w:val="005A64"/>
              </w:rPr>
              <w:t>No</w:t>
            </w:r>
          </w:p>
        </w:tc>
        <w:tc>
          <w:tcPr>
            <w:tcW w:w="0" w:type="dxa"/>
            <w:vAlign w:val="bottom"/>
          </w:tcPr>
          <w:p>
            <w:pPr>
              <w:spacing w:after="0"/>
              <w:rPr>
                <w:sz w:val="1"/>
                <w:szCs w:val="1"/>
                <w:color w:val="auto"/>
              </w:rPr>
            </w:pPr>
          </w:p>
        </w:tc>
      </w:tr>
      <w:tr>
        <w:trPr>
          <w:trHeight w:val="74"/>
        </w:trPr>
        <w:tc>
          <w:tcPr>
            <w:tcW w:w="21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Lease liabilities</w:t>
            </w:r>
          </w:p>
        </w:tc>
        <w:tc>
          <w:tcPr>
            <w:tcW w:w="1000" w:type="dxa"/>
            <w:vAlign w:val="bottom"/>
          </w:tcPr>
          <w:p>
            <w:pPr>
              <w:ind w:left="20"/>
              <w:spacing w:after="0"/>
              <w:rPr>
                <w:sz w:val="20"/>
                <w:szCs w:val="20"/>
                <w:color w:val="auto"/>
              </w:rPr>
            </w:pPr>
            <w:r>
              <w:rPr>
                <w:rFonts w:ascii="Times New Roman" w:cs="Times New Roman" w:eastAsia="Times New Roman" w:hAnsi="Times New Roman"/>
                <w:sz w:val="12"/>
                <w:szCs w:val="12"/>
                <w:color w:val="005A64"/>
              </w:rPr>
              <w:t>No</w:t>
            </w:r>
          </w:p>
        </w:tc>
        <w:tc>
          <w:tcPr>
            <w:tcW w:w="0" w:type="dxa"/>
            <w:vAlign w:val="bottom"/>
          </w:tcPr>
          <w:p>
            <w:pPr>
              <w:spacing w:after="0"/>
              <w:rPr>
                <w:sz w:val="1"/>
                <w:szCs w:val="1"/>
                <w:color w:val="auto"/>
              </w:rPr>
            </w:pPr>
          </w:p>
        </w:tc>
      </w:tr>
      <w:tr>
        <w:trPr>
          <w:trHeight w:val="33"/>
        </w:trPr>
        <w:tc>
          <w:tcPr>
            <w:tcW w:w="21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Subtotal</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1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005A64"/>
        </w:rPr>
        <w:t>IFRS 9</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005A64"/>
        </w:rPr>
        <w:t>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53149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21590</wp:posOffset>
            </wp:positionV>
            <wp:extent cx="53149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05A64"/>
        </w:rPr>
        <w:t>FVTPL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29210</wp:posOffset>
            </wp:positionV>
            <wp:extent cx="53149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05A64"/>
        </w:rPr>
        <w:t>FVTPL</w:t>
      </w:r>
    </w:p>
    <w:p>
      <w:pPr>
        <w:spacing w:after="0" w:line="219" w:lineRule="auto"/>
        <w:rPr>
          <w:sz w:val="20"/>
          <w:szCs w:val="20"/>
          <w:color w:val="auto"/>
        </w:rPr>
      </w:pPr>
      <w:r>
        <w:rPr>
          <w:rFonts w:ascii="Times New Roman" w:cs="Times New Roman" w:eastAsia="Times New Roman" w:hAnsi="Times New Roman"/>
          <w:sz w:val="23"/>
          <w:szCs w:val="23"/>
          <w:color w:val="005A64"/>
          <w:vertAlign w:val="subscript"/>
        </w:rPr>
        <w:t>AC</w:t>
      </w:r>
      <w:r>
        <w:rPr>
          <w:rFonts w:ascii="Times New Roman" w:cs="Times New Roman" w:eastAsia="Times New Roman" w:hAnsi="Times New Roman"/>
          <w:sz w:val="8"/>
          <w:szCs w:val="8"/>
          <w:color w:val="005A64"/>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53149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3"/>
          <w:szCs w:val="23"/>
          <w:color w:val="005A64"/>
          <w:vertAlign w:val="subscript"/>
        </w:rPr>
        <w:t>AC</w:t>
      </w:r>
      <w:r>
        <w:rPr>
          <w:rFonts w:ascii="Times New Roman" w:cs="Times New Roman" w:eastAsia="Times New Roman" w:hAnsi="Times New Roman"/>
          <w:sz w:val="8"/>
          <w:szCs w:val="8"/>
          <w:color w:val="005A64"/>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53149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-102870</wp:posOffset>
            </wp:positionV>
            <wp:extent cx="53149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05A64"/>
        </w:rPr>
        <w:t>AC</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005A64"/>
          <w:vertAlign w:val="subscript"/>
        </w:rPr>
        <w:t>AC</w:t>
      </w:r>
      <w:r>
        <w:rPr>
          <w:rFonts w:ascii="Times New Roman" w:cs="Times New Roman" w:eastAsia="Times New Roman" w:hAnsi="Times New Roman"/>
          <w:sz w:val="8"/>
          <w:szCs w:val="8"/>
          <w:color w:val="005A64"/>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53149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-102870</wp:posOffset>
            </wp:positionV>
            <wp:extent cx="53149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05A64"/>
        </w:rPr>
        <w:t>FVTOCI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29210</wp:posOffset>
            </wp:positionV>
            <wp:extent cx="53149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05A64"/>
        </w:rPr>
        <w:t>FVTOCI</w:t>
      </w:r>
    </w:p>
    <w:p>
      <w:pPr>
        <w:spacing w:after="0" w:line="219" w:lineRule="auto"/>
        <w:rPr>
          <w:sz w:val="20"/>
          <w:szCs w:val="20"/>
          <w:color w:val="auto"/>
        </w:rPr>
      </w:pPr>
      <w:r>
        <w:rPr>
          <w:rFonts w:ascii="Times New Roman" w:cs="Times New Roman" w:eastAsia="Times New Roman" w:hAnsi="Times New Roman"/>
          <w:sz w:val="23"/>
          <w:szCs w:val="23"/>
          <w:color w:val="005A64"/>
          <w:vertAlign w:val="subscript"/>
        </w:rPr>
        <w:t>AC</w:t>
      </w:r>
      <w:r>
        <w:rPr>
          <w:rFonts w:ascii="Times New Roman" w:cs="Times New Roman" w:eastAsia="Times New Roman" w:hAnsi="Times New Roman"/>
          <w:sz w:val="8"/>
          <w:szCs w:val="8"/>
          <w:color w:val="005A64"/>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53149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3"/>
          <w:szCs w:val="23"/>
          <w:color w:val="005A64"/>
          <w:vertAlign w:val="subscript"/>
        </w:rPr>
        <w:t>AC</w:t>
      </w:r>
      <w:r>
        <w:rPr>
          <w:rFonts w:ascii="Times New Roman" w:cs="Times New Roman" w:eastAsia="Times New Roman" w:hAnsi="Times New Roman"/>
          <w:sz w:val="8"/>
          <w:szCs w:val="8"/>
          <w:color w:val="005A64"/>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-102870</wp:posOffset>
            </wp:positionV>
            <wp:extent cx="53149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005A64"/>
          <w:vertAlign w:val="subscript"/>
        </w:rPr>
        <w:t>AC</w:t>
      </w:r>
      <w:r>
        <w:rPr>
          <w:rFonts w:ascii="Times New Roman" w:cs="Times New Roman" w:eastAsia="Times New Roman" w:hAnsi="Times New Roman"/>
          <w:sz w:val="8"/>
          <w:szCs w:val="8"/>
          <w:color w:val="005A64"/>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53149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-102870</wp:posOffset>
            </wp:positionV>
            <wp:extent cx="53149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05A64"/>
        </w:rPr>
        <w:t>FVTPL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174625</wp:posOffset>
            </wp:positionV>
            <wp:extent cx="53149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29210</wp:posOffset>
            </wp:positionV>
            <wp:extent cx="53149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005A64"/>
          <w:vertAlign w:val="subscript"/>
        </w:rPr>
        <w:t>AC</w:t>
      </w:r>
      <w:r>
        <w:rPr>
          <w:rFonts w:ascii="Times New Roman" w:cs="Times New Roman" w:eastAsia="Times New Roman" w:hAnsi="Times New Roman"/>
          <w:sz w:val="8"/>
          <w:szCs w:val="8"/>
          <w:color w:val="005A64"/>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90805</wp:posOffset>
            </wp:positionV>
            <wp:extent cx="53149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-97155</wp:posOffset>
            </wp:positionV>
            <wp:extent cx="53149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05A64"/>
        </w:rPr>
        <w:t>FVTPL</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005A64"/>
          <w:vertAlign w:val="subscript"/>
        </w:rPr>
        <w:t>AC</w:t>
      </w:r>
      <w:r>
        <w:rPr>
          <w:rFonts w:ascii="Times New Roman" w:cs="Times New Roman" w:eastAsia="Times New Roman" w:hAnsi="Times New Roman"/>
          <w:sz w:val="8"/>
          <w:szCs w:val="8"/>
          <w:color w:val="005A64"/>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376555</wp:posOffset>
            </wp:positionV>
            <wp:extent cx="53149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247650</wp:posOffset>
            </wp:positionV>
            <wp:extent cx="53149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102235</wp:posOffset>
            </wp:positionV>
            <wp:extent cx="53149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-146050</wp:posOffset>
            </wp:positionV>
            <wp:extent cx="53149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05A64"/>
        </w:rPr>
        <w:t>FVTPL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29210</wp:posOffset>
            </wp:positionV>
            <wp:extent cx="53149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05A64"/>
        </w:rPr>
        <w:t>FVTPL</w:t>
      </w:r>
    </w:p>
    <w:p>
      <w:pPr>
        <w:spacing w:after="0" w:line="219" w:lineRule="auto"/>
        <w:rPr>
          <w:sz w:val="20"/>
          <w:szCs w:val="20"/>
          <w:color w:val="auto"/>
        </w:rPr>
      </w:pPr>
      <w:r>
        <w:rPr>
          <w:rFonts w:ascii="Times New Roman" w:cs="Times New Roman" w:eastAsia="Times New Roman" w:hAnsi="Times New Roman"/>
          <w:sz w:val="23"/>
          <w:szCs w:val="23"/>
          <w:color w:val="005A64"/>
          <w:vertAlign w:val="subscript"/>
        </w:rPr>
        <w:t>AC</w:t>
      </w:r>
      <w:r>
        <w:rPr>
          <w:rFonts w:ascii="Times New Roman" w:cs="Times New Roman" w:eastAsia="Times New Roman" w:hAnsi="Times New Roman"/>
          <w:sz w:val="8"/>
          <w:szCs w:val="8"/>
          <w:color w:val="005A64"/>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53149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3"/>
          <w:szCs w:val="23"/>
          <w:color w:val="005A64"/>
          <w:vertAlign w:val="subscript"/>
        </w:rPr>
        <w:t>AC</w:t>
      </w:r>
      <w:r>
        <w:rPr>
          <w:rFonts w:ascii="Times New Roman" w:cs="Times New Roman" w:eastAsia="Times New Roman" w:hAnsi="Times New Roman"/>
          <w:sz w:val="8"/>
          <w:szCs w:val="8"/>
          <w:color w:val="005A64"/>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-102870</wp:posOffset>
            </wp:positionV>
            <wp:extent cx="53149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005A64"/>
          <w:vertAlign w:val="subscript"/>
        </w:rPr>
        <w:t>AC</w:t>
      </w:r>
      <w:r>
        <w:rPr>
          <w:rFonts w:ascii="Times New Roman" w:cs="Times New Roman" w:eastAsia="Times New Roman" w:hAnsi="Times New Roman"/>
          <w:sz w:val="8"/>
          <w:szCs w:val="8"/>
          <w:color w:val="005A64"/>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53149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-102870</wp:posOffset>
            </wp:positionV>
            <wp:extent cx="53149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05A64"/>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174625</wp:posOffset>
            </wp:positionV>
            <wp:extent cx="53149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29210</wp:posOffset>
            </wp:positionV>
            <wp:extent cx="53149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29"/>
        </w:trPr>
        <w:tc>
          <w:tcPr>
            <w:tcW w:w="120" w:type="dxa"/>
            <w:vAlign w:val="bottom"/>
            <w:tcBorders>
              <w:top w:val="single" w:sz="8" w:color="BECE33"/>
              <w:left w:val="single" w:sz="8" w:color="BECE33"/>
            </w:tcBorders>
          </w:tcPr>
          <w:p>
            <w:pPr>
              <w:spacing w:after="0"/>
              <w:rPr>
                <w:sz w:val="19"/>
                <w:szCs w:val="19"/>
                <w:color w:val="auto"/>
              </w:rPr>
            </w:pPr>
          </w:p>
        </w:tc>
        <w:tc>
          <w:tcPr>
            <w:tcW w:w="800" w:type="dxa"/>
            <w:vAlign w:val="bottom"/>
            <w:tcBorders>
              <w:top w:val="single" w:sz="8" w:color="BECE33"/>
            </w:tcBorders>
          </w:tcPr>
          <w:p>
            <w:pPr>
              <w:spacing w:after="0"/>
              <w:rPr>
                <w:sz w:val="19"/>
                <w:szCs w:val="19"/>
                <w:color w:val="auto"/>
              </w:rPr>
            </w:pPr>
          </w:p>
        </w:tc>
        <w:tc>
          <w:tcPr>
            <w:tcW w:w="1140" w:type="dxa"/>
            <w:vAlign w:val="bottom"/>
            <w:tcBorders>
              <w:top w:val="single" w:sz="8" w:color="BECE33"/>
            </w:tcBorders>
            <w:gridSpan w:val="3"/>
          </w:tcPr>
          <w:p>
            <w:pPr>
              <w:ind w:left="120"/>
              <w:spacing w:after="0"/>
              <w:rPr>
                <w:sz w:val="20"/>
                <w:szCs w:val="20"/>
                <w:color w:val="auto"/>
              </w:rPr>
            </w:pPr>
            <w:r>
              <w:rPr>
                <w:rFonts w:ascii="Times New Roman" w:cs="Times New Roman" w:eastAsia="Times New Roman" w:hAnsi="Times New Roman"/>
                <w:sz w:val="12"/>
                <w:szCs w:val="12"/>
                <w:b w:val="1"/>
                <w:bCs w:val="1"/>
                <w:color w:val="005A64"/>
              </w:rPr>
              <w:t>Carrying amount</w:t>
            </w:r>
          </w:p>
        </w:tc>
        <w:tc>
          <w:tcPr>
            <w:tcW w:w="820" w:type="dxa"/>
            <w:vAlign w:val="bottom"/>
            <w:tcBorders>
              <w:top w:val="single" w:sz="8" w:color="BECE33"/>
            </w:tcBorders>
          </w:tcPr>
          <w:p>
            <w:pPr>
              <w:spacing w:after="0"/>
              <w:rPr>
                <w:sz w:val="19"/>
                <w:szCs w:val="19"/>
                <w:color w:val="auto"/>
              </w:rPr>
            </w:pPr>
          </w:p>
        </w:tc>
        <w:tc>
          <w:tcPr>
            <w:tcW w:w="160" w:type="dxa"/>
            <w:vAlign w:val="bottom"/>
            <w:tcBorders>
              <w:top w:val="single" w:sz="8" w:color="BECE33"/>
            </w:tcBorders>
          </w:tcPr>
          <w:p>
            <w:pPr>
              <w:spacing w:after="0"/>
              <w:rPr>
                <w:sz w:val="19"/>
                <w:szCs w:val="19"/>
                <w:color w:val="auto"/>
              </w:rPr>
            </w:pPr>
          </w:p>
        </w:tc>
        <w:tc>
          <w:tcPr>
            <w:tcW w:w="800" w:type="dxa"/>
            <w:vAlign w:val="bottom"/>
            <w:tcBorders>
              <w:top w:val="single" w:sz="8" w:color="BECE33"/>
            </w:tcBorders>
          </w:tcPr>
          <w:p>
            <w:pPr>
              <w:spacing w:after="0"/>
              <w:rPr>
                <w:sz w:val="19"/>
                <w:szCs w:val="19"/>
                <w:color w:val="auto"/>
              </w:rPr>
            </w:pPr>
          </w:p>
        </w:tc>
        <w:tc>
          <w:tcPr>
            <w:tcW w:w="160" w:type="dxa"/>
            <w:vAlign w:val="bottom"/>
            <w:tcBorders>
              <w:top w:val="single" w:sz="8" w:color="BECE33"/>
            </w:tcBorders>
          </w:tcPr>
          <w:p>
            <w:pPr>
              <w:spacing w:after="0"/>
              <w:rPr>
                <w:sz w:val="19"/>
                <w:szCs w:val="19"/>
                <w:color w:val="auto"/>
              </w:rPr>
            </w:pPr>
          </w:p>
        </w:tc>
        <w:tc>
          <w:tcPr>
            <w:tcW w:w="1260" w:type="dxa"/>
            <w:vAlign w:val="bottom"/>
            <w:tcBorders>
              <w:top w:val="single" w:sz="8" w:color="BECE33"/>
            </w:tcBorders>
            <w:gridSpan w:val="3"/>
          </w:tcPr>
          <w:p>
            <w:pPr>
              <w:ind w:left="620"/>
              <w:spacing w:after="0"/>
              <w:rPr>
                <w:sz w:val="20"/>
                <w:szCs w:val="20"/>
                <w:color w:val="auto"/>
              </w:rPr>
            </w:pPr>
            <w:r>
              <w:rPr>
                <w:rFonts w:ascii="Times New Roman" w:cs="Times New Roman" w:eastAsia="Times New Roman" w:hAnsi="Times New Roman"/>
                <w:sz w:val="12"/>
                <w:szCs w:val="12"/>
                <w:b w:val="1"/>
                <w:bCs w:val="1"/>
                <w:color w:val="005A64"/>
              </w:rPr>
              <w:t>Fair value</w:t>
            </w:r>
          </w:p>
        </w:tc>
        <w:tc>
          <w:tcPr>
            <w:tcW w:w="520" w:type="dxa"/>
            <w:vAlign w:val="bottom"/>
            <w:tcBorders>
              <w:top w:val="single" w:sz="8" w:color="BECE33"/>
            </w:tcBorders>
          </w:tcPr>
          <w:p>
            <w:pPr>
              <w:spacing w:after="0"/>
              <w:rPr>
                <w:sz w:val="19"/>
                <w:szCs w:val="19"/>
                <w:color w:val="auto"/>
              </w:rPr>
            </w:pPr>
          </w:p>
        </w:tc>
        <w:tc>
          <w:tcPr>
            <w:tcW w:w="160" w:type="dxa"/>
            <w:vAlign w:val="bottom"/>
            <w:tcBorders>
              <w:top w:val="single" w:sz="8" w:color="BECE33"/>
            </w:tcBorders>
          </w:tcPr>
          <w:p>
            <w:pPr>
              <w:spacing w:after="0"/>
              <w:rPr>
                <w:sz w:val="19"/>
                <w:szCs w:val="19"/>
                <w:color w:val="auto"/>
              </w:rPr>
            </w:pPr>
          </w:p>
        </w:tc>
        <w:tc>
          <w:tcPr>
            <w:tcW w:w="800" w:type="dxa"/>
            <w:vAlign w:val="bottom"/>
            <w:tcBorders>
              <w:top w:val="single" w:sz="8" w:color="BECE33"/>
            </w:tcBorders>
          </w:tcPr>
          <w:p>
            <w:pPr>
              <w:spacing w:after="0"/>
              <w:rPr>
                <w:sz w:val="19"/>
                <w:szCs w:val="19"/>
                <w:color w:val="auto"/>
              </w:rPr>
            </w:pPr>
          </w:p>
        </w:tc>
        <w:tc>
          <w:tcPr>
            <w:tcW w:w="140" w:type="dxa"/>
            <w:vAlign w:val="bottom"/>
            <w:tcBorders>
              <w:top w:val="single" w:sz="8" w:color="BECE33"/>
              <w:right w:val="single" w:sz="8" w:color="BECE33"/>
            </w:tcBorders>
          </w:tcPr>
          <w:p>
            <w:pPr>
              <w:spacing w:after="0"/>
              <w:rPr>
                <w:sz w:val="19"/>
                <w:szCs w:val="19"/>
                <w:color w:val="auto"/>
              </w:rPr>
            </w:pPr>
          </w:p>
        </w:tc>
      </w:tr>
      <w:tr>
        <w:trPr>
          <w:trHeight w:val="358"/>
        </w:trPr>
        <w:tc>
          <w:tcPr>
            <w:tcW w:w="120" w:type="dxa"/>
            <w:vAlign w:val="bottom"/>
            <w:tcBorders>
              <w:left w:val="single" w:sz="8" w:color="BECD32"/>
            </w:tcBorders>
          </w:tcPr>
          <w:p>
            <w:pPr>
              <w:spacing w:after="0"/>
              <w:rPr>
                <w:sz w:val="24"/>
                <w:szCs w:val="24"/>
                <w:color w:val="auto"/>
              </w:rPr>
            </w:pPr>
          </w:p>
        </w:tc>
        <w:tc>
          <w:tcPr>
            <w:tcW w:w="800" w:type="dxa"/>
            <w:vAlign w:val="bottom"/>
            <w:tcBorders>
              <w:top w:val="single" w:sz="8" w:color="005A64"/>
            </w:tcBorders>
          </w:tcPr>
          <w:p>
            <w:pPr>
              <w:jc w:val="right"/>
              <w:spacing w:after="0"/>
              <w:rPr>
                <w:sz w:val="20"/>
                <w:szCs w:val="20"/>
                <w:color w:val="auto"/>
              </w:rPr>
            </w:pPr>
            <w:r>
              <w:rPr>
                <w:rFonts w:ascii="Times New Roman" w:cs="Times New Roman" w:eastAsia="Times New Roman" w:hAnsi="Times New Roman"/>
                <w:sz w:val="12"/>
                <w:szCs w:val="12"/>
                <w:b w:val="1"/>
                <w:bCs w:val="1"/>
                <w:color w:val="005A64"/>
              </w:rPr>
              <w:t>Current</w:t>
            </w:r>
          </w:p>
        </w:tc>
        <w:tc>
          <w:tcPr>
            <w:tcW w:w="160" w:type="dxa"/>
            <w:vAlign w:val="bottom"/>
            <w:tcBorders>
              <w:top w:val="single" w:sz="8" w:color="005A64"/>
            </w:tcBorders>
          </w:tcPr>
          <w:p>
            <w:pPr>
              <w:spacing w:after="0"/>
              <w:rPr>
                <w:sz w:val="24"/>
                <w:szCs w:val="24"/>
                <w:color w:val="auto"/>
              </w:rPr>
            </w:pPr>
          </w:p>
        </w:tc>
        <w:tc>
          <w:tcPr>
            <w:tcW w:w="980" w:type="dxa"/>
            <w:vAlign w:val="bottom"/>
            <w:tcBorders>
              <w:top w:val="single" w:sz="8" w:color="005A64"/>
            </w:tcBorders>
            <w:gridSpan w:val="2"/>
          </w:tcPr>
          <w:p>
            <w:pPr>
              <w:ind w:left="140"/>
              <w:spacing w:after="0"/>
              <w:rPr>
                <w:sz w:val="20"/>
                <w:szCs w:val="20"/>
                <w:color w:val="auto"/>
              </w:rPr>
            </w:pPr>
            <w:r>
              <w:rPr>
                <w:rFonts w:ascii="Times New Roman" w:cs="Times New Roman" w:eastAsia="Times New Roman" w:hAnsi="Times New Roman"/>
                <w:sz w:val="12"/>
                <w:szCs w:val="12"/>
                <w:b w:val="1"/>
                <w:bCs w:val="1"/>
                <w:color w:val="005A64"/>
              </w:rPr>
              <w:t>Non-current</w:t>
            </w:r>
          </w:p>
        </w:tc>
        <w:tc>
          <w:tcPr>
            <w:tcW w:w="820" w:type="dxa"/>
            <w:vAlign w:val="bottom"/>
            <w:tcBorders>
              <w:top w:val="single" w:sz="8" w:color="005A64"/>
            </w:tcBorders>
          </w:tcPr>
          <w:p>
            <w:pPr>
              <w:jc w:val="right"/>
              <w:spacing w:after="0"/>
              <w:rPr>
                <w:sz w:val="20"/>
                <w:szCs w:val="20"/>
                <w:color w:val="auto"/>
              </w:rPr>
            </w:pPr>
            <w:r>
              <w:rPr>
                <w:rFonts w:ascii="Times New Roman" w:cs="Times New Roman" w:eastAsia="Times New Roman" w:hAnsi="Times New Roman"/>
                <w:sz w:val="12"/>
                <w:szCs w:val="12"/>
                <w:b w:val="1"/>
                <w:bCs w:val="1"/>
                <w:color w:val="005A64"/>
              </w:rPr>
              <w:t>Total</w:t>
            </w:r>
          </w:p>
        </w:tc>
        <w:tc>
          <w:tcPr>
            <w:tcW w:w="160" w:type="dxa"/>
            <w:vAlign w:val="bottom"/>
          </w:tcPr>
          <w:p>
            <w:pPr>
              <w:spacing w:after="0"/>
              <w:rPr>
                <w:sz w:val="24"/>
                <w:szCs w:val="24"/>
                <w:color w:val="auto"/>
              </w:rPr>
            </w:pPr>
          </w:p>
        </w:tc>
        <w:tc>
          <w:tcPr>
            <w:tcW w:w="960" w:type="dxa"/>
            <w:vAlign w:val="bottom"/>
            <w:tcBorders>
              <w:top w:val="single" w:sz="8" w:color="005A64"/>
            </w:tcBorders>
            <w:gridSpan w:val="2"/>
          </w:tcPr>
          <w:p>
            <w:pPr>
              <w:ind w:left="400"/>
              <w:spacing w:after="0"/>
              <w:rPr>
                <w:sz w:val="20"/>
                <w:szCs w:val="20"/>
                <w:color w:val="auto"/>
              </w:rPr>
            </w:pPr>
            <w:r>
              <w:rPr>
                <w:rFonts w:ascii="Times New Roman" w:cs="Times New Roman" w:eastAsia="Times New Roman" w:hAnsi="Times New Roman"/>
                <w:sz w:val="12"/>
                <w:szCs w:val="12"/>
                <w:b w:val="1"/>
                <w:bCs w:val="1"/>
                <w:color w:val="005A64"/>
              </w:rPr>
              <w:t>Level 1</w:t>
            </w:r>
          </w:p>
        </w:tc>
        <w:tc>
          <w:tcPr>
            <w:tcW w:w="1260" w:type="dxa"/>
            <w:vAlign w:val="bottom"/>
            <w:tcBorders>
              <w:top w:val="single" w:sz="8" w:color="005A64"/>
            </w:tcBorders>
            <w:gridSpan w:val="3"/>
          </w:tcPr>
          <w:p>
            <w:pPr>
              <w:ind w:left="400"/>
              <w:spacing w:after="0"/>
              <w:rPr>
                <w:sz w:val="20"/>
                <w:szCs w:val="20"/>
                <w:color w:val="auto"/>
              </w:rPr>
            </w:pPr>
            <w:r>
              <w:rPr>
                <w:rFonts w:ascii="Times New Roman" w:cs="Times New Roman" w:eastAsia="Times New Roman" w:hAnsi="Times New Roman"/>
                <w:sz w:val="12"/>
                <w:szCs w:val="12"/>
                <w:b w:val="1"/>
                <w:bCs w:val="1"/>
                <w:color w:val="005A64"/>
              </w:rPr>
              <w:t>Level 2</w:t>
            </w:r>
          </w:p>
        </w:tc>
        <w:tc>
          <w:tcPr>
            <w:tcW w:w="680" w:type="dxa"/>
            <w:vAlign w:val="bottom"/>
            <w:tcBorders>
              <w:top w:val="single" w:sz="8" w:color="005A64"/>
            </w:tcBorders>
            <w:gridSpan w:val="2"/>
          </w:tcPr>
          <w:p>
            <w:pPr>
              <w:ind w:left="120"/>
              <w:spacing w:after="0"/>
              <w:rPr>
                <w:sz w:val="20"/>
                <w:szCs w:val="20"/>
                <w:color w:val="auto"/>
              </w:rPr>
            </w:pPr>
            <w:r>
              <w:rPr>
                <w:rFonts w:ascii="Times New Roman" w:cs="Times New Roman" w:eastAsia="Times New Roman" w:hAnsi="Times New Roman"/>
                <w:sz w:val="12"/>
                <w:szCs w:val="12"/>
                <w:b w:val="1"/>
                <w:bCs w:val="1"/>
                <w:color w:val="005A64"/>
              </w:rPr>
              <w:t>Level 3</w:t>
            </w:r>
          </w:p>
        </w:tc>
        <w:tc>
          <w:tcPr>
            <w:tcW w:w="800" w:type="dxa"/>
            <w:vAlign w:val="bottom"/>
            <w:tcBorders>
              <w:top w:val="single" w:sz="8" w:color="005A64"/>
            </w:tcBorders>
          </w:tcPr>
          <w:p>
            <w:pPr>
              <w:jc w:val="right"/>
              <w:spacing w:after="0"/>
              <w:rPr>
                <w:sz w:val="20"/>
                <w:szCs w:val="20"/>
                <w:color w:val="auto"/>
              </w:rPr>
            </w:pPr>
            <w:r>
              <w:rPr>
                <w:rFonts w:ascii="Times New Roman" w:cs="Times New Roman" w:eastAsia="Times New Roman" w:hAnsi="Times New Roman"/>
                <w:sz w:val="12"/>
                <w:szCs w:val="12"/>
                <w:b w:val="1"/>
                <w:bCs w:val="1"/>
                <w:color w:val="005A64"/>
              </w:rPr>
              <w:t>Total</w:t>
            </w:r>
          </w:p>
        </w:tc>
        <w:tc>
          <w:tcPr>
            <w:tcW w:w="140" w:type="dxa"/>
            <w:vAlign w:val="bottom"/>
            <w:tcBorders>
              <w:right w:val="single" w:sz="8" w:color="BECE33"/>
            </w:tcBorders>
          </w:tcPr>
          <w:p>
            <w:pPr>
              <w:spacing w:after="0"/>
              <w:rPr>
                <w:sz w:val="24"/>
                <w:szCs w:val="24"/>
                <w:color w:val="auto"/>
              </w:rPr>
            </w:pPr>
          </w:p>
        </w:tc>
      </w:tr>
      <w:tr>
        <w:trPr>
          <w:trHeight w:val="183"/>
        </w:trPr>
        <w:tc>
          <w:tcPr>
            <w:tcW w:w="120" w:type="dxa"/>
            <w:vAlign w:val="bottom"/>
            <w:tcBorders>
              <w:left w:val="single" w:sz="8" w:color="BECD32"/>
            </w:tcBorders>
          </w:tcPr>
          <w:p>
            <w:pPr>
              <w:spacing w:after="0"/>
              <w:rPr>
                <w:sz w:val="15"/>
                <w:szCs w:val="15"/>
                <w:color w:val="auto"/>
              </w:rPr>
            </w:pPr>
          </w:p>
        </w:tc>
        <w:tc>
          <w:tcPr>
            <w:tcW w:w="800" w:type="dxa"/>
            <w:vAlign w:val="bottom"/>
            <w:tcBorders>
              <w:top w:val="single" w:sz="8" w:color="005A64"/>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005A64"/>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005A64"/>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top w:val="single" w:sz="8" w:color="005A64"/>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top w:val="single" w:sz="8" w:color="005A64"/>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top w:val="single" w:sz="8" w:color="005A64"/>
              <w:bottom w:val="single" w:sz="8" w:color="7FACB1"/>
            </w:tcBorders>
          </w:tcPr>
          <w:p>
            <w:pPr>
              <w:spacing w:after="0"/>
              <w:rPr>
                <w:sz w:val="15"/>
                <w:szCs w:val="15"/>
                <w:color w:val="auto"/>
              </w:rPr>
            </w:pPr>
          </w:p>
        </w:tc>
        <w:tc>
          <w:tcPr>
            <w:tcW w:w="520" w:type="dxa"/>
            <w:vAlign w:val="bottom"/>
            <w:tcBorders>
              <w:top w:val="single" w:sz="8" w:color="005A64"/>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top w:val="single" w:sz="8" w:color="005A64"/>
              <w:bottom w:val="single" w:sz="8" w:color="7FACB1"/>
            </w:tcBorders>
          </w:tcPr>
          <w:p>
            <w:pPr>
              <w:spacing w:after="0"/>
              <w:rPr>
                <w:sz w:val="15"/>
                <w:szCs w:val="15"/>
                <w:color w:val="auto"/>
              </w:rPr>
            </w:pPr>
          </w:p>
        </w:tc>
        <w:tc>
          <w:tcPr>
            <w:tcW w:w="140" w:type="dxa"/>
            <w:vAlign w:val="bottom"/>
            <w:tcBorders>
              <w:right w:val="single" w:sz="8" w:color="BECD32"/>
            </w:tcBorders>
          </w:tcPr>
          <w:p>
            <w:pPr>
              <w:spacing w:after="0"/>
              <w:rPr>
                <w:sz w:val="15"/>
                <w:szCs w:val="15"/>
                <w:color w:val="auto"/>
              </w:rPr>
            </w:pPr>
          </w:p>
        </w:tc>
      </w:tr>
      <w:tr>
        <w:trPr>
          <w:trHeight w:val="176"/>
        </w:trPr>
        <w:tc>
          <w:tcPr>
            <w:tcW w:w="92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0.3</w:t>
            </w:r>
          </w:p>
        </w:tc>
        <w:tc>
          <w:tcPr>
            <w:tcW w:w="16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0.3</w:t>
            </w:r>
          </w:p>
        </w:tc>
        <w:tc>
          <w:tcPr>
            <w:tcW w:w="1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0.3</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0.3</w:t>
            </w:r>
          </w:p>
        </w:tc>
        <w:tc>
          <w:tcPr>
            <w:tcW w:w="140" w:type="dxa"/>
            <w:vAlign w:val="bottom"/>
            <w:tcBorders>
              <w:right w:val="single" w:sz="8" w:color="BECD32"/>
            </w:tcBorders>
          </w:tcPr>
          <w:p>
            <w:pPr>
              <w:spacing w:after="0"/>
              <w:rPr>
                <w:sz w:val="15"/>
                <w:szCs w:val="15"/>
                <w:color w:val="auto"/>
              </w:rPr>
            </w:pPr>
          </w:p>
        </w:tc>
      </w:tr>
      <w:tr>
        <w:trPr>
          <w:trHeight w:val="33"/>
        </w:trPr>
        <w:tc>
          <w:tcPr>
            <w:tcW w:w="120" w:type="dxa"/>
            <w:vAlign w:val="bottom"/>
            <w:tcBorders>
              <w:left w:val="single" w:sz="8" w:color="BECD32"/>
            </w:tcBorders>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7FACB1"/>
            </w:tcBorders>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r>
      <w:tr>
        <w:trPr>
          <w:trHeight w:val="176"/>
        </w:trPr>
        <w:tc>
          <w:tcPr>
            <w:tcW w:w="92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199.9</w:t>
            </w:r>
          </w:p>
        </w:tc>
        <w:tc>
          <w:tcPr>
            <w:tcW w:w="16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199.9</w:t>
            </w:r>
          </w:p>
        </w:tc>
        <w:tc>
          <w:tcPr>
            <w:tcW w:w="1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199.9</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199.9</w:t>
            </w:r>
          </w:p>
        </w:tc>
        <w:tc>
          <w:tcPr>
            <w:tcW w:w="140" w:type="dxa"/>
            <w:vAlign w:val="bottom"/>
            <w:tcBorders>
              <w:right w:val="single" w:sz="8" w:color="BECD32"/>
            </w:tcBorders>
          </w:tcPr>
          <w:p>
            <w:pPr>
              <w:spacing w:after="0"/>
              <w:rPr>
                <w:sz w:val="15"/>
                <w:szCs w:val="15"/>
                <w:color w:val="auto"/>
              </w:rPr>
            </w:pPr>
          </w:p>
        </w:tc>
      </w:tr>
      <w:tr>
        <w:trPr>
          <w:trHeight w:val="33"/>
        </w:trPr>
        <w:tc>
          <w:tcPr>
            <w:tcW w:w="120" w:type="dxa"/>
            <w:vAlign w:val="bottom"/>
            <w:tcBorders>
              <w:left w:val="single" w:sz="8" w:color="BECD32"/>
            </w:tcBorders>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7FACB1"/>
            </w:tcBorders>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r>
      <w:tr>
        <w:trPr>
          <w:trHeight w:val="203"/>
        </w:trPr>
        <w:tc>
          <w:tcPr>
            <w:tcW w:w="92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863.3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127.9</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991.2</w:t>
            </w:r>
          </w:p>
        </w:tc>
        <w:tc>
          <w:tcPr>
            <w:tcW w:w="1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3"/>
          </w:tcPr>
          <w:p>
            <w:pPr>
              <w:jc w:val="right"/>
              <w:ind w:right="480"/>
              <w:spacing w:after="0"/>
              <w:rPr>
                <w:sz w:val="20"/>
                <w:szCs w:val="20"/>
                <w:color w:val="auto"/>
              </w:rPr>
            </w:pPr>
            <w:r>
              <w:rPr>
                <w:rFonts w:ascii="Times New Roman" w:cs="Times New Roman" w:eastAsia="Times New Roman" w:hAnsi="Times New Roman"/>
                <w:sz w:val="12"/>
                <w:szCs w:val="12"/>
                <w:color w:val="005A64"/>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991.2</w:t>
            </w:r>
          </w:p>
        </w:tc>
        <w:tc>
          <w:tcPr>
            <w:tcW w:w="140" w:type="dxa"/>
            <w:vAlign w:val="bottom"/>
            <w:tcBorders>
              <w:right w:val="single" w:sz="8" w:color="BECD32"/>
            </w:tcBorders>
          </w:tcPr>
          <w:p>
            <w:pPr>
              <w:spacing w:after="0"/>
              <w:rPr>
                <w:sz w:val="17"/>
                <w:szCs w:val="17"/>
                <w:color w:val="auto"/>
              </w:rPr>
            </w:pPr>
          </w:p>
        </w:tc>
      </w:tr>
      <w:tr>
        <w:trPr>
          <w:trHeight w:val="74"/>
        </w:trPr>
        <w:tc>
          <w:tcPr>
            <w:tcW w:w="120" w:type="dxa"/>
            <w:vAlign w:val="bottom"/>
            <w:tcBorders>
              <w:left w:val="single" w:sz="8" w:color="BECD32"/>
            </w:tcBorders>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Borders>
              <w:bottom w:val="single" w:sz="8" w:color="7FACB1"/>
            </w:tcBorders>
          </w:tcPr>
          <w:p>
            <w:pPr>
              <w:spacing w:after="0"/>
              <w:rPr>
                <w:sz w:val="6"/>
                <w:szCs w:val="6"/>
                <w:color w:val="auto"/>
              </w:rPr>
            </w:pPr>
          </w:p>
        </w:tc>
        <w:tc>
          <w:tcPr>
            <w:tcW w:w="52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40" w:type="dxa"/>
            <w:vAlign w:val="bottom"/>
            <w:tcBorders>
              <w:right w:val="single" w:sz="8" w:color="BECD32"/>
            </w:tcBorders>
          </w:tcPr>
          <w:p>
            <w:pPr>
              <w:spacing w:after="0"/>
              <w:rPr>
                <w:sz w:val="6"/>
                <w:szCs w:val="6"/>
                <w:color w:val="auto"/>
              </w:rPr>
            </w:pPr>
          </w:p>
        </w:tc>
      </w:tr>
      <w:tr>
        <w:trPr>
          <w:trHeight w:val="203"/>
        </w:trPr>
        <w:tc>
          <w:tcPr>
            <w:tcW w:w="92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492.9</w:t>
            </w:r>
          </w:p>
        </w:tc>
        <w:tc>
          <w:tcPr>
            <w:tcW w:w="16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492.9</w:t>
            </w:r>
          </w:p>
        </w:tc>
        <w:tc>
          <w:tcPr>
            <w:tcW w:w="1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3"/>
          </w:tcPr>
          <w:p>
            <w:pPr>
              <w:jc w:val="right"/>
              <w:ind w:right="480"/>
              <w:spacing w:after="0"/>
              <w:rPr>
                <w:sz w:val="20"/>
                <w:szCs w:val="20"/>
                <w:color w:val="auto"/>
              </w:rPr>
            </w:pPr>
            <w:r>
              <w:rPr>
                <w:rFonts w:ascii="Times New Roman" w:cs="Times New Roman" w:eastAsia="Times New Roman" w:hAnsi="Times New Roman"/>
                <w:sz w:val="12"/>
                <w:szCs w:val="12"/>
                <w:color w:val="005A64"/>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492.9</w:t>
            </w:r>
          </w:p>
        </w:tc>
        <w:tc>
          <w:tcPr>
            <w:tcW w:w="140" w:type="dxa"/>
            <w:vAlign w:val="bottom"/>
            <w:tcBorders>
              <w:right w:val="single" w:sz="8" w:color="BECD32"/>
            </w:tcBorders>
          </w:tcPr>
          <w:p>
            <w:pPr>
              <w:spacing w:after="0"/>
              <w:rPr>
                <w:sz w:val="17"/>
                <w:szCs w:val="17"/>
                <w:color w:val="auto"/>
              </w:rPr>
            </w:pPr>
          </w:p>
        </w:tc>
      </w:tr>
      <w:tr>
        <w:trPr>
          <w:trHeight w:val="74"/>
        </w:trPr>
        <w:tc>
          <w:tcPr>
            <w:tcW w:w="120" w:type="dxa"/>
            <w:vAlign w:val="bottom"/>
            <w:tcBorders>
              <w:left w:val="single" w:sz="8" w:color="BECD32"/>
            </w:tcBorders>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Borders>
              <w:bottom w:val="single" w:sz="8" w:color="7FACB1"/>
            </w:tcBorders>
          </w:tcPr>
          <w:p>
            <w:pPr>
              <w:spacing w:after="0"/>
              <w:rPr>
                <w:sz w:val="6"/>
                <w:szCs w:val="6"/>
                <w:color w:val="auto"/>
              </w:rPr>
            </w:pPr>
          </w:p>
        </w:tc>
        <w:tc>
          <w:tcPr>
            <w:tcW w:w="52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40" w:type="dxa"/>
            <w:vAlign w:val="bottom"/>
            <w:tcBorders>
              <w:right w:val="single" w:sz="8" w:color="BECD32"/>
            </w:tcBorders>
          </w:tcPr>
          <w:p>
            <w:pPr>
              <w:spacing w:after="0"/>
              <w:rPr>
                <w:sz w:val="6"/>
                <w:szCs w:val="6"/>
                <w:color w:val="auto"/>
              </w:rPr>
            </w:pPr>
          </w:p>
        </w:tc>
      </w:tr>
      <w:tr>
        <w:trPr>
          <w:trHeight w:val="203"/>
        </w:trPr>
        <w:tc>
          <w:tcPr>
            <w:tcW w:w="92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2,408.4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1,999.1</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4,407.5</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4,385.1</w:t>
            </w:r>
          </w:p>
        </w:tc>
        <w:tc>
          <w:tcPr>
            <w:tcW w:w="160" w:type="dxa"/>
            <w:vAlign w:val="bottom"/>
          </w:tcPr>
          <w:p>
            <w:pPr>
              <w:spacing w:after="0"/>
              <w:rPr>
                <w:sz w:val="17"/>
                <w:szCs w:val="17"/>
                <w:color w:val="auto"/>
              </w:rPr>
            </w:pPr>
          </w:p>
        </w:tc>
        <w:tc>
          <w:tcPr>
            <w:tcW w:w="1260" w:type="dxa"/>
            <w:vAlign w:val="bottom"/>
            <w:gridSpan w:val="3"/>
          </w:tcPr>
          <w:p>
            <w:pPr>
              <w:jc w:val="right"/>
              <w:ind w:right="480"/>
              <w:spacing w:after="0"/>
              <w:rPr>
                <w:sz w:val="20"/>
                <w:szCs w:val="20"/>
                <w:color w:val="auto"/>
              </w:rPr>
            </w:pPr>
            <w:r>
              <w:rPr>
                <w:rFonts w:ascii="Times New Roman" w:cs="Times New Roman" w:eastAsia="Times New Roman" w:hAnsi="Times New Roman"/>
                <w:sz w:val="12"/>
                <w:szCs w:val="12"/>
                <w:color w:val="005A64"/>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4,385.1</w:t>
            </w:r>
          </w:p>
        </w:tc>
        <w:tc>
          <w:tcPr>
            <w:tcW w:w="140" w:type="dxa"/>
            <w:vAlign w:val="bottom"/>
            <w:tcBorders>
              <w:right w:val="single" w:sz="8" w:color="BECD32"/>
            </w:tcBorders>
          </w:tcPr>
          <w:p>
            <w:pPr>
              <w:spacing w:after="0"/>
              <w:rPr>
                <w:sz w:val="17"/>
                <w:szCs w:val="17"/>
                <w:color w:val="auto"/>
              </w:rPr>
            </w:pPr>
          </w:p>
        </w:tc>
      </w:tr>
      <w:tr>
        <w:trPr>
          <w:trHeight w:val="74"/>
        </w:trPr>
        <w:tc>
          <w:tcPr>
            <w:tcW w:w="120" w:type="dxa"/>
            <w:vAlign w:val="bottom"/>
            <w:tcBorders>
              <w:left w:val="single" w:sz="8" w:color="BECD32"/>
            </w:tcBorders>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Borders>
              <w:bottom w:val="single" w:sz="8" w:color="7FACB1"/>
            </w:tcBorders>
          </w:tcPr>
          <w:p>
            <w:pPr>
              <w:spacing w:after="0"/>
              <w:rPr>
                <w:sz w:val="6"/>
                <w:szCs w:val="6"/>
                <w:color w:val="auto"/>
              </w:rPr>
            </w:pPr>
          </w:p>
        </w:tc>
        <w:tc>
          <w:tcPr>
            <w:tcW w:w="52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40" w:type="dxa"/>
            <w:vAlign w:val="bottom"/>
            <w:tcBorders>
              <w:right w:val="single" w:sz="8" w:color="BECD32"/>
            </w:tcBorders>
          </w:tcPr>
          <w:p>
            <w:pPr>
              <w:spacing w:after="0"/>
              <w:rPr>
                <w:sz w:val="6"/>
                <w:szCs w:val="6"/>
                <w:color w:val="auto"/>
              </w:rPr>
            </w:pPr>
          </w:p>
        </w:tc>
      </w:tr>
      <w:tr>
        <w:trPr>
          <w:trHeight w:val="203"/>
        </w:trPr>
        <w:tc>
          <w:tcPr>
            <w:tcW w:w="92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732.4</w:t>
            </w:r>
          </w:p>
        </w:tc>
        <w:tc>
          <w:tcPr>
            <w:tcW w:w="16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732.4</w:t>
            </w:r>
          </w:p>
        </w:tc>
        <w:tc>
          <w:tcPr>
            <w:tcW w:w="1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3"/>
          </w:tcPr>
          <w:p>
            <w:pPr>
              <w:jc w:val="right"/>
              <w:ind w:right="480"/>
              <w:spacing w:after="0"/>
              <w:rPr>
                <w:sz w:val="20"/>
                <w:szCs w:val="20"/>
                <w:color w:val="auto"/>
              </w:rPr>
            </w:pPr>
            <w:r>
              <w:rPr>
                <w:rFonts w:ascii="Times New Roman" w:cs="Times New Roman" w:eastAsia="Times New Roman" w:hAnsi="Times New Roman"/>
                <w:sz w:val="12"/>
                <w:szCs w:val="12"/>
                <w:color w:val="005A64"/>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732.4</w:t>
            </w:r>
          </w:p>
        </w:tc>
        <w:tc>
          <w:tcPr>
            <w:tcW w:w="140" w:type="dxa"/>
            <w:vAlign w:val="bottom"/>
            <w:tcBorders>
              <w:right w:val="single" w:sz="8" w:color="BECD32"/>
            </w:tcBorders>
          </w:tcPr>
          <w:p>
            <w:pPr>
              <w:spacing w:after="0"/>
              <w:rPr>
                <w:sz w:val="17"/>
                <w:szCs w:val="17"/>
                <w:color w:val="auto"/>
              </w:rPr>
            </w:pPr>
          </w:p>
        </w:tc>
      </w:tr>
      <w:tr>
        <w:trPr>
          <w:trHeight w:val="74"/>
        </w:trPr>
        <w:tc>
          <w:tcPr>
            <w:tcW w:w="120" w:type="dxa"/>
            <w:vAlign w:val="bottom"/>
            <w:tcBorders>
              <w:left w:val="single" w:sz="8" w:color="BECD32"/>
            </w:tcBorders>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Borders>
              <w:bottom w:val="single" w:sz="8" w:color="7FACB1"/>
            </w:tcBorders>
          </w:tcPr>
          <w:p>
            <w:pPr>
              <w:spacing w:after="0"/>
              <w:rPr>
                <w:sz w:val="6"/>
                <w:szCs w:val="6"/>
                <w:color w:val="auto"/>
              </w:rPr>
            </w:pPr>
          </w:p>
        </w:tc>
        <w:tc>
          <w:tcPr>
            <w:tcW w:w="52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40" w:type="dxa"/>
            <w:vAlign w:val="bottom"/>
            <w:tcBorders>
              <w:right w:val="single" w:sz="8" w:color="BECD32"/>
            </w:tcBorders>
          </w:tcPr>
          <w:p>
            <w:pPr>
              <w:spacing w:after="0"/>
              <w:rPr>
                <w:sz w:val="6"/>
                <w:szCs w:val="6"/>
                <w:color w:val="auto"/>
              </w:rPr>
            </w:pPr>
          </w:p>
        </w:tc>
      </w:tr>
      <w:tr>
        <w:trPr>
          <w:trHeight w:val="176"/>
        </w:trPr>
        <w:tc>
          <w:tcPr>
            <w:tcW w:w="120" w:type="dxa"/>
            <w:vAlign w:val="bottom"/>
            <w:tcBorders>
              <w:left w:val="single" w:sz="8" w:color="BECD32"/>
            </w:tcBorders>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0.6</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0.6</w:t>
            </w:r>
          </w:p>
        </w:tc>
        <w:tc>
          <w:tcPr>
            <w:tcW w:w="1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3"/>
          </w:tcPr>
          <w:p>
            <w:pPr>
              <w:jc w:val="right"/>
              <w:ind w:right="480"/>
              <w:spacing w:after="0"/>
              <w:rPr>
                <w:sz w:val="20"/>
                <w:szCs w:val="20"/>
                <w:color w:val="auto"/>
              </w:rPr>
            </w:pPr>
            <w:r>
              <w:rPr>
                <w:rFonts w:ascii="Times New Roman" w:cs="Times New Roman" w:eastAsia="Times New Roman" w:hAnsi="Times New Roman"/>
                <w:sz w:val="12"/>
                <w:szCs w:val="12"/>
                <w:color w:val="005A6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0.6</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0.6</w:t>
            </w:r>
          </w:p>
        </w:tc>
        <w:tc>
          <w:tcPr>
            <w:tcW w:w="140" w:type="dxa"/>
            <w:vAlign w:val="bottom"/>
            <w:tcBorders>
              <w:right w:val="single" w:sz="8" w:color="BECD32"/>
            </w:tcBorders>
          </w:tcPr>
          <w:p>
            <w:pPr>
              <w:spacing w:after="0"/>
              <w:rPr>
                <w:sz w:val="15"/>
                <w:szCs w:val="15"/>
                <w:color w:val="auto"/>
              </w:rPr>
            </w:pPr>
          </w:p>
        </w:tc>
      </w:tr>
      <w:tr>
        <w:trPr>
          <w:trHeight w:val="33"/>
        </w:trPr>
        <w:tc>
          <w:tcPr>
            <w:tcW w:w="120" w:type="dxa"/>
            <w:vAlign w:val="bottom"/>
            <w:tcBorders>
              <w:left w:val="single" w:sz="8" w:color="BECD32"/>
            </w:tcBorders>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7FACB1"/>
            </w:tcBorders>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r>
      <w:tr>
        <w:trPr>
          <w:trHeight w:val="176"/>
        </w:trPr>
        <w:tc>
          <w:tcPr>
            <w:tcW w:w="120" w:type="dxa"/>
            <w:vAlign w:val="bottom"/>
            <w:tcBorders>
              <w:left w:val="single" w:sz="8" w:color="BECD32"/>
            </w:tcBorders>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63.6</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63.6</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63.6</w:t>
            </w:r>
          </w:p>
        </w:tc>
        <w:tc>
          <w:tcPr>
            <w:tcW w:w="160" w:type="dxa"/>
            <w:vAlign w:val="bottom"/>
          </w:tcPr>
          <w:p>
            <w:pPr>
              <w:spacing w:after="0"/>
              <w:rPr>
                <w:sz w:val="15"/>
                <w:szCs w:val="15"/>
                <w:color w:val="auto"/>
              </w:rPr>
            </w:pPr>
          </w:p>
        </w:tc>
        <w:tc>
          <w:tcPr>
            <w:tcW w:w="1260" w:type="dxa"/>
            <w:vAlign w:val="bottom"/>
            <w:gridSpan w:val="3"/>
          </w:tcPr>
          <w:p>
            <w:pPr>
              <w:jc w:val="right"/>
              <w:ind w:right="480"/>
              <w:spacing w:after="0"/>
              <w:rPr>
                <w:sz w:val="20"/>
                <w:szCs w:val="20"/>
                <w:color w:val="auto"/>
              </w:rPr>
            </w:pPr>
            <w:r>
              <w:rPr>
                <w:rFonts w:ascii="Times New Roman" w:cs="Times New Roman" w:eastAsia="Times New Roman" w:hAnsi="Times New Roman"/>
                <w:sz w:val="12"/>
                <w:szCs w:val="12"/>
                <w:color w:val="005A64"/>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63.6</w:t>
            </w:r>
          </w:p>
        </w:tc>
        <w:tc>
          <w:tcPr>
            <w:tcW w:w="140" w:type="dxa"/>
            <w:vAlign w:val="bottom"/>
            <w:tcBorders>
              <w:right w:val="single" w:sz="8" w:color="BECD32"/>
            </w:tcBorders>
          </w:tcPr>
          <w:p>
            <w:pPr>
              <w:spacing w:after="0"/>
              <w:rPr>
                <w:sz w:val="15"/>
                <w:szCs w:val="15"/>
                <w:color w:val="auto"/>
              </w:rPr>
            </w:pPr>
          </w:p>
        </w:tc>
      </w:tr>
      <w:tr>
        <w:trPr>
          <w:trHeight w:val="33"/>
        </w:trPr>
        <w:tc>
          <w:tcPr>
            <w:tcW w:w="120" w:type="dxa"/>
            <w:vAlign w:val="bottom"/>
            <w:tcBorders>
              <w:left w:val="single" w:sz="8" w:color="BECD32"/>
            </w:tcBorders>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7FACB1"/>
            </w:tcBorders>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r>
      <w:tr>
        <w:trPr>
          <w:trHeight w:val="203"/>
        </w:trPr>
        <w:tc>
          <w:tcPr>
            <w:tcW w:w="92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539.2</w:t>
            </w:r>
          </w:p>
        </w:tc>
        <w:tc>
          <w:tcPr>
            <w:tcW w:w="16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539.2</w:t>
            </w:r>
          </w:p>
        </w:tc>
        <w:tc>
          <w:tcPr>
            <w:tcW w:w="1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3"/>
          </w:tcPr>
          <w:p>
            <w:pPr>
              <w:jc w:val="right"/>
              <w:ind w:right="480"/>
              <w:spacing w:after="0"/>
              <w:rPr>
                <w:sz w:val="20"/>
                <w:szCs w:val="20"/>
                <w:color w:val="auto"/>
              </w:rPr>
            </w:pPr>
            <w:r>
              <w:rPr>
                <w:rFonts w:ascii="Times New Roman" w:cs="Times New Roman" w:eastAsia="Times New Roman" w:hAnsi="Times New Roman"/>
                <w:sz w:val="12"/>
                <w:szCs w:val="12"/>
                <w:color w:val="005A64"/>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539.2</w:t>
            </w:r>
          </w:p>
        </w:tc>
        <w:tc>
          <w:tcPr>
            <w:tcW w:w="140" w:type="dxa"/>
            <w:vAlign w:val="bottom"/>
            <w:tcBorders>
              <w:right w:val="single" w:sz="8" w:color="BECD32"/>
            </w:tcBorders>
          </w:tcPr>
          <w:p>
            <w:pPr>
              <w:spacing w:after="0"/>
              <w:rPr>
                <w:sz w:val="17"/>
                <w:szCs w:val="17"/>
                <w:color w:val="auto"/>
              </w:rPr>
            </w:pPr>
          </w:p>
        </w:tc>
      </w:tr>
      <w:tr>
        <w:trPr>
          <w:trHeight w:val="74"/>
        </w:trPr>
        <w:tc>
          <w:tcPr>
            <w:tcW w:w="120" w:type="dxa"/>
            <w:vAlign w:val="bottom"/>
            <w:tcBorders>
              <w:left w:val="single" w:sz="8" w:color="BECD32"/>
            </w:tcBorders>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Borders>
              <w:bottom w:val="single" w:sz="8" w:color="7FACB1"/>
            </w:tcBorders>
          </w:tcPr>
          <w:p>
            <w:pPr>
              <w:spacing w:after="0"/>
              <w:rPr>
                <w:sz w:val="6"/>
                <w:szCs w:val="6"/>
                <w:color w:val="auto"/>
              </w:rPr>
            </w:pPr>
          </w:p>
        </w:tc>
        <w:tc>
          <w:tcPr>
            <w:tcW w:w="52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40" w:type="dxa"/>
            <w:vAlign w:val="bottom"/>
            <w:tcBorders>
              <w:right w:val="single" w:sz="8" w:color="BECD32"/>
            </w:tcBorders>
          </w:tcPr>
          <w:p>
            <w:pPr>
              <w:spacing w:after="0"/>
              <w:rPr>
                <w:sz w:val="6"/>
                <w:szCs w:val="6"/>
                <w:color w:val="auto"/>
              </w:rPr>
            </w:pPr>
          </w:p>
        </w:tc>
      </w:tr>
      <w:tr>
        <w:trPr>
          <w:trHeight w:val="203"/>
        </w:trPr>
        <w:tc>
          <w:tcPr>
            <w:tcW w:w="120" w:type="dxa"/>
            <w:vAlign w:val="bottom"/>
            <w:tcBorders>
              <w:left w:val="single" w:sz="8" w:color="BECD32"/>
            </w:tcBorders>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3"/>
          </w:tcPr>
          <w:p>
            <w:pPr>
              <w:jc w:val="right"/>
              <w:ind w:right="480"/>
              <w:spacing w:after="0"/>
              <w:rPr>
                <w:sz w:val="20"/>
                <w:szCs w:val="20"/>
                <w:color w:val="auto"/>
              </w:rPr>
            </w:pPr>
            <w:r>
              <w:rPr>
                <w:rFonts w:ascii="Times New Roman" w:cs="Times New Roman" w:eastAsia="Times New Roman" w:hAnsi="Times New Roman"/>
                <w:sz w:val="12"/>
                <w:szCs w:val="12"/>
                <w:color w:val="005A64"/>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940" w:type="dxa"/>
            <w:vAlign w:val="bottom"/>
            <w:tcBorders>
              <w:right w:val="single" w:sz="8" w:color="BECD32"/>
            </w:tcBorders>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005A64"/>
              </w:rPr>
              <w:t>—</w:t>
            </w:r>
          </w:p>
        </w:tc>
      </w:tr>
      <w:tr>
        <w:trPr>
          <w:trHeight w:val="74"/>
        </w:trPr>
        <w:tc>
          <w:tcPr>
            <w:tcW w:w="120" w:type="dxa"/>
            <w:vAlign w:val="bottom"/>
            <w:tcBorders>
              <w:left w:val="single" w:sz="8" w:color="BECD32"/>
            </w:tcBorders>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Borders>
              <w:bottom w:val="single" w:sz="8" w:color="7FACB1"/>
            </w:tcBorders>
          </w:tcPr>
          <w:p>
            <w:pPr>
              <w:spacing w:after="0"/>
              <w:rPr>
                <w:sz w:val="6"/>
                <w:szCs w:val="6"/>
                <w:color w:val="auto"/>
              </w:rPr>
            </w:pPr>
          </w:p>
        </w:tc>
        <w:tc>
          <w:tcPr>
            <w:tcW w:w="52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40" w:type="dxa"/>
            <w:vAlign w:val="bottom"/>
            <w:tcBorders>
              <w:right w:val="single" w:sz="8" w:color="BECD32"/>
            </w:tcBorders>
          </w:tcPr>
          <w:p>
            <w:pPr>
              <w:spacing w:after="0"/>
              <w:rPr>
                <w:sz w:val="6"/>
                <w:szCs w:val="6"/>
                <w:color w:val="auto"/>
              </w:rPr>
            </w:pPr>
          </w:p>
        </w:tc>
      </w:tr>
      <w:tr>
        <w:trPr>
          <w:trHeight w:val="203"/>
        </w:trPr>
        <w:tc>
          <w:tcPr>
            <w:tcW w:w="92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2.6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23.2</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25.8</w:t>
            </w:r>
          </w:p>
        </w:tc>
        <w:tc>
          <w:tcPr>
            <w:tcW w:w="1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3"/>
          </w:tcPr>
          <w:p>
            <w:pPr>
              <w:jc w:val="right"/>
              <w:ind w:right="480"/>
              <w:spacing w:after="0"/>
              <w:rPr>
                <w:sz w:val="20"/>
                <w:szCs w:val="20"/>
                <w:color w:val="auto"/>
              </w:rPr>
            </w:pPr>
            <w:r>
              <w:rPr>
                <w:rFonts w:ascii="Times New Roman" w:cs="Times New Roman" w:eastAsia="Times New Roman" w:hAnsi="Times New Roman"/>
                <w:sz w:val="12"/>
                <w:szCs w:val="12"/>
                <w:color w:val="005A64"/>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25.8</w:t>
            </w:r>
          </w:p>
        </w:tc>
        <w:tc>
          <w:tcPr>
            <w:tcW w:w="140" w:type="dxa"/>
            <w:vAlign w:val="bottom"/>
            <w:tcBorders>
              <w:right w:val="single" w:sz="8" w:color="BECD32"/>
            </w:tcBorders>
          </w:tcPr>
          <w:p>
            <w:pPr>
              <w:spacing w:after="0"/>
              <w:rPr>
                <w:sz w:val="17"/>
                <w:szCs w:val="17"/>
                <w:color w:val="auto"/>
              </w:rPr>
            </w:pPr>
          </w:p>
        </w:tc>
      </w:tr>
      <w:tr>
        <w:trPr>
          <w:trHeight w:val="74"/>
        </w:trPr>
        <w:tc>
          <w:tcPr>
            <w:tcW w:w="120" w:type="dxa"/>
            <w:vAlign w:val="bottom"/>
            <w:tcBorders>
              <w:left w:val="single" w:sz="8" w:color="BECD32"/>
            </w:tcBorders>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Borders>
              <w:bottom w:val="single" w:sz="8" w:color="7FACB1"/>
            </w:tcBorders>
          </w:tcPr>
          <w:p>
            <w:pPr>
              <w:spacing w:after="0"/>
              <w:rPr>
                <w:sz w:val="6"/>
                <w:szCs w:val="6"/>
                <w:color w:val="auto"/>
              </w:rPr>
            </w:pPr>
          </w:p>
        </w:tc>
        <w:tc>
          <w:tcPr>
            <w:tcW w:w="52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40" w:type="dxa"/>
            <w:vAlign w:val="bottom"/>
            <w:tcBorders>
              <w:right w:val="single" w:sz="8" w:color="BECD32"/>
            </w:tcBorders>
          </w:tcPr>
          <w:p>
            <w:pPr>
              <w:spacing w:after="0"/>
              <w:rPr>
                <w:sz w:val="6"/>
                <w:szCs w:val="6"/>
                <w:color w:val="auto"/>
              </w:rPr>
            </w:pPr>
          </w:p>
        </w:tc>
      </w:tr>
      <w:tr>
        <w:trPr>
          <w:trHeight w:val="176"/>
        </w:trPr>
        <w:tc>
          <w:tcPr>
            <w:tcW w:w="120" w:type="dxa"/>
            <w:vAlign w:val="bottom"/>
            <w:tcBorders>
              <w:left w:val="single" w:sz="8" w:color="BECD32"/>
            </w:tcBorders>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65.5</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65.5</w:t>
            </w:r>
          </w:p>
        </w:tc>
        <w:tc>
          <w:tcPr>
            <w:tcW w:w="1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3"/>
          </w:tcPr>
          <w:p>
            <w:pPr>
              <w:jc w:val="right"/>
              <w:ind w:right="480"/>
              <w:spacing w:after="0"/>
              <w:rPr>
                <w:sz w:val="20"/>
                <w:szCs w:val="20"/>
                <w:color w:val="auto"/>
              </w:rPr>
            </w:pPr>
            <w:r>
              <w:rPr>
                <w:rFonts w:ascii="Times New Roman" w:cs="Times New Roman" w:eastAsia="Times New Roman" w:hAnsi="Times New Roman"/>
                <w:sz w:val="12"/>
                <w:szCs w:val="12"/>
                <w:color w:val="005A6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65.5</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65.5</w:t>
            </w:r>
          </w:p>
        </w:tc>
        <w:tc>
          <w:tcPr>
            <w:tcW w:w="140" w:type="dxa"/>
            <w:vAlign w:val="bottom"/>
            <w:tcBorders>
              <w:right w:val="single" w:sz="8" w:color="BECD32"/>
            </w:tcBorders>
          </w:tcPr>
          <w:p>
            <w:pPr>
              <w:spacing w:after="0"/>
              <w:rPr>
                <w:sz w:val="15"/>
                <w:szCs w:val="15"/>
                <w:color w:val="auto"/>
              </w:rPr>
            </w:pPr>
          </w:p>
        </w:tc>
      </w:tr>
      <w:tr>
        <w:trPr>
          <w:trHeight w:val="33"/>
        </w:trPr>
        <w:tc>
          <w:tcPr>
            <w:tcW w:w="120" w:type="dxa"/>
            <w:vAlign w:val="bottom"/>
            <w:tcBorders>
              <w:left w:val="single" w:sz="8" w:color="BECD32"/>
            </w:tcBorders>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7FACB1"/>
            </w:tcBorders>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r>
      <w:tr>
        <w:trPr>
          <w:trHeight w:val="176"/>
        </w:trPr>
        <w:tc>
          <w:tcPr>
            <w:tcW w:w="92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5,239.0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2,279.9</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7,518.9</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4,448.7</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200.2</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66.1</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7,496.5</w:t>
            </w:r>
          </w:p>
        </w:tc>
        <w:tc>
          <w:tcPr>
            <w:tcW w:w="140" w:type="dxa"/>
            <w:vAlign w:val="bottom"/>
            <w:tcBorders>
              <w:right w:val="single" w:sz="8" w:color="BECD32"/>
            </w:tcBorders>
          </w:tcPr>
          <w:p>
            <w:pPr>
              <w:spacing w:after="0"/>
              <w:rPr>
                <w:sz w:val="15"/>
                <w:szCs w:val="15"/>
                <w:color w:val="auto"/>
              </w:rPr>
            </w:pPr>
          </w:p>
        </w:tc>
      </w:tr>
      <w:tr>
        <w:trPr>
          <w:trHeight w:val="33"/>
        </w:trPr>
        <w:tc>
          <w:tcPr>
            <w:tcW w:w="920" w:type="dxa"/>
            <w:vAlign w:val="bottom"/>
            <w:tcBorders>
              <w:left w:val="single" w:sz="8" w:color="BECD32"/>
            </w:tcBorders>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60" w:type="dxa"/>
            <w:vAlign w:val="bottom"/>
            <w:gridSpan w:val="3"/>
          </w:tcPr>
          <w:p>
            <w:pPr>
              <w:spacing w:after="0"/>
              <w:rPr>
                <w:sz w:val="2"/>
                <w:szCs w:val="2"/>
                <w:color w:val="auto"/>
              </w:rPr>
            </w:pPr>
          </w:p>
        </w:tc>
        <w:tc>
          <w:tcPr>
            <w:tcW w:w="68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r>
      <w:tr>
        <w:trPr>
          <w:trHeight w:val="183"/>
        </w:trPr>
        <w:tc>
          <w:tcPr>
            <w:tcW w:w="120" w:type="dxa"/>
            <w:vAlign w:val="bottom"/>
            <w:tcBorders>
              <w:left w:val="single" w:sz="8" w:color="BECD32"/>
            </w:tcBorders>
          </w:tcPr>
          <w:p>
            <w:pPr>
              <w:spacing w:after="0"/>
              <w:rPr>
                <w:sz w:val="15"/>
                <w:szCs w:val="15"/>
                <w:color w:val="auto"/>
              </w:rPr>
            </w:pPr>
          </w:p>
        </w:tc>
        <w:tc>
          <w:tcPr>
            <w:tcW w:w="800" w:type="dxa"/>
            <w:vAlign w:val="bottom"/>
            <w:tcBorders>
              <w:top w:val="single" w:sz="8" w:color="005A64"/>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005A64"/>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005A64"/>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top w:val="single" w:sz="8" w:color="005A64"/>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top w:val="single" w:sz="8" w:color="005A64"/>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top w:val="single" w:sz="8" w:color="005A64"/>
              <w:bottom w:val="single" w:sz="8" w:color="7FACB1"/>
            </w:tcBorders>
          </w:tcPr>
          <w:p>
            <w:pPr>
              <w:spacing w:after="0"/>
              <w:rPr>
                <w:sz w:val="15"/>
                <w:szCs w:val="15"/>
                <w:color w:val="auto"/>
              </w:rPr>
            </w:pPr>
          </w:p>
        </w:tc>
        <w:tc>
          <w:tcPr>
            <w:tcW w:w="520" w:type="dxa"/>
            <w:vAlign w:val="bottom"/>
            <w:tcBorders>
              <w:top w:val="single" w:sz="8" w:color="005A64"/>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top w:val="single" w:sz="8" w:color="005A64"/>
              <w:bottom w:val="single" w:sz="8" w:color="7FACB1"/>
            </w:tcBorders>
          </w:tcPr>
          <w:p>
            <w:pPr>
              <w:spacing w:after="0"/>
              <w:rPr>
                <w:sz w:val="15"/>
                <w:szCs w:val="15"/>
                <w:color w:val="auto"/>
              </w:rPr>
            </w:pPr>
          </w:p>
        </w:tc>
        <w:tc>
          <w:tcPr>
            <w:tcW w:w="140" w:type="dxa"/>
            <w:vAlign w:val="bottom"/>
            <w:tcBorders>
              <w:right w:val="single" w:sz="8" w:color="BECD32"/>
            </w:tcBorders>
          </w:tcPr>
          <w:p>
            <w:pPr>
              <w:spacing w:after="0"/>
              <w:rPr>
                <w:sz w:val="15"/>
                <w:szCs w:val="15"/>
                <w:color w:val="auto"/>
              </w:rPr>
            </w:pPr>
          </w:p>
        </w:tc>
      </w:tr>
      <w:tr>
        <w:trPr>
          <w:trHeight w:val="203"/>
        </w:trPr>
        <w:tc>
          <w:tcPr>
            <w:tcW w:w="92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411.4</w:t>
            </w:r>
          </w:p>
        </w:tc>
        <w:tc>
          <w:tcPr>
            <w:tcW w:w="16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411.4</w:t>
            </w:r>
          </w:p>
        </w:tc>
        <w:tc>
          <w:tcPr>
            <w:tcW w:w="1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3"/>
          </w:tcPr>
          <w:p>
            <w:pPr>
              <w:jc w:val="right"/>
              <w:ind w:right="480"/>
              <w:spacing w:after="0"/>
              <w:rPr>
                <w:sz w:val="20"/>
                <w:szCs w:val="20"/>
                <w:color w:val="auto"/>
              </w:rPr>
            </w:pPr>
            <w:r>
              <w:rPr>
                <w:rFonts w:ascii="Times New Roman" w:cs="Times New Roman" w:eastAsia="Times New Roman" w:hAnsi="Times New Roman"/>
                <w:sz w:val="12"/>
                <w:szCs w:val="12"/>
                <w:color w:val="005A64"/>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411.4</w:t>
            </w:r>
          </w:p>
        </w:tc>
        <w:tc>
          <w:tcPr>
            <w:tcW w:w="140" w:type="dxa"/>
            <w:vAlign w:val="bottom"/>
            <w:tcBorders>
              <w:right w:val="single" w:sz="8" w:color="BECD32"/>
            </w:tcBorders>
          </w:tcPr>
          <w:p>
            <w:pPr>
              <w:spacing w:after="0"/>
              <w:rPr>
                <w:sz w:val="17"/>
                <w:szCs w:val="17"/>
                <w:color w:val="auto"/>
              </w:rPr>
            </w:pPr>
          </w:p>
        </w:tc>
      </w:tr>
      <w:tr>
        <w:trPr>
          <w:trHeight w:val="74"/>
        </w:trPr>
        <w:tc>
          <w:tcPr>
            <w:tcW w:w="120" w:type="dxa"/>
            <w:vAlign w:val="bottom"/>
            <w:tcBorders>
              <w:left w:val="single" w:sz="8" w:color="BECD32"/>
            </w:tcBorders>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Borders>
              <w:bottom w:val="single" w:sz="8" w:color="7FACB1"/>
            </w:tcBorders>
          </w:tcPr>
          <w:p>
            <w:pPr>
              <w:spacing w:after="0"/>
              <w:rPr>
                <w:sz w:val="6"/>
                <w:szCs w:val="6"/>
                <w:color w:val="auto"/>
              </w:rPr>
            </w:pPr>
          </w:p>
        </w:tc>
        <w:tc>
          <w:tcPr>
            <w:tcW w:w="52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40" w:type="dxa"/>
            <w:vAlign w:val="bottom"/>
            <w:tcBorders>
              <w:right w:val="single" w:sz="8" w:color="BECD32"/>
            </w:tcBorders>
          </w:tcPr>
          <w:p>
            <w:pPr>
              <w:spacing w:after="0"/>
              <w:rPr>
                <w:sz w:val="6"/>
                <w:szCs w:val="6"/>
                <w:color w:val="auto"/>
              </w:rPr>
            </w:pPr>
          </w:p>
        </w:tc>
      </w:tr>
      <w:tr>
        <w:trPr>
          <w:trHeight w:val="176"/>
        </w:trPr>
        <w:tc>
          <w:tcPr>
            <w:tcW w:w="92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5,226.0</w:t>
            </w:r>
          </w:p>
        </w:tc>
        <w:tc>
          <w:tcPr>
            <w:tcW w:w="16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5,226.0</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5,226.0</w:t>
            </w:r>
          </w:p>
        </w:tc>
        <w:tc>
          <w:tcPr>
            <w:tcW w:w="160" w:type="dxa"/>
            <w:vAlign w:val="bottom"/>
          </w:tcPr>
          <w:p>
            <w:pPr>
              <w:spacing w:after="0"/>
              <w:rPr>
                <w:sz w:val="15"/>
                <w:szCs w:val="15"/>
                <w:color w:val="auto"/>
              </w:rPr>
            </w:pPr>
          </w:p>
        </w:tc>
        <w:tc>
          <w:tcPr>
            <w:tcW w:w="1260" w:type="dxa"/>
            <w:vAlign w:val="bottom"/>
            <w:gridSpan w:val="3"/>
          </w:tcPr>
          <w:p>
            <w:pPr>
              <w:jc w:val="right"/>
              <w:ind w:right="480"/>
              <w:spacing w:after="0"/>
              <w:rPr>
                <w:sz w:val="20"/>
                <w:szCs w:val="20"/>
                <w:color w:val="auto"/>
              </w:rPr>
            </w:pPr>
            <w:r>
              <w:rPr>
                <w:rFonts w:ascii="Times New Roman" w:cs="Times New Roman" w:eastAsia="Times New Roman" w:hAnsi="Times New Roman"/>
                <w:sz w:val="12"/>
                <w:szCs w:val="12"/>
                <w:color w:val="005A64"/>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5,226.0</w:t>
            </w:r>
          </w:p>
        </w:tc>
        <w:tc>
          <w:tcPr>
            <w:tcW w:w="140" w:type="dxa"/>
            <w:vAlign w:val="bottom"/>
            <w:tcBorders>
              <w:right w:val="single" w:sz="8" w:color="BECD32"/>
            </w:tcBorders>
          </w:tcPr>
          <w:p>
            <w:pPr>
              <w:spacing w:after="0"/>
              <w:rPr>
                <w:sz w:val="15"/>
                <w:szCs w:val="15"/>
                <w:color w:val="auto"/>
              </w:rPr>
            </w:pPr>
          </w:p>
        </w:tc>
      </w:tr>
      <w:tr>
        <w:trPr>
          <w:trHeight w:val="33"/>
        </w:trPr>
        <w:tc>
          <w:tcPr>
            <w:tcW w:w="120" w:type="dxa"/>
            <w:vAlign w:val="bottom"/>
            <w:tcBorders>
              <w:left w:val="single" w:sz="8" w:color="BECD32"/>
            </w:tcBorders>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7FACB1"/>
            </w:tcBorders>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r>
      <w:tr>
        <w:trPr>
          <w:trHeight w:val="257"/>
        </w:trPr>
        <w:tc>
          <w:tcPr>
            <w:tcW w:w="92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4,302.0</w:t>
            </w:r>
          </w:p>
        </w:tc>
        <w:tc>
          <w:tcPr>
            <w:tcW w:w="160" w:type="dxa"/>
            <w:vAlign w:val="bottom"/>
          </w:tcPr>
          <w:p>
            <w:pPr>
              <w:spacing w:after="0"/>
              <w:rPr>
                <w:sz w:val="22"/>
                <w:szCs w:val="2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4,302.0</w:t>
            </w:r>
          </w:p>
        </w:tc>
        <w:tc>
          <w:tcPr>
            <w:tcW w:w="160" w:type="dxa"/>
            <w:vAlign w:val="bottom"/>
          </w:tcPr>
          <w:p>
            <w:pPr>
              <w:spacing w:after="0"/>
              <w:rPr>
                <w:sz w:val="22"/>
                <w:szCs w:val="22"/>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3"/>
          </w:tcPr>
          <w:p>
            <w:pPr>
              <w:jc w:val="right"/>
              <w:ind w:right="480"/>
              <w:spacing w:after="0"/>
              <w:rPr>
                <w:sz w:val="20"/>
                <w:szCs w:val="20"/>
                <w:color w:val="auto"/>
              </w:rPr>
            </w:pPr>
            <w:r>
              <w:rPr>
                <w:rFonts w:ascii="Times New Roman" w:cs="Times New Roman" w:eastAsia="Times New Roman" w:hAnsi="Times New Roman"/>
                <w:sz w:val="12"/>
                <w:szCs w:val="12"/>
                <w:color w:val="005A64"/>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4,302.0</w:t>
            </w:r>
          </w:p>
        </w:tc>
        <w:tc>
          <w:tcPr>
            <w:tcW w:w="140" w:type="dxa"/>
            <w:vAlign w:val="bottom"/>
            <w:tcBorders>
              <w:right w:val="single" w:sz="8" w:color="BECD32"/>
            </w:tcBorders>
          </w:tcPr>
          <w:p>
            <w:pPr>
              <w:spacing w:after="0"/>
              <w:rPr>
                <w:sz w:val="22"/>
                <w:szCs w:val="22"/>
                <w:color w:val="auto"/>
              </w:rPr>
            </w:pPr>
          </w:p>
        </w:tc>
      </w:tr>
      <w:tr>
        <w:trPr>
          <w:trHeight w:val="115"/>
        </w:trPr>
        <w:tc>
          <w:tcPr>
            <w:tcW w:w="120" w:type="dxa"/>
            <w:vAlign w:val="bottom"/>
            <w:tcBorders>
              <w:left w:val="single" w:sz="8" w:color="BECD32"/>
            </w:tcBorders>
          </w:tcPr>
          <w:p>
            <w:pPr>
              <w:spacing w:after="0"/>
              <w:rPr>
                <w:sz w:val="9"/>
                <w:szCs w:val="9"/>
                <w:color w:val="auto"/>
              </w:rPr>
            </w:pPr>
          </w:p>
        </w:tc>
        <w:tc>
          <w:tcPr>
            <w:tcW w:w="800" w:type="dxa"/>
            <w:vAlign w:val="bottom"/>
            <w:tcBorders>
              <w:bottom w:val="single" w:sz="8" w:color="7FACB1"/>
            </w:tcBorders>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Borders>
              <w:bottom w:val="single" w:sz="8" w:color="7FACB1"/>
            </w:tcBorders>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Borders>
              <w:bottom w:val="single" w:sz="8" w:color="7FACB1"/>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7FACB1"/>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7FACB1"/>
            </w:tcBorders>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Borders>
              <w:bottom w:val="single" w:sz="8" w:color="7FACB1"/>
            </w:tcBorders>
          </w:tcPr>
          <w:p>
            <w:pPr>
              <w:spacing w:after="0"/>
              <w:rPr>
                <w:sz w:val="9"/>
                <w:szCs w:val="9"/>
                <w:color w:val="auto"/>
              </w:rPr>
            </w:pPr>
          </w:p>
        </w:tc>
        <w:tc>
          <w:tcPr>
            <w:tcW w:w="520" w:type="dxa"/>
            <w:vAlign w:val="bottom"/>
            <w:tcBorders>
              <w:bottom w:val="single" w:sz="8" w:color="7FACB1"/>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7FACB1"/>
            </w:tcBorders>
          </w:tcPr>
          <w:p>
            <w:pPr>
              <w:spacing w:after="0"/>
              <w:rPr>
                <w:sz w:val="9"/>
                <w:szCs w:val="9"/>
                <w:color w:val="auto"/>
              </w:rPr>
            </w:pPr>
          </w:p>
        </w:tc>
        <w:tc>
          <w:tcPr>
            <w:tcW w:w="140" w:type="dxa"/>
            <w:vAlign w:val="bottom"/>
            <w:tcBorders>
              <w:right w:val="single" w:sz="8" w:color="BECD32"/>
            </w:tcBorders>
          </w:tcPr>
          <w:p>
            <w:pPr>
              <w:spacing w:after="0"/>
              <w:rPr>
                <w:sz w:val="9"/>
                <w:szCs w:val="9"/>
                <w:color w:val="auto"/>
              </w:rPr>
            </w:pPr>
          </w:p>
        </w:tc>
      </w:tr>
      <w:tr>
        <w:trPr>
          <w:trHeight w:val="176"/>
        </w:trPr>
        <w:tc>
          <w:tcPr>
            <w:tcW w:w="92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9,939.4</w:t>
            </w:r>
          </w:p>
        </w:tc>
        <w:tc>
          <w:tcPr>
            <w:tcW w:w="16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005A6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9,939.4</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5,226.0</w:t>
            </w:r>
          </w:p>
        </w:tc>
        <w:tc>
          <w:tcPr>
            <w:tcW w:w="160" w:type="dxa"/>
            <w:vAlign w:val="bottom"/>
          </w:tcPr>
          <w:p>
            <w:pPr>
              <w:spacing w:after="0"/>
              <w:rPr>
                <w:sz w:val="15"/>
                <w:szCs w:val="15"/>
                <w:color w:val="auto"/>
              </w:rPr>
            </w:pPr>
          </w:p>
        </w:tc>
        <w:tc>
          <w:tcPr>
            <w:tcW w:w="1260" w:type="dxa"/>
            <w:vAlign w:val="bottom"/>
            <w:gridSpan w:val="3"/>
          </w:tcPr>
          <w:p>
            <w:pPr>
              <w:jc w:val="right"/>
              <w:ind w:right="480"/>
              <w:spacing w:after="0"/>
              <w:rPr>
                <w:sz w:val="20"/>
                <w:szCs w:val="20"/>
                <w:color w:val="auto"/>
              </w:rPr>
            </w:pPr>
            <w:r>
              <w:rPr>
                <w:rFonts w:ascii="Times New Roman" w:cs="Times New Roman" w:eastAsia="Times New Roman" w:hAnsi="Times New Roman"/>
                <w:sz w:val="12"/>
                <w:szCs w:val="12"/>
                <w:b w:val="1"/>
                <w:bCs w:val="1"/>
                <w:color w:val="005A64"/>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9,939.4</w:t>
            </w:r>
          </w:p>
        </w:tc>
        <w:tc>
          <w:tcPr>
            <w:tcW w:w="140" w:type="dxa"/>
            <w:vAlign w:val="bottom"/>
            <w:tcBorders>
              <w:right w:val="single" w:sz="8" w:color="BECD32"/>
            </w:tcBorders>
          </w:tcPr>
          <w:p>
            <w:pPr>
              <w:spacing w:after="0"/>
              <w:rPr>
                <w:sz w:val="15"/>
                <w:szCs w:val="15"/>
                <w:color w:val="auto"/>
              </w:rPr>
            </w:pPr>
          </w:p>
        </w:tc>
      </w:tr>
      <w:tr>
        <w:trPr>
          <w:trHeight w:val="33"/>
        </w:trPr>
        <w:tc>
          <w:tcPr>
            <w:tcW w:w="920" w:type="dxa"/>
            <w:vAlign w:val="bottom"/>
            <w:tcBorders>
              <w:left w:val="single" w:sz="8" w:color="BECD32"/>
            </w:tcBorders>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r>
      <w:tr>
        <w:trPr>
          <w:trHeight w:val="183"/>
        </w:trPr>
        <w:tc>
          <w:tcPr>
            <w:tcW w:w="120" w:type="dxa"/>
            <w:vAlign w:val="bottom"/>
            <w:tcBorders>
              <w:left w:val="single" w:sz="8" w:color="BECD32"/>
            </w:tcBorders>
          </w:tcPr>
          <w:p>
            <w:pPr>
              <w:spacing w:after="0"/>
              <w:rPr>
                <w:sz w:val="15"/>
                <w:szCs w:val="15"/>
                <w:color w:val="auto"/>
              </w:rPr>
            </w:pPr>
          </w:p>
        </w:tc>
        <w:tc>
          <w:tcPr>
            <w:tcW w:w="800" w:type="dxa"/>
            <w:vAlign w:val="bottom"/>
            <w:tcBorders>
              <w:top w:val="single" w:sz="8" w:color="005A64"/>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005A64"/>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005A64"/>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top w:val="single" w:sz="8" w:color="005A64"/>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top w:val="single" w:sz="8" w:color="005A64"/>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top w:val="single" w:sz="8" w:color="005A64"/>
              <w:bottom w:val="single" w:sz="8" w:color="7FACB1"/>
            </w:tcBorders>
          </w:tcPr>
          <w:p>
            <w:pPr>
              <w:spacing w:after="0"/>
              <w:rPr>
                <w:sz w:val="15"/>
                <w:szCs w:val="15"/>
                <w:color w:val="auto"/>
              </w:rPr>
            </w:pPr>
          </w:p>
        </w:tc>
        <w:tc>
          <w:tcPr>
            <w:tcW w:w="520" w:type="dxa"/>
            <w:vAlign w:val="bottom"/>
            <w:tcBorders>
              <w:top w:val="single" w:sz="8" w:color="005A64"/>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top w:val="single" w:sz="8" w:color="005A64"/>
              <w:bottom w:val="single" w:sz="8" w:color="7FACB1"/>
            </w:tcBorders>
          </w:tcPr>
          <w:p>
            <w:pPr>
              <w:spacing w:after="0"/>
              <w:rPr>
                <w:sz w:val="15"/>
                <w:szCs w:val="15"/>
                <w:color w:val="auto"/>
              </w:rPr>
            </w:pPr>
          </w:p>
        </w:tc>
        <w:tc>
          <w:tcPr>
            <w:tcW w:w="140" w:type="dxa"/>
            <w:vAlign w:val="bottom"/>
            <w:tcBorders>
              <w:right w:val="single" w:sz="8" w:color="BECD32"/>
            </w:tcBorders>
          </w:tcPr>
          <w:p>
            <w:pPr>
              <w:spacing w:after="0"/>
              <w:rPr>
                <w:sz w:val="15"/>
                <w:szCs w:val="15"/>
                <w:color w:val="auto"/>
              </w:rPr>
            </w:pPr>
          </w:p>
        </w:tc>
      </w:tr>
      <w:tr>
        <w:trPr>
          <w:trHeight w:val="176"/>
        </w:trPr>
        <w:tc>
          <w:tcPr>
            <w:tcW w:w="92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10.6</w:t>
            </w:r>
          </w:p>
        </w:tc>
        <w:tc>
          <w:tcPr>
            <w:tcW w:w="16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10.6</w:t>
            </w:r>
          </w:p>
        </w:tc>
        <w:tc>
          <w:tcPr>
            <w:tcW w:w="1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10.6</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10.6</w:t>
            </w:r>
          </w:p>
        </w:tc>
        <w:tc>
          <w:tcPr>
            <w:tcW w:w="140" w:type="dxa"/>
            <w:vAlign w:val="bottom"/>
            <w:tcBorders>
              <w:right w:val="single" w:sz="8" w:color="BECD32"/>
            </w:tcBorders>
          </w:tcPr>
          <w:p>
            <w:pPr>
              <w:spacing w:after="0"/>
              <w:rPr>
                <w:sz w:val="15"/>
                <w:szCs w:val="15"/>
                <w:color w:val="auto"/>
              </w:rPr>
            </w:pPr>
          </w:p>
        </w:tc>
      </w:tr>
      <w:tr>
        <w:trPr>
          <w:trHeight w:val="33"/>
        </w:trPr>
        <w:tc>
          <w:tcPr>
            <w:tcW w:w="120" w:type="dxa"/>
            <w:vAlign w:val="bottom"/>
            <w:tcBorders>
              <w:left w:val="single" w:sz="8" w:color="BECD32"/>
            </w:tcBorders>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7FACB1"/>
            </w:tcBorders>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r>
      <w:tr>
        <w:trPr>
          <w:trHeight w:val="176"/>
        </w:trPr>
        <w:tc>
          <w:tcPr>
            <w:tcW w:w="92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45.0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73.8</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118.8</w:t>
            </w:r>
          </w:p>
        </w:tc>
        <w:tc>
          <w:tcPr>
            <w:tcW w:w="1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3"/>
          </w:tcPr>
          <w:p>
            <w:pPr>
              <w:jc w:val="right"/>
              <w:ind w:right="480"/>
              <w:spacing w:after="0"/>
              <w:rPr>
                <w:sz w:val="20"/>
                <w:szCs w:val="20"/>
                <w:color w:val="auto"/>
              </w:rPr>
            </w:pPr>
            <w:r>
              <w:rPr>
                <w:rFonts w:ascii="Times New Roman" w:cs="Times New Roman" w:eastAsia="Times New Roman" w:hAnsi="Times New Roman"/>
                <w:sz w:val="12"/>
                <w:szCs w:val="12"/>
                <w:color w:val="005A6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118.8</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118.8</w:t>
            </w:r>
          </w:p>
        </w:tc>
        <w:tc>
          <w:tcPr>
            <w:tcW w:w="140" w:type="dxa"/>
            <w:vAlign w:val="bottom"/>
            <w:tcBorders>
              <w:right w:val="single" w:sz="8" w:color="BECD32"/>
            </w:tcBorders>
          </w:tcPr>
          <w:p>
            <w:pPr>
              <w:spacing w:after="0"/>
              <w:rPr>
                <w:sz w:val="15"/>
                <w:szCs w:val="15"/>
                <w:color w:val="auto"/>
              </w:rPr>
            </w:pPr>
          </w:p>
        </w:tc>
      </w:tr>
      <w:tr>
        <w:trPr>
          <w:trHeight w:val="33"/>
        </w:trPr>
        <w:tc>
          <w:tcPr>
            <w:tcW w:w="120" w:type="dxa"/>
            <w:vAlign w:val="bottom"/>
            <w:tcBorders>
              <w:left w:val="single" w:sz="8" w:color="BECD32"/>
            </w:tcBorders>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7FACB1"/>
            </w:tcBorders>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r>
      <w:tr>
        <w:trPr>
          <w:trHeight w:val="203"/>
        </w:trPr>
        <w:tc>
          <w:tcPr>
            <w:tcW w:w="92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10.8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66.6</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77.4</w:t>
            </w:r>
          </w:p>
        </w:tc>
        <w:tc>
          <w:tcPr>
            <w:tcW w:w="1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3"/>
          </w:tcPr>
          <w:p>
            <w:pPr>
              <w:jc w:val="right"/>
              <w:ind w:right="480"/>
              <w:spacing w:after="0"/>
              <w:rPr>
                <w:sz w:val="20"/>
                <w:szCs w:val="20"/>
                <w:color w:val="auto"/>
              </w:rPr>
            </w:pPr>
            <w:r>
              <w:rPr>
                <w:rFonts w:ascii="Times New Roman" w:cs="Times New Roman" w:eastAsia="Times New Roman" w:hAnsi="Times New Roman"/>
                <w:sz w:val="12"/>
                <w:szCs w:val="12"/>
                <w:color w:val="005A64"/>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77.4</w:t>
            </w:r>
          </w:p>
        </w:tc>
        <w:tc>
          <w:tcPr>
            <w:tcW w:w="140" w:type="dxa"/>
            <w:vAlign w:val="bottom"/>
            <w:tcBorders>
              <w:right w:val="single" w:sz="8" w:color="BECD32"/>
            </w:tcBorders>
          </w:tcPr>
          <w:p>
            <w:pPr>
              <w:spacing w:after="0"/>
              <w:rPr>
                <w:sz w:val="17"/>
                <w:szCs w:val="17"/>
                <w:color w:val="auto"/>
              </w:rPr>
            </w:pPr>
          </w:p>
        </w:tc>
      </w:tr>
      <w:tr>
        <w:trPr>
          <w:trHeight w:val="74"/>
        </w:trPr>
        <w:tc>
          <w:tcPr>
            <w:tcW w:w="120" w:type="dxa"/>
            <w:vAlign w:val="bottom"/>
            <w:tcBorders>
              <w:left w:val="single" w:sz="8" w:color="BECD32"/>
            </w:tcBorders>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Borders>
              <w:bottom w:val="single" w:sz="8" w:color="7FACB1"/>
            </w:tcBorders>
          </w:tcPr>
          <w:p>
            <w:pPr>
              <w:spacing w:after="0"/>
              <w:rPr>
                <w:sz w:val="6"/>
                <w:szCs w:val="6"/>
                <w:color w:val="auto"/>
              </w:rPr>
            </w:pPr>
          </w:p>
        </w:tc>
        <w:tc>
          <w:tcPr>
            <w:tcW w:w="52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40" w:type="dxa"/>
            <w:vAlign w:val="bottom"/>
            <w:tcBorders>
              <w:right w:val="single" w:sz="8" w:color="BECD32"/>
            </w:tcBorders>
          </w:tcPr>
          <w:p>
            <w:pPr>
              <w:spacing w:after="0"/>
              <w:rPr>
                <w:sz w:val="6"/>
                <w:szCs w:val="6"/>
                <w:color w:val="auto"/>
              </w:rPr>
            </w:pPr>
          </w:p>
        </w:tc>
      </w:tr>
      <w:tr>
        <w:trPr>
          <w:trHeight w:val="203"/>
        </w:trPr>
        <w:tc>
          <w:tcPr>
            <w:tcW w:w="92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468.8</w:t>
            </w:r>
          </w:p>
        </w:tc>
        <w:tc>
          <w:tcPr>
            <w:tcW w:w="16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468.8</w:t>
            </w:r>
          </w:p>
        </w:tc>
        <w:tc>
          <w:tcPr>
            <w:tcW w:w="1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3"/>
          </w:tcPr>
          <w:p>
            <w:pPr>
              <w:jc w:val="right"/>
              <w:ind w:right="480"/>
              <w:spacing w:after="0"/>
              <w:rPr>
                <w:sz w:val="20"/>
                <w:szCs w:val="20"/>
                <w:color w:val="auto"/>
              </w:rPr>
            </w:pPr>
            <w:r>
              <w:rPr>
                <w:rFonts w:ascii="Times New Roman" w:cs="Times New Roman" w:eastAsia="Times New Roman" w:hAnsi="Times New Roman"/>
                <w:sz w:val="12"/>
                <w:szCs w:val="12"/>
                <w:color w:val="005A64"/>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468.8</w:t>
            </w:r>
          </w:p>
        </w:tc>
        <w:tc>
          <w:tcPr>
            <w:tcW w:w="140" w:type="dxa"/>
            <w:vAlign w:val="bottom"/>
            <w:tcBorders>
              <w:right w:val="single" w:sz="8" w:color="BECD32"/>
            </w:tcBorders>
          </w:tcPr>
          <w:p>
            <w:pPr>
              <w:spacing w:after="0"/>
              <w:rPr>
                <w:sz w:val="17"/>
                <w:szCs w:val="17"/>
                <w:color w:val="auto"/>
              </w:rPr>
            </w:pPr>
          </w:p>
        </w:tc>
      </w:tr>
      <w:tr>
        <w:trPr>
          <w:trHeight w:val="74"/>
        </w:trPr>
        <w:tc>
          <w:tcPr>
            <w:tcW w:w="120" w:type="dxa"/>
            <w:vAlign w:val="bottom"/>
            <w:tcBorders>
              <w:left w:val="single" w:sz="8" w:color="BECD32"/>
            </w:tcBorders>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Borders>
              <w:bottom w:val="single" w:sz="8" w:color="7FACB1"/>
            </w:tcBorders>
          </w:tcPr>
          <w:p>
            <w:pPr>
              <w:spacing w:after="0"/>
              <w:rPr>
                <w:sz w:val="6"/>
                <w:szCs w:val="6"/>
                <w:color w:val="auto"/>
              </w:rPr>
            </w:pPr>
          </w:p>
        </w:tc>
        <w:tc>
          <w:tcPr>
            <w:tcW w:w="52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40" w:type="dxa"/>
            <w:vAlign w:val="bottom"/>
            <w:tcBorders>
              <w:right w:val="single" w:sz="8" w:color="BECD32"/>
            </w:tcBorders>
          </w:tcPr>
          <w:p>
            <w:pPr>
              <w:spacing w:after="0"/>
              <w:rPr>
                <w:sz w:val="6"/>
                <w:szCs w:val="6"/>
                <w:color w:val="auto"/>
              </w:rPr>
            </w:pPr>
          </w:p>
        </w:tc>
      </w:tr>
      <w:tr>
        <w:trPr>
          <w:trHeight w:val="203"/>
        </w:trPr>
        <w:tc>
          <w:tcPr>
            <w:tcW w:w="92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21.9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18.2</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40.1</w:t>
            </w:r>
          </w:p>
        </w:tc>
        <w:tc>
          <w:tcPr>
            <w:tcW w:w="1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3"/>
          </w:tcPr>
          <w:p>
            <w:pPr>
              <w:jc w:val="right"/>
              <w:ind w:right="480"/>
              <w:spacing w:after="0"/>
              <w:rPr>
                <w:sz w:val="20"/>
                <w:szCs w:val="20"/>
                <w:color w:val="auto"/>
              </w:rPr>
            </w:pPr>
            <w:r>
              <w:rPr>
                <w:rFonts w:ascii="Times New Roman" w:cs="Times New Roman" w:eastAsia="Times New Roman" w:hAnsi="Times New Roman"/>
                <w:sz w:val="12"/>
                <w:szCs w:val="12"/>
                <w:color w:val="005A64"/>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40.1</w:t>
            </w:r>
          </w:p>
        </w:tc>
        <w:tc>
          <w:tcPr>
            <w:tcW w:w="140" w:type="dxa"/>
            <w:vAlign w:val="bottom"/>
            <w:tcBorders>
              <w:right w:val="single" w:sz="8" w:color="BECD32"/>
            </w:tcBorders>
          </w:tcPr>
          <w:p>
            <w:pPr>
              <w:spacing w:after="0"/>
              <w:rPr>
                <w:sz w:val="17"/>
                <w:szCs w:val="17"/>
                <w:color w:val="auto"/>
              </w:rPr>
            </w:pPr>
          </w:p>
        </w:tc>
      </w:tr>
      <w:tr>
        <w:trPr>
          <w:trHeight w:val="74"/>
        </w:trPr>
        <w:tc>
          <w:tcPr>
            <w:tcW w:w="120" w:type="dxa"/>
            <w:vAlign w:val="bottom"/>
            <w:tcBorders>
              <w:left w:val="single" w:sz="8" w:color="BECD32"/>
            </w:tcBorders>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Borders>
              <w:bottom w:val="single" w:sz="8" w:color="7FACB1"/>
            </w:tcBorders>
          </w:tcPr>
          <w:p>
            <w:pPr>
              <w:spacing w:after="0"/>
              <w:rPr>
                <w:sz w:val="6"/>
                <w:szCs w:val="6"/>
                <w:color w:val="auto"/>
              </w:rPr>
            </w:pPr>
          </w:p>
        </w:tc>
        <w:tc>
          <w:tcPr>
            <w:tcW w:w="520" w:type="dxa"/>
            <w:vAlign w:val="bottom"/>
            <w:tcBorders>
              <w:bottom w:val="single" w:sz="8" w:color="7FACB1"/>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7FACB1"/>
            </w:tcBorders>
          </w:tcPr>
          <w:p>
            <w:pPr>
              <w:spacing w:after="0"/>
              <w:rPr>
                <w:sz w:val="6"/>
                <w:szCs w:val="6"/>
                <w:color w:val="auto"/>
              </w:rPr>
            </w:pPr>
          </w:p>
        </w:tc>
        <w:tc>
          <w:tcPr>
            <w:tcW w:w="140" w:type="dxa"/>
            <w:vAlign w:val="bottom"/>
            <w:tcBorders>
              <w:right w:val="single" w:sz="8" w:color="BECD32"/>
            </w:tcBorders>
          </w:tcPr>
          <w:p>
            <w:pPr>
              <w:spacing w:after="0"/>
              <w:rPr>
                <w:sz w:val="6"/>
                <w:szCs w:val="6"/>
                <w:color w:val="auto"/>
              </w:rPr>
            </w:pPr>
          </w:p>
        </w:tc>
      </w:tr>
      <w:tr>
        <w:trPr>
          <w:trHeight w:val="176"/>
        </w:trPr>
        <w:tc>
          <w:tcPr>
            <w:tcW w:w="92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45.9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179.5</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225.4</w:t>
            </w:r>
          </w:p>
        </w:tc>
        <w:tc>
          <w:tcPr>
            <w:tcW w:w="1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3"/>
          </w:tcPr>
          <w:p>
            <w:pPr>
              <w:jc w:val="right"/>
              <w:ind w:right="480"/>
              <w:spacing w:after="0"/>
              <w:rPr>
                <w:sz w:val="20"/>
                <w:szCs w:val="20"/>
                <w:color w:val="auto"/>
              </w:rPr>
            </w:pPr>
            <w:r>
              <w:rPr>
                <w:rFonts w:ascii="Times New Roman" w:cs="Times New Roman" w:eastAsia="Times New Roman" w:hAnsi="Times New Roman"/>
                <w:sz w:val="12"/>
                <w:szCs w:val="12"/>
                <w:color w:val="005A64"/>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225.4</w:t>
            </w:r>
          </w:p>
        </w:tc>
        <w:tc>
          <w:tcPr>
            <w:tcW w:w="140" w:type="dxa"/>
            <w:vAlign w:val="bottom"/>
            <w:tcBorders>
              <w:right w:val="single" w:sz="8" w:color="BECD32"/>
            </w:tcBorders>
          </w:tcPr>
          <w:p>
            <w:pPr>
              <w:spacing w:after="0"/>
              <w:rPr>
                <w:sz w:val="15"/>
                <w:szCs w:val="15"/>
                <w:color w:val="auto"/>
              </w:rPr>
            </w:pPr>
          </w:p>
        </w:tc>
      </w:tr>
      <w:tr>
        <w:trPr>
          <w:trHeight w:val="33"/>
        </w:trPr>
        <w:tc>
          <w:tcPr>
            <w:tcW w:w="120" w:type="dxa"/>
            <w:vAlign w:val="bottom"/>
            <w:tcBorders>
              <w:left w:val="single" w:sz="8" w:color="BECD32"/>
            </w:tcBorders>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7FACB1"/>
            </w:tcBorders>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r>
      <w:tr>
        <w:trPr>
          <w:trHeight w:val="176"/>
        </w:trPr>
        <w:tc>
          <w:tcPr>
            <w:tcW w:w="92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603.0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338.1</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941.1</w:t>
            </w:r>
          </w:p>
        </w:tc>
        <w:tc>
          <w:tcPr>
            <w:tcW w:w="1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10.6</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118.8</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941.1</w:t>
            </w:r>
          </w:p>
        </w:tc>
        <w:tc>
          <w:tcPr>
            <w:tcW w:w="140" w:type="dxa"/>
            <w:vAlign w:val="bottom"/>
            <w:tcBorders>
              <w:right w:val="single" w:sz="8" w:color="BECD32"/>
            </w:tcBorders>
          </w:tcPr>
          <w:p>
            <w:pPr>
              <w:spacing w:after="0"/>
              <w:rPr>
                <w:sz w:val="15"/>
                <w:szCs w:val="15"/>
                <w:color w:val="auto"/>
              </w:rPr>
            </w:pPr>
          </w:p>
        </w:tc>
      </w:tr>
      <w:tr>
        <w:trPr>
          <w:trHeight w:val="33"/>
        </w:trPr>
        <w:tc>
          <w:tcPr>
            <w:tcW w:w="120" w:type="dxa"/>
            <w:vAlign w:val="bottom"/>
            <w:tcBorders>
              <w:left w:val="single" w:sz="8" w:color="BECD32"/>
              <w:bottom w:val="single" w:sz="8" w:color="BECE33"/>
            </w:tcBorders>
          </w:tcPr>
          <w:p>
            <w:pPr>
              <w:spacing w:after="0"/>
              <w:rPr>
                <w:sz w:val="2"/>
                <w:szCs w:val="2"/>
                <w:color w:val="auto"/>
              </w:rPr>
            </w:pPr>
          </w:p>
        </w:tc>
        <w:tc>
          <w:tcPr>
            <w:tcW w:w="800" w:type="dxa"/>
            <w:vAlign w:val="bottom"/>
            <w:tcBorders>
              <w:bottom w:val="single" w:sz="8" w:color="BECE33"/>
            </w:tcBorders>
          </w:tcPr>
          <w:p>
            <w:pPr>
              <w:spacing w:after="0"/>
              <w:rPr>
                <w:sz w:val="2"/>
                <w:szCs w:val="2"/>
                <w:color w:val="auto"/>
              </w:rPr>
            </w:pPr>
          </w:p>
        </w:tc>
        <w:tc>
          <w:tcPr>
            <w:tcW w:w="160" w:type="dxa"/>
            <w:vAlign w:val="bottom"/>
            <w:tcBorders>
              <w:bottom w:val="single" w:sz="8" w:color="BECE33"/>
            </w:tcBorders>
          </w:tcPr>
          <w:p>
            <w:pPr>
              <w:spacing w:after="0"/>
              <w:rPr>
                <w:sz w:val="2"/>
                <w:szCs w:val="2"/>
                <w:color w:val="auto"/>
              </w:rPr>
            </w:pPr>
          </w:p>
        </w:tc>
        <w:tc>
          <w:tcPr>
            <w:tcW w:w="820" w:type="dxa"/>
            <w:vAlign w:val="bottom"/>
            <w:tcBorders>
              <w:bottom w:val="single" w:sz="8" w:color="BECE33"/>
            </w:tcBorders>
          </w:tcPr>
          <w:p>
            <w:pPr>
              <w:spacing w:after="0"/>
              <w:rPr>
                <w:sz w:val="2"/>
                <w:szCs w:val="2"/>
                <w:color w:val="auto"/>
              </w:rPr>
            </w:pPr>
          </w:p>
        </w:tc>
        <w:tc>
          <w:tcPr>
            <w:tcW w:w="160" w:type="dxa"/>
            <w:vAlign w:val="bottom"/>
            <w:tcBorders>
              <w:bottom w:val="single" w:sz="8" w:color="BECE33"/>
            </w:tcBorders>
          </w:tcPr>
          <w:p>
            <w:pPr>
              <w:spacing w:after="0"/>
              <w:rPr>
                <w:sz w:val="2"/>
                <w:szCs w:val="2"/>
                <w:color w:val="auto"/>
              </w:rPr>
            </w:pPr>
          </w:p>
        </w:tc>
        <w:tc>
          <w:tcPr>
            <w:tcW w:w="820" w:type="dxa"/>
            <w:vAlign w:val="bottom"/>
            <w:tcBorders>
              <w:bottom w:val="single" w:sz="8" w:color="BECE33"/>
            </w:tcBorders>
          </w:tcPr>
          <w:p>
            <w:pPr>
              <w:spacing w:after="0"/>
              <w:rPr>
                <w:sz w:val="2"/>
                <w:szCs w:val="2"/>
                <w:color w:val="auto"/>
              </w:rPr>
            </w:pPr>
          </w:p>
        </w:tc>
        <w:tc>
          <w:tcPr>
            <w:tcW w:w="160" w:type="dxa"/>
            <w:vAlign w:val="bottom"/>
            <w:tcBorders>
              <w:bottom w:val="single" w:sz="8" w:color="BECE33"/>
            </w:tcBorders>
          </w:tcPr>
          <w:p>
            <w:pPr>
              <w:spacing w:after="0"/>
              <w:rPr>
                <w:sz w:val="2"/>
                <w:szCs w:val="2"/>
                <w:color w:val="auto"/>
              </w:rPr>
            </w:pPr>
          </w:p>
        </w:tc>
        <w:tc>
          <w:tcPr>
            <w:tcW w:w="800" w:type="dxa"/>
            <w:vAlign w:val="bottom"/>
            <w:tcBorders>
              <w:bottom w:val="single" w:sz="8" w:color="BECE33"/>
            </w:tcBorders>
          </w:tcPr>
          <w:p>
            <w:pPr>
              <w:spacing w:after="0"/>
              <w:rPr>
                <w:sz w:val="2"/>
                <w:szCs w:val="2"/>
                <w:color w:val="auto"/>
              </w:rPr>
            </w:pPr>
          </w:p>
        </w:tc>
        <w:tc>
          <w:tcPr>
            <w:tcW w:w="160" w:type="dxa"/>
            <w:vAlign w:val="bottom"/>
            <w:tcBorders>
              <w:bottom w:val="single" w:sz="8" w:color="BECE33"/>
            </w:tcBorders>
          </w:tcPr>
          <w:p>
            <w:pPr>
              <w:spacing w:after="0"/>
              <w:rPr>
                <w:sz w:val="2"/>
                <w:szCs w:val="2"/>
                <w:color w:val="auto"/>
              </w:rPr>
            </w:pPr>
          </w:p>
        </w:tc>
        <w:tc>
          <w:tcPr>
            <w:tcW w:w="800" w:type="dxa"/>
            <w:vAlign w:val="bottom"/>
            <w:tcBorders>
              <w:bottom w:val="single" w:sz="8" w:color="BECE33"/>
            </w:tcBorders>
          </w:tcPr>
          <w:p>
            <w:pPr>
              <w:spacing w:after="0"/>
              <w:rPr>
                <w:sz w:val="2"/>
                <w:szCs w:val="2"/>
                <w:color w:val="auto"/>
              </w:rPr>
            </w:pPr>
          </w:p>
        </w:tc>
        <w:tc>
          <w:tcPr>
            <w:tcW w:w="160" w:type="dxa"/>
            <w:vAlign w:val="bottom"/>
            <w:tcBorders>
              <w:bottom w:val="single" w:sz="8" w:color="BECE33"/>
            </w:tcBorders>
          </w:tcPr>
          <w:p>
            <w:pPr>
              <w:spacing w:after="0"/>
              <w:rPr>
                <w:sz w:val="2"/>
                <w:szCs w:val="2"/>
                <w:color w:val="auto"/>
              </w:rPr>
            </w:pPr>
          </w:p>
        </w:tc>
        <w:tc>
          <w:tcPr>
            <w:tcW w:w="300" w:type="dxa"/>
            <w:vAlign w:val="bottom"/>
            <w:tcBorders>
              <w:bottom w:val="single" w:sz="8" w:color="BECE33"/>
            </w:tcBorders>
          </w:tcPr>
          <w:p>
            <w:pPr>
              <w:spacing w:after="0"/>
              <w:rPr>
                <w:sz w:val="2"/>
                <w:szCs w:val="2"/>
                <w:color w:val="auto"/>
              </w:rPr>
            </w:pPr>
          </w:p>
        </w:tc>
        <w:tc>
          <w:tcPr>
            <w:tcW w:w="520" w:type="dxa"/>
            <w:vAlign w:val="bottom"/>
            <w:tcBorders>
              <w:bottom w:val="single" w:sz="8" w:color="BECE33"/>
            </w:tcBorders>
          </w:tcPr>
          <w:p>
            <w:pPr>
              <w:spacing w:after="0"/>
              <w:rPr>
                <w:sz w:val="2"/>
                <w:szCs w:val="2"/>
                <w:color w:val="auto"/>
              </w:rPr>
            </w:pPr>
          </w:p>
        </w:tc>
        <w:tc>
          <w:tcPr>
            <w:tcW w:w="160" w:type="dxa"/>
            <w:vAlign w:val="bottom"/>
            <w:tcBorders>
              <w:bottom w:val="single" w:sz="8" w:color="BECE33"/>
            </w:tcBorders>
          </w:tcPr>
          <w:p>
            <w:pPr>
              <w:spacing w:after="0"/>
              <w:rPr>
                <w:sz w:val="2"/>
                <w:szCs w:val="2"/>
                <w:color w:val="auto"/>
              </w:rPr>
            </w:pPr>
          </w:p>
        </w:tc>
        <w:tc>
          <w:tcPr>
            <w:tcW w:w="800" w:type="dxa"/>
            <w:vAlign w:val="bottom"/>
            <w:tcBorders>
              <w:bottom w:val="single" w:sz="8" w:color="BECE33"/>
            </w:tcBorders>
          </w:tcPr>
          <w:p>
            <w:pPr>
              <w:spacing w:after="0"/>
              <w:rPr>
                <w:sz w:val="2"/>
                <w:szCs w:val="2"/>
                <w:color w:val="auto"/>
              </w:rPr>
            </w:pPr>
          </w:p>
        </w:tc>
        <w:tc>
          <w:tcPr>
            <w:tcW w:w="140" w:type="dxa"/>
            <w:vAlign w:val="bottom"/>
            <w:tcBorders>
              <w:bottom w:val="single" w:sz="8" w:color="BECE33"/>
              <w:right w:val="single" w:sz="8" w:color="BECD32"/>
            </w:tcBorders>
          </w:tcPr>
          <w:p>
            <w:pPr>
              <w:spacing w:after="0"/>
              <w:rPr>
                <w:sz w:val="2"/>
                <w:szCs w:val="2"/>
                <w:color w:val="auto"/>
              </w:rPr>
            </w:pPr>
          </w:p>
        </w:tc>
      </w:tr>
    </w:tbl>
    <w:p>
      <w:pPr>
        <w:spacing w:after="0" w:line="103" w:lineRule="exact"/>
        <w:rPr>
          <w:sz w:val="20"/>
          <w:szCs w:val="20"/>
          <w:color w:val="auto"/>
        </w:rPr>
      </w:pPr>
    </w:p>
    <w:p>
      <w:pPr>
        <w:sectPr>
          <w:pgSz w:w="11900" w:h="16838" w:orient="portrait"/>
          <w:cols w:equalWidth="0" w:num="3">
            <w:col w:w="3260" w:space="180"/>
            <w:col w:w="480" w:space="440"/>
            <w:col w:w="6880"/>
          </w:cols>
          <w:pgMar w:left="320" w:top="388" w:right="339" w:bottom="1440" w:gutter="0" w:footer="0" w:header="0"/>
          <w:type w:val="continuous"/>
        </w:sect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Fair values for financial assets and liabilities at amortized costs are not disclosed when the book values represent a reasonable approximation.</w:t>
      </w:r>
    </w:p>
    <w:p>
      <w:pPr>
        <w:spacing w:after="0" w:line="29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Additional developments in our financial assets during the three months ended March 31, 2026 mainly resulted from a reallocation of existing capital and spending for our operations as disclosed in our interim condensed consolidated statements of cash flows.</w:t>
      </w:r>
    </w:p>
    <w:p>
      <w:pPr>
        <w:spacing w:after="0" w:line="217"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As of March 31, 2026, we had cash and cash equivalents of €9,939.4 million, current security investments disclosed as financial assets of €4,696.9 million and non-current security investments disclosed as financial assets of €2,127.0 million totaling €16,763.3 million in cash, cash equivalents and security investments, a decrease of €472.3 million compared to December 31, 2025.</w:t>
      </w:r>
    </w:p>
    <w:p>
      <w:pPr>
        <w:spacing w:after="0" w:line="231"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Our other financial liabilities decreased by €285.5 million during the three months ended March 31, 2026. The decrease mainly resulted from payments to our licensors resulting from our COVID-19 vaccine business.</w:t>
      </w:r>
    </w:p>
    <w:p>
      <w:pPr>
        <w:sectPr>
          <w:pgSz w:w="11900" w:h="16838" w:orient="portrait"/>
          <w:cols w:equalWidth="0" w:num="1">
            <w:col w:w="11240"/>
          </w:cols>
          <w:pgMar w:left="320" w:top="388" w:right="339"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r>
        <w:rPr>
          <w:sz w:val="20"/>
          <w:szCs w:val="20"/>
          <w:color w:val="auto"/>
        </w:rPr>
        <w:tab/>
      </w:r>
      <w:r>
        <w:rPr>
          <w:rFonts w:ascii="Times New Roman" w:cs="Times New Roman" w:eastAsia="Times New Roman" w:hAnsi="Times New Roman"/>
          <w:sz w:val="22"/>
          <w:szCs w:val="22"/>
          <w:b w:val="1"/>
          <w:bCs w:val="1"/>
          <w:color w:val="C3C3C3"/>
        </w:rPr>
        <w:t>13</w:t>
      </w:r>
    </w:p>
    <w:p>
      <w:pPr>
        <w:sectPr>
          <w:pgSz w:w="11900" w:h="16838" w:orient="portrait"/>
          <w:cols w:equalWidth="0" w:num="1">
            <w:col w:w="11240"/>
          </w:cols>
          <w:pgMar w:left="320" w:top="388" w:right="339" w:bottom="1440" w:gutter="0" w:footer="0" w:header="0"/>
          <w:type w:val="continuous"/>
        </w:sectPr>
      </w:pPr>
    </w:p>
    <w:bookmarkStart w:id="22" w:name="page23"/>
    <w:bookmarkEnd w:id="2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3C9673"/>
        </w:rPr>
        <w:drawing>
          <wp:anchor simplePos="0" relativeHeight="251657728" behindDoc="1" locked="0" layoutInCell="0" allowOverlap="1">
            <wp:simplePos x="0" y="0"/>
            <wp:positionH relativeFrom="page">
              <wp:posOffset>2016760</wp:posOffset>
            </wp:positionH>
            <wp:positionV relativeFrom="page">
              <wp:posOffset>106045</wp:posOffset>
            </wp:positionV>
            <wp:extent cx="222885" cy="6858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C3C3C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20320</wp:posOffset>
            </wp:positionV>
            <wp:extent cx="222885" cy="6858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22885" cy="685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749300</wp:posOffset>
            </wp:positionV>
            <wp:extent cx="7115175"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December 31, 2025</w:t>
            </w: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gridSpan w:val="3"/>
          </w:tcPr>
          <w:p>
            <w:pPr>
              <w:ind w:left="120"/>
              <w:spacing w:after="0"/>
              <w:rPr>
                <w:sz w:val="20"/>
                <w:szCs w:val="20"/>
                <w:color w:val="auto"/>
              </w:rPr>
            </w:pPr>
            <w:r>
              <w:rPr>
                <w:rFonts w:ascii="Times New Roman" w:cs="Times New Roman" w:eastAsia="Times New Roman" w:hAnsi="Times New Roman"/>
                <w:sz w:val="12"/>
                <w:szCs w:val="12"/>
                <w:b w:val="1"/>
                <w:bCs w:val="1"/>
                <w:color w:val="005A64"/>
              </w:rPr>
              <w:t>Carrying amount</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ind w:left="640"/>
              <w:spacing w:after="0"/>
              <w:rPr>
                <w:sz w:val="20"/>
                <w:szCs w:val="20"/>
                <w:color w:val="auto"/>
              </w:rPr>
            </w:pPr>
            <w:r>
              <w:rPr>
                <w:rFonts w:ascii="Times New Roman" w:cs="Times New Roman" w:eastAsia="Times New Roman" w:hAnsi="Times New Roman"/>
                <w:sz w:val="12"/>
                <w:szCs w:val="12"/>
                <w:b w:val="1"/>
                <w:bCs w:val="1"/>
                <w:color w:val="005A64"/>
              </w:rPr>
              <w:t>Fair value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005A64"/>
              </w:rPr>
              <w:t>Security</w:t>
            </w: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005A64"/>
            </w:tcBorders>
          </w:tcPr>
          <w:p>
            <w:pPr>
              <w:spacing w:after="0"/>
              <w:rPr>
                <w:sz w:val="2"/>
                <w:szCs w:val="2"/>
                <w:color w:val="auto"/>
              </w:rPr>
            </w:pPr>
          </w:p>
        </w:tc>
        <w:tc>
          <w:tcPr>
            <w:tcW w:w="160" w:type="dxa"/>
            <w:vAlign w:val="bottom"/>
            <w:tcBorders>
              <w:bottom w:val="single" w:sz="8" w:color="005A64"/>
            </w:tcBorders>
          </w:tcPr>
          <w:p>
            <w:pPr>
              <w:spacing w:after="0"/>
              <w:rPr>
                <w:sz w:val="2"/>
                <w:szCs w:val="2"/>
                <w:color w:val="auto"/>
              </w:rPr>
            </w:pPr>
          </w:p>
        </w:tc>
        <w:tc>
          <w:tcPr>
            <w:tcW w:w="820" w:type="dxa"/>
            <w:vAlign w:val="bottom"/>
            <w:tcBorders>
              <w:bottom w:val="single" w:sz="8" w:color="005A64"/>
            </w:tcBorders>
          </w:tcPr>
          <w:p>
            <w:pPr>
              <w:spacing w:after="0"/>
              <w:rPr>
                <w:sz w:val="2"/>
                <w:szCs w:val="2"/>
                <w:color w:val="auto"/>
              </w:rPr>
            </w:pPr>
          </w:p>
        </w:tc>
        <w:tc>
          <w:tcPr>
            <w:tcW w:w="160" w:type="dxa"/>
            <w:vAlign w:val="bottom"/>
            <w:tcBorders>
              <w:bottom w:val="single" w:sz="8" w:color="005A64"/>
            </w:tcBorders>
          </w:tcPr>
          <w:p>
            <w:pPr>
              <w:spacing w:after="0"/>
              <w:rPr>
                <w:sz w:val="2"/>
                <w:szCs w:val="2"/>
                <w:color w:val="auto"/>
              </w:rPr>
            </w:pPr>
          </w:p>
        </w:tc>
        <w:tc>
          <w:tcPr>
            <w:tcW w:w="82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005A64"/>
            </w:tcBorders>
          </w:tcPr>
          <w:p>
            <w:pPr>
              <w:spacing w:after="0"/>
              <w:rPr>
                <w:sz w:val="2"/>
                <w:szCs w:val="2"/>
                <w:color w:val="auto"/>
              </w:rPr>
            </w:pPr>
          </w:p>
        </w:tc>
        <w:tc>
          <w:tcPr>
            <w:tcW w:w="160" w:type="dxa"/>
            <w:vAlign w:val="bottom"/>
            <w:tcBorders>
              <w:bottom w:val="single" w:sz="8" w:color="005A64"/>
            </w:tcBorders>
          </w:tcPr>
          <w:p>
            <w:pPr>
              <w:spacing w:after="0"/>
              <w:rPr>
                <w:sz w:val="2"/>
                <w:szCs w:val="2"/>
                <w:color w:val="auto"/>
              </w:rPr>
            </w:pPr>
          </w:p>
        </w:tc>
        <w:tc>
          <w:tcPr>
            <w:tcW w:w="820" w:type="dxa"/>
            <w:vAlign w:val="bottom"/>
            <w:tcBorders>
              <w:bottom w:val="single" w:sz="8" w:color="005A64"/>
            </w:tcBorders>
          </w:tcPr>
          <w:p>
            <w:pPr>
              <w:spacing w:after="0"/>
              <w:rPr>
                <w:sz w:val="2"/>
                <w:szCs w:val="2"/>
                <w:color w:val="auto"/>
              </w:rPr>
            </w:pPr>
          </w:p>
        </w:tc>
        <w:tc>
          <w:tcPr>
            <w:tcW w:w="160" w:type="dxa"/>
            <w:vAlign w:val="bottom"/>
            <w:tcBorders>
              <w:bottom w:val="single" w:sz="8" w:color="005A64"/>
            </w:tcBorders>
          </w:tcPr>
          <w:p>
            <w:pPr>
              <w:spacing w:after="0"/>
              <w:rPr>
                <w:sz w:val="2"/>
                <w:szCs w:val="2"/>
                <w:color w:val="auto"/>
              </w:rPr>
            </w:pPr>
          </w:p>
        </w:tc>
        <w:tc>
          <w:tcPr>
            <w:tcW w:w="300" w:type="dxa"/>
            <w:vAlign w:val="bottom"/>
            <w:tcBorders>
              <w:bottom w:val="single" w:sz="8" w:color="005A64"/>
            </w:tcBorders>
          </w:tcPr>
          <w:p>
            <w:pPr>
              <w:spacing w:after="0"/>
              <w:rPr>
                <w:sz w:val="2"/>
                <w:szCs w:val="2"/>
                <w:color w:val="auto"/>
              </w:rPr>
            </w:pPr>
          </w:p>
        </w:tc>
        <w:tc>
          <w:tcPr>
            <w:tcW w:w="500" w:type="dxa"/>
            <w:vAlign w:val="bottom"/>
            <w:tcBorders>
              <w:bottom w:val="single" w:sz="8" w:color="005A64"/>
            </w:tcBorders>
          </w:tcPr>
          <w:p>
            <w:pPr>
              <w:spacing w:after="0"/>
              <w:rPr>
                <w:sz w:val="2"/>
                <w:szCs w:val="2"/>
                <w:color w:val="auto"/>
              </w:rPr>
            </w:pPr>
          </w:p>
        </w:tc>
        <w:tc>
          <w:tcPr>
            <w:tcW w:w="160" w:type="dxa"/>
            <w:vAlign w:val="bottom"/>
            <w:tcBorders>
              <w:bottom w:val="single" w:sz="8" w:color="005A64"/>
            </w:tcBorders>
          </w:tcPr>
          <w:p>
            <w:pPr>
              <w:spacing w:after="0"/>
              <w:rPr>
                <w:sz w:val="2"/>
                <w:szCs w:val="2"/>
                <w:color w:val="auto"/>
              </w:rPr>
            </w:pPr>
          </w:p>
        </w:tc>
        <w:tc>
          <w:tcPr>
            <w:tcW w:w="84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20" w:type="dxa"/>
            <w:vAlign w:val="bottom"/>
            <w:tcBorders>
              <w:bottom w:val="single" w:sz="8" w:color="005A64"/>
            </w:tcBorders>
          </w:tcPr>
          <w:p>
            <w:pPr>
              <w:ind w:left="20"/>
              <w:spacing w:after="0"/>
              <w:rPr>
                <w:sz w:val="20"/>
                <w:szCs w:val="20"/>
                <w:color w:val="auto"/>
              </w:rPr>
            </w:pPr>
            <w:r>
              <w:rPr>
                <w:rFonts w:ascii="Times New Roman" w:cs="Times New Roman" w:eastAsia="Times New Roman" w:hAnsi="Times New Roman"/>
                <w:sz w:val="12"/>
                <w:szCs w:val="12"/>
                <w:i w:val="1"/>
                <w:iCs w:val="1"/>
                <w:color w:val="005A64"/>
              </w:rPr>
              <w:t>(in millions €)</w:t>
            </w:r>
          </w:p>
        </w:tc>
        <w:tc>
          <w:tcPr>
            <w:tcW w:w="160" w:type="dxa"/>
            <w:vAlign w:val="bottom"/>
          </w:tcPr>
          <w:p>
            <w:pPr>
              <w:spacing w:after="0"/>
              <w:rPr>
                <w:sz w:val="16"/>
                <w:szCs w:val="16"/>
                <w:color w:val="auto"/>
              </w:rPr>
            </w:pPr>
          </w:p>
        </w:tc>
        <w:tc>
          <w:tcPr>
            <w:tcW w:w="1000" w:type="dxa"/>
            <w:vAlign w:val="bottom"/>
            <w:tcBorders>
              <w:bottom w:val="single" w:sz="8" w:color="005A64"/>
            </w:tcBorders>
          </w:tcPr>
          <w:p>
            <w:pPr>
              <w:ind w:left="20"/>
              <w:spacing w:after="0"/>
              <w:rPr>
                <w:sz w:val="20"/>
                <w:szCs w:val="20"/>
                <w:color w:val="auto"/>
              </w:rPr>
            </w:pPr>
            <w:r>
              <w:rPr>
                <w:rFonts w:ascii="Times New Roman" w:cs="Times New Roman" w:eastAsia="Times New Roman" w:hAnsi="Times New Roman"/>
                <w:sz w:val="12"/>
                <w:szCs w:val="12"/>
                <w:b w:val="1"/>
                <w:bCs w:val="1"/>
                <w:color w:val="005A64"/>
              </w:rPr>
              <w:t>Investment</w:t>
            </w:r>
          </w:p>
        </w:tc>
        <w:tc>
          <w:tcPr>
            <w:tcW w:w="160" w:type="dxa"/>
            <w:vAlign w:val="bottom"/>
          </w:tcPr>
          <w:p>
            <w:pPr>
              <w:spacing w:after="0"/>
              <w:rPr>
                <w:sz w:val="16"/>
                <w:szCs w:val="16"/>
                <w:color w:val="auto"/>
              </w:rPr>
            </w:pPr>
          </w:p>
        </w:tc>
        <w:tc>
          <w:tcPr>
            <w:tcW w:w="960" w:type="dxa"/>
            <w:vAlign w:val="bottom"/>
            <w:tcBorders>
              <w:bottom w:val="single" w:sz="8" w:color="005A64"/>
            </w:tcBorders>
          </w:tcPr>
          <w:p>
            <w:pPr>
              <w:ind w:left="20"/>
              <w:spacing w:after="0"/>
              <w:rPr>
                <w:sz w:val="20"/>
                <w:szCs w:val="20"/>
                <w:color w:val="auto"/>
              </w:rPr>
            </w:pPr>
            <w:r>
              <w:rPr>
                <w:rFonts w:ascii="Times New Roman" w:cs="Times New Roman" w:eastAsia="Times New Roman" w:hAnsi="Times New Roman"/>
                <w:sz w:val="12"/>
                <w:szCs w:val="12"/>
                <w:b w:val="1"/>
                <w:bCs w:val="1"/>
                <w:color w:val="005A64"/>
              </w:rPr>
              <w:t>IFRS 9 Category</w:t>
            </w:r>
          </w:p>
        </w:tc>
        <w:tc>
          <w:tcPr>
            <w:tcW w:w="160" w:type="dxa"/>
            <w:vAlign w:val="bottom"/>
          </w:tcPr>
          <w:p>
            <w:pPr>
              <w:spacing w:after="0"/>
              <w:rPr>
                <w:sz w:val="16"/>
                <w:szCs w:val="16"/>
                <w:color w:val="auto"/>
              </w:rPr>
            </w:pPr>
          </w:p>
        </w:tc>
        <w:tc>
          <w:tcPr>
            <w:tcW w:w="800" w:type="dxa"/>
            <w:vAlign w:val="bottom"/>
            <w:tcBorders>
              <w:bottom w:val="single" w:sz="8" w:color="005A64"/>
            </w:tcBorders>
          </w:tcPr>
          <w:p>
            <w:pPr>
              <w:jc w:val="right"/>
              <w:spacing w:after="0"/>
              <w:rPr>
                <w:sz w:val="20"/>
                <w:szCs w:val="20"/>
                <w:color w:val="auto"/>
              </w:rPr>
            </w:pPr>
            <w:r>
              <w:rPr>
                <w:rFonts w:ascii="Times New Roman" w:cs="Times New Roman" w:eastAsia="Times New Roman" w:hAnsi="Times New Roman"/>
                <w:sz w:val="12"/>
                <w:szCs w:val="12"/>
                <w:b w:val="1"/>
                <w:bCs w:val="1"/>
                <w:color w:val="005A64"/>
              </w:rPr>
              <w:t>Current</w:t>
            </w:r>
          </w:p>
        </w:tc>
        <w:tc>
          <w:tcPr>
            <w:tcW w:w="160" w:type="dxa"/>
            <w:vAlign w:val="bottom"/>
          </w:tcPr>
          <w:p>
            <w:pPr>
              <w:spacing w:after="0"/>
              <w:rPr>
                <w:sz w:val="16"/>
                <w:szCs w:val="16"/>
                <w:color w:val="auto"/>
              </w:rPr>
            </w:pPr>
          </w:p>
        </w:tc>
        <w:tc>
          <w:tcPr>
            <w:tcW w:w="820" w:type="dxa"/>
            <w:vAlign w:val="bottom"/>
            <w:tcBorders>
              <w:bottom w:val="single" w:sz="8" w:color="005A64"/>
            </w:tcBorders>
          </w:tcPr>
          <w:p>
            <w:pPr>
              <w:jc w:val="right"/>
              <w:spacing w:after="0"/>
              <w:rPr>
                <w:sz w:val="20"/>
                <w:szCs w:val="20"/>
                <w:color w:val="auto"/>
              </w:rPr>
            </w:pPr>
            <w:r>
              <w:rPr>
                <w:rFonts w:ascii="Times New Roman" w:cs="Times New Roman" w:eastAsia="Times New Roman" w:hAnsi="Times New Roman"/>
                <w:sz w:val="12"/>
                <w:szCs w:val="12"/>
                <w:b w:val="1"/>
                <w:bCs w:val="1"/>
                <w:color w:val="005A64"/>
              </w:rPr>
              <w:t>Non-current</w:t>
            </w:r>
          </w:p>
        </w:tc>
        <w:tc>
          <w:tcPr>
            <w:tcW w:w="160" w:type="dxa"/>
            <w:vAlign w:val="bottom"/>
          </w:tcPr>
          <w:p>
            <w:pPr>
              <w:spacing w:after="0"/>
              <w:rPr>
                <w:sz w:val="16"/>
                <w:szCs w:val="16"/>
                <w:color w:val="auto"/>
              </w:rPr>
            </w:pPr>
          </w:p>
        </w:tc>
        <w:tc>
          <w:tcPr>
            <w:tcW w:w="820" w:type="dxa"/>
            <w:vAlign w:val="bottom"/>
            <w:tcBorders>
              <w:bottom w:val="single" w:sz="8" w:color="005A64"/>
            </w:tcBorders>
          </w:tcPr>
          <w:p>
            <w:pPr>
              <w:jc w:val="right"/>
              <w:spacing w:after="0"/>
              <w:rPr>
                <w:sz w:val="20"/>
                <w:szCs w:val="20"/>
                <w:color w:val="auto"/>
              </w:rPr>
            </w:pPr>
            <w:r>
              <w:rPr>
                <w:rFonts w:ascii="Times New Roman" w:cs="Times New Roman" w:eastAsia="Times New Roman" w:hAnsi="Times New Roman"/>
                <w:sz w:val="12"/>
                <w:szCs w:val="12"/>
                <w:b w:val="1"/>
                <w:bCs w:val="1"/>
                <w:color w:val="005A64"/>
              </w:rPr>
              <w:t>Total</w:t>
            </w:r>
          </w:p>
        </w:tc>
        <w:tc>
          <w:tcPr>
            <w:tcW w:w="160" w:type="dxa"/>
            <w:vAlign w:val="bottom"/>
          </w:tcPr>
          <w:p>
            <w:pPr>
              <w:spacing w:after="0"/>
              <w:rPr>
                <w:sz w:val="16"/>
                <w:szCs w:val="16"/>
                <w:color w:val="auto"/>
              </w:rPr>
            </w:pPr>
          </w:p>
        </w:tc>
        <w:tc>
          <w:tcPr>
            <w:tcW w:w="800" w:type="dxa"/>
            <w:vAlign w:val="bottom"/>
            <w:tcBorders>
              <w:bottom w:val="single" w:sz="8" w:color="005A64"/>
            </w:tcBorders>
          </w:tcPr>
          <w:p>
            <w:pPr>
              <w:jc w:val="right"/>
              <w:spacing w:after="0"/>
              <w:rPr>
                <w:sz w:val="20"/>
                <w:szCs w:val="20"/>
                <w:color w:val="auto"/>
              </w:rPr>
            </w:pPr>
            <w:r>
              <w:rPr>
                <w:rFonts w:ascii="Times New Roman" w:cs="Times New Roman" w:eastAsia="Times New Roman" w:hAnsi="Times New Roman"/>
                <w:sz w:val="12"/>
                <w:szCs w:val="12"/>
                <w:b w:val="1"/>
                <w:bCs w:val="1"/>
                <w:color w:val="005A64"/>
              </w:rPr>
              <w:t>Level 1</w:t>
            </w:r>
          </w:p>
        </w:tc>
        <w:tc>
          <w:tcPr>
            <w:tcW w:w="160" w:type="dxa"/>
            <w:vAlign w:val="bottom"/>
          </w:tcPr>
          <w:p>
            <w:pPr>
              <w:spacing w:after="0"/>
              <w:rPr>
                <w:sz w:val="16"/>
                <w:szCs w:val="16"/>
                <w:color w:val="auto"/>
              </w:rPr>
            </w:pPr>
          </w:p>
        </w:tc>
        <w:tc>
          <w:tcPr>
            <w:tcW w:w="820" w:type="dxa"/>
            <w:vAlign w:val="bottom"/>
            <w:tcBorders>
              <w:bottom w:val="single" w:sz="8" w:color="005A64"/>
            </w:tcBorders>
          </w:tcPr>
          <w:p>
            <w:pPr>
              <w:jc w:val="right"/>
              <w:spacing w:after="0"/>
              <w:rPr>
                <w:sz w:val="20"/>
                <w:szCs w:val="20"/>
                <w:color w:val="auto"/>
              </w:rPr>
            </w:pPr>
            <w:r>
              <w:rPr>
                <w:rFonts w:ascii="Times New Roman" w:cs="Times New Roman" w:eastAsia="Times New Roman" w:hAnsi="Times New Roman"/>
                <w:sz w:val="12"/>
                <w:szCs w:val="12"/>
                <w:b w:val="1"/>
                <w:bCs w:val="1"/>
                <w:color w:val="005A64"/>
              </w:rPr>
              <w:t>Level 2</w:t>
            </w:r>
          </w:p>
        </w:tc>
        <w:tc>
          <w:tcPr>
            <w:tcW w:w="160" w:type="dxa"/>
            <w:vAlign w:val="bottom"/>
          </w:tcPr>
          <w:p>
            <w:pPr>
              <w:spacing w:after="0"/>
              <w:rPr>
                <w:sz w:val="16"/>
                <w:szCs w:val="16"/>
                <w:color w:val="auto"/>
              </w:rPr>
            </w:pPr>
          </w:p>
        </w:tc>
        <w:tc>
          <w:tcPr>
            <w:tcW w:w="300" w:type="dxa"/>
            <w:vAlign w:val="bottom"/>
            <w:tcBorders>
              <w:bottom w:val="single" w:sz="8" w:color="005A64"/>
            </w:tcBorders>
          </w:tcPr>
          <w:p>
            <w:pPr>
              <w:spacing w:after="0"/>
              <w:rPr>
                <w:sz w:val="16"/>
                <w:szCs w:val="16"/>
                <w:color w:val="auto"/>
              </w:rPr>
            </w:pPr>
          </w:p>
        </w:tc>
        <w:tc>
          <w:tcPr>
            <w:tcW w:w="500" w:type="dxa"/>
            <w:vAlign w:val="bottom"/>
            <w:tcBorders>
              <w:bottom w:val="single" w:sz="8" w:color="005A64"/>
            </w:tcBorders>
          </w:tcPr>
          <w:p>
            <w:pPr>
              <w:jc w:val="right"/>
              <w:spacing w:after="0"/>
              <w:rPr>
                <w:sz w:val="20"/>
                <w:szCs w:val="20"/>
                <w:color w:val="auto"/>
              </w:rPr>
            </w:pPr>
            <w:r>
              <w:rPr>
                <w:rFonts w:ascii="Times New Roman" w:cs="Times New Roman" w:eastAsia="Times New Roman" w:hAnsi="Times New Roman"/>
                <w:sz w:val="12"/>
                <w:szCs w:val="12"/>
                <w:b w:val="1"/>
                <w:bCs w:val="1"/>
                <w:color w:val="005A64"/>
              </w:rPr>
              <w:t>Level 3</w:t>
            </w:r>
          </w:p>
        </w:tc>
        <w:tc>
          <w:tcPr>
            <w:tcW w:w="160" w:type="dxa"/>
            <w:vAlign w:val="bottom"/>
          </w:tcPr>
          <w:p>
            <w:pPr>
              <w:spacing w:after="0"/>
              <w:rPr>
                <w:sz w:val="16"/>
                <w:szCs w:val="16"/>
                <w:color w:val="auto"/>
              </w:rPr>
            </w:pPr>
          </w:p>
        </w:tc>
        <w:tc>
          <w:tcPr>
            <w:tcW w:w="840" w:type="dxa"/>
            <w:vAlign w:val="bottom"/>
            <w:tcBorders>
              <w:bottom w:val="single" w:sz="8" w:color="005A64"/>
            </w:tcBorders>
          </w:tcPr>
          <w:p>
            <w:pPr>
              <w:jc w:val="right"/>
              <w:spacing w:after="0"/>
              <w:rPr>
                <w:sz w:val="20"/>
                <w:szCs w:val="20"/>
                <w:color w:val="auto"/>
              </w:rPr>
            </w:pPr>
            <w:r>
              <w:rPr>
                <w:rFonts w:ascii="Times New Roman" w:cs="Times New Roman" w:eastAsia="Times New Roman" w:hAnsi="Times New Roman"/>
                <w:sz w:val="12"/>
                <w:szCs w:val="12"/>
                <w:b w:val="1"/>
                <w:bCs w:val="1"/>
                <w:color w:val="005A64"/>
              </w:rPr>
              <w:t>Total</w:t>
            </w:r>
          </w:p>
        </w:tc>
        <w:tc>
          <w:tcPr>
            <w:tcW w:w="0" w:type="dxa"/>
            <w:vAlign w:val="bottom"/>
          </w:tcPr>
          <w:p>
            <w:pPr>
              <w:spacing w:after="0"/>
              <w:rPr>
                <w:sz w:val="1"/>
                <w:szCs w:val="1"/>
                <w:color w:val="auto"/>
              </w:rPr>
            </w:pPr>
          </w:p>
        </w:tc>
      </w:tr>
      <w:tr>
        <w:trPr>
          <w:trHeight w:val="183"/>
        </w:trPr>
        <w:tc>
          <w:tcPr>
            <w:tcW w:w="212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assets</w:t>
            </w:r>
          </w:p>
        </w:tc>
        <w:tc>
          <w:tcPr>
            <w:tcW w:w="160" w:type="dxa"/>
            <w:vAlign w:val="bottom"/>
          </w:tcPr>
          <w:p>
            <w:pPr>
              <w:spacing w:after="0"/>
              <w:rPr>
                <w:sz w:val="15"/>
                <w:szCs w:val="15"/>
                <w:color w:val="auto"/>
              </w:rPr>
            </w:pPr>
          </w:p>
        </w:tc>
        <w:tc>
          <w:tcPr>
            <w:tcW w:w="1000" w:type="dxa"/>
            <w:vAlign w:val="bottom"/>
            <w:tcBorders>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Borders>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7FACB1"/>
            </w:tcBorders>
          </w:tcPr>
          <w:p>
            <w:pPr>
              <w:spacing w:after="0"/>
              <w:rPr>
                <w:sz w:val="15"/>
                <w:szCs w:val="15"/>
                <w:color w:val="auto"/>
              </w:rPr>
            </w:pPr>
          </w:p>
        </w:tc>
        <w:tc>
          <w:tcPr>
            <w:tcW w:w="500" w:type="dxa"/>
            <w:vAlign w:val="bottom"/>
            <w:tcBorders>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bottom w:val="single" w:sz="8" w:color="7FACB1"/>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Foreign exchange forward contracts</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No</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FVTPL</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6.3</w:t>
            </w:r>
          </w:p>
        </w:tc>
        <w:tc>
          <w:tcPr>
            <w:tcW w:w="16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6.3</w:t>
            </w:r>
          </w:p>
        </w:tc>
        <w:tc>
          <w:tcPr>
            <w:tcW w:w="1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6.3</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6.3</w:t>
            </w:r>
          </w:p>
        </w:tc>
        <w:tc>
          <w:tcPr>
            <w:tcW w:w="0" w:type="dxa"/>
            <w:vAlign w:val="bottom"/>
          </w:tcPr>
          <w:p>
            <w:pPr>
              <w:spacing w:after="0"/>
              <w:rPr>
                <w:sz w:val="1"/>
                <w:szCs w:val="1"/>
                <w:color w:val="auto"/>
              </w:rPr>
            </w:pPr>
          </w:p>
        </w:tc>
      </w:tr>
      <w:tr>
        <w:trPr>
          <w:trHeight w:val="33"/>
        </w:trPr>
        <w:tc>
          <w:tcPr>
            <w:tcW w:w="21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7FACB1"/>
            </w:tcBorders>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Other funds</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Yes</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FVTPL</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199.9</w:t>
            </w:r>
          </w:p>
        </w:tc>
        <w:tc>
          <w:tcPr>
            <w:tcW w:w="16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199.9</w:t>
            </w:r>
          </w:p>
        </w:tc>
        <w:tc>
          <w:tcPr>
            <w:tcW w:w="1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199.9</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199.9</w:t>
            </w:r>
          </w:p>
        </w:tc>
        <w:tc>
          <w:tcPr>
            <w:tcW w:w="0" w:type="dxa"/>
            <w:vAlign w:val="bottom"/>
          </w:tcPr>
          <w:p>
            <w:pPr>
              <w:spacing w:after="0"/>
              <w:rPr>
                <w:sz w:val="1"/>
                <w:szCs w:val="1"/>
                <w:color w:val="auto"/>
              </w:rPr>
            </w:pPr>
          </w:p>
        </w:tc>
      </w:tr>
      <w:tr>
        <w:trPr>
          <w:trHeight w:val="33"/>
        </w:trPr>
        <w:tc>
          <w:tcPr>
            <w:tcW w:w="21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7FACB1"/>
            </w:tcBorders>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12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color w:val="005A64"/>
              </w:rPr>
              <w:t>Deposits</w:t>
            </w:r>
          </w:p>
        </w:tc>
        <w:tc>
          <w:tcPr>
            <w:tcW w:w="160" w:type="dxa"/>
            <w:vAlign w:val="bottom"/>
          </w:tcPr>
          <w:p>
            <w:pPr>
              <w:spacing w:after="0"/>
              <w:rPr>
                <w:sz w:val="24"/>
                <w:szCs w:val="24"/>
                <w:color w:val="auto"/>
              </w:rPr>
            </w:pPr>
          </w:p>
        </w:tc>
        <w:tc>
          <w:tcPr>
            <w:tcW w:w="100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color w:val="005A64"/>
              </w:rPr>
              <w:t>Yes</w:t>
            </w:r>
          </w:p>
        </w:tc>
        <w:tc>
          <w:tcPr>
            <w:tcW w:w="160" w:type="dxa"/>
            <w:vAlign w:val="bottom"/>
          </w:tcPr>
          <w:p>
            <w:pPr>
              <w:spacing w:after="0"/>
              <w:rPr>
                <w:sz w:val="24"/>
                <w:szCs w:val="24"/>
                <w:color w:val="auto"/>
              </w:rPr>
            </w:pPr>
          </w:p>
        </w:tc>
        <w:tc>
          <w:tcPr>
            <w:tcW w:w="96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23"/>
                <w:szCs w:val="23"/>
                <w:color w:val="005A64"/>
                <w:vertAlign w:val="subscript"/>
              </w:rPr>
              <w:t>AC</w:t>
            </w:r>
            <w:r>
              <w:rPr>
                <w:rFonts w:ascii="Times New Roman" w:cs="Times New Roman" w:eastAsia="Times New Roman" w:hAnsi="Times New Roman"/>
                <w:sz w:val="8"/>
                <w:szCs w:val="8"/>
                <w:color w:val="005A64"/>
              </w:rPr>
              <w:t>(1)</w:t>
            </w:r>
          </w:p>
        </w:tc>
        <w:tc>
          <w:tcPr>
            <w:tcW w:w="160" w:type="dxa"/>
            <w:vAlign w:val="bottom"/>
          </w:tcPr>
          <w:p>
            <w:pPr>
              <w:spacing w:after="0"/>
              <w:rPr>
                <w:sz w:val="24"/>
                <w:szCs w:val="24"/>
                <w:color w:val="auto"/>
              </w:rPr>
            </w:pPr>
          </w:p>
        </w:tc>
        <w:tc>
          <w:tcPr>
            <w:tcW w:w="80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3,358.5</w:t>
            </w:r>
          </w:p>
        </w:tc>
        <w:tc>
          <w:tcPr>
            <w:tcW w:w="160" w:type="dxa"/>
            <w:vAlign w:val="bottom"/>
          </w:tcPr>
          <w:p>
            <w:pPr>
              <w:spacing w:after="0"/>
              <w:rPr>
                <w:sz w:val="24"/>
                <w:szCs w:val="24"/>
                <w:color w:val="auto"/>
              </w:rPr>
            </w:pPr>
          </w:p>
        </w:tc>
        <w:tc>
          <w:tcPr>
            <w:tcW w:w="82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100.0</w:t>
            </w:r>
          </w:p>
        </w:tc>
        <w:tc>
          <w:tcPr>
            <w:tcW w:w="160" w:type="dxa"/>
            <w:vAlign w:val="bottom"/>
          </w:tcPr>
          <w:p>
            <w:pPr>
              <w:spacing w:after="0"/>
              <w:rPr>
                <w:sz w:val="24"/>
                <w:szCs w:val="24"/>
                <w:color w:val="auto"/>
              </w:rPr>
            </w:pPr>
          </w:p>
        </w:tc>
        <w:tc>
          <w:tcPr>
            <w:tcW w:w="82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b w:val="1"/>
                <w:bCs w:val="1"/>
                <w:color w:val="005A64"/>
              </w:rPr>
              <w:t>3,458.5</w:t>
            </w:r>
          </w:p>
        </w:tc>
        <w:tc>
          <w:tcPr>
            <w:tcW w:w="160" w:type="dxa"/>
            <w:vAlign w:val="bottom"/>
          </w:tcPr>
          <w:p>
            <w:pPr>
              <w:spacing w:after="0"/>
              <w:rPr>
                <w:sz w:val="24"/>
                <w:szCs w:val="24"/>
                <w:color w:val="auto"/>
              </w:rPr>
            </w:pPr>
          </w:p>
        </w:tc>
        <w:tc>
          <w:tcPr>
            <w:tcW w:w="80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82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300" w:type="dxa"/>
            <w:vAlign w:val="bottom"/>
            <w:tcBorders>
              <w:bottom w:val="single" w:sz="8" w:color="7FACB1"/>
            </w:tcBorders>
          </w:tcPr>
          <w:p>
            <w:pPr>
              <w:spacing w:after="0"/>
              <w:rPr>
                <w:sz w:val="24"/>
                <w:szCs w:val="24"/>
                <w:color w:val="auto"/>
              </w:rPr>
            </w:pPr>
          </w:p>
        </w:tc>
        <w:tc>
          <w:tcPr>
            <w:tcW w:w="50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84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b w:val="1"/>
                <w:bCs w:val="1"/>
                <w:color w:val="005A64"/>
              </w:rPr>
              <w:t>3,458.5</w:t>
            </w:r>
          </w:p>
        </w:tc>
        <w:tc>
          <w:tcPr>
            <w:tcW w:w="0" w:type="dxa"/>
            <w:vAlign w:val="bottom"/>
          </w:tcPr>
          <w:p>
            <w:pPr>
              <w:spacing w:after="0"/>
              <w:rPr>
                <w:sz w:val="1"/>
                <w:szCs w:val="1"/>
                <w:color w:val="auto"/>
              </w:rPr>
            </w:pPr>
          </w:p>
        </w:tc>
      </w:tr>
      <w:tr>
        <w:trPr>
          <w:trHeight w:val="277"/>
        </w:trPr>
        <w:tc>
          <w:tcPr>
            <w:tcW w:w="212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color w:val="005A64"/>
              </w:rPr>
              <w:t>Commercial Paper</w:t>
            </w:r>
          </w:p>
        </w:tc>
        <w:tc>
          <w:tcPr>
            <w:tcW w:w="160" w:type="dxa"/>
            <w:vAlign w:val="bottom"/>
          </w:tcPr>
          <w:p>
            <w:pPr>
              <w:spacing w:after="0"/>
              <w:rPr>
                <w:sz w:val="24"/>
                <w:szCs w:val="24"/>
                <w:color w:val="auto"/>
              </w:rPr>
            </w:pPr>
          </w:p>
        </w:tc>
        <w:tc>
          <w:tcPr>
            <w:tcW w:w="100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color w:val="005A64"/>
              </w:rPr>
              <w:t>Yes</w:t>
            </w:r>
          </w:p>
        </w:tc>
        <w:tc>
          <w:tcPr>
            <w:tcW w:w="160" w:type="dxa"/>
            <w:vAlign w:val="bottom"/>
          </w:tcPr>
          <w:p>
            <w:pPr>
              <w:spacing w:after="0"/>
              <w:rPr>
                <w:sz w:val="24"/>
                <w:szCs w:val="24"/>
                <w:color w:val="auto"/>
              </w:rPr>
            </w:pPr>
          </w:p>
        </w:tc>
        <w:tc>
          <w:tcPr>
            <w:tcW w:w="96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23"/>
                <w:szCs w:val="23"/>
                <w:color w:val="005A64"/>
                <w:vertAlign w:val="subscript"/>
              </w:rPr>
              <w:t>AC</w:t>
            </w:r>
            <w:r>
              <w:rPr>
                <w:rFonts w:ascii="Times New Roman" w:cs="Times New Roman" w:eastAsia="Times New Roman" w:hAnsi="Times New Roman"/>
                <w:sz w:val="8"/>
                <w:szCs w:val="8"/>
                <w:color w:val="005A64"/>
              </w:rPr>
              <w:t>(1)</w:t>
            </w:r>
          </w:p>
        </w:tc>
        <w:tc>
          <w:tcPr>
            <w:tcW w:w="160" w:type="dxa"/>
            <w:vAlign w:val="bottom"/>
          </w:tcPr>
          <w:p>
            <w:pPr>
              <w:spacing w:after="0"/>
              <w:rPr>
                <w:sz w:val="24"/>
                <w:szCs w:val="24"/>
                <w:color w:val="auto"/>
              </w:rPr>
            </w:pPr>
          </w:p>
        </w:tc>
        <w:tc>
          <w:tcPr>
            <w:tcW w:w="80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570.2</w:t>
            </w:r>
          </w:p>
        </w:tc>
        <w:tc>
          <w:tcPr>
            <w:tcW w:w="160" w:type="dxa"/>
            <w:vAlign w:val="bottom"/>
          </w:tcPr>
          <w:p>
            <w:pPr>
              <w:spacing w:after="0"/>
              <w:rPr>
                <w:sz w:val="24"/>
                <w:szCs w:val="24"/>
                <w:color w:val="auto"/>
              </w:rPr>
            </w:pPr>
          </w:p>
        </w:tc>
        <w:tc>
          <w:tcPr>
            <w:tcW w:w="82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82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b w:val="1"/>
                <w:bCs w:val="1"/>
                <w:color w:val="005A64"/>
              </w:rPr>
              <w:t>570.2</w:t>
            </w:r>
          </w:p>
        </w:tc>
        <w:tc>
          <w:tcPr>
            <w:tcW w:w="160" w:type="dxa"/>
            <w:vAlign w:val="bottom"/>
          </w:tcPr>
          <w:p>
            <w:pPr>
              <w:spacing w:after="0"/>
              <w:rPr>
                <w:sz w:val="24"/>
                <w:szCs w:val="24"/>
                <w:color w:val="auto"/>
              </w:rPr>
            </w:pPr>
          </w:p>
        </w:tc>
        <w:tc>
          <w:tcPr>
            <w:tcW w:w="80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82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300" w:type="dxa"/>
            <w:vAlign w:val="bottom"/>
            <w:tcBorders>
              <w:bottom w:val="single" w:sz="8" w:color="7FACB1"/>
            </w:tcBorders>
          </w:tcPr>
          <w:p>
            <w:pPr>
              <w:spacing w:after="0"/>
              <w:rPr>
                <w:sz w:val="24"/>
                <w:szCs w:val="24"/>
                <w:color w:val="auto"/>
              </w:rPr>
            </w:pPr>
          </w:p>
        </w:tc>
        <w:tc>
          <w:tcPr>
            <w:tcW w:w="50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84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b w:val="1"/>
                <w:bCs w:val="1"/>
                <w:color w:val="005A64"/>
              </w:rPr>
              <w:t>570.2</w:t>
            </w:r>
          </w:p>
        </w:tc>
        <w:tc>
          <w:tcPr>
            <w:tcW w:w="0" w:type="dxa"/>
            <w:vAlign w:val="bottom"/>
          </w:tcPr>
          <w:p>
            <w:pPr>
              <w:spacing w:after="0"/>
              <w:rPr>
                <w:sz w:val="1"/>
                <w:szCs w:val="1"/>
                <w:color w:val="auto"/>
              </w:rPr>
            </w:pPr>
          </w:p>
        </w:tc>
      </w:tr>
      <w:tr>
        <w:trPr>
          <w:trHeight w:val="277"/>
        </w:trPr>
        <w:tc>
          <w:tcPr>
            <w:tcW w:w="212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color w:val="005A64"/>
              </w:rPr>
              <w:t>Bonds</w:t>
            </w:r>
          </w:p>
        </w:tc>
        <w:tc>
          <w:tcPr>
            <w:tcW w:w="160" w:type="dxa"/>
            <w:vAlign w:val="bottom"/>
          </w:tcPr>
          <w:p>
            <w:pPr>
              <w:spacing w:after="0"/>
              <w:rPr>
                <w:sz w:val="24"/>
                <w:szCs w:val="24"/>
                <w:color w:val="auto"/>
              </w:rPr>
            </w:pPr>
          </w:p>
        </w:tc>
        <w:tc>
          <w:tcPr>
            <w:tcW w:w="100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color w:val="005A64"/>
              </w:rPr>
              <w:t>Yes</w:t>
            </w:r>
          </w:p>
        </w:tc>
        <w:tc>
          <w:tcPr>
            <w:tcW w:w="160" w:type="dxa"/>
            <w:vAlign w:val="bottom"/>
          </w:tcPr>
          <w:p>
            <w:pPr>
              <w:spacing w:after="0"/>
              <w:rPr>
                <w:sz w:val="24"/>
                <w:szCs w:val="24"/>
                <w:color w:val="auto"/>
              </w:rPr>
            </w:pPr>
          </w:p>
        </w:tc>
        <w:tc>
          <w:tcPr>
            <w:tcW w:w="96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23"/>
                <w:szCs w:val="23"/>
                <w:color w:val="005A64"/>
                <w:vertAlign w:val="subscript"/>
              </w:rPr>
              <w:t>AC</w:t>
            </w:r>
            <w:r>
              <w:rPr>
                <w:rFonts w:ascii="Times New Roman" w:cs="Times New Roman" w:eastAsia="Times New Roman" w:hAnsi="Times New Roman"/>
                <w:sz w:val="8"/>
                <w:szCs w:val="8"/>
                <w:color w:val="005A64"/>
              </w:rPr>
              <w:t>(1)</w:t>
            </w:r>
          </w:p>
        </w:tc>
        <w:tc>
          <w:tcPr>
            <w:tcW w:w="160" w:type="dxa"/>
            <w:vAlign w:val="bottom"/>
          </w:tcPr>
          <w:p>
            <w:pPr>
              <w:spacing w:after="0"/>
              <w:rPr>
                <w:sz w:val="24"/>
                <w:szCs w:val="24"/>
                <w:color w:val="auto"/>
              </w:rPr>
            </w:pPr>
          </w:p>
        </w:tc>
        <w:tc>
          <w:tcPr>
            <w:tcW w:w="80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2,135.7</w:t>
            </w:r>
          </w:p>
        </w:tc>
        <w:tc>
          <w:tcPr>
            <w:tcW w:w="160" w:type="dxa"/>
            <w:vAlign w:val="bottom"/>
          </w:tcPr>
          <w:p>
            <w:pPr>
              <w:spacing w:after="0"/>
              <w:rPr>
                <w:sz w:val="24"/>
                <w:szCs w:val="24"/>
                <w:color w:val="auto"/>
              </w:rPr>
            </w:pPr>
          </w:p>
        </w:tc>
        <w:tc>
          <w:tcPr>
            <w:tcW w:w="82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2,301.7</w:t>
            </w:r>
          </w:p>
        </w:tc>
        <w:tc>
          <w:tcPr>
            <w:tcW w:w="160" w:type="dxa"/>
            <w:vAlign w:val="bottom"/>
          </w:tcPr>
          <w:p>
            <w:pPr>
              <w:spacing w:after="0"/>
              <w:rPr>
                <w:sz w:val="24"/>
                <w:szCs w:val="24"/>
                <w:color w:val="auto"/>
              </w:rPr>
            </w:pPr>
          </w:p>
        </w:tc>
        <w:tc>
          <w:tcPr>
            <w:tcW w:w="82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b w:val="1"/>
                <w:bCs w:val="1"/>
                <w:color w:val="005A64"/>
              </w:rPr>
              <w:t>4,437.4</w:t>
            </w:r>
          </w:p>
        </w:tc>
        <w:tc>
          <w:tcPr>
            <w:tcW w:w="160" w:type="dxa"/>
            <w:vAlign w:val="bottom"/>
          </w:tcPr>
          <w:p>
            <w:pPr>
              <w:spacing w:after="0"/>
              <w:rPr>
                <w:sz w:val="24"/>
                <w:szCs w:val="24"/>
                <w:color w:val="auto"/>
              </w:rPr>
            </w:pPr>
          </w:p>
        </w:tc>
        <w:tc>
          <w:tcPr>
            <w:tcW w:w="80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82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300" w:type="dxa"/>
            <w:vAlign w:val="bottom"/>
            <w:tcBorders>
              <w:bottom w:val="single" w:sz="8" w:color="7FACB1"/>
            </w:tcBorders>
          </w:tcPr>
          <w:p>
            <w:pPr>
              <w:spacing w:after="0"/>
              <w:rPr>
                <w:sz w:val="24"/>
                <w:szCs w:val="24"/>
                <w:color w:val="auto"/>
              </w:rPr>
            </w:pPr>
          </w:p>
        </w:tc>
        <w:tc>
          <w:tcPr>
            <w:tcW w:w="50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84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b w:val="1"/>
                <w:bCs w:val="1"/>
                <w:color w:val="005A64"/>
              </w:rPr>
              <w:t>4,437.4</w:t>
            </w:r>
          </w:p>
        </w:tc>
        <w:tc>
          <w:tcPr>
            <w:tcW w:w="0" w:type="dxa"/>
            <w:vAlign w:val="bottom"/>
          </w:tcPr>
          <w:p>
            <w:pPr>
              <w:spacing w:after="0"/>
              <w:rPr>
                <w:sz w:val="1"/>
                <w:szCs w:val="1"/>
                <w:color w:val="auto"/>
              </w:rPr>
            </w:pPr>
          </w:p>
        </w:tc>
      </w:tr>
      <w:tr>
        <w:trPr>
          <w:trHeight w:val="277"/>
        </w:trPr>
        <w:tc>
          <w:tcPr>
            <w:tcW w:w="212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color w:val="005A64"/>
              </w:rPr>
              <w:t>Repos</w:t>
            </w:r>
          </w:p>
        </w:tc>
        <w:tc>
          <w:tcPr>
            <w:tcW w:w="160" w:type="dxa"/>
            <w:vAlign w:val="bottom"/>
          </w:tcPr>
          <w:p>
            <w:pPr>
              <w:spacing w:after="0"/>
              <w:rPr>
                <w:sz w:val="24"/>
                <w:szCs w:val="24"/>
                <w:color w:val="auto"/>
              </w:rPr>
            </w:pPr>
          </w:p>
        </w:tc>
        <w:tc>
          <w:tcPr>
            <w:tcW w:w="100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color w:val="005A64"/>
              </w:rPr>
              <w:t>Yes</w:t>
            </w:r>
          </w:p>
        </w:tc>
        <w:tc>
          <w:tcPr>
            <w:tcW w:w="160" w:type="dxa"/>
            <w:vAlign w:val="bottom"/>
          </w:tcPr>
          <w:p>
            <w:pPr>
              <w:spacing w:after="0"/>
              <w:rPr>
                <w:sz w:val="24"/>
                <w:szCs w:val="24"/>
                <w:color w:val="auto"/>
              </w:rPr>
            </w:pPr>
          </w:p>
        </w:tc>
        <w:tc>
          <w:tcPr>
            <w:tcW w:w="96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23"/>
                <w:szCs w:val="23"/>
                <w:color w:val="005A64"/>
                <w:vertAlign w:val="subscript"/>
              </w:rPr>
              <w:t>AC</w:t>
            </w:r>
            <w:r>
              <w:rPr>
                <w:rFonts w:ascii="Times New Roman" w:cs="Times New Roman" w:eastAsia="Times New Roman" w:hAnsi="Times New Roman"/>
                <w:sz w:val="8"/>
                <w:szCs w:val="8"/>
                <w:color w:val="005A64"/>
              </w:rPr>
              <w:t>(1)</w:t>
            </w:r>
          </w:p>
        </w:tc>
        <w:tc>
          <w:tcPr>
            <w:tcW w:w="160" w:type="dxa"/>
            <w:vAlign w:val="bottom"/>
          </w:tcPr>
          <w:p>
            <w:pPr>
              <w:spacing w:after="0"/>
              <w:rPr>
                <w:sz w:val="24"/>
                <w:szCs w:val="24"/>
                <w:color w:val="auto"/>
              </w:rPr>
            </w:pPr>
          </w:p>
        </w:tc>
        <w:tc>
          <w:tcPr>
            <w:tcW w:w="80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894.2</w:t>
            </w:r>
          </w:p>
        </w:tc>
        <w:tc>
          <w:tcPr>
            <w:tcW w:w="160" w:type="dxa"/>
            <w:vAlign w:val="bottom"/>
          </w:tcPr>
          <w:p>
            <w:pPr>
              <w:spacing w:after="0"/>
              <w:rPr>
                <w:sz w:val="24"/>
                <w:szCs w:val="24"/>
                <w:color w:val="auto"/>
              </w:rPr>
            </w:pPr>
          </w:p>
        </w:tc>
        <w:tc>
          <w:tcPr>
            <w:tcW w:w="82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82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b w:val="1"/>
                <w:bCs w:val="1"/>
                <w:color w:val="005A64"/>
              </w:rPr>
              <w:t>894.2</w:t>
            </w:r>
          </w:p>
        </w:tc>
        <w:tc>
          <w:tcPr>
            <w:tcW w:w="160" w:type="dxa"/>
            <w:vAlign w:val="bottom"/>
          </w:tcPr>
          <w:p>
            <w:pPr>
              <w:spacing w:after="0"/>
              <w:rPr>
                <w:sz w:val="24"/>
                <w:szCs w:val="24"/>
                <w:color w:val="auto"/>
              </w:rPr>
            </w:pPr>
          </w:p>
        </w:tc>
        <w:tc>
          <w:tcPr>
            <w:tcW w:w="80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82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300" w:type="dxa"/>
            <w:vAlign w:val="bottom"/>
            <w:tcBorders>
              <w:bottom w:val="single" w:sz="8" w:color="7FACB1"/>
            </w:tcBorders>
          </w:tcPr>
          <w:p>
            <w:pPr>
              <w:spacing w:after="0"/>
              <w:rPr>
                <w:sz w:val="24"/>
                <w:szCs w:val="24"/>
                <w:color w:val="auto"/>
              </w:rPr>
            </w:pPr>
          </w:p>
        </w:tc>
        <w:tc>
          <w:tcPr>
            <w:tcW w:w="50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84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b w:val="1"/>
                <w:bCs w:val="1"/>
                <w:color w:val="005A64"/>
              </w:rPr>
              <w:t>894.2</w:t>
            </w:r>
          </w:p>
        </w:tc>
        <w:tc>
          <w:tcPr>
            <w:tcW w:w="0" w:type="dxa"/>
            <w:vAlign w:val="bottom"/>
          </w:tcPr>
          <w:p>
            <w:pPr>
              <w:spacing w:after="0"/>
              <w:rPr>
                <w:sz w:val="1"/>
                <w:szCs w:val="1"/>
                <w:color w:val="auto"/>
              </w:rPr>
            </w:pPr>
          </w:p>
        </w:tc>
      </w:tr>
      <w:tr>
        <w:trPr>
          <w:trHeight w:val="176"/>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Non-listed equity investments</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No</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FVTOCI</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0.6</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0.6</w:t>
            </w:r>
          </w:p>
        </w:tc>
        <w:tc>
          <w:tcPr>
            <w:tcW w:w="1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3"/>
          </w:tcPr>
          <w:p>
            <w:pPr>
              <w:jc w:val="right"/>
              <w:ind w:right="480"/>
              <w:spacing w:after="0"/>
              <w:rPr>
                <w:sz w:val="20"/>
                <w:szCs w:val="20"/>
                <w:color w:val="auto"/>
              </w:rPr>
            </w:pPr>
            <w:r>
              <w:rPr>
                <w:rFonts w:ascii="Times New Roman" w:cs="Times New Roman" w:eastAsia="Times New Roman" w:hAnsi="Times New Roman"/>
                <w:sz w:val="12"/>
                <w:szCs w:val="12"/>
                <w:color w:val="005A6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0.6</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0.6</w:t>
            </w:r>
          </w:p>
        </w:tc>
        <w:tc>
          <w:tcPr>
            <w:tcW w:w="0" w:type="dxa"/>
            <w:vAlign w:val="bottom"/>
          </w:tcPr>
          <w:p>
            <w:pPr>
              <w:spacing w:after="0"/>
              <w:rPr>
                <w:sz w:val="1"/>
                <w:szCs w:val="1"/>
                <w:color w:val="auto"/>
              </w:rPr>
            </w:pPr>
          </w:p>
        </w:tc>
      </w:tr>
      <w:tr>
        <w:trPr>
          <w:trHeight w:val="33"/>
        </w:trPr>
        <w:tc>
          <w:tcPr>
            <w:tcW w:w="21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7FACB1"/>
            </w:tcBorders>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Listed equity investments</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No</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FVTOCI</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82.2</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82.2</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82.2</w:t>
            </w:r>
          </w:p>
        </w:tc>
        <w:tc>
          <w:tcPr>
            <w:tcW w:w="160" w:type="dxa"/>
            <w:vAlign w:val="bottom"/>
          </w:tcPr>
          <w:p>
            <w:pPr>
              <w:spacing w:after="0"/>
              <w:rPr>
                <w:sz w:val="15"/>
                <w:szCs w:val="15"/>
                <w:color w:val="auto"/>
              </w:rPr>
            </w:pPr>
          </w:p>
        </w:tc>
        <w:tc>
          <w:tcPr>
            <w:tcW w:w="1280" w:type="dxa"/>
            <w:vAlign w:val="bottom"/>
            <w:gridSpan w:val="3"/>
          </w:tcPr>
          <w:p>
            <w:pPr>
              <w:jc w:val="right"/>
              <w:ind w:right="480"/>
              <w:spacing w:after="0"/>
              <w:rPr>
                <w:sz w:val="20"/>
                <w:szCs w:val="20"/>
                <w:color w:val="auto"/>
              </w:rPr>
            </w:pPr>
            <w:r>
              <w:rPr>
                <w:rFonts w:ascii="Times New Roman" w:cs="Times New Roman" w:eastAsia="Times New Roman" w:hAnsi="Times New Roman"/>
                <w:sz w:val="12"/>
                <w:szCs w:val="12"/>
                <w:color w:val="005A64"/>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82.2</w:t>
            </w:r>
          </w:p>
        </w:tc>
        <w:tc>
          <w:tcPr>
            <w:tcW w:w="0" w:type="dxa"/>
            <w:vAlign w:val="bottom"/>
          </w:tcPr>
          <w:p>
            <w:pPr>
              <w:spacing w:after="0"/>
              <w:rPr>
                <w:sz w:val="1"/>
                <w:szCs w:val="1"/>
                <w:color w:val="auto"/>
              </w:rPr>
            </w:pPr>
          </w:p>
        </w:tc>
      </w:tr>
      <w:tr>
        <w:trPr>
          <w:trHeight w:val="33"/>
        </w:trPr>
        <w:tc>
          <w:tcPr>
            <w:tcW w:w="21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7FACB1"/>
            </w:tcBorders>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12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color w:val="005A64"/>
              </w:rPr>
              <w:t>Trade and other receivables</w:t>
            </w:r>
          </w:p>
        </w:tc>
        <w:tc>
          <w:tcPr>
            <w:tcW w:w="160" w:type="dxa"/>
            <w:vAlign w:val="bottom"/>
          </w:tcPr>
          <w:p>
            <w:pPr>
              <w:spacing w:after="0"/>
              <w:rPr>
                <w:sz w:val="24"/>
                <w:szCs w:val="24"/>
                <w:color w:val="auto"/>
              </w:rPr>
            </w:pPr>
          </w:p>
        </w:tc>
        <w:tc>
          <w:tcPr>
            <w:tcW w:w="100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color w:val="005A64"/>
              </w:rPr>
              <w:t>No</w:t>
            </w:r>
          </w:p>
        </w:tc>
        <w:tc>
          <w:tcPr>
            <w:tcW w:w="160" w:type="dxa"/>
            <w:vAlign w:val="bottom"/>
          </w:tcPr>
          <w:p>
            <w:pPr>
              <w:spacing w:after="0"/>
              <w:rPr>
                <w:sz w:val="24"/>
                <w:szCs w:val="24"/>
                <w:color w:val="auto"/>
              </w:rPr>
            </w:pPr>
          </w:p>
        </w:tc>
        <w:tc>
          <w:tcPr>
            <w:tcW w:w="96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23"/>
                <w:szCs w:val="23"/>
                <w:color w:val="005A64"/>
                <w:vertAlign w:val="subscript"/>
              </w:rPr>
              <w:t>AC</w:t>
            </w:r>
            <w:r>
              <w:rPr>
                <w:rFonts w:ascii="Times New Roman" w:cs="Times New Roman" w:eastAsia="Times New Roman" w:hAnsi="Times New Roman"/>
                <w:sz w:val="8"/>
                <w:szCs w:val="8"/>
                <w:color w:val="005A64"/>
              </w:rPr>
              <w:t>(1)</w:t>
            </w:r>
          </w:p>
        </w:tc>
        <w:tc>
          <w:tcPr>
            <w:tcW w:w="160" w:type="dxa"/>
            <w:vAlign w:val="bottom"/>
          </w:tcPr>
          <w:p>
            <w:pPr>
              <w:spacing w:after="0"/>
              <w:rPr>
                <w:sz w:val="24"/>
                <w:szCs w:val="24"/>
                <w:color w:val="auto"/>
              </w:rPr>
            </w:pPr>
          </w:p>
        </w:tc>
        <w:tc>
          <w:tcPr>
            <w:tcW w:w="80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924.2</w:t>
            </w:r>
          </w:p>
        </w:tc>
        <w:tc>
          <w:tcPr>
            <w:tcW w:w="160" w:type="dxa"/>
            <w:vAlign w:val="bottom"/>
          </w:tcPr>
          <w:p>
            <w:pPr>
              <w:spacing w:after="0"/>
              <w:rPr>
                <w:sz w:val="24"/>
                <w:szCs w:val="24"/>
                <w:color w:val="auto"/>
              </w:rPr>
            </w:pPr>
          </w:p>
        </w:tc>
        <w:tc>
          <w:tcPr>
            <w:tcW w:w="82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82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b w:val="1"/>
                <w:bCs w:val="1"/>
                <w:color w:val="005A64"/>
              </w:rPr>
              <w:t>924.2</w:t>
            </w:r>
          </w:p>
        </w:tc>
        <w:tc>
          <w:tcPr>
            <w:tcW w:w="160" w:type="dxa"/>
            <w:vAlign w:val="bottom"/>
          </w:tcPr>
          <w:p>
            <w:pPr>
              <w:spacing w:after="0"/>
              <w:rPr>
                <w:sz w:val="24"/>
                <w:szCs w:val="24"/>
                <w:color w:val="auto"/>
              </w:rPr>
            </w:pPr>
          </w:p>
        </w:tc>
        <w:tc>
          <w:tcPr>
            <w:tcW w:w="80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82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300" w:type="dxa"/>
            <w:vAlign w:val="bottom"/>
            <w:tcBorders>
              <w:bottom w:val="single" w:sz="8" w:color="7FACB1"/>
            </w:tcBorders>
          </w:tcPr>
          <w:p>
            <w:pPr>
              <w:spacing w:after="0"/>
              <w:rPr>
                <w:sz w:val="24"/>
                <w:szCs w:val="24"/>
                <w:color w:val="auto"/>
              </w:rPr>
            </w:pPr>
          </w:p>
        </w:tc>
        <w:tc>
          <w:tcPr>
            <w:tcW w:w="50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84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b w:val="1"/>
                <w:bCs w:val="1"/>
                <w:color w:val="005A64"/>
              </w:rPr>
              <w:t>924.2</w:t>
            </w:r>
          </w:p>
        </w:tc>
        <w:tc>
          <w:tcPr>
            <w:tcW w:w="0" w:type="dxa"/>
            <w:vAlign w:val="bottom"/>
          </w:tcPr>
          <w:p>
            <w:pPr>
              <w:spacing w:after="0"/>
              <w:rPr>
                <w:sz w:val="1"/>
                <w:szCs w:val="1"/>
                <w:color w:val="auto"/>
              </w:rPr>
            </w:pPr>
          </w:p>
        </w:tc>
      </w:tr>
      <w:tr>
        <w:trPr>
          <w:trHeight w:val="277"/>
        </w:trPr>
        <w:tc>
          <w:tcPr>
            <w:tcW w:w="212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color w:val="005A64"/>
              </w:rPr>
              <w:t>Reimbursement asset</w:t>
            </w:r>
          </w:p>
        </w:tc>
        <w:tc>
          <w:tcPr>
            <w:tcW w:w="160" w:type="dxa"/>
            <w:vAlign w:val="bottom"/>
          </w:tcPr>
          <w:p>
            <w:pPr>
              <w:spacing w:after="0"/>
              <w:rPr>
                <w:sz w:val="24"/>
                <w:szCs w:val="24"/>
                <w:color w:val="auto"/>
              </w:rPr>
            </w:pPr>
          </w:p>
        </w:tc>
        <w:tc>
          <w:tcPr>
            <w:tcW w:w="100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color w:val="005A64"/>
              </w:rPr>
              <w:t>No</w:t>
            </w:r>
          </w:p>
        </w:tc>
        <w:tc>
          <w:tcPr>
            <w:tcW w:w="160" w:type="dxa"/>
            <w:vAlign w:val="bottom"/>
          </w:tcPr>
          <w:p>
            <w:pPr>
              <w:spacing w:after="0"/>
              <w:rPr>
                <w:sz w:val="24"/>
                <w:szCs w:val="24"/>
                <w:color w:val="auto"/>
              </w:rPr>
            </w:pPr>
          </w:p>
        </w:tc>
        <w:tc>
          <w:tcPr>
            <w:tcW w:w="96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23"/>
                <w:szCs w:val="23"/>
                <w:color w:val="005A64"/>
                <w:vertAlign w:val="subscript"/>
              </w:rPr>
              <w:t>AC</w:t>
            </w:r>
            <w:r>
              <w:rPr>
                <w:rFonts w:ascii="Times New Roman" w:cs="Times New Roman" w:eastAsia="Times New Roman" w:hAnsi="Times New Roman"/>
                <w:sz w:val="8"/>
                <w:szCs w:val="8"/>
                <w:color w:val="005A64"/>
              </w:rPr>
              <w:t>(1)</w:t>
            </w:r>
          </w:p>
        </w:tc>
        <w:tc>
          <w:tcPr>
            <w:tcW w:w="160" w:type="dxa"/>
            <w:vAlign w:val="bottom"/>
          </w:tcPr>
          <w:p>
            <w:pPr>
              <w:spacing w:after="0"/>
              <w:rPr>
                <w:sz w:val="24"/>
                <w:szCs w:val="24"/>
                <w:color w:val="auto"/>
              </w:rPr>
            </w:pPr>
          </w:p>
        </w:tc>
        <w:tc>
          <w:tcPr>
            <w:tcW w:w="80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36.2</w:t>
            </w:r>
          </w:p>
        </w:tc>
        <w:tc>
          <w:tcPr>
            <w:tcW w:w="160" w:type="dxa"/>
            <w:vAlign w:val="bottom"/>
          </w:tcPr>
          <w:p>
            <w:pPr>
              <w:spacing w:after="0"/>
              <w:rPr>
                <w:sz w:val="24"/>
                <w:szCs w:val="24"/>
                <w:color w:val="auto"/>
              </w:rPr>
            </w:pPr>
          </w:p>
        </w:tc>
        <w:tc>
          <w:tcPr>
            <w:tcW w:w="82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82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b w:val="1"/>
                <w:bCs w:val="1"/>
                <w:color w:val="005A64"/>
              </w:rPr>
              <w:t>36.2</w:t>
            </w:r>
          </w:p>
        </w:tc>
        <w:tc>
          <w:tcPr>
            <w:tcW w:w="160" w:type="dxa"/>
            <w:vAlign w:val="bottom"/>
          </w:tcPr>
          <w:p>
            <w:pPr>
              <w:spacing w:after="0"/>
              <w:rPr>
                <w:sz w:val="24"/>
                <w:szCs w:val="24"/>
                <w:color w:val="auto"/>
              </w:rPr>
            </w:pPr>
          </w:p>
        </w:tc>
        <w:tc>
          <w:tcPr>
            <w:tcW w:w="80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82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300" w:type="dxa"/>
            <w:vAlign w:val="bottom"/>
            <w:tcBorders>
              <w:bottom w:val="single" w:sz="8" w:color="7FACB1"/>
            </w:tcBorders>
          </w:tcPr>
          <w:p>
            <w:pPr>
              <w:spacing w:after="0"/>
              <w:rPr>
                <w:sz w:val="24"/>
                <w:szCs w:val="24"/>
                <w:color w:val="auto"/>
              </w:rPr>
            </w:pPr>
          </w:p>
        </w:tc>
        <w:tc>
          <w:tcPr>
            <w:tcW w:w="50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84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b w:val="1"/>
                <w:bCs w:val="1"/>
                <w:color w:val="005A64"/>
              </w:rPr>
              <w:t>36.2</w:t>
            </w:r>
          </w:p>
        </w:tc>
        <w:tc>
          <w:tcPr>
            <w:tcW w:w="0" w:type="dxa"/>
            <w:vAlign w:val="bottom"/>
          </w:tcPr>
          <w:p>
            <w:pPr>
              <w:spacing w:after="0"/>
              <w:rPr>
                <w:sz w:val="1"/>
                <w:szCs w:val="1"/>
                <w:color w:val="auto"/>
              </w:rPr>
            </w:pPr>
          </w:p>
        </w:tc>
      </w:tr>
      <w:tr>
        <w:trPr>
          <w:trHeight w:val="277"/>
        </w:trPr>
        <w:tc>
          <w:tcPr>
            <w:tcW w:w="212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color w:val="005A64"/>
              </w:rPr>
              <w:t>Other financial assets</w:t>
            </w:r>
          </w:p>
        </w:tc>
        <w:tc>
          <w:tcPr>
            <w:tcW w:w="160" w:type="dxa"/>
            <w:vAlign w:val="bottom"/>
          </w:tcPr>
          <w:p>
            <w:pPr>
              <w:spacing w:after="0"/>
              <w:rPr>
                <w:sz w:val="24"/>
                <w:szCs w:val="24"/>
                <w:color w:val="auto"/>
              </w:rPr>
            </w:pPr>
          </w:p>
        </w:tc>
        <w:tc>
          <w:tcPr>
            <w:tcW w:w="100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color w:val="005A64"/>
              </w:rPr>
              <w:t>No</w:t>
            </w:r>
          </w:p>
        </w:tc>
        <w:tc>
          <w:tcPr>
            <w:tcW w:w="160" w:type="dxa"/>
            <w:vAlign w:val="bottom"/>
          </w:tcPr>
          <w:p>
            <w:pPr>
              <w:spacing w:after="0"/>
              <w:rPr>
                <w:sz w:val="24"/>
                <w:szCs w:val="24"/>
                <w:color w:val="auto"/>
              </w:rPr>
            </w:pPr>
          </w:p>
        </w:tc>
        <w:tc>
          <w:tcPr>
            <w:tcW w:w="96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23"/>
                <w:szCs w:val="23"/>
                <w:color w:val="005A64"/>
                <w:vertAlign w:val="subscript"/>
              </w:rPr>
              <w:t>AC</w:t>
            </w:r>
            <w:r>
              <w:rPr>
                <w:rFonts w:ascii="Times New Roman" w:cs="Times New Roman" w:eastAsia="Times New Roman" w:hAnsi="Times New Roman"/>
                <w:sz w:val="8"/>
                <w:szCs w:val="8"/>
                <w:color w:val="005A64"/>
              </w:rPr>
              <w:t>(1)</w:t>
            </w:r>
          </w:p>
        </w:tc>
        <w:tc>
          <w:tcPr>
            <w:tcW w:w="160" w:type="dxa"/>
            <w:vAlign w:val="bottom"/>
          </w:tcPr>
          <w:p>
            <w:pPr>
              <w:spacing w:after="0"/>
              <w:rPr>
                <w:sz w:val="24"/>
                <w:szCs w:val="24"/>
                <w:color w:val="auto"/>
              </w:rPr>
            </w:pPr>
          </w:p>
        </w:tc>
        <w:tc>
          <w:tcPr>
            <w:tcW w:w="80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0.8</w:t>
            </w:r>
          </w:p>
        </w:tc>
        <w:tc>
          <w:tcPr>
            <w:tcW w:w="160" w:type="dxa"/>
            <w:vAlign w:val="bottom"/>
          </w:tcPr>
          <w:p>
            <w:pPr>
              <w:spacing w:after="0"/>
              <w:rPr>
                <w:sz w:val="24"/>
                <w:szCs w:val="24"/>
                <w:color w:val="auto"/>
              </w:rPr>
            </w:pPr>
          </w:p>
        </w:tc>
        <w:tc>
          <w:tcPr>
            <w:tcW w:w="82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23.1</w:t>
            </w:r>
          </w:p>
        </w:tc>
        <w:tc>
          <w:tcPr>
            <w:tcW w:w="160" w:type="dxa"/>
            <w:vAlign w:val="bottom"/>
          </w:tcPr>
          <w:p>
            <w:pPr>
              <w:spacing w:after="0"/>
              <w:rPr>
                <w:sz w:val="24"/>
                <w:szCs w:val="24"/>
                <w:color w:val="auto"/>
              </w:rPr>
            </w:pPr>
          </w:p>
        </w:tc>
        <w:tc>
          <w:tcPr>
            <w:tcW w:w="82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b w:val="1"/>
                <w:bCs w:val="1"/>
                <w:color w:val="005A64"/>
              </w:rPr>
              <w:t>23.9</w:t>
            </w:r>
          </w:p>
        </w:tc>
        <w:tc>
          <w:tcPr>
            <w:tcW w:w="160" w:type="dxa"/>
            <w:vAlign w:val="bottom"/>
          </w:tcPr>
          <w:p>
            <w:pPr>
              <w:spacing w:after="0"/>
              <w:rPr>
                <w:sz w:val="24"/>
                <w:szCs w:val="24"/>
                <w:color w:val="auto"/>
              </w:rPr>
            </w:pPr>
          </w:p>
        </w:tc>
        <w:tc>
          <w:tcPr>
            <w:tcW w:w="80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82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300" w:type="dxa"/>
            <w:vAlign w:val="bottom"/>
            <w:tcBorders>
              <w:bottom w:val="single" w:sz="8" w:color="7FACB1"/>
            </w:tcBorders>
          </w:tcPr>
          <w:p>
            <w:pPr>
              <w:spacing w:after="0"/>
              <w:rPr>
                <w:sz w:val="24"/>
                <w:szCs w:val="24"/>
                <w:color w:val="auto"/>
              </w:rPr>
            </w:pPr>
          </w:p>
        </w:tc>
        <w:tc>
          <w:tcPr>
            <w:tcW w:w="50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84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b w:val="1"/>
                <w:bCs w:val="1"/>
                <w:color w:val="005A64"/>
              </w:rPr>
              <w:t>23.9</w:t>
            </w:r>
          </w:p>
        </w:tc>
        <w:tc>
          <w:tcPr>
            <w:tcW w:w="0" w:type="dxa"/>
            <w:vAlign w:val="bottom"/>
          </w:tcPr>
          <w:p>
            <w:pPr>
              <w:spacing w:after="0"/>
              <w:rPr>
                <w:sz w:val="1"/>
                <w:szCs w:val="1"/>
                <w:color w:val="auto"/>
              </w:rPr>
            </w:pPr>
          </w:p>
        </w:tc>
      </w:tr>
      <w:tr>
        <w:trPr>
          <w:trHeight w:val="176"/>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Other financial assets</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No</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FVTPL</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46.6</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46.6</w:t>
            </w:r>
          </w:p>
        </w:tc>
        <w:tc>
          <w:tcPr>
            <w:tcW w:w="1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3"/>
          </w:tcPr>
          <w:p>
            <w:pPr>
              <w:jc w:val="right"/>
              <w:ind w:right="480"/>
              <w:spacing w:after="0"/>
              <w:rPr>
                <w:sz w:val="20"/>
                <w:szCs w:val="20"/>
                <w:color w:val="auto"/>
              </w:rPr>
            </w:pPr>
            <w:r>
              <w:rPr>
                <w:rFonts w:ascii="Times New Roman" w:cs="Times New Roman" w:eastAsia="Times New Roman" w:hAnsi="Times New Roman"/>
                <w:sz w:val="12"/>
                <w:szCs w:val="12"/>
                <w:color w:val="005A6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46.6</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46.6</w:t>
            </w:r>
          </w:p>
        </w:tc>
        <w:tc>
          <w:tcPr>
            <w:tcW w:w="0" w:type="dxa"/>
            <w:vAlign w:val="bottom"/>
          </w:tcPr>
          <w:p>
            <w:pPr>
              <w:spacing w:after="0"/>
              <w:rPr>
                <w:sz w:val="1"/>
                <w:szCs w:val="1"/>
                <w:color w:val="auto"/>
              </w:rPr>
            </w:pPr>
          </w:p>
        </w:tc>
      </w:tr>
      <w:tr>
        <w:trPr>
          <w:trHeight w:val="33"/>
        </w:trPr>
        <w:tc>
          <w:tcPr>
            <w:tcW w:w="21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7FACB1"/>
            </w:tcBorders>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Subtotal</w:t>
            </w: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8,126.0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2,554.2</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10,680.2</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82.2</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206.2</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47.2</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10,680.2</w:t>
            </w:r>
          </w:p>
        </w:tc>
        <w:tc>
          <w:tcPr>
            <w:tcW w:w="0" w:type="dxa"/>
            <w:vAlign w:val="bottom"/>
          </w:tcPr>
          <w:p>
            <w:pPr>
              <w:spacing w:after="0"/>
              <w:rPr>
                <w:sz w:val="1"/>
                <w:szCs w:val="1"/>
                <w:color w:val="auto"/>
              </w:rPr>
            </w:pPr>
          </w:p>
        </w:tc>
      </w:tr>
      <w:tr>
        <w:trPr>
          <w:trHeight w:val="33"/>
        </w:trPr>
        <w:tc>
          <w:tcPr>
            <w:tcW w:w="212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005A64"/>
            </w:tcBorders>
          </w:tcPr>
          <w:p>
            <w:pPr>
              <w:spacing w:after="0"/>
              <w:rPr>
                <w:sz w:val="2"/>
                <w:szCs w:val="2"/>
                <w:color w:val="auto"/>
              </w:rPr>
            </w:pPr>
          </w:p>
        </w:tc>
        <w:tc>
          <w:tcPr>
            <w:tcW w:w="5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280" w:type="dxa"/>
            <w:vAlign w:val="bottom"/>
            <w:tcBorders>
              <w:bottom w:val="single" w:sz="8" w:color="7FACB1"/>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Cash and cash equivalents</w:t>
            </w:r>
          </w:p>
        </w:tc>
        <w:tc>
          <w:tcPr>
            <w:tcW w:w="1000" w:type="dxa"/>
            <w:vAlign w:val="bottom"/>
            <w:tcBorders>
              <w:bottom w:val="single" w:sz="8" w:color="7FACB1"/>
            </w:tcBorders>
          </w:tcPr>
          <w:p>
            <w:pPr>
              <w:spacing w:after="0"/>
              <w:rPr>
                <w:sz w:val="15"/>
                <w:szCs w:val="15"/>
                <w:color w:val="auto"/>
              </w:rPr>
            </w:pPr>
          </w:p>
        </w:tc>
        <w:tc>
          <w:tcPr>
            <w:tcW w:w="160" w:type="dxa"/>
            <w:vAlign w:val="bottom"/>
            <w:tcBorders>
              <w:bottom w:val="single" w:sz="8" w:color="7FACB1"/>
            </w:tcBorders>
          </w:tcPr>
          <w:p>
            <w:pPr>
              <w:spacing w:after="0"/>
              <w:rPr>
                <w:sz w:val="15"/>
                <w:szCs w:val="15"/>
                <w:color w:val="auto"/>
              </w:rPr>
            </w:pPr>
          </w:p>
        </w:tc>
        <w:tc>
          <w:tcPr>
            <w:tcW w:w="960" w:type="dxa"/>
            <w:vAlign w:val="bottom"/>
            <w:tcBorders>
              <w:bottom w:val="single" w:sz="8" w:color="7FACB1"/>
            </w:tcBorders>
          </w:tcPr>
          <w:p>
            <w:pPr>
              <w:spacing w:after="0"/>
              <w:rPr>
                <w:sz w:val="15"/>
                <w:szCs w:val="15"/>
                <w:color w:val="auto"/>
              </w:rPr>
            </w:pPr>
          </w:p>
        </w:tc>
        <w:tc>
          <w:tcPr>
            <w:tcW w:w="160" w:type="dxa"/>
            <w:vAlign w:val="bottom"/>
            <w:tcBorders>
              <w:bottom w:val="single" w:sz="8" w:color="7FACB1"/>
            </w:tcBorders>
          </w:tcPr>
          <w:p>
            <w:pPr>
              <w:spacing w:after="0"/>
              <w:rPr>
                <w:sz w:val="15"/>
                <w:szCs w:val="15"/>
                <w:color w:val="auto"/>
              </w:rPr>
            </w:pPr>
          </w:p>
        </w:tc>
        <w:tc>
          <w:tcPr>
            <w:tcW w:w="800" w:type="dxa"/>
            <w:vAlign w:val="bottom"/>
            <w:tcBorders>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7FACB1"/>
            </w:tcBorders>
          </w:tcPr>
          <w:p>
            <w:pPr>
              <w:spacing w:after="0"/>
              <w:rPr>
                <w:sz w:val="15"/>
                <w:szCs w:val="15"/>
                <w:color w:val="auto"/>
              </w:rPr>
            </w:pPr>
          </w:p>
        </w:tc>
        <w:tc>
          <w:tcPr>
            <w:tcW w:w="160" w:type="dxa"/>
            <w:vAlign w:val="bottom"/>
            <w:tcBorders>
              <w:bottom w:val="single" w:sz="8" w:color="7FACB1"/>
            </w:tcBorders>
          </w:tcPr>
          <w:p>
            <w:pPr>
              <w:spacing w:after="0"/>
              <w:rPr>
                <w:sz w:val="15"/>
                <w:szCs w:val="15"/>
                <w:color w:val="auto"/>
              </w:rPr>
            </w:pPr>
          </w:p>
        </w:tc>
        <w:tc>
          <w:tcPr>
            <w:tcW w:w="820" w:type="dxa"/>
            <w:vAlign w:val="bottom"/>
            <w:tcBorders>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7FACB1"/>
            </w:tcBorders>
          </w:tcPr>
          <w:p>
            <w:pPr>
              <w:spacing w:after="0"/>
              <w:rPr>
                <w:sz w:val="15"/>
                <w:szCs w:val="15"/>
                <w:color w:val="auto"/>
              </w:rPr>
            </w:pPr>
          </w:p>
        </w:tc>
        <w:tc>
          <w:tcPr>
            <w:tcW w:w="160" w:type="dxa"/>
            <w:vAlign w:val="bottom"/>
            <w:tcBorders>
              <w:bottom w:val="single" w:sz="8" w:color="7FACB1"/>
            </w:tcBorders>
          </w:tcPr>
          <w:p>
            <w:pPr>
              <w:spacing w:after="0"/>
              <w:rPr>
                <w:sz w:val="15"/>
                <w:szCs w:val="15"/>
                <w:color w:val="auto"/>
              </w:rPr>
            </w:pPr>
          </w:p>
        </w:tc>
        <w:tc>
          <w:tcPr>
            <w:tcW w:w="820" w:type="dxa"/>
            <w:vAlign w:val="bottom"/>
            <w:tcBorders>
              <w:bottom w:val="single" w:sz="8" w:color="7FACB1"/>
            </w:tcBorders>
          </w:tcPr>
          <w:p>
            <w:pPr>
              <w:spacing w:after="0"/>
              <w:rPr>
                <w:sz w:val="15"/>
                <w:szCs w:val="15"/>
                <w:color w:val="auto"/>
              </w:rPr>
            </w:pPr>
          </w:p>
        </w:tc>
        <w:tc>
          <w:tcPr>
            <w:tcW w:w="160" w:type="dxa"/>
            <w:vAlign w:val="bottom"/>
            <w:tcBorders>
              <w:bottom w:val="single" w:sz="8" w:color="7FACB1"/>
            </w:tcBorders>
          </w:tcPr>
          <w:p>
            <w:pPr>
              <w:spacing w:after="0"/>
              <w:rPr>
                <w:sz w:val="15"/>
                <w:szCs w:val="15"/>
                <w:color w:val="auto"/>
              </w:rPr>
            </w:pPr>
          </w:p>
        </w:tc>
        <w:tc>
          <w:tcPr>
            <w:tcW w:w="300" w:type="dxa"/>
            <w:vAlign w:val="bottom"/>
            <w:tcBorders>
              <w:bottom w:val="single" w:sz="8" w:color="7FACB1"/>
            </w:tcBorders>
          </w:tcPr>
          <w:p>
            <w:pPr>
              <w:spacing w:after="0"/>
              <w:rPr>
                <w:sz w:val="15"/>
                <w:szCs w:val="15"/>
                <w:color w:val="auto"/>
              </w:rPr>
            </w:pPr>
          </w:p>
        </w:tc>
        <w:tc>
          <w:tcPr>
            <w:tcW w:w="500" w:type="dxa"/>
            <w:vAlign w:val="bottom"/>
            <w:tcBorders>
              <w:bottom w:val="single" w:sz="8" w:color="7FACB1"/>
            </w:tcBorders>
          </w:tcPr>
          <w:p>
            <w:pPr>
              <w:spacing w:after="0"/>
              <w:rPr>
                <w:sz w:val="15"/>
                <w:szCs w:val="15"/>
                <w:color w:val="auto"/>
              </w:rPr>
            </w:pPr>
          </w:p>
        </w:tc>
        <w:tc>
          <w:tcPr>
            <w:tcW w:w="160" w:type="dxa"/>
            <w:vAlign w:val="bottom"/>
            <w:tcBorders>
              <w:bottom w:val="single" w:sz="8" w:color="7FACB1"/>
            </w:tcBorders>
          </w:tcPr>
          <w:p>
            <w:pPr>
              <w:spacing w:after="0"/>
              <w:rPr>
                <w:sz w:val="15"/>
                <w:szCs w:val="15"/>
                <w:color w:val="auto"/>
              </w:rPr>
            </w:pPr>
          </w:p>
        </w:tc>
        <w:tc>
          <w:tcPr>
            <w:tcW w:w="840" w:type="dxa"/>
            <w:vAlign w:val="bottom"/>
            <w:tcBorders>
              <w:bottom w:val="single" w:sz="8" w:color="7FACB1"/>
            </w:tcBorders>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212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color w:val="005A64"/>
              </w:rPr>
              <w:t>Cash at banks and on hand</w:t>
            </w:r>
          </w:p>
        </w:tc>
        <w:tc>
          <w:tcPr>
            <w:tcW w:w="160" w:type="dxa"/>
            <w:vAlign w:val="bottom"/>
          </w:tcPr>
          <w:p>
            <w:pPr>
              <w:spacing w:after="0"/>
              <w:rPr>
                <w:sz w:val="24"/>
                <w:szCs w:val="24"/>
                <w:color w:val="auto"/>
              </w:rPr>
            </w:pPr>
          </w:p>
        </w:tc>
        <w:tc>
          <w:tcPr>
            <w:tcW w:w="100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color w:val="005A64"/>
              </w:rPr>
              <w:t>Yes</w:t>
            </w:r>
          </w:p>
        </w:tc>
        <w:tc>
          <w:tcPr>
            <w:tcW w:w="160" w:type="dxa"/>
            <w:vAlign w:val="bottom"/>
          </w:tcPr>
          <w:p>
            <w:pPr>
              <w:spacing w:after="0"/>
              <w:rPr>
                <w:sz w:val="24"/>
                <w:szCs w:val="24"/>
                <w:color w:val="auto"/>
              </w:rPr>
            </w:pPr>
          </w:p>
        </w:tc>
        <w:tc>
          <w:tcPr>
            <w:tcW w:w="96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23"/>
                <w:szCs w:val="23"/>
                <w:color w:val="005A64"/>
                <w:vertAlign w:val="subscript"/>
              </w:rPr>
              <w:t>AC</w:t>
            </w:r>
            <w:r>
              <w:rPr>
                <w:rFonts w:ascii="Times New Roman" w:cs="Times New Roman" w:eastAsia="Times New Roman" w:hAnsi="Times New Roman"/>
                <w:sz w:val="8"/>
                <w:szCs w:val="8"/>
                <w:color w:val="005A64"/>
              </w:rPr>
              <w:t>(1)</w:t>
            </w:r>
          </w:p>
        </w:tc>
        <w:tc>
          <w:tcPr>
            <w:tcW w:w="160" w:type="dxa"/>
            <w:vAlign w:val="bottom"/>
          </w:tcPr>
          <w:p>
            <w:pPr>
              <w:spacing w:after="0"/>
              <w:rPr>
                <w:sz w:val="24"/>
                <w:szCs w:val="24"/>
                <w:color w:val="auto"/>
              </w:rPr>
            </w:pPr>
          </w:p>
        </w:tc>
        <w:tc>
          <w:tcPr>
            <w:tcW w:w="80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827.2</w:t>
            </w:r>
          </w:p>
        </w:tc>
        <w:tc>
          <w:tcPr>
            <w:tcW w:w="160" w:type="dxa"/>
            <w:vAlign w:val="bottom"/>
          </w:tcPr>
          <w:p>
            <w:pPr>
              <w:spacing w:after="0"/>
              <w:rPr>
                <w:sz w:val="24"/>
                <w:szCs w:val="24"/>
                <w:color w:val="auto"/>
              </w:rPr>
            </w:pPr>
          </w:p>
        </w:tc>
        <w:tc>
          <w:tcPr>
            <w:tcW w:w="82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82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b w:val="1"/>
                <w:bCs w:val="1"/>
                <w:color w:val="005A64"/>
              </w:rPr>
              <w:t>827.2</w:t>
            </w:r>
          </w:p>
        </w:tc>
        <w:tc>
          <w:tcPr>
            <w:tcW w:w="160" w:type="dxa"/>
            <w:vAlign w:val="bottom"/>
          </w:tcPr>
          <w:p>
            <w:pPr>
              <w:spacing w:after="0"/>
              <w:rPr>
                <w:sz w:val="24"/>
                <w:szCs w:val="24"/>
                <w:color w:val="auto"/>
              </w:rPr>
            </w:pPr>
          </w:p>
        </w:tc>
        <w:tc>
          <w:tcPr>
            <w:tcW w:w="80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82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300" w:type="dxa"/>
            <w:vAlign w:val="bottom"/>
            <w:tcBorders>
              <w:bottom w:val="single" w:sz="8" w:color="7FACB1"/>
            </w:tcBorders>
          </w:tcPr>
          <w:p>
            <w:pPr>
              <w:spacing w:after="0"/>
              <w:rPr>
                <w:sz w:val="24"/>
                <w:szCs w:val="24"/>
                <w:color w:val="auto"/>
              </w:rPr>
            </w:pPr>
          </w:p>
        </w:tc>
        <w:tc>
          <w:tcPr>
            <w:tcW w:w="50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84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b w:val="1"/>
                <w:bCs w:val="1"/>
                <w:color w:val="005A64"/>
              </w:rPr>
              <w:t>827.2</w:t>
            </w:r>
          </w:p>
        </w:tc>
        <w:tc>
          <w:tcPr>
            <w:tcW w:w="0" w:type="dxa"/>
            <w:vAlign w:val="bottom"/>
          </w:tcPr>
          <w:p>
            <w:pPr>
              <w:spacing w:after="0"/>
              <w:rPr>
                <w:sz w:val="1"/>
                <w:szCs w:val="1"/>
                <w:color w:val="auto"/>
              </w:rPr>
            </w:pPr>
          </w:p>
        </w:tc>
      </w:tr>
      <w:tr>
        <w:trPr>
          <w:trHeight w:val="176"/>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Money market funds</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Yes</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FVTPL</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5,063.3</w:t>
            </w:r>
          </w:p>
        </w:tc>
        <w:tc>
          <w:tcPr>
            <w:tcW w:w="16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5,063.3</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5,063.3</w:t>
            </w:r>
          </w:p>
        </w:tc>
        <w:tc>
          <w:tcPr>
            <w:tcW w:w="160" w:type="dxa"/>
            <w:vAlign w:val="bottom"/>
          </w:tcPr>
          <w:p>
            <w:pPr>
              <w:spacing w:after="0"/>
              <w:rPr>
                <w:sz w:val="15"/>
                <w:szCs w:val="15"/>
                <w:color w:val="auto"/>
              </w:rPr>
            </w:pPr>
          </w:p>
        </w:tc>
        <w:tc>
          <w:tcPr>
            <w:tcW w:w="1280" w:type="dxa"/>
            <w:vAlign w:val="bottom"/>
            <w:gridSpan w:val="3"/>
          </w:tcPr>
          <w:p>
            <w:pPr>
              <w:jc w:val="right"/>
              <w:ind w:right="480"/>
              <w:spacing w:after="0"/>
              <w:rPr>
                <w:sz w:val="20"/>
                <w:szCs w:val="20"/>
                <w:color w:val="auto"/>
              </w:rPr>
            </w:pPr>
            <w:r>
              <w:rPr>
                <w:rFonts w:ascii="Times New Roman" w:cs="Times New Roman" w:eastAsia="Times New Roman" w:hAnsi="Times New Roman"/>
                <w:sz w:val="12"/>
                <w:szCs w:val="12"/>
                <w:color w:val="005A64"/>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5,063.3</w:t>
            </w:r>
          </w:p>
        </w:tc>
        <w:tc>
          <w:tcPr>
            <w:tcW w:w="0" w:type="dxa"/>
            <w:vAlign w:val="bottom"/>
          </w:tcPr>
          <w:p>
            <w:pPr>
              <w:spacing w:after="0"/>
              <w:rPr>
                <w:sz w:val="1"/>
                <w:szCs w:val="1"/>
                <w:color w:val="auto"/>
              </w:rPr>
            </w:pPr>
          </w:p>
        </w:tc>
      </w:tr>
      <w:tr>
        <w:trPr>
          <w:trHeight w:val="33"/>
        </w:trPr>
        <w:tc>
          <w:tcPr>
            <w:tcW w:w="21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7FACB1"/>
            </w:tcBorders>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Deposits, Commercial Paper, Repos (&lt;</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5A64"/>
              </w:rPr>
              <w:t>Yes</w:t>
            </w:r>
          </w:p>
        </w:tc>
        <w:tc>
          <w:tcPr>
            <w:tcW w:w="112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23"/>
                <w:szCs w:val="23"/>
                <w:color w:val="005A64"/>
                <w:vertAlign w:val="subscript"/>
              </w:rPr>
              <w:t>AC</w:t>
            </w:r>
            <w:r>
              <w:rPr>
                <w:rFonts w:ascii="Times New Roman" w:cs="Times New Roman" w:eastAsia="Times New Roman" w:hAnsi="Times New Roman"/>
                <w:sz w:val="8"/>
                <w:szCs w:val="8"/>
                <w:color w:val="005A64"/>
              </w:rPr>
              <w:t>(1)</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5A64"/>
              </w:rPr>
              <w:t>1,784.9</w:t>
            </w:r>
          </w:p>
        </w:tc>
        <w:tc>
          <w:tcPr>
            <w:tcW w:w="160" w:type="dxa"/>
            <w:vAlign w:val="bottom"/>
          </w:tcPr>
          <w:p>
            <w:pPr>
              <w:spacing w:after="0"/>
              <w:rPr>
                <w:sz w:val="17"/>
                <w:szCs w:val="17"/>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005A64"/>
              </w:rPr>
              <w:t>1,784.9</w:t>
            </w:r>
          </w:p>
        </w:tc>
        <w:tc>
          <w:tcPr>
            <w:tcW w:w="160" w:type="dxa"/>
            <w:vAlign w:val="bottom"/>
          </w:tcPr>
          <w:p>
            <w:pPr>
              <w:spacing w:after="0"/>
              <w:rPr>
                <w:sz w:val="17"/>
                <w:szCs w:val="17"/>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2"/>
                <w:szCs w:val="12"/>
                <w:color w:val="005A64"/>
              </w:rPr>
              <w:t>—</w:t>
            </w: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005A64"/>
              </w:rPr>
              <w:t>1,784.9</w:t>
            </w:r>
          </w:p>
        </w:tc>
        <w:tc>
          <w:tcPr>
            <w:tcW w:w="0" w:type="dxa"/>
            <w:vAlign w:val="bottom"/>
          </w:tcPr>
          <w:p>
            <w:pPr>
              <w:spacing w:after="0"/>
              <w:rPr>
                <w:sz w:val="1"/>
                <w:szCs w:val="1"/>
                <w:color w:val="auto"/>
              </w:rPr>
            </w:pPr>
          </w:p>
        </w:tc>
      </w:tr>
      <w:tr>
        <w:trPr>
          <w:trHeight w:val="56"/>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5A64"/>
              </w:rPr>
              <w:t>3 months)</w:t>
            </w:r>
          </w:p>
        </w:tc>
        <w:tc>
          <w:tcPr>
            <w:tcW w:w="160" w:type="dxa"/>
            <w:vAlign w:val="bottom"/>
            <w:vMerge w:val="restart"/>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120" w:type="dxa"/>
            <w:vAlign w:val="bottom"/>
            <w:tcBorders>
              <w:bottom w:val="single" w:sz="8" w:color="7FACB1"/>
            </w:tcBorders>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000" w:type="dxa"/>
            <w:vAlign w:val="bottom"/>
            <w:tcBorders>
              <w:bottom w:val="single" w:sz="8" w:color="7FACB1"/>
            </w:tcBorders>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Borders>
              <w:bottom w:val="single" w:sz="8" w:color="7FACB1"/>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7FACB1"/>
            </w:tcBorders>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Borders>
              <w:bottom w:val="single" w:sz="8" w:color="7FACB1"/>
            </w:tcBorders>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Borders>
              <w:bottom w:val="single" w:sz="8" w:color="7FACB1"/>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7FACB1"/>
            </w:tcBorders>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Borders>
              <w:bottom w:val="single" w:sz="8" w:color="7FACB1"/>
            </w:tcBorders>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Borders>
              <w:bottom w:val="single" w:sz="8" w:color="7FACB1"/>
            </w:tcBorders>
          </w:tcPr>
          <w:p>
            <w:pPr>
              <w:spacing w:after="0"/>
              <w:rPr>
                <w:sz w:val="9"/>
                <w:szCs w:val="9"/>
                <w:color w:val="auto"/>
              </w:rPr>
            </w:pPr>
          </w:p>
        </w:tc>
        <w:tc>
          <w:tcPr>
            <w:tcW w:w="500" w:type="dxa"/>
            <w:vAlign w:val="bottom"/>
            <w:tcBorders>
              <w:bottom w:val="single" w:sz="8" w:color="7FACB1"/>
            </w:tcBorders>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Borders>
              <w:bottom w:val="single" w:sz="8" w:color="7FACB1"/>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Subtotal</w:t>
            </w: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7,675.4</w:t>
            </w:r>
          </w:p>
        </w:tc>
        <w:tc>
          <w:tcPr>
            <w:tcW w:w="16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005A6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7,675.4</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5,063.3</w:t>
            </w:r>
          </w:p>
        </w:tc>
        <w:tc>
          <w:tcPr>
            <w:tcW w:w="160" w:type="dxa"/>
            <w:vAlign w:val="bottom"/>
          </w:tcPr>
          <w:p>
            <w:pPr>
              <w:spacing w:after="0"/>
              <w:rPr>
                <w:sz w:val="15"/>
                <w:szCs w:val="15"/>
                <w:color w:val="auto"/>
              </w:rPr>
            </w:pPr>
          </w:p>
        </w:tc>
        <w:tc>
          <w:tcPr>
            <w:tcW w:w="1280" w:type="dxa"/>
            <w:vAlign w:val="bottom"/>
            <w:gridSpan w:val="3"/>
          </w:tcPr>
          <w:p>
            <w:pPr>
              <w:jc w:val="right"/>
              <w:ind w:right="480"/>
              <w:spacing w:after="0"/>
              <w:rPr>
                <w:sz w:val="20"/>
                <w:szCs w:val="20"/>
                <w:color w:val="auto"/>
              </w:rPr>
            </w:pPr>
            <w:r>
              <w:rPr>
                <w:rFonts w:ascii="Times New Roman" w:cs="Times New Roman" w:eastAsia="Times New Roman" w:hAnsi="Times New Roman"/>
                <w:sz w:val="12"/>
                <w:szCs w:val="12"/>
                <w:b w:val="1"/>
                <w:bCs w:val="1"/>
                <w:color w:val="005A64"/>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005A6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7,675.4</w:t>
            </w:r>
          </w:p>
        </w:tc>
        <w:tc>
          <w:tcPr>
            <w:tcW w:w="0" w:type="dxa"/>
            <w:vAlign w:val="bottom"/>
          </w:tcPr>
          <w:p>
            <w:pPr>
              <w:spacing w:after="0"/>
              <w:rPr>
                <w:sz w:val="1"/>
                <w:szCs w:val="1"/>
                <w:color w:val="auto"/>
              </w:rPr>
            </w:pPr>
          </w:p>
        </w:tc>
      </w:tr>
      <w:tr>
        <w:trPr>
          <w:trHeight w:val="33"/>
        </w:trPr>
        <w:tc>
          <w:tcPr>
            <w:tcW w:w="212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005A64"/>
            </w:tcBorders>
          </w:tcPr>
          <w:p>
            <w:pPr>
              <w:spacing w:after="0"/>
              <w:rPr>
                <w:sz w:val="2"/>
                <w:szCs w:val="2"/>
                <w:color w:val="auto"/>
              </w:rPr>
            </w:pPr>
          </w:p>
        </w:tc>
        <w:tc>
          <w:tcPr>
            <w:tcW w:w="5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12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liabilities</w:t>
            </w:r>
          </w:p>
        </w:tc>
        <w:tc>
          <w:tcPr>
            <w:tcW w:w="160" w:type="dxa"/>
            <w:vAlign w:val="bottom"/>
          </w:tcPr>
          <w:p>
            <w:pPr>
              <w:spacing w:after="0"/>
              <w:rPr>
                <w:sz w:val="15"/>
                <w:szCs w:val="15"/>
                <w:color w:val="auto"/>
              </w:rPr>
            </w:pPr>
          </w:p>
        </w:tc>
        <w:tc>
          <w:tcPr>
            <w:tcW w:w="1000" w:type="dxa"/>
            <w:vAlign w:val="bottom"/>
            <w:tcBorders>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Borders>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7FACB1"/>
            </w:tcBorders>
          </w:tcPr>
          <w:p>
            <w:pPr>
              <w:spacing w:after="0"/>
              <w:rPr>
                <w:sz w:val="15"/>
                <w:szCs w:val="15"/>
                <w:color w:val="auto"/>
              </w:rPr>
            </w:pPr>
          </w:p>
        </w:tc>
        <w:tc>
          <w:tcPr>
            <w:tcW w:w="500" w:type="dxa"/>
            <w:vAlign w:val="bottom"/>
            <w:tcBorders>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bottom w:val="single" w:sz="8" w:color="7FACB1"/>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Foreign exchange forward contracts</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No</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FVTPL</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0.4</w:t>
            </w:r>
          </w:p>
        </w:tc>
        <w:tc>
          <w:tcPr>
            <w:tcW w:w="16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0.4</w:t>
            </w:r>
          </w:p>
        </w:tc>
        <w:tc>
          <w:tcPr>
            <w:tcW w:w="1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0.4</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0.4</w:t>
            </w:r>
          </w:p>
        </w:tc>
        <w:tc>
          <w:tcPr>
            <w:tcW w:w="0" w:type="dxa"/>
            <w:vAlign w:val="bottom"/>
          </w:tcPr>
          <w:p>
            <w:pPr>
              <w:spacing w:after="0"/>
              <w:rPr>
                <w:sz w:val="1"/>
                <w:szCs w:val="1"/>
                <w:color w:val="auto"/>
              </w:rPr>
            </w:pPr>
          </w:p>
        </w:tc>
      </w:tr>
      <w:tr>
        <w:trPr>
          <w:trHeight w:val="33"/>
        </w:trPr>
        <w:tc>
          <w:tcPr>
            <w:tcW w:w="21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7FACB1"/>
            </w:tcBorders>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Contingent consideration</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No</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FVTPL</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43.4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77.2</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120.6</w:t>
            </w:r>
          </w:p>
        </w:tc>
        <w:tc>
          <w:tcPr>
            <w:tcW w:w="1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3"/>
          </w:tcPr>
          <w:p>
            <w:pPr>
              <w:jc w:val="right"/>
              <w:ind w:right="480"/>
              <w:spacing w:after="0"/>
              <w:rPr>
                <w:sz w:val="20"/>
                <w:szCs w:val="20"/>
                <w:color w:val="auto"/>
              </w:rPr>
            </w:pPr>
            <w:r>
              <w:rPr>
                <w:rFonts w:ascii="Times New Roman" w:cs="Times New Roman" w:eastAsia="Times New Roman" w:hAnsi="Times New Roman"/>
                <w:sz w:val="12"/>
                <w:szCs w:val="12"/>
                <w:color w:val="005A6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120.6</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120.6</w:t>
            </w:r>
          </w:p>
        </w:tc>
        <w:tc>
          <w:tcPr>
            <w:tcW w:w="0" w:type="dxa"/>
            <w:vAlign w:val="bottom"/>
          </w:tcPr>
          <w:p>
            <w:pPr>
              <w:spacing w:after="0"/>
              <w:rPr>
                <w:sz w:val="1"/>
                <w:szCs w:val="1"/>
                <w:color w:val="auto"/>
              </w:rPr>
            </w:pPr>
          </w:p>
        </w:tc>
      </w:tr>
      <w:tr>
        <w:trPr>
          <w:trHeight w:val="33"/>
        </w:trPr>
        <w:tc>
          <w:tcPr>
            <w:tcW w:w="21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7FACB1"/>
            </w:tcBorders>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12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color w:val="005A64"/>
              </w:rPr>
              <w:t>Loans and borrowings</w:t>
            </w:r>
          </w:p>
        </w:tc>
        <w:tc>
          <w:tcPr>
            <w:tcW w:w="160" w:type="dxa"/>
            <w:vAlign w:val="bottom"/>
          </w:tcPr>
          <w:p>
            <w:pPr>
              <w:spacing w:after="0"/>
              <w:rPr>
                <w:sz w:val="24"/>
                <w:szCs w:val="24"/>
                <w:color w:val="auto"/>
              </w:rPr>
            </w:pPr>
          </w:p>
        </w:tc>
        <w:tc>
          <w:tcPr>
            <w:tcW w:w="100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color w:val="005A64"/>
              </w:rPr>
              <w:t>No</w:t>
            </w:r>
          </w:p>
        </w:tc>
        <w:tc>
          <w:tcPr>
            <w:tcW w:w="160" w:type="dxa"/>
            <w:vAlign w:val="bottom"/>
          </w:tcPr>
          <w:p>
            <w:pPr>
              <w:spacing w:after="0"/>
              <w:rPr>
                <w:sz w:val="24"/>
                <w:szCs w:val="24"/>
                <w:color w:val="auto"/>
              </w:rPr>
            </w:pPr>
          </w:p>
        </w:tc>
        <w:tc>
          <w:tcPr>
            <w:tcW w:w="96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23"/>
                <w:szCs w:val="23"/>
                <w:color w:val="005A64"/>
                <w:vertAlign w:val="subscript"/>
              </w:rPr>
              <w:t>AC</w:t>
            </w:r>
            <w:r>
              <w:rPr>
                <w:rFonts w:ascii="Times New Roman" w:cs="Times New Roman" w:eastAsia="Times New Roman" w:hAnsi="Times New Roman"/>
                <w:sz w:val="8"/>
                <w:szCs w:val="8"/>
                <w:color w:val="005A64"/>
              </w:rPr>
              <w:t>(1)</w:t>
            </w:r>
          </w:p>
        </w:tc>
        <w:tc>
          <w:tcPr>
            <w:tcW w:w="160" w:type="dxa"/>
            <w:vAlign w:val="bottom"/>
          </w:tcPr>
          <w:p>
            <w:pPr>
              <w:spacing w:after="0"/>
              <w:rPr>
                <w:sz w:val="24"/>
                <w:szCs w:val="24"/>
                <w:color w:val="auto"/>
              </w:rPr>
            </w:pPr>
          </w:p>
        </w:tc>
        <w:tc>
          <w:tcPr>
            <w:tcW w:w="80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7.2</w:t>
            </w:r>
          </w:p>
        </w:tc>
        <w:tc>
          <w:tcPr>
            <w:tcW w:w="160" w:type="dxa"/>
            <w:vAlign w:val="bottom"/>
          </w:tcPr>
          <w:p>
            <w:pPr>
              <w:spacing w:after="0"/>
              <w:rPr>
                <w:sz w:val="24"/>
                <w:szCs w:val="24"/>
                <w:color w:val="auto"/>
              </w:rPr>
            </w:pPr>
          </w:p>
        </w:tc>
        <w:tc>
          <w:tcPr>
            <w:tcW w:w="82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29.9</w:t>
            </w:r>
          </w:p>
        </w:tc>
        <w:tc>
          <w:tcPr>
            <w:tcW w:w="160" w:type="dxa"/>
            <w:vAlign w:val="bottom"/>
          </w:tcPr>
          <w:p>
            <w:pPr>
              <w:spacing w:after="0"/>
              <w:rPr>
                <w:sz w:val="24"/>
                <w:szCs w:val="24"/>
                <w:color w:val="auto"/>
              </w:rPr>
            </w:pPr>
          </w:p>
        </w:tc>
        <w:tc>
          <w:tcPr>
            <w:tcW w:w="82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b w:val="1"/>
                <w:bCs w:val="1"/>
                <w:color w:val="005A64"/>
              </w:rPr>
              <w:t>37.1</w:t>
            </w:r>
          </w:p>
        </w:tc>
        <w:tc>
          <w:tcPr>
            <w:tcW w:w="160" w:type="dxa"/>
            <w:vAlign w:val="bottom"/>
          </w:tcPr>
          <w:p>
            <w:pPr>
              <w:spacing w:after="0"/>
              <w:rPr>
                <w:sz w:val="24"/>
                <w:szCs w:val="24"/>
                <w:color w:val="auto"/>
              </w:rPr>
            </w:pPr>
          </w:p>
        </w:tc>
        <w:tc>
          <w:tcPr>
            <w:tcW w:w="80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82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300" w:type="dxa"/>
            <w:vAlign w:val="bottom"/>
            <w:tcBorders>
              <w:bottom w:val="single" w:sz="8" w:color="7FACB1"/>
            </w:tcBorders>
          </w:tcPr>
          <w:p>
            <w:pPr>
              <w:spacing w:after="0"/>
              <w:rPr>
                <w:sz w:val="24"/>
                <w:szCs w:val="24"/>
                <w:color w:val="auto"/>
              </w:rPr>
            </w:pPr>
          </w:p>
        </w:tc>
        <w:tc>
          <w:tcPr>
            <w:tcW w:w="50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84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b w:val="1"/>
                <w:bCs w:val="1"/>
                <w:color w:val="005A64"/>
              </w:rPr>
              <w:t>37.1</w:t>
            </w:r>
          </w:p>
        </w:tc>
        <w:tc>
          <w:tcPr>
            <w:tcW w:w="0" w:type="dxa"/>
            <w:vAlign w:val="bottom"/>
          </w:tcPr>
          <w:p>
            <w:pPr>
              <w:spacing w:after="0"/>
              <w:rPr>
                <w:sz w:val="1"/>
                <w:szCs w:val="1"/>
                <w:color w:val="auto"/>
              </w:rPr>
            </w:pPr>
          </w:p>
        </w:tc>
      </w:tr>
      <w:tr>
        <w:trPr>
          <w:trHeight w:val="277"/>
        </w:trPr>
        <w:tc>
          <w:tcPr>
            <w:tcW w:w="212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color w:val="005A64"/>
              </w:rPr>
              <w:t>Trade payables and other payables</w:t>
            </w:r>
          </w:p>
        </w:tc>
        <w:tc>
          <w:tcPr>
            <w:tcW w:w="160" w:type="dxa"/>
            <w:vAlign w:val="bottom"/>
          </w:tcPr>
          <w:p>
            <w:pPr>
              <w:spacing w:after="0"/>
              <w:rPr>
                <w:sz w:val="24"/>
                <w:szCs w:val="24"/>
                <w:color w:val="auto"/>
              </w:rPr>
            </w:pPr>
          </w:p>
        </w:tc>
        <w:tc>
          <w:tcPr>
            <w:tcW w:w="100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color w:val="005A64"/>
              </w:rPr>
              <w:t>No</w:t>
            </w:r>
          </w:p>
        </w:tc>
        <w:tc>
          <w:tcPr>
            <w:tcW w:w="160" w:type="dxa"/>
            <w:vAlign w:val="bottom"/>
          </w:tcPr>
          <w:p>
            <w:pPr>
              <w:spacing w:after="0"/>
              <w:rPr>
                <w:sz w:val="24"/>
                <w:szCs w:val="24"/>
                <w:color w:val="auto"/>
              </w:rPr>
            </w:pPr>
          </w:p>
        </w:tc>
        <w:tc>
          <w:tcPr>
            <w:tcW w:w="96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23"/>
                <w:szCs w:val="23"/>
                <w:color w:val="005A64"/>
                <w:vertAlign w:val="subscript"/>
              </w:rPr>
              <w:t>AC</w:t>
            </w:r>
            <w:r>
              <w:rPr>
                <w:rFonts w:ascii="Times New Roman" w:cs="Times New Roman" w:eastAsia="Times New Roman" w:hAnsi="Times New Roman"/>
                <w:sz w:val="8"/>
                <w:szCs w:val="8"/>
                <w:color w:val="005A64"/>
              </w:rPr>
              <w:t>(1)</w:t>
            </w:r>
          </w:p>
        </w:tc>
        <w:tc>
          <w:tcPr>
            <w:tcW w:w="160" w:type="dxa"/>
            <w:vAlign w:val="bottom"/>
          </w:tcPr>
          <w:p>
            <w:pPr>
              <w:spacing w:after="0"/>
              <w:rPr>
                <w:sz w:val="24"/>
                <w:szCs w:val="24"/>
                <w:color w:val="auto"/>
              </w:rPr>
            </w:pPr>
          </w:p>
        </w:tc>
        <w:tc>
          <w:tcPr>
            <w:tcW w:w="80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534.9</w:t>
            </w:r>
          </w:p>
        </w:tc>
        <w:tc>
          <w:tcPr>
            <w:tcW w:w="160" w:type="dxa"/>
            <w:vAlign w:val="bottom"/>
          </w:tcPr>
          <w:p>
            <w:pPr>
              <w:spacing w:after="0"/>
              <w:rPr>
                <w:sz w:val="24"/>
                <w:szCs w:val="24"/>
                <w:color w:val="auto"/>
              </w:rPr>
            </w:pPr>
          </w:p>
        </w:tc>
        <w:tc>
          <w:tcPr>
            <w:tcW w:w="82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82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b w:val="1"/>
                <w:bCs w:val="1"/>
                <w:color w:val="005A64"/>
              </w:rPr>
              <w:t>534.9</w:t>
            </w:r>
          </w:p>
        </w:tc>
        <w:tc>
          <w:tcPr>
            <w:tcW w:w="160" w:type="dxa"/>
            <w:vAlign w:val="bottom"/>
          </w:tcPr>
          <w:p>
            <w:pPr>
              <w:spacing w:after="0"/>
              <w:rPr>
                <w:sz w:val="24"/>
                <w:szCs w:val="24"/>
                <w:color w:val="auto"/>
              </w:rPr>
            </w:pPr>
          </w:p>
        </w:tc>
        <w:tc>
          <w:tcPr>
            <w:tcW w:w="80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82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300" w:type="dxa"/>
            <w:vAlign w:val="bottom"/>
            <w:tcBorders>
              <w:bottom w:val="single" w:sz="8" w:color="7FACB1"/>
            </w:tcBorders>
          </w:tcPr>
          <w:p>
            <w:pPr>
              <w:spacing w:after="0"/>
              <w:rPr>
                <w:sz w:val="24"/>
                <w:szCs w:val="24"/>
                <w:color w:val="auto"/>
              </w:rPr>
            </w:pPr>
          </w:p>
        </w:tc>
        <w:tc>
          <w:tcPr>
            <w:tcW w:w="50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84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b w:val="1"/>
                <w:bCs w:val="1"/>
                <w:color w:val="005A64"/>
              </w:rPr>
              <w:t>534.9</w:t>
            </w:r>
          </w:p>
        </w:tc>
        <w:tc>
          <w:tcPr>
            <w:tcW w:w="0" w:type="dxa"/>
            <w:vAlign w:val="bottom"/>
          </w:tcPr>
          <w:p>
            <w:pPr>
              <w:spacing w:after="0"/>
              <w:rPr>
                <w:sz w:val="1"/>
                <w:szCs w:val="1"/>
                <w:color w:val="auto"/>
              </w:rPr>
            </w:pPr>
          </w:p>
        </w:tc>
      </w:tr>
      <w:tr>
        <w:trPr>
          <w:trHeight w:val="277"/>
        </w:trPr>
        <w:tc>
          <w:tcPr>
            <w:tcW w:w="212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color w:val="005A64"/>
              </w:rPr>
              <w:t>Other financial liabilities</w:t>
            </w:r>
          </w:p>
        </w:tc>
        <w:tc>
          <w:tcPr>
            <w:tcW w:w="160" w:type="dxa"/>
            <w:vAlign w:val="bottom"/>
          </w:tcPr>
          <w:p>
            <w:pPr>
              <w:spacing w:after="0"/>
              <w:rPr>
                <w:sz w:val="24"/>
                <w:szCs w:val="24"/>
                <w:color w:val="auto"/>
              </w:rPr>
            </w:pPr>
          </w:p>
        </w:tc>
        <w:tc>
          <w:tcPr>
            <w:tcW w:w="100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color w:val="005A64"/>
              </w:rPr>
              <w:t>No</w:t>
            </w:r>
          </w:p>
        </w:tc>
        <w:tc>
          <w:tcPr>
            <w:tcW w:w="160" w:type="dxa"/>
            <w:vAlign w:val="bottom"/>
          </w:tcPr>
          <w:p>
            <w:pPr>
              <w:spacing w:after="0"/>
              <w:rPr>
                <w:sz w:val="24"/>
                <w:szCs w:val="24"/>
                <w:color w:val="auto"/>
              </w:rPr>
            </w:pPr>
          </w:p>
        </w:tc>
        <w:tc>
          <w:tcPr>
            <w:tcW w:w="96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23"/>
                <w:szCs w:val="23"/>
                <w:color w:val="005A64"/>
                <w:vertAlign w:val="subscript"/>
              </w:rPr>
              <w:t>AC</w:t>
            </w:r>
            <w:r>
              <w:rPr>
                <w:rFonts w:ascii="Times New Roman" w:cs="Times New Roman" w:eastAsia="Times New Roman" w:hAnsi="Times New Roman"/>
                <w:sz w:val="8"/>
                <w:szCs w:val="8"/>
                <w:color w:val="005A64"/>
              </w:rPr>
              <w:t>(1)</w:t>
            </w:r>
          </w:p>
        </w:tc>
        <w:tc>
          <w:tcPr>
            <w:tcW w:w="160" w:type="dxa"/>
            <w:vAlign w:val="bottom"/>
          </w:tcPr>
          <w:p>
            <w:pPr>
              <w:spacing w:after="0"/>
              <w:rPr>
                <w:sz w:val="24"/>
                <w:szCs w:val="24"/>
                <w:color w:val="auto"/>
              </w:rPr>
            </w:pPr>
          </w:p>
        </w:tc>
        <w:tc>
          <w:tcPr>
            <w:tcW w:w="80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307.9</w:t>
            </w:r>
          </w:p>
        </w:tc>
        <w:tc>
          <w:tcPr>
            <w:tcW w:w="160" w:type="dxa"/>
            <w:vAlign w:val="bottom"/>
          </w:tcPr>
          <w:p>
            <w:pPr>
              <w:spacing w:after="0"/>
              <w:rPr>
                <w:sz w:val="24"/>
                <w:szCs w:val="24"/>
                <w:color w:val="auto"/>
              </w:rPr>
            </w:pPr>
          </w:p>
        </w:tc>
        <w:tc>
          <w:tcPr>
            <w:tcW w:w="82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17.7</w:t>
            </w:r>
          </w:p>
        </w:tc>
        <w:tc>
          <w:tcPr>
            <w:tcW w:w="160" w:type="dxa"/>
            <w:vAlign w:val="bottom"/>
          </w:tcPr>
          <w:p>
            <w:pPr>
              <w:spacing w:after="0"/>
              <w:rPr>
                <w:sz w:val="24"/>
                <w:szCs w:val="24"/>
                <w:color w:val="auto"/>
              </w:rPr>
            </w:pPr>
          </w:p>
        </w:tc>
        <w:tc>
          <w:tcPr>
            <w:tcW w:w="82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b w:val="1"/>
                <w:bCs w:val="1"/>
                <w:color w:val="005A64"/>
              </w:rPr>
              <w:t>325.6</w:t>
            </w:r>
          </w:p>
        </w:tc>
        <w:tc>
          <w:tcPr>
            <w:tcW w:w="160" w:type="dxa"/>
            <w:vAlign w:val="bottom"/>
          </w:tcPr>
          <w:p>
            <w:pPr>
              <w:spacing w:after="0"/>
              <w:rPr>
                <w:sz w:val="24"/>
                <w:szCs w:val="24"/>
                <w:color w:val="auto"/>
              </w:rPr>
            </w:pPr>
          </w:p>
        </w:tc>
        <w:tc>
          <w:tcPr>
            <w:tcW w:w="80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82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300" w:type="dxa"/>
            <w:vAlign w:val="bottom"/>
            <w:tcBorders>
              <w:bottom w:val="single" w:sz="8" w:color="7FACB1"/>
            </w:tcBorders>
          </w:tcPr>
          <w:p>
            <w:pPr>
              <w:spacing w:after="0"/>
              <w:rPr>
                <w:sz w:val="24"/>
                <w:szCs w:val="24"/>
                <w:color w:val="auto"/>
              </w:rPr>
            </w:pPr>
          </w:p>
        </w:tc>
        <w:tc>
          <w:tcPr>
            <w:tcW w:w="50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60" w:type="dxa"/>
            <w:vAlign w:val="bottom"/>
          </w:tcPr>
          <w:p>
            <w:pPr>
              <w:spacing w:after="0"/>
              <w:rPr>
                <w:sz w:val="24"/>
                <w:szCs w:val="24"/>
                <w:color w:val="auto"/>
              </w:rPr>
            </w:pPr>
          </w:p>
        </w:tc>
        <w:tc>
          <w:tcPr>
            <w:tcW w:w="840" w:type="dxa"/>
            <w:vAlign w:val="bottom"/>
            <w:tcBorders>
              <w:bottom w:val="single" w:sz="8" w:color="7FACB1"/>
            </w:tcBorders>
          </w:tcPr>
          <w:p>
            <w:pPr>
              <w:jc w:val="right"/>
              <w:spacing w:after="0"/>
              <w:rPr>
                <w:sz w:val="20"/>
                <w:szCs w:val="20"/>
                <w:color w:val="auto"/>
              </w:rPr>
            </w:pPr>
            <w:r>
              <w:rPr>
                <w:rFonts w:ascii="Times New Roman" w:cs="Times New Roman" w:eastAsia="Times New Roman" w:hAnsi="Times New Roman"/>
                <w:sz w:val="12"/>
                <w:szCs w:val="12"/>
                <w:b w:val="1"/>
                <w:bCs w:val="1"/>
                <w:color w:val="005A64"/>
              </w:rPr>
              <w:t>325.6</w:t>
            </w:r>
          </w:p>
        </w:tc>
        <w:tc>
          <w:tcPr>
            <w:tcW w:w="0" w:type="dxa"/>
            <w:vAlign w:val="bottom"/>
          </w:tcPr>
          <w:p>
            <w:pPr>
              <w:spacing w:after="0"/>
              <w:rPr>
                <w:sz w:val="1"/>
                <w:szCs w:val="1"/>
                <w:color w:val="auto"/>
              </w:rPr>
            </w:pPr>
          </w:p>
        </w:tc>
      </w:tr>
      <w:tr>
        <w:trPr>
          <w:trHeight w:val="176"/>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Lease liabilities</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No</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n/a</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185.3</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230.3</w:t>
            </w:r>
          </w:p>
        </w:tc>
        <w:tc>
          <w:tcPr>
            <w:tcW w:w="1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3"/>
          </w:tcPr>
          <w:p>
            <w:pPr>
              <w:jc w:val="right"/>
              <w:ind w:right="480"/>
              <w:spacing w:after="0"/>
              <w:rPr>
                <w:sz w:val="20"/>
                <w:szCs w:val="20"/>
                <w:color w:val="auto"/>
              </w:rPr>
            </w:pPr>
            <w:r>
              <w:rPr>
                <w:rFonts w:ascii="Times New Roman" w:cs="Times New Roman" w:eastAsia="Times New Roman" w:hAnsi="Times New Roman"/>
                <w:sz w:val="12"/>
                <w:szCs w:val="12"/>
                <w:color w:val="005A64"/>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230.3</w:t>
            </w:r>
          </w:p>
        </w:tc>
        <w:tc>
          <w:tcPr>
            <w:tcW w:w="0" w:type="dxa"/>
            <w:vAlign w:val="bottom"/>
          </w:tcPr>
          <w:p>
            <w:pPr>
              <w:spacing w:after="0"/>
              <w:rPr>
                <w:sz w:val="1"/>
                <w:szCs w:val="1"/>
                <w:color w:val="auto"/>
              </w:rPr>
            </w:pPr>
          </w:p>
        </w:tc>
      </w:tr>
      <w:tr>
        <w:trPr>
          <w:trHeight w:val="33"/>
        </w:trPr>
        <w:tc>
          <w:tcPr>
            <w:tcW w:w="21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7FACB1"/>
            </w:tcBorders>
          </w:tcPr>
          <w:p>
            <w:pPr>
              <w:spacing w:after="0"/>
              <w:rPr>
                <w:sz w:val="2"/>
                <w:szCs w:val="2"/>
                <w:color w:val="auto"/>
              </w:rPr>
            </w:pPr>
          </w:p>
        </w:tc>
        <w:tc>
          <w:tcPr>
            <w:tcW w:w="50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Subtotal</w:t>
            </w: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938.8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310.1</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1,248.9</w:t>
            </w:r>
          </w:p>
        </w:tc>
        <w:tc>
          <w:tcPr>
            <w:tcW w:w="1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005A6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0.4</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120.6</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1,248.9</w:t>
            </w:r>
          </w:p>
        </w:tc>
        <w:tc>
          <w:tcPr>
            <w:tcW w:w="0" w:type="dxa"/>
            <w:vAlign w:val="bottom"/>
          </w:tcPr>
          <w:p>
            <w:pPr>
              <w:spacing w:after="0"/>
              <w:rPr>
                <w:sz w:val="1"/>
                <w:szCs w:val="1"/>
                <w:color w:val="auto"/>
              </w:rPr>
            </w:pPr>
          </w:p>
        </w:tc>
      </w:tr>
      <w:tr>
        <w:trPr>
          <w:trHeight w:val="33"/>
        </w:trPr>
        <w:tc>
          <w:tcPr>
            <w:tcW w:w="212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005A64"/>
            </w:tcBorders>
          </w:tcPr>
          <w:p>
            <w:pPr>
              <w:spacing w:after="0"/>
              <w:rPr>
                <w:sz w:val="2"/>
                <w:szCs w:val="2"/>
                <w:color w:val="auto"/>
              </w:rPr>
            </w:pPr>
          </w:p>
        </w:tc>
        <w:tc>
          <w:tcPr>
            <w:tcW w:w="5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Fair values for financial assets and liabilities at amortized costs are not disclosed when the book values represent a reasonable approximation.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Equity Investments Designated at Fair Value through 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15175"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700" w:type="dxa"/>
            <w:vAlign w:val="bottom"/>
          </w:tcPr>
          <w:p>
            <w:pPr>
              <w:spacing w:after="0"/>
              <w:rPr>
                <w:sz w:val="19"/>
                <w:szCs w:val="19"/>
                <w:color w:val="auto"/>
              </w:rPr>
            </w:pPr>
          </w:p>
        </w:tc>
        <w:tc>
          <w:tcPr>
            <w:tcW w:w="140" w:type="dxa"/>
            <w:vAlign w:val="bottom"/>
            <w:tcBorders>
              <w:right w:val="single" w:sz="8" w:color="BECD32"/>
            </w:tcBorders>
          </w:tcPr>
          <w:p>
            <w:pPr>
              <w:spacing w:after="0"/>
              <w:rPr>
                <w:sz w:val="19"/>
                <w:szCs w:val="19"/>
                <w:color w:val="auto"/>
              </w:rPr>
            </w:pPr>
          </w:p>
        </w:tc>
        <w:tc>
          <w:tcPr>
            <w:tcW w:w="80" w:type="dxa"/>
            <w:vAlign w:val="bottom"/>
            <w:tcBorders>
              <w:top w:val="single" w:sz="8" w:color="BECD32"/>
            </w:tcBorders>
          </w:tcPr>
          <w:p>
            <w:pPr>
              <w:spacing w:after="0"/>
              <w:rPr>
                <w:sz w:val="19"/>
                <w:szCs w:val="19"/>
                <w:color w:val="auto"/>
              </w:rPr>
            </w:pPr>
          </w:p>
        </w:tc>
        <w:tc>
          <w:tcPr>
            <w:tcW w:w="2160" w:type="dxa"/>
            <w:vAlign w:val="bottom"/>
            <w:tcBorders>
              <w:top w:val="single" w:sz="8" w:color="BECD32"/>
              <w:right w:val="single" w:sz="8" w:color="BECD32"/>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005A64"/>
              </w:rPr>
              <w:t>Fair value as of March 31,</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Fair value as of December 31,</w:t>
            </w:r>
          </w:p>
        </w:tc>
        <w:tc>
          <w:tcPr>
            <w:tcW w:w="0" w:type="dxa"/>
            <w:vAlign w:val="bottom"/>
          </w:tcPr>
          <w:p>
            <w:pPr>
              <w:spacing w:after="0"/>
              <w:rPr>
                <w:sz w:val="1"/>
                <w:szCs w:val="1"/>
                <w:color w:val="auto"/>
              </w:rPr>
            </w:pPr>
          </w:p>
        </w:tc>
      </w:tr>
      <w:tr>
        <w:trPr>
          <w:trHeight w:val="203"/>
        </w:trPr>
        <w:tc>
          <w:tcPr>
            <w:tcW w:w="6840" w:type="dxa"/>
            <w:vAlign w:val="bottom"/>
            <w:tcBorders>
              <w:right w:val="single" w:sz="8" w:color="BECD32"/>
            </w:tcBorders>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2026</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0" w:type="dxa"/>
            <w:vAlign w:val="bottom"/>
          </w:tcPr>
          <w:p>
            <w:pPr>
              <w:spacing w:after="0"/>
              <w:rPr>
                <w:sz w:val="1"/>
                <w:szCs w:val="1"/>
                <w:color w:val="auto"/>
              </w:rPr>
            </w:pPr>
          </w:p>
        </w:tc>
      </w:tr>
      <w:tr>
        <w:trPr>
          <w:trHeight w:val="68"/>
        </w:trPr>
        <w:tc>
          <w:tcPr>
            <w:tcW w:w="6840" w:type="dxa"/>
            <w:vAlign w:val="bottom"/>
            <w:tcBorders>
              <w:right w:val="single" w:sz="8" w:color="BECD32"/>
            </w:tcBorders>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20" w:type="dxa"/>
            <w:vAlign w:val="bottom"/>
            <w:tcBorders>
              <w:right w:val="single" w:sz="8" w:color="BECD32"/>
            </w:tcBorders>
          </w:tcPr>
          <w:p>
            <w:pPr>
              <w:spacing w:after="0"/>
              <w:rPr>
                <w:sz w:val="5"/>
                <w:szCs w:val="5"/>
                <w:color w:val="auto"/>
              </w:rPr>
            </w:pPr>
          </w:p>
        </w:tc>
        <w:tc>
          <w:tcPr>
            <w:tcW w:w="100" w:type="dxa"/>
            <w:vAlign w:val="bottom"/>
          </w:tcPr>
          <w:p>
            <w:pPr>
              <w:spacing w:after="0"/>
              <w:rPr>
                <w:sz w:val="5"/>
                <w:szCs w:val="5"/>
                <w:color w:val="auto"/>
              </w:rPr>
            </w:pP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67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04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20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68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Investment in Autolus Therapeutics plc</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40.0</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56.5</w:t>
            </w:r>
          </w:p>
        </w:tc>
        <w:tc>
          <w:tcPr>
            <w:tcW w:w="0" w:type="dxa"/>
            <w:vAlign w:val="bottom"/>
          </w:tcPr>
          <w:p>
            <w:pPr>
              <w:spacing w:after="0"/>
              <w:rPr>
                <w:sz w:val="1"/>
                <w:szCs w:val="1"/>
                <w:color w:val="auto"/>
              </w:rPr>
            </w:pPr>
          </w:p>
        </w:tc>
      </w:tr>
      <w:tr>
        <w:trPr>
          <w:trHeight w:val="50"/>
        </w:trPr>
        <w:tc>
          <w:tcPr>
            <w:tcW w:w="67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0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204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68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Investment in Ryvu Therapeutics S.A.</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10.2</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12.3</w:t>
            </w:r>
          </w:p>
        </w:tc>
        <w:tc>
          <w:tcPr>
            <w:tcW w:w="0" w:type="dxa"/>
            <w:vAlign w:val="bottom"/>
          </w:tcPr>
          <w:p>
            <w:pPr>
              <w:spacing w:after="0"/>
              <w:rPr>
                <w:sz w:val="1"/>
                <w:szCs w:val="1"/>
                <w:color w:val="auto"/>
              </w:rPr>
            </w:pPr>
          </w:p>
        </w:tc>
      </w:tr>
      <w:tr>
        <w:trPr>
          <w:trHeight w:val="51"/>
        </w:trPr>
        <w:tc>
          <w:tcPr>
            <w:tcW w:w="67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0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204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68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Investment in Duality Biologics Co. Ltd.</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13.4</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13.4</w:t>
            </w:r>
          </w:p>
        </w:tc>
        <w:tc>
          <w:tcPr>
            <w:tcW w:w="0" w:type="dxa"/>
            <w:vAlign w:val="bottom"/>
          </w:tcPr>
          <w:p>
            <w:pPr>
              <w:spacing w:after="0"/>
              <w:rPr>
                <w:sz w:val="1"/>
                <w:szCs w:val="1"/>
                <w:color w:val="auto"/>
              </w:rPr>
            </w:pPr>
          </w:p>
        </w:tc>
      </w:tr>
      <w:tr>
        <w:trPr>
          <w:trHeight w:val="51"/>
        </w:trPr>
        <w:tc>
          <w:tcPr>
            <w:tcW w:w="67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0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204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68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Other investments</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0.6</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0.6</w:t>
            </w:r>
          </w:p>
        </w:tc>
        <w:tc>
          <w:tcPr>
            <w:tcW w:w="0" w:type="dxa"/>
            <w:vAlign w:val="bottom"/>
          </w:tcPr>
          <w:p>
            <w:pPr>
              <w:spacing w:after="0"/>
              <w:rPr>
                <w:sz w:val="1"/>
                <w:szCs w:val="1"/>
                <w:color w:val="auto"/>
              </w:rPr>
            </w:pPr>
          </w:p>
        </w:tc>
      </w:tr>
      <w:tr>
        <w:trPr>
          <w:trHeight w:val="51"/>
        </w:trPr>
        <w:tc>
          <w:tcPr>
            <w:tcW w:w="67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0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204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68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64.2</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82.8</w:t>
            </w:r>
          </w:p>
        </w:tc>
        <w:tc>
          <w:tcPr>
            <w:tcW w:w="0" w:type="dxa"/>
            <w:vAlign w:val="bottom"/>
          </w:tcPr>
          <w:p>
            <w:pPr>
              <w:spacing w:after="0"/>
              <w:rPr>
                <w:sz w:val="1"/>
                <w:szCs w:val="1"/>
                <w:color w:val="auto"/>
              </w:rPr>
            </w:pPr>
          </w:p>
        </w:tc>
      </w:tr>
      <w:tr>
        <w:trPr>
          <w:trHeight w:val="51"/>
        </w:trPr>
        <w:tc>
          <w:tcPr>
            <w:tcW w:w="67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Borders>
              <w:bottom w:val="single" w:sz="8" w:color="BECD32"/>
            </w:tcBorders>
          </w:tcPr>
          <w:p>
            <w:pPr>
              <w:spacing w:after="0"/>
              <w:rPr>
                <w:sz w:val="4"/>
                <w:szCs w:val="4"/>
                <w:color w:val="auto"/>
              </w:rPr>
            </w:pPr>
          </w:p>
        </w:tc>
        <w:tc>
          <w:tcPr>
            <w:tcW w:w="2040" w:type="dxa"/>
            <w:vAlign w:val="bottom"/>
            <w:tcBorders>
              <w:bottom w:val="single" w:sz="8" w:color="BECD32"/>
            </w:tcBorders>
          </w:tcPr>
          <w:p>
            <w:pPr>
              <w:spacing w:after="0"/>
              <w:rPr>
                <w:sz w:val="4"/>
                <w:szCs w:val="4"/>
                <w:color w:val="auto"/>
              </w:rPr>
            </w:pPr>
          </w:p>
        </w:tc>
        <w:tc>
          <w:tcPr>
            <w:tcW w:w="120" w:type="dxa"/>
            <w:vAlign w:val="bottom"/>
            <w:tcBorders>
              <w:bottom w:val="single" w:sz="8" w:color="BECD32"/>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20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88" w:right="35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r>
        <w:rPr>
          <w:sz w:val="20"/>
          <w:szCs w:val="20"/>
          <w:color w:val="auto"/>
        </w:rPr>
        <w:tab/>
      </w:r>
      <w:r>
        <w:rPr>
          <w:rFonts w:ascii="Times New Roman" w:cs="Times New Roman" w:eastAsia="Times New Roman" w:hAnsi="Times New Roman"/>
          <w:sz w:val="22"/>
          <w:szCs w:val="22"/>
          <w:b w:val="1"/>
          <w:bCs w:val="1"/>
          <w:color w:val="C3C3C3"/>
        </w:rPr>
        <w:t>14</w:t>
      </w:r>
    </w:p>
    <w:p>
      <w:pPr>
        <w:sectPr>
          <w:pgSz w:w="11900" w:h="16838" w:orient="portrait"/>
          <w:cols w:equalWidth="0" w:num="1">
            <w:col w:w="11220"/>
          </w:cols>
          <w:pgMar w:left="320" w:top="388" w:right="359" w:bottom="1440" w:gutter="0" w:footer="0" w:header="0"/>
          <w:type w:val="continuous"/>
        </w:sectPr>
      </w:pPr>
    </w:p>
    <w:bookmarkStart w:id="23" w:name="page24"/>
    <w:bookmarkEnd w:id="2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3C9673"/>
        </w:rPr>
        <w:drawing>
          <wp:anchor simplePos="0" relativeHeight="251657728" behindDoc="1" locked="0" layoutInCell="0" allowOverlap="1">
            <wp:simplePos x="0" y="0"/>
            <wp:positionH relativeFrom="page">
              <wp:posOffset>2016760</wp:posOffset>
            </wp:positionH>
            <wp:positionV relativeFrom="page">
              <wp:posOffset>106045</wp:posOffset>
            </wp:positionV>
            <wp:extent cx="222885" cy="6858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C3C3C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20320</wp:posOffset>
            </wp:positionV>
            <wp:extent cx="222885" cy="6858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Financial investments in equity instruments measured at fair value through other comprehensive income comprise the following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15175"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005A64"/>
              </w:rPr>
              <w:t>Three months ended March 31,</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1640" w:type="dxa"/>
            <w:vAlign w:val="bottom"/>
            <w:tcBorders>
              <w:bottom w:val="single" w:sz="8" w:color="BECD32"/>
            </w:tcBorders>
            <w:gridSpan w:val="2"/>
          </w:tcPr>
          <w:p>
            <w:pPr>
              <w:spacing w:after="0"/>
              <w:rPr>
                <w:sz w:val="13"/>
                <w:szCs w:val="13"/>
                <w:color w:val="auto"/>
              </w:rPr>
            </w:pPr>
          </w:p>
        </w:tc>
        <w:tc>
          <w:tcPr>
            <w:tcW w:w="120" w:type="dxa"/>
            <w:vAlign w:val="bottom"/>
            <w:tcBorders>
              <w:bottom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0" w:type="dxa"/>
            <w:vAlign w:val="bottom"/>
          </w:tcPr>
          <w:p>
            <w:pPr>
              <w:spacing w:after="0"/>
              <w:rPr>
                <w:sz w:val="1"/>
                <w:szCs w:val="1"/>
                <w:color w:val="auto"/>
              </w:rPr>
            </w:pPr>
          </w:p>
        </w:tc>
      </w:tr>
      <w:tr>
        <w:trPr>
          <w:trHeight w:val="200"/>
        </w:trPr>
        <w:tc>
          <w:tcPr>
            <w:tcW w:w="7840" w:type="dxa"/>
            <w:vAlign w:val="bottom"/>
            <w:gridSpan w:val="2"/>
            <w:vMerge w:val="continue"/>
          </w:tcPr>
          <w:p>
            <w:pPr>
              <w:spacing w:after="0"/>
              <w:rPr>
                <w:sz w:val="17"/>
                <w:szCs w:val="17"/>
                <w:color w:val="auto"/>
              </w:rPr>
            </w:pPr>
          </w:p>
        </w:tc>
        <w:tc>
          <w:tcPr>
            <w:tcW w:w="16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2026</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77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D32"/>
            </w:tcBorders>
          </w:tcPr>
          <w:p>
            <w:pPr>
              <w:spacing w:after="0"/>
              <w:rPr>
                <w:sz w:val="4"/>
                <w:szCs w:val="4"/>
                <w:color w:val="auto"/>
              </w:rPr>
            </w:pPr>
          </w:p>
        </w:tc>
        <w:tc>
          <w:tcPr>
            <w:tcW w:w="154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Borders>
              <w:bottom w:val="single" w:sz="8" w:color="005A64"/>
            </w:tcBorders>
          </w:tcPr>
          <w:p>
            <w:pPr>
              <w:spacing w:after="0"/>
              <w:rPr>
                <w:sz w:val="4"/>
                <w:szCs w:val="4"/>
                <w:color w:val="auto"/>
              </w:rPr>
            </w:pPr>
          </w:p>
        </w:tc>
        <w:tc>
          <w:tcPr>
            <w:tcW w:w="5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Net gain / (loss) on equity instruments designated at fair value through other comprehensive income</w:t>
            </w:r>
          </w:p>
        </w:tc>
        <w:tc>
          <w:tcPr>
            <w:tcW w:w="16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(18.6)</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(32.1)</w:t>
            </w:r>
          </w:p>
        </w:tc>
        <w:tc>
          <w:tcPr>
            <w:tcW w:w="0" w:type="dxa"/>
            <w:vAlign w:val="bottom"/>
          </w:tcPr>
          <w:p>
            <w:pPr>
              <w:spacing w:after="0"/>
              <w:rPr>
                <w:sz w:val="1"/>
                <w:szCs w:val="1"/>
                <w:color w:val="auto"/>
              </w:rPr>
            </w:pPr>
          </w:p>
        </w:tc>
      </w:tr>
      <w:tr>
        <w:trPr>
          <w:trHeight w:val="50"/>
        </w:trPr>
        <w:tc>
          <w:tcPr>
            <w:tcW w:w="7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D32"/>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w:t>
            </w:r>
          </w:p>
        </w:tc>
        <w:tc>
          <w:tcPr>
            <w:tcW w:w="16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(18.6)</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(32.1)</w:t>
            </w:r>
          </w:p>
        </w:tc>
        <w:tc>
          <w:tcPr>
            <w:tcW w:w="0" w:type="dxa"/>
            <w:vAlign w:val="bottom"/>
          </w:tcPr>
          <w:p>
            <w:pPr>
              <w:spacing w:after="0"/>
              <w:rPr>
                <w:sz w:val="1"/>
                <w:szCs w:val="1"/>
                <w:color w:val="auto"/>
              </w:rPr>
            </w:pPr>
          </w:p>
        </w:tc>
      </w:tr>
      <w:tr>
        <w:trPr>
          <w:trHeight w:val="51"/>
        </w:trPr>
        <w:tc>
          <w:tcPr>
            <w:tcW w:w="77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D32"/>
              <w:bottom w:val="single" w:sz="8" w:color="BECD32"/>
            </w:tcBorders>
          </w:tcPr>
          <w:p>
            <w:pPr>
              <w:spacing w:after="0"/>
              <w:rPr>
                <w:sz w:val="4"/>
                <w:szCs w:val="4"/>
                <w:color w:val="auto"/>
              </w:rPr>
            </w:pPr>
          </w:p>
        </w:tc>
        <w:tc>
          <w:tcPr>
            <w:tcW w:w="1540" w:type="dxa"/>
            <w:vAlign w:val="bottom"/>
            <w:tcBorders>
              <w:bottom w:val="single" w:sz="8" w:color="BECD32"/>
            </w:tcBorders>
          </w:tcPr>
          <w:p>
            <w:pPr>
              <w:spacing w:after="0"/>
              <w:rPr>
                <w:sz w:val="4"/>
                <w:szCs w:val="4"/>
                <w:color w:val="auto"/>
              </w:rPr>
            </w:pPr>
          </w:p>
        </w:tc>
        <w:tc>
          <w:tcPr>
            <w:tcW w:w="120" w:type="dxa"/>
            <w:vAlign w:val="bottom"/>
            <w:tcBorders>
              <w:bottom w:val="single" w:sz="8" w:color="BECD32"/>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Borders>
              <w:bottom w:val="single" w:sz="8" w:color="005A64"/>
            </w:tcBorders>
          </w:tcPr>
          <w:p>
            <w:pPr>
              <w:spacing w:after="0"/>
              <w:rPr>
                <w:sz w:val="4"/>
                <w:szCs w:val="4"/>
                <w:color w:val="auto"/>
              </w:rPr>
            </w:pPr>
          </w:p>
        </w:tc>
        <w:tc>
          <w:tcPr>
            <w:tcW w:w="5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Measurement of Fair Values</w:t>
      </w:r>
    </w:p>
    <w:p>
      <w:pPr>
        <w:spacing w:after="0" w:line="179"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The following table shows the valuation techniques used in measuring fair values for financial instruments in our consolidated statements of financial position, as well as the significant unobservable inputs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15175"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161163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Forward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161163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Non-listed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743585</wp:posOffset>
            </wp:positionV>
            <wp:extent cx="161163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Listed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61163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2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Money market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61163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1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Other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61163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1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Contingent consideration</w:t>
      </w: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Royalty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161163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5A64"/>
        </w:rPr>
        <w:t>Valuation technique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50800</wp:posOffset>
            </wp:positionV>
            <wp:extent cx="305181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32" w:lineRule="exact"/>
        <w:rPr>
          <w:sz w:val="20"/>
          <w:szCs w:val="20"/>
          <w:color w:val="auto"/>
        </w:rPr>
      </w:pPr>
    </w:p>
    <w:p>
      <w:pPr>
        <w:spacing w:after="0" w:line="324" w:lineRule="auto"/>
        <w:rPr>
          <w:sz w:val="20"/>
          <w:szCs w:val="20"/>
          <w:color w:val="auto"/>
        </w:rPr>
      </w:pPr>
      <w:r>
        <w:rPr>
          <w:rFonts w:ascii="Times New Roman" w:cs="Times New Roman" w:eastAsia="Times New Roman" w:hAnsi="Times New Roman"/>
          <w:sz w:val="14"/>
          <w:szCs w:val="14"/>
          <w:color w:val="005A64"/>
        </w:rPr>
        <w:t>Discounted cash flow using par method. Expected future cash flows based on foreign exchange forwards discounted over the respective remaining term of the contracts using the respective deposit interest rates and spot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123190</wp:posOffset>
            </wp:positionV>
            <wp:extent cx="305181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06" w:lineRule="exact"/>
        <w:rPr>
          <w:sz w:val="20"/>
          <w:szCs w:val="20"/>
          <w:color w:val="auto"/>
        </w:rPr>
      </w:pPr>
    </w:p>
    <w:p>
      <w:pPr>
        <w:ind w:right="80"/>
        <w:spacing w:after="0" w:line="342" w:lineRule="auto"/>
        <w:rPr>
          <w:sz w:val="20"/>
          <w:szCs w:val="20"/>
          <w:color w:val="auto"/>
        </w:rPr>
      </w:pPr>
      <w:r>
        <w:rPr>
          <w:rFonts w:ascii="Times New Roman" w:cs="Times New Roman" w:eastAsia="Times New Roman" w:hAnsi="Times New Roman"/>
          <w:sz w:val="14"/>
          <w:szCs w:val="14"/>
          <w:color w:val="005A64"/>
        </w:rPr>
        <w:t>Quantitative and qualitative factors such as actual and forecasted results, cash position and financing round 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554355</wp:posOffset>
            </wp:positionV>
            <wp:extent cx="305181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60"/>
        <w:spacing w:after="0" w:line="342" w:lineRule="auto"/>
        <w:rPr>
          <w:sz w:val="20"/>
          <w:szCs w:val="20"/>
          <w:color w:val="auto"/>
        </w:rPr>
      </w:pPr>
      <w:r>
        <w:rPr>
          <w:rFonts w:ascii="Times New Roman" w:cs="Times New Roman" w:eastAsia="Times New Roman" w:hAnsi="Times New Roman"/>
          <w:sz w:val="14"/>
          <w:szCs w:val="14"/>
          <w:color w:val="005A64"/>
        </w:rPr>
        <w:t>Stock prices of the listed companies and applicable exchange rates, if the listing is in a 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-10795</wp:posOffset>
            </wp:positionV>
            <wp:extent cx="305181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005A64"/>
        </w:rPr>
        <w:t>Quoted prices on an active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92075</wp:posOffset>
            </wp:positionV>
            <wp:extent cx="305181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Quoted prices for OTC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92075</wp:posOffset>
            </wp:positionV>
            <wp:extent cx="305181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57" w:lineRule="exact"/>
        <w:rPr>
          <w:sz w:val="20"/>
          <w:szCs w:val="20"/>
          <w:color w:val="auto"/>
        </w:rPr>
      </w:pPr>
    </w:p>
    <w:p>
      <w:pPr>
        <w:ind w:right="380"/>
        <w:spacing w:after="0" w:line="322" w:lineRule="auto"/>
        <w:rPr>
          <w:sz w:val="20"/>
          <w:szCs w:val="20"/>
          <w:color w:val="auto"/>
        </w:rPr>
      </w:pPr>
      <w:r>
        <w:rPr>
          <w:rFonts w:ascii="Times New Roman" w:cs="Times New Roman" w:eastAsia="Times New Roman" w:hAnsi="Times New Roman"/>
          <w:sz w:val="14"/>
          <w:szCs w:val="14"/>
          <w:color w:val="005A64"/>
        </w:rPr>
        <w:t>Present value of expected future payments and reflecting changes in expected achievement of underlying performance parameters and compounding effects.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Present value of expected future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272415</wp:posOffset>
            </wp:positionV>
            <wp:extent cx="305181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right="1440"/>
        <w:spacing w:after="0" w:line="506" w:lineRule="auto"/>
        <w:rPr>
          <w:sz w:val="20"/>
          <w:szCs w:val="20"/>
          <w:color w:val="auto"/>
        </w:rPr>
      </w:pPr>
      <w:r>
        <w:rPr>
          <w:rFonts w:ascii="Times New Roman" w:cs="Times New Roman" w:eastAsia="Times New Roman" w:hAnsi="Times New Roman"/>
          <w:sz w:val="14"/>
          <w:szCs w:val="14"/>
          <w:b w:val="1"/>
          <w:bCs w:val="1"/>
          <w:color w:val="005A64"/>
        </w:rPr>
        <w:t xml:space="preserve">Significant unobservable inputs </w:t>
      </w:r>
      <w:r>
        <w:rPr>
          <w:rFonts w:ascii="Times New Roman" w:cs="Times New Roman" w:eastAsia="Times New Roman" w:hAnsi="Times New Roman"/>
          <w:sz w:val="14"/>
          <w:szCs w:val="14"/>
          <w:color w:val="005A64"/>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304800</wp:posOffset>
            </wp:positionV>
            <wp:extent cx="222885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22885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-277495</wp:posOffset>
            </wp:positionV>
            <wp:extent cx="222885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BECE33"/>
        </w:rPr>
        <w:t xml:space="preserve">– </w:t>
      </w:r>
      <w:r>
        <w:rPr>
          <w:rFonts w:ascii="Times New Roman" w:cs="Times New Roman" w:eastAsia="Times New Roman" w:hAnsi="Times New Roman"/>
          <w:sz w:val="14"/>
          <w:szCs w:val="14"/>
          <w:color w:val="005A64"/>
        </w:rPr>
        <w:t>Actual and forecasted results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BECE33"/>
        </w:rPr>
        <w:t xml:space="preserve">– </w:t>
      </w:r>
      <w:r>
        <w:rPr>
          <w:rFonts w:ascii="Times New Roman" w:cs="Times New Roman" w:eastAsia="Times New Roman" w:hAnsi="Times New Roman"/>
          <w:sz w:val="14"/>
          <w:szCs w:val="14"/>
          <w:color w:val="005A64"/>
        </w:rPr>
        <w:t>Net asset value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BECE33"/>
        </w:rPr>
        <w:t xml:space="preserve">– </w:t>
      </w:r>
      <w:r>
        <w:rPr>
          <w:rFonts w:ascii="Times New Roman" w:cs="Times New Roman" w:eastAsia="Times New Roman" w:hAnsi="Times New Roman"/>
          <w:sz w:val="14"/>
          <w:szCs w:val="14"/>
          <w:color w:val="005A64"/>
        </w:rPr>
        <w:t>Cash position</w:t>
      </w:r>
    </w:p>
    <w:p>
      <w:pPr>
        <w:spacing w:after="0" w:line="122" w:lineRule="exact"/>
        <w:rPr>
          <w:sz w:val="20"/>
          <w:szCs w:val="20"/>
          <w:color w:val="auto"/>
        </w:rPr>
      </w:pPr>
    </w:p>
    <w:p>
      <w:pPr>
        <w:ind w:left="120" w:right="340" w:hanging="128"/>
        <w:spacing w:after="0" w:line="291" w:lineRule="auto"/>
        <w:rPr>
          <w:sz w:val="20"/>
          <w:szCs w:val="20"/>
          <w:color w:val="auto"/>
        </w:rPr>
      </w:pPr>
      <w:r>
        <w:rPr>
          <w:rFonts w:ascii="Times New Roman" w:cs="Times New Roman" w:eastAsia="Times New Roman" w:hAnsi="Times New Roman"/>
          <w:sz w:val="14"/>
          <w:szCs w:val="14"/>
          <w:color w:val="BECE33"/>
        </w:rPr>
        <w:t xml:space="preserve">– </w:t>
      </w:r>
      <w:r>
        <w:rPr>
          <w:rFonts w:ascii="Times New Roman" w:cs="Times New Roman" w:eastAsia="Times New Roman" w:hAnsi="Times New Roman"/>
          <w:sz w:val="14"/>
          <w:szCs w:val="14"/>
          <w:color w:val="005A64"/>
        </w:rPr>
        <w:t>Nature and pricing indication of latest financing</w:t>
      </w:r>
      <w:r>
        <w:rPr>
          <w:rFonts w:ascii="Times New Roman" w:cs="Times New Roman" w:eastAsia="Times New Roman" w:hAnsi="Times New Roman"/>
          <w:sz w:val="14"/>
          <w:szCs w:val="14"/>
          <w:color w:val="BECE33"/>
        </w:rPr>
        <w:t xml:space="preserve"> </w:t>
      </w:r>
      <w:r>
        <w:rPr>
          <w:rFonts w:ascii="Times New Roman" w:cs="Times New Roman" w:eastAsia="Times New Roman" w:hAnsi="Times New Roman"/>
          <w:sz w:val="14"/>
          <w:szCs w:val="14"/>
          <w:color w:val="005A64"/>
        </w:rPr>
        <w:t>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199390</wp:posOffset>
            </wp:positionV>
            <wp:extent cx="222885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177800</wp:posOffset>
            </wp:positionV>
            <wp:extent cx="222885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222885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222885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BECE33"/>
        </w:rPr>
        <w:t xml:space="preserve">– </w:t>
      </w:r>
      <w:r>
        <w:rPr>
          <w:rFonts w:ascii="Times New Roman" w:cs="Times New Roman" w:eastAsia="Times New Roman" w:hAnsi="Times New Roman"/>
          <w:sz w:val="14"/>
          <w:szCs w:val="14"/>
          <w:color w:val="005A64"/>
        </w:rPr>
        <w:t>Expected future payments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BECE33"/>
        </w:rPr>
        <w:t xml:space="preserve">– </w:t>
      </w:r>
      <w:r>
        <w:rPr>
          <w:rFonts w:ascii="Times New Roman" w:cs="Times New Roman" w:eastAsia="Times New Roman" w:hAnsi="Times New Roman"/>
          <w:sz w:val="14"/>
          <w:szCs w:val="14"/>
          <w:color w:val="005A64"/>
        </w:rPr>
        <w:t>Applied cost of capital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BECE33"/>
        </w:rPr>
        <w:t xml:space="preserve">– </w:t>
      </w:r>
      <w:r>
        <w:rPr>
          <w:rFonts w:ascii="Times New Roman" w:cs="Times New Roman" w:eastAsia="Times New Roman" w:hAnsi="Times New Roman"/>
          <w:sz w:val="14"/>
          <w:szCs w:val="14"/>
          <w:color w:val="005A64"/>
        </w:rPr>
        <w:t>Expected future cash flows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BECE33"/>
        </w:rPr>
        <w:t xml:space="preserve">– </w:t>
      </w:r>
      <w:r>
        <w:rPr>
          <w:rFonts w:ascii="Times New Roman" w:cs="Times New Roman" w:eastAsia="Times New Roman" w:hAnsi="Times New Roman"/>
          <w:sz w:val="14"/>
          <w:szCs w:val="14"/>
          <w:color w:val="005A64"/>
        </w:rPr>
        <w:t>Applied cost of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100965</wp:posOffset>
            </wp:positionV>
            <wp:extent cx="222885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020" w:space="720"/>
            <w:col w:w="4680" w:space="300"/>
            <w:col w:w="3520"/>
          </w:cols>
          <w:pgMar w:left="320" w:top="388" w:right="339" w:bottom="1440" w:gutter="0" w:footer="0" w:header="0"/>
          <w:type w:val="continuous"/>
        </w:sect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Recurring Fair Values (Level 3)</w:t>
      </w:r>
    </w:p>
    <w:p>
      <w:pPr>
        <w:spacing w:after="0" w:line="165" w:lineRule="exact"/>
        <w:rPr>
          <w:sz w:val="20"/>
          <w:szCs w:val="20"/>
          <w:color w:val="auto"/>
        </w:rPr>
      </w:pPr>
    </w:p>
    <w:p>
      <w:pPr>
        <w:spacing w:after="0" w:line="344" w:lineRule="auto"/>
        <w:rPr>
          <w:sz w:val="20"/>
          <w:szCs w:val="20"/>
          <w:color w:val="auto"/>
        </w:rPr>
      </w:pPr>
      <w:r>
        <w:rPr>
          <w:rFonts w:ascii="Times New Roman" w:cs="Times New Roman" w:eastAsia="Times New Roman" w:hAnsi="Times New Roman"/>
          <w:sz w:val="18"/>
          <w:szCs w:val="18"/>
          <w:color w:val="080509"/>
        </w:rPr>
        <w:t>The following table shows the recurring fair value measurement of contingent consideration and royalty assets included in other financial assets subsequently measured at fair value through profit or</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w:t>
            </w:r>
          </w:p>
        </w:tc>
      </w:tr>
    </w:tbl>
    <w:p>
      <w:pPr>
        <w:sectPr>
          <w:pgSz w:w="11900" w:h="16838" w:orient="portrait"/>
          <w:cols w:equalWidth="0" w:num="1">
            <w:col w:w="11240"/>
          </w:cols>
          <w:pgMar w:left="320" w:top="388" w:right="339" w:bottom="1440" w:gutter="0" w:footer="0" w:header="0"/>
          <w:type w:val="continuous"/>
        </w:sectPr>
      </w:pPr>
    </w:p>
    <w:bookmarkStart w:id="24" w:name="page25"/>
    <w:bookmarkEnd w:id="2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3C9673"/>
        </w:rPr>
        <w:drawing>
          <wp:anchor simplePos="0" relativeHeight="251657728" behindDoc="1" locked="0" layoutInCell="0" allowOverlap="1">
            <wp:simplePos x="0" y="0"/>
            <wp:positionH relativeFrom="page">
              <wp:posOffset>2016760</wp:posOffset>
            </wp:positionH>
            <wp:positionV relativeFrom="page">
              <wp:posOffset>106045</wp:posOffset>
            </wp:positionV>
            <wp:extent cx="222885" cy="6858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C3C3C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20320</wp:posOffset>
            </wp:positionV>
            <wp:extent cx="222885" cy="6858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080509"/>
        </w:rPr>
        <w:t>loss as well as the effect of the measurements on our unaudited interim condensed consolidated statements of profit or loss for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6934835"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934835" cy="17145"/>
                    </a:xfrm>
                    <a:prstGeom prst="rect">
                      <a:avLst/>
                    </a:prstGeom>
                    <a:noFill/>
                  </pic:spPr>
                </pic:pic>
              </a:graphicData>
            </a:graphic>
          </wp:anchor>
        </w:drawing>
      </w:r>
    </w:p>
    <w:p>
      <w:pPr>
        <w:sectPr>
          <w:pgSz w:w="11900" w:h="16838" w:orient="portrait"/>
          <w:cols w:equalWidth="0" w:num="1">
            <w:col w:w="11220"/>
          </w:cols>
          <w:pgMar w:left="320" w:top="38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329184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As of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329184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329184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3C9673"/>
        </w:rPr>
        <w:t>Net effect on profit or loss - Other operating income /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329184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Net 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329184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3C9673"/>
        </w:rPr>
        <w:t>Net effect on profit or loss - Finance income /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329184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Net 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329184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As of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329184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2918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50800</wp:posOffset>
            </wp:positionV>
            <wp:extent cx="329184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ind w:right="420"/>
        <w:spacing w:after="0"/>
        <w:rPr>
          <w:sz w:val="20"/>
          <w:szCs w:val="20"/>
          <w:color w:val="auto"/>
        </w:rPr>
      </w:pPr>
      <w:r>
        <w:rPr>
          <w:rFonts w:ascii="Times New Roman" w:cs="Times New Roman" w:eastAsia="Times New Roman" w:hAnsi="Times New Roman"/>
          <w:sz w:val="14"/>
          <w:szCs w:val="14"/>
          <w:b w:val="1"/>
          <w:bCs w:val="1"/>
          <w:color w:val="005A64"/>
        </w:rPr>
        <w:t>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50800</wp:posOffset>
            </wp:positionV>
            <wp:extent cx="149987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89" w:lineRule="exact"/>
        <w:rPr>
          <w:sz w:val="20"/>
          <w:szCs w:val="20"/>
          <w:color w:val="auto"/>
        </w:rPr>
      </w:pPr>
    </w:p>
    <w:p>
      <w:pPr>
        <w:jc w:val="right"/>
        <w:ind w:right="420"/>
        <w:spacing w:after="0"/>
        <w:rPr>
          <w:sz w:val="20"/>
          <w:szCs w:val="20"/>
          <w:color w:val="auto"/>
        </w:rPr>
      </w:pPr>
      <w:r>
        <w:rPr>
          <w:rFonts w:ascii="Times New Roman" w:cs="Times New Roman" w:eastAsia="Times New Roman" w:hAnsi="Times New Roman"/>
          <w:sz w:val="14"/>
          <w:szCs w:val="14"/>
          <w:b w:val="1"/>
          <w:bCs w:val="1"/>
          <w:color w:val="005A64"/>
        </w:rPr>
        <w:t>Other 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50800</wp:posOffset>
            </wp:positionV>
            <wp:extent cx="149987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89" w:lineRule="exact"/>
        <w:rPr>
          <w:sz w:val="20"/>
          <w:szCs w:val="20"/>
          <w:color w:val="auto"/>
        </w:rPr>
      </w:pPr>
    </w:p>
    <w:p>
      <w:pPr>
        <w:jc w:val="right"/>
        <w:ind w:right="420"/>
        <w:spacing w:after="0"/>
        <w:rPr>
          <w:sz w:val="20"/>
          <w:szCs w:val="20"/>
          <w:color w:val="auto"/>
        </w:rPr>
      </w:pPr>
      <w:r>
        <w:rPr>
          <w:rFonts w:ascii="Times New Roman" w:cs="Times New Roman" w:eastAsia="Times New Roman" w:hAnsi="Times New Roman"/>
          <w:sz w:val="14"/>
          <w:szCs w:val="14"/>
          <w:b w:val="1"/>
          <w:bCs w:val="1"/>
          <w:color w:val="005A64"/>
        </w:rPr>
        <w:t>39.6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50800</wp:posOffset>
            </wp:positionV>
            <wp:extent cx="149987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91" w:lineRule="exact"/>
        <w:rPr>
          <w:sz w:val="20"/>
          <w:szCs w:val="20"/>
          <w:color w:val="auto"/>
        </w:rPr>
      </w:pPr>
    </w:p>
    <w:p>
      <w:pPr>
        <w:jc w:val="right"/>
        <w:ind w:right="420"/>
        <w:spacing w:after="0"/>
        <w:rPr>
          <w:sz w:val="20"/>
          <w:szCs w:val="20"/>
          <w:color w:val="auto"/>
        </w:rPr>
      </w:pPr>
      <w:r>
        <w:rPr>
          <w:rFonts w:ascii="Times New Roman" w:cs="Times New Roman" w:eastAsia="Times New Roman" w:hAnsi="Times New Roman"/>
          <w:sz w:val="14"/>
          <w:szCs w:val="14"/>
          <w:color w:val="005A6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203835</wp:posOffset>
            </wp:positionV>
            <wp:extent cx="149987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499870" cy="8255"/>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49530</wp:posOffset>
            </wp:positionV>
            <wp:extent cx="149987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332" w:lineRule="exact"/>
        <w:rPr>
          <w:sz w:val="20"/>
          <w:szCs w:val="20"/>
          <w:color w:val="auto"/>
        </w:rPr>
      </w:pPr>
    </w:p>
    <w:p>
      <w:pPr>
        <w:jc w:val="right"/>
        <w:ind w:right="420"/>
        <w:spacing w:after="0"/>
        <w:rPr>
          <w:sz w:val="20"/>
          <w:szCs w:val="20"/>
          <w:color w:val="auto"/>
        </w:rPr>
      </w:pPr>
      <w:r>
        <w:rPr>
          <w:rFonts w:ascii="Times New Roman" w:cs="Times New Roman" w:eastAsia="Times New Roman" w:hAnsi="Times New Roman"/>
          <w:sz w:val="14"/>
          <w:szCs w:val="14"/>
          <w:color w:val="005A6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203835</wp:posOffset>
            </wp:positionV>
            <wp:extent cx="149987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499870" cy="8255"/>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49530</wp:posOffset>
            </wp:positionV>
            <wp:extent cx="149987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332" w:lineRule="exact"/>
        <w:rPr>
          <w:sz w:val="20"/>
          <w:szCs w:val="20"/>
          <w:color w:val="auto"/>
        </w:rPr>
      </w:pPr>
    </w:p>
    <w:p>
      <w:pPr>
        <w:jc w:val="right"/>
        <w:ind w:right="420"/>
        <w:spacing w:after="0"/>
        <w:rPr>
          <w:sz w:val="20"/>
          <w:szCs w:val="20"/>
          <w:color w:val="auto"/>
        </w:rPr>
      </w:pPr>
      <w:r>
        <w:rPr>
          <w:rFonts w:ascii="Times New Roman" w:cs="Times New Roman" w:eastAsia="Times New Roman" w:hAnsi="Times New Roman"/>
          <w:sz w:val="14"/>
          <w:szCs w:val="14"/>
          <w:color w:val="005A64"/>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49530</wp:posOffset>
            </wp:positionV>
            <wp:extent cx="149987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87" w:lineRule="exact"/>
        <w:rPr>
          <w:sz w:val="20"/>
          <w:szCs w:val="20"/>
          <w:color w:val="auto"/>
        </w:rPr>
      </w:pPr>
    </w:p>
    <w:p>
      <w:pPr>
        <w:jc w:val="right"/>
        <w:ind w:right="420"/>
        <w:spacing w:after="0"/>
        <w:rPr>
          <w:sz w:val="20"/>
          <w:szCs w:val="20"/>
          <w:color w:val="auto"/>
        </w:rPr>
      </w:pPr>
      <w:r>
        <w:rPr>
          <w:rFonts w:ascii="Times New Roman" w:cs="Times New Roman" w:eastAsia="Times New Roman" w:hAnsi="Times New Roman"/>
          <w:sz w:val="14"/>
          <w:szCs w:val="14"/>
          <w:b w:val="1"/>
          <w:bCs w:val="1"/>
          <w:color w:val="005A64"/>
        </w:rPr>
        <w:t>38.0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50800</wp:posOffset>
            </wp:positionV>
            <wp:extent cx="149987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4"/>
          <w:szCs w:val="14"/>
          <w:b w:val="1"/>
          <w:bCs w:val="1"/>
          <w:color w:val="005A64"/>
        </w:rPr>
        <w:t>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50800</wp:posOffset>
            </wp:positionV>
            <wp:extent cx="151701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89"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4"/>
          <w:szCs w:val="14"/>
          <w:b w:val="1"/>
          <w:bCs w:val="1"/>
          <w:color w:val="005A64"/>
        </w:rPr>
        <w:t>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50800</wp:posOffset>
            </wp:positionV>
            <wp:extent cx="151701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89"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4"/>
          <w:szCs w:val="14"/>
          <w:b w:val="1"/>
          <w:bCs w:val="1"/>
          <w:color w:val="005A64"/>
        </w:rPr>
        <w:t>(47.8)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50800</wp:posOffset>
            </wp:positionV>
            <wp:extent cx="151701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91"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4"/>
          <w:szCs w:val="14"/>
          <w:color w:val="005A64"/>
        </w:rPr>
        <w:t>(79.6)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203835</wp:posOffset>
            </wp:positionV>
            <wp:extent cx="151701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51701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wp:posOffset>
            </wp:positionH>
            <wp:positionV relativeFrom="paragraph">
              <wp:posOffset>49530</wp:posOffset>
            </wp:positionV>
            <wp:extent cx="151701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32"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4"/>
          <w:szCs w:val="14"/>
          <w:color w:val="005A64"/>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203835</wp:posOffset>
            </wp:positionV>
            <wp:extent cx="151701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51701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wp:posOffset>
            </wp:positionH>
            <wp:positionV relativeFrom="paragraph">
              <wp:posOffset>49530</wp:posOffset>
            </wp:positionV>
            <wp:extent cx="151701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32"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4"/>
          <w:szCs w:val="14"/>
          <w:color w:val="005A64"/>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49530</wp:posOffset>
            </wp:positionV>
            <wp:extent cx="151701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87"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4"/>
          <w:szCs w:val="14"/>
          <w:b w:val="1"/>
          <w:bCs w:val="1"/>
          <w:color w:val="005A64"/>
        </w:rPr>
        <w:t>(132.6)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50800</wp:posOffset>
            </wp:positionV>
            <wp:extent cx="151701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5980" w:space="720"/>
            <w:col w:w="1840" w:space="720"/>
            <w:col w:w="1960"/>
          </w:cols>
          <w:pgMar w:left="320" w:top="388" w:right="359" w:bottom="1440" w:gutter="0" w:footer="0" w:header="0"/>
          <w:type w:val="continuous"/>
        </w:sectPr>
      </w:pP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As of January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329184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3C9673"/>
        </w:rPr>
        <w:t>Net effect on profit or loss - Other operating income /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329184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Net 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329184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3C9673"/>
        </w:rPr>
        <w:t>Net effect on profit or loss - Finance income /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329184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Net 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329184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329184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20"/>
        </w:trPr>
        <w:tc>
          <w:tcPr>
            <w:tcW w:w="2660" w:type="dxa"/>
            <w:vAlign w:val="bottom"/>
            <w:tcBorders>
              <w:top w:val="single" w:sz="8" w:color="BECE33"/>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46.6</w:t>
            </w:r>
          </w:p>
        </w:tc>
        <w:tc>
          <w:tcPr>
            <w:tcW w:w="400" w:type="dxa"/>
            <w:vAlign w:val="bottom"/>
            <w:tcBorders>
              <w:top w:val="single" w:sz="8" w:color="BECE33"/>
            </w:tcBorders>
          </w:tcPr>
          <w:p>
            <w:pPr>
              <w:spacing w:after="0"/>
              <w:rPr>
                <w:sz w:val="19"/>
                <w:szCs w:val="19"/>
                <w:color w:val="auto"/>
              </w:rPr>
            </w:pPr>
          </w:p>
        </w:tc>
        <w:tc>
          <w:tcPr>
            <w:tcW w:w="2380" w:type="dxa"/>
            <w:vAlign w:val="bottom"/>
            <w:tcBorders>
              <w:top w:val="single" w:sz="8" w:color="BECE33"/>
            </w:tcBorders>
          </w:tcPr>
          <w:p>
            <w:pPr>
              <w:jc w:val="right"/>
              <w:spacing w:after="0"/>
              <w:rPr>
                <w:sz w:val="20"/>
                <w:szCs w:val="20"/>
                <w:color w:val="auto"/>
              </w:rPr>
            </w:pPr>
            <w:r>
              <w:rPr>
                <w:rFonts w:ascii="Times New Roman" w:cs="Times New Roman" w:eastAsia="Times New Roman" w:hAnsi="Times New Roman"/>
                <w:sz w:val="14"/>
                <w:szCs w:val="14"/>
                <w:b w:val="1"/>
                <w:bCs w:val="1"/>
                <w:color w:val="005A64"/>
              </w:rPr>
              <w:t>(120.6)</w:t>
            </w:r>
          </w:p>
        </w:tc>
        <w:tc>
          <w:tcPr>
            <w:tcW w:w="320" w:type="dxa"/>
            <w:vAlign w:val="bottom"/>
            <w:tcBorders>
              <w:top w:val="single" w:sz="8" w:color="BECE33"/>
              <w:right w:val="single" w:sz="8" w:color="BECE33"/>
            </w:tcBorders>
          </w:tcPr>
          <w:p>
            <w:pPr>
              <w:spacing w:after="0"/>
              <w:rPr>
                <w:sz w:val="19"/>
                <w:szCs w:val="19"/>
                <w:color w:val="auto"/>
              </w:rPr>
            </w:pPr>
          </w:p>
        </w:tc>
      </w:tr>
      <w:tr>
        <w:trPr>
          <w:trHeight w:val="50"/>
        </w:trPr>
        <w:tc>
          <w:tcPr>
            <w:tcW w:w="300" w:type="dxa"/>
            <w:vAlign w:val="bottom"/>
            <w:tcBorders>
              <w:left w:val="single" w:sz="8" w:color="BECE33"/>
            </w:tcBorders>
          </w:tcPr>
          <w:p>
            <w:pPr>
              <w:spacing w:after="0"/>
              <w:rPr>
                <w:sz w:val="4"/>
                <w:szCs w:val="4"/>
                <w:color w:val="auto"/>
              </w:rPr>
            </w:pPr>
          </w:p>
        </w:tc>
        <w:tc>
          <w:tcPr>
            <w:tcW w:w="2360" w:type="dxa"/>
            <w:vAlign w:val="bottom"/>
            <w:tcBorders>
              <w:bottom w:val="single" w:sz="8" w:color="A8C7CA"/>
            </w:tcBorders>
          </w:tcPr>
          <w:p>
            <w:pPr>
              <w:spacing w:after="0"/>
              <w:rPr>
                <w:sz w:val="4"/>
                <w:szCs w:val="4"/>
                <w:color w:val="auto"/>
              </w:rPr>
            </w:pPr>
          </w:p>
        </w:tc>
        <w:tc>
          <w:tcPr>
            <w:tcW w:w="400" w:type="dxa"/>
            <w:vAlign w:val="bottom"/>
          </w:tcPr>
          <w:p>
            <w:pPr>
              <w:spacing w:after="0"/>
              <w:rPr>
                <w:sz w:val="4"/>
                <w:szCs w:val="4"/>
                <w:color w:val="auto"/>
              </w:rPr>
            </w:pPr>
          </w:p>
        </w:tc>
        <w:tc>
          <w:tcPr>
            <w:tcW w:w="2380" w:type="dxa"/>
            <w:vAlign w:val="bottom"/>
            <w:tcBorders>
              <w:bottom w:val="single" w:sz="8" w:color="A8C7CA"/>
            </w:tcBorders>
          </w:tcPr>
          <w:p>
            <w:pPr>
              <w:spacing w:after="0"/>
              <w:rPr>
                <w:sz w:val="4"/>
                <w:szCs w:val="4"/>
                <w:color w:val="auto"/>
              </w:rPr>
            </w:pPr>
          </w:p>
        </w:tc>
        <w:tc>
          <w:tcPr>
            <w:tcW w:w="320" w:type="dxa"/>
            <w:vAlign w:val="bottom"/>
            <w:tcBorders>
              <w:right w:val="single" w:sz="8" w:color="BECE33"/>
            </w:tcBorders>
          </w:tcPr>
          <w:p>
            <w:pPr>
              <w:spacing w:after="0"/>
              <w:rPr>
                <w:sz w:val="4"/>
                <w:szCs w:val="4"/>
                <w:color w:val="auto"/>
              </w:rPr>
            </w:pPr>
          </w:p>
        </w:tc>
      </w:tr>
      <w:tr>
        <w:trPr>
          <w:trHeight w:val="223"/>
        </w:trPr>
        <w:tc>
          <w:tcPr>
            <w:tcW w:w="300" w:type="dxa"/>
            <w:vAlign w:val="bottom"/>
            <w:tcBorders>
              <w:left w:val="single" w:sz="8" w:color="BECE33"/>
            </w:tcBorders>
          </w:tcPr>
          <w:p>
            <w:pPr>
              <w:spacing w:after="0"/>
              <w:rPr>
                <w:sz w:val="19"/>
                <w:szCs w:val="19"/>
                <w:color w:val="auto"/>
              </w:rPr>
            </w:pPr>
          </w:p>
        </w:tc>
        <w:tc>
          <w:tcPr>
            <w:tcW w:w="2360" w:type="dxa"/>
            <w:vAlign w:val="bottom"/>
            <w:tcBorders>
              <w:bottom w:val="single" w:sz="8" w:color="A8C7CA"/>
            </w:tcBorders>
          </w:tcPr>
          <w:p>
            <w:pPr>
              <w:spacing w:after="0"/>
              <w:rPr>
                <w:sz w:val="19"/>
                <w:szCs w:val="19"/>
                <w:color w:val="auto"/>
              </w:rPr>
            </w:pPr>
          </w:p>
        </w:tc>
        <w:tc>
          <w:tcPr>
            <w:tcW w:w="400" w:type="dxa"/>
            <w:vAlign w:val="bottom"/>
          </w:tcPr>
          <w:p>
            <w:pPr>
              <w:spacing w:after="0"/>
              <w:rPr>
                <w:sz w:val="19"/>
                <w:szCs w:val="19"/>
                <w:color w:val="auto"/>
              </w:rPr>
            </w:pPr>
          </w:p>
        </w:tc>
        <w:tc>
          <w:tcPr>
            <w:tcW w:w="2380" w:type="dxa"/>
            <w:vAlign w:val="bottom"/>
            <w:tcBorders>
              <w:bottom w:val="single" w:sz="8" w:color="A8C7CA"/>
            </w:tcBorders>
          </w:tcPr>
          <w:p>
            <w:pPr>
              <w:spacing w:after="0"/>
              <w:rPr>
                <w:sz w:val="19"/>
                <w:szCs w:val="19"/>
                <w:color w:val="auto"/>
              </w:rPr>
            </w:pPr>
          </w:p>
        </w:tc>
        <w:tc>
          <w:tcPr>
            <w:tcW w:w="320" w:type="dxa"/>
            <w:vAlign w:val="bottom"/>
            <w:tcBorders>
              <w:right w:val="single" w:sz="8" w:color="BECE33"/>
            </w:tcBorders>
          </w:tcPr>
          <w:p>
            <w:pPr>
              <w:spacing w:after="0"/>
              <w:rPr>
                <w:sz w:val="19"/>
                <w:szCs w:val="19"/>
                <w:color w:val="auto"/>
              </w:rPr>
            </w:pPr>
          </w:p>
        </w:tc>
      </w:tr>
      <w:tr>
        <w:trPr>
          <w:trHeight w:val="199"/>
        </w:trPr>
        <w:tc>
          <w:tcPr>
            <w:tcW w:w="300" w:type="dxa"/>
            <w:vAlign w:val="bottom"/>
            <w:tcBorders>
              <w:left w:val="single" w:sz="8" w:color="BECE33"/>
            </w:tcBorders>
          </w:tcPr>
          <w:p>
            <w:pPr>
              <w:spacing w:after="0"/>
              <w:rPr>
                <w:sz w:val="17"/>
                <w:szCs w:val="17"/>
                <w:color w:val="auto"/>
              </w:rPr>
            </w:pPr>
          </w:p>
        </w:tc>
        <w:tc>
          <w:tcPr>
            <w:tcW w:w="27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005A64"/>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4.4</w:t>
            </w:r>
          </w:p>
        </w:tc>
        <w:tc>
          <w:tcPr>
            <w:tcW w:w="320" w:type="dxa"/>
            <w:vAlign w:val="bottom"/>
            <w:tcBorders>
              <w:right w:val="single" w:sz="8" w:color="BECE33"/>
            </w:tcBorders>
          </w:tcPr>
          <w:p>
            <w:pPr>
              <w:spacing w:after="0"/>
              <w:rPr>
                <w:sz w:val="17"/>
                <w:szCs w:val="17"/>
                <w:color w:val="auto"/>
              </w:rPr>
            </w:pPr>
          </w:p>
        </w:tc>
      </w:tr>
      <w:tr>
        <w:trPr>
          <w:trHeight w:val="50"/>
        </w:trPr>
        <w:tc>
          <w:tcPr>
            <w:tcW w:w="2660" w:type="dxa"/>
            <w:vAlign w:val="bottom"/>
            <w:tcBorders>
              <w:left w:val="single" w:sz="8" w:color="BECE33"/>
            </w:tcBorders>
            <w:gridSpan w:val="2"/>
          </w:tcPr>
          <w:p>
            <w:pPr>
              <w:spacing w:after="0"/>
              <w:rPr>
                <w:sz w:val="4"/>
                <w:szCs w:val="4"/>
                <w:color w:val="auto"/>
              </w:rPr>
            </w:pPr>
          </w:p>
        </w:tc>
        <w:tc>
          <w:tcPr>
            <w:tcW w:w="400" w:type="dxa"/>
            <w:vAlign w:val="bottom"/>
          </w:tcPr>
          <w:p>
            <w:pPr>
              <w:spacing w:after="0"/>
              <w:rPr>
                <w:sz w:val="4"/>
                <w:szCs w:val="4"/>
                <w:color w:val="auto"/>
              </w:rPr>
            </w:pPr>
          </w:p>
        </w:tc>
        <w:tc>
          <w:tcPr>
            <w:tcW w:w="2380" w:type="dxa"/>
            <w:vAlign w:val="bottom"/>
          </w:tcPr>
          <w:p>
            <w:pPr>
              <w:spacing w:after="0"/>
              <w:rPr>
                <w:sz w:val="4"/>
                <w:szCs w:val="4"/>
                <w:color w:val="auto"/>
              </w:rPr>
            </w:pPr>
          </w:p>
        </w:tc>
        <w:tc>
          <w:tcPr>
            <w:tcW w:w="320" w:type="dxa"/>
            <w:vAlign w:val="bottom"/>
            <w:tcBorders>
              <w:right w:val="single" w:sz="8" w:color="BECE33"/>
            </w:tcBorders>
          </w:tcPr>
          <w:p>
            <w:pPr>
              <w:spacing w:after="0"/>
              <w:rPr>
                <w:sz w:val="4"/>
                <w:szCs w:val="4"/>
                <w:color w:val="auto"/>
              </w:rPr>
            </w:pPr>
          </w:p>
        </w:tc>
      </w:tr>
      <w:tr>
        <w:trPr>
          <w:trHeight w:val="223"/>
        </w:trPr>
        <w:tc>
          <w:tcPr>
            <w:tcW w:w="300" w:type="dxa"/>
            <w:vAlign w:val="bottom"/>
            <w:tcBorders>
              <w:left w:val="single" w:sz="8" w:color="BECE33"/>
            </w:tcBorders>
          </w:tcPr>
          <w:p>
            <w:pPr>
              <w:spacing w:after="0"/>
              <w:rPr>
                <w:sz w:val="19"/>
                <w:szCs w:val="19"/>
                <w:color w:val="auto"/>
              </w:rPr>
            </w:pPr>
          </w:p>
        </w:tc>
        <w:tc>
          <w:tcPr>
            <w:tcW w:w="2360" w:type="dxa"/>
            <w:vAlign w:val="bottom"/>
            <w:tcBorders>
              <w:top w:val="single" w:sz="8" w:color="A8C7CA"/>
              <w:bottom w:val="single" w:sz="8" w:color="A8C7CA"/>
            </w:tcBorders>
          </w:tcPr>
          <w:p>
            <w:pPr>
              <w:spacing w:after="0"/>
              <w:rPr>
                <w:sz w:val="19"/>
                <w:szCs w:val="19"/>
                <w:color w:val="auto"/>
              </w:rPr>
            </w:pPr>
          </w:p>
        </w:tc>
        <w:tc>
          <w:tcPr>
            <w:tcW w:w="400" w:type="dxa"/>
            <w:vAlign w:val="bottom"/>
          </w:tcPr>
          <w:p>
            <w:pPr>
              <w:spacing w:after="0"/>
              <w:rPr>
                <w:sz w:val="19"/>
                <w:szCs w:val="19"/>
                <w:color w:val="auto"/>
              </w:rPr>
            </w:pPr>
          </w:p>
        </w:tc>
        <w:tc>
          <w:tcPr>
            <w:tcW w:w="2380" w:type="dxa"/>
            <w:vAlign w:val="bottom"/>
            <w:tcBorders>
              <w:top w:val="single" w:sz="8" w:color="A8C7CA"/>
              <w:bottom w:val="single" w:sz="8" w:color="A8C7CA"/>
            </w:tcBorders>
          </w:tcPr>
          <w:p>
            <w:pPr>
              <w:spacing w:after="0"/>
              <w:rPr>
                <w:sz w:val="19"/>
                <w:szCs w:val="19"/>
                <w:color w:val="auto"/>
              </w:rPr>
            </w:pPr>
          </w:p>
        </w:tc>
        <w:tc>
          <w:tcPr>
            <w:tcW w:w="320" w:type="dxa"/>
            <w:vAlign w:val="bottom"/>
            <w:tcBorders>
              <w:right w:val="single" w:sz="8" w:color="BECE33"/>
            </w:tcBorders>
          </w:tcPr>
          <w:p>
            <w:pPr>
              <w:spacing w:after="0"/>
              <w:rPr>
                <w:sz w:val="19"/>
                <w:szCs w:val="19"/>
                <w:color w:val="auto"/>
              </w:rPr>
            </w:pPr>
          </w:p>
        </w:tc>
      </w:tr>
      <w:tr>
        <w:trPr>
          <w:trHeight w:val="200"/>
        </w:trPr>
        <w:tc>
          <w:tcPr>
            <w:tcW w:w="266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18.9</w:t>
            </w:r>
          </w:p>
        </w:tc>
        <w:tc>
          <w:tcPr>
            <w:tcW w:w="400" w:type="dxa"/>
            <w:vAlign w:val="bottom"/>
          </w:tcPr>
          <w:p>
            <w:pPr>
              <w:spacing w:after="0"/>
              <w:rPr>
                <w:sz w:val="17"/>
                <w:szCs w:val="17"/>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(2.6)</w:t>
            </w:r>
          </w:p>
        </w:tc>
        <w:tc>
          <w:tcPr>
            <w:tcW w:w="320" w:type="dxa"/>
            <w:vAlign w:val="bottom"/>
            <w:tcBorders>
              <w:right w:val="single" w:sz="8" w:color="BECE33"/>
            </w:tcBorders>
          </w:tcPr>
          <w:p>
            <w:pPr>
              <w:spacing w:after="0"/>
              <w:rPr>
                <w:sz w:val="17"/>
                <w:szCs w:val="17"/>
                <w:color w:val="auto"/>
              </w:rPr>
            </w:pPr>
          </w:p>
        </w:tc>
      </w:tr>
      <w:tr>
        <w:trPr>
          <w:trHeight w:val="50"/>
        </w:trPr>
        <w:tc>
          <w:tcPr>
            <w:tcW w:w="300" w:type="dxa"/>
            <w:vAlign w:val="bottom"/>
            <w:tcBorders>
              <w:left w:val="single" w:sz="8" w:color="BECE33"/>
            </w:tcBorders>
          </w:tcPr>
          <w:p>
            <w:pPr>
              <w:spacing w:after="0"/>
              <w:rPr>
                <w:sz w:val="4"/>
                <w:szCs w:val="4"/>
                <w:color w:val="auto"/>
              </w:rPr>
            </w:pPr>
          </w:p>
        </w:tc>
        <w:tc>
          <w:tcPr>
            <w:tcW w:w="2360" w:type="dxa"/>
            <w:vAlign w:val="bottom"/>
            <w:tcBorders>
              <w:bottom w:val="single" w:sz="8" w:color="A8C7CA"/>
            </w:tcBorders>
          </w:tcPr>
          <w:p>
            <w:pPr>
              <w:spacing w:after="0"/>
              <w:rPr>
                <w:sz w:val="4"/>
                <w:szCs w:val="4"/>
                <w:color w:val="auto"/>
              </w:rPr>
            </w:pPr>
          </w:p>
        </w:tc>
        <w:tc>
          <w:tcPr>
            <w:tcW w:w="400" w:type="dxa"/>
            <w:vAlign w:val="bottom"/>
          </w:tcPr>
          <w:p>
            <w:pPr>
              <w:spacing w:after="0"/>
              <w:rPr>
                <w:sz w:val="4"/>
                <w:szCs w:val="4"/>
                <w:color w:val="auto"/>
              </w:rPr>
            </w:pPr>
          </w:p>
        </w:tc>
        <w:tc>
          <w:tcPr>
            <w:tcW w:w="2380" w:type="dxa"/>
            <w:vAlign w:val="bottom"/>
            <w:tcBorders>
              <w:bottom w:val="single" w:sz="8" w:color="A8C7CA"/>
            </w:tcBorders>
          </w:tcPr>
          <w:p>
            <w:pPr>
              <w:spacing w:after="0"/>
              <w:rPr>
                <w:sz w:val="4"/>
                <w:szCs w:val="4"/>
                <w:color w:val="auto"/>
              </w:rPr>
            </w:pPr>
          </w:p>
        </w:tc>
        <w:tc>
          <w:tcPr>
            <w:tcW w:w="320" w:type="dxa"/>
            <w:vAlign w:val="bottom"/>
            <w:tcBorders>
              <w:right w:val="single" w:sz="8" w:color="BECE33"/>
            </w:tcBorders>
          </w:tcPr>
          <w:p>
            <w:pPr>
              <w:spacing w:after="0"/>
              <w:rPr>
                <w:sz w:val="4"/>
                <w:szCs w:val="4"/>
                <w:color w:val="auto"/>
              </w:rPr>
            </w:pPr>
          </w:p>
        </w:tc>
      </w:tr>
      <w:tr>
        <w:trPr>
          <w:trHeight w:val="200"/>
        </w:trPr>
        <w:tc>
          <w:tcPr>
            <w:tcW w:w="266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65.5</w:t>
            </w:r>
          </w:p>
        </w:tc>
        <w:tc>
          <w:tcPr>
            <w:tcW w:w="400" w:type="dxa"/>
            <w:vAlign w:val="bottom"/>
          </w:tcPr>
          <w:p>
            <w:pPr>
              <w:spacing w:after="0"/>
              <w:rPr>
                <w:sz w:val="17"/>
                <w:szCs w:val="17"/>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(118.8)</w:t>
            </w:r>
          </w:p>
        </w:tc>
        <w:tc>
          <w:tcPr>
            <w:tcW w:w="320" w:type="dxa"/>
            <w:vAlign w:val="bottom"/>
            <w:tcBorders>
              <w:right w:val="single" w:sz="8" w:color="BECE33"/>
            </w:tcBorders>
          </w:tcPr>
          <w:p>
            <w:pPr>
              <w:spacing w:after="0"/>
              <w:rPr>
                <w:sz w:val="17"/>
                <w:szCs w:val="17"/>
                <w:color w:val="auto"/>
              </w:rPr>
            </w:pPr>
          </w:p>
        </w:tc>
      </w:tr>
      <w:tr>
        <w:trPr>
          <w:trHeight w:val="50"/>
        </w:trPr>
        <w:tc>
          <w:tcPr>
            <w:tcW w:w="300" w:type="dxa"/>
            <w:vAlign w:val="bottom"/>
            <w:tcBorders>
              <w:left w:val="single" w:sz="8" w:color="BECE33"/>
              <w:bottom w:val="single" w:sz="8" w:color="BECE33"/>
            </w:tcBorders>
          </w:tcPr>
          <w:p>
            <w:pPr>
              <w:spacing w:after="0"/>
              <w:rPr>
                <w:sz w:val="4"/>
                <w:szCs w:val="4"/>
                <w:color w:val="auto"/>
              </w:rPr>
            </w:pPr>
          </w:p>
        </w:tc>
        <w:tc>
          <w:tcPr>
            <w:tcW w:w="2360" w:type="dxa"/>
            <w:vAlign w:val="bottom"/>
            <w:tcBorders>
              <w:bottom w:val="single" w:sz="8" w:color="BECE33"/>
            </w:tcBorders>
          </w:tcPr>
          <w:p>
            <w:pPr>
              <w:spacing w:after="0"/>
              <w:rPr>
                <w:sz w:val="4"/>
                <w:szCs w:val="4"/>
                <w:color w:val="auto"/>
              </w:rPr>
            </w:pPr>
          </w:p>
        </w:tc>
        <w:tc>
          <w:tcPr>
            <w:tcW w:w="400" w:type="dxa"/>
            <w:vAlign w:val="bottom"/>
            <w:tcBorders>
              <w:bottom w:val="single" w:sz="8" w:color="BECE33"/>
            </w:tcBorders>
          </w:tcPr>
          <w:p>
            <w:pPr>
              <w:spacing w:after="0"/>
              <w:rPr>
                <w:sz w:val="4"/>
                <w:szCs w:val="4"/>
                <w:color w:val="auto"/>
              </w:rPr>
            </w:pPr>
          </w:p>
        </w:tc>
        <w:tc>
          <w:tcPr>
            <w:tcW w:w="2380" w:type="dxa"/>
            <w:vAlign w:val="bottom"/>
            <w:tcBorders>
              <w:bottom w:val="single" w:sz="8" w:color="BECE33"/>
            </w:tcBorders>
          </w:tcPr>
          <w:p>
            <w:pPr>
              <w:spacing w:after="0"/>
              <w:rPr>
                <w:sz w:val="4"/>
                <w:szCs w:val="4"/>
                <w:color w:val="auto"/>
              </w:rPr>
            </w:pPr>
          </w:p>
        </w:tc>
        <w:tc>
          <w:tcPr>
            <w:tcW w:w="320" w:type="dxa"/>
            <w:vAlign w:val="bottom"/>
            <w:tcBorders>
              <w:bottom w:val="single" w:sz="8" w:color="BECE33"/>
              <w:right w:val="single" w:sz="8" w:color="BECE33"/>
            </w:tcBorders>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2">
            <w:col w:w="4760" w:space="720"/>
            <w:col w:w="5740"/>
          </w:cols>
          <w:pgMar w:left="320" w:top="388" w:right="359" w:bottom="1440" w:gutter="0" w:footer="0" w:header="0"/>
          <w:type w:val="continuous"/>
        </w:sectPr>
      </w:pPr>
    </w:p>
    <w:p>
      <w:pPr>
        <w:spacing w:after="0" w:line="173" w:lineRule="exact"/>
        <w:rPr>
          <w:sz w:val="20"/>
          <w:szCs w:val="20"/>
          <w:color w:val="auto"/>
        </w:rPr>
      </w:pPr>
    </w:p>
    <w:p>
      <w:pPr>
        <w:spacing w:after="0" w:line="344" w:lineRule="auto"/>
        <w:rPr>
          <w:sz w:val="20"/>
          <w:szCs w:val="20"/>
          <w:color w:val="auto"/>
        </w:rPr>
      </w:pPr>
      <w:r>
        <w:rPr>
          <w:rFonts w:ascii="Times New Roman" w:cs="Times New Roman" w:eastAsia="Times New Roman" w:hAnsi="Times New Roman"/>
          <w:sz w:val="18"/>
          <w:szCs w:val="18"/>
          <w:color w:val="080509"/>
        </w:rPr>
        <w:t>The sensitivity of the fair values of royalty assets to the significant, unobservable, variable input factors, with all other factors remaining constant, is shown in the following table: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Other 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15175"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220" w:type="dxa"/>
            <w:vAlign w:val="bottom"/>
            <w:tcBorders>
              <w:right w:val="single" w:sz="8" w:color="BECD32"/>
            </w:tcBorders>
          </w:tcPr>
          <w:p>
            <w:pPr>
              <w:spacing w:after="0"/>
              <w:rPr>
                <w:sz w:val="18"/>
                <w:szCs w:val="18"/>
                <w:color w:val="auto"/>
              </w:rPr>
            </w:pPr>
          </w:p>
        </w:tc>
        <w:tc>
          <w:tcPr>
            <w:tcW w:w="200" w:type="dxa"/>
            <w:vAlign w:val="bottom"/>
            <w:tcBorders>
              <w:top w:val="single" w:sz="8" w:color="BECD32"/>
            </w:tcBorders>
          </w:tcPr>
          <w:p>
            <w:pPr>
              <w:spacing w:after="0"/>
              <w:rPr>
                <w:sz w:val="18"/>
                <w:szCs w:val="18"/>
                <w:color w:val="auto"/>
              </w:rPr>
            </w:pPr>
          </w:p>
        </w:tc>
        <w:tc>
          <w:tcPr>
            <w:tcW w:w="1820" w:type="dxa"/>
            <w:vAlign w:val="bottom"/>
            <w:tcBorders>
              <w:top w:val="single" w:sz="8" w:color="BECD32"/>
            </w:tcBorders>
          </w:tcPr>
          <w:p>
            <w:pPr>
              <w:spacing w:after="0"/>
              <w:rPr>
                <w:sz w:val="18"/>
                <w:szCs w:val="18"/>
                <w:color w:val="auto"/>
              </w:rPr>
            </w:pPr>
          </w:p>
        </w:tc>
        <w:tc>
          <w:tcPr>
            <w:tcW w:w="220" w:type="dxa"/>
            <w:vAlign w:val="bottom"/>
            <w:tcBorders>
              <w:top w:val="single" w:sz="8" w:color="BECD32"/>
              <w:right w:val="single" w:sz="8" w:color="BECD32"/>
            </w:tcBorders>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005A64"/>
              </w:rPr>
              <w:t>Change in fair value with increasing</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Change in fair value with decreasing</w:t>
            </w:r>
          </w:p>
        </w:tc>
      </w:tr>
      <w:tr>
        <w:trPr>
          <w:trHeight w:val="198"/>
        </w:trPr>
        <w:tc>
          <w:tcPr>
            <w:tcW w:w="2620" w:type="dxa"/>
            <w:vAlign w:val="bottom"/>
          </w:tcPr>
          <w:p>
            <w:pPr>
              <w:spacing w:after="0"/>
              <w:rPr>
                <w:sz w:val="17"/>
                <w:szCs w:val="17"/>
                <w:color w:val="auto"/>
              </w:rPr>
            </w:pPr>
          </w:p>
        </w:tc>
        <w:tc>
          <w:tcPr>
            <w:tcW w:w="220" w:type="dxa"/>
            <w:vAlign w:val="bottom"/>
            <w:tcBorders>
              <w:right w:val="single" w:sz="8" w:color="BECD32"/>
            </w:tcBorders>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Borders>
              <w:right w:val="single" w:sz="8" w:color="BECD32"/>
            </w:tcBorders>
          </w:tcPr>
          <w:p>
            <w:pPr>
              <w:spacing w:after="0"/>
              <w:rPr>
                <w:sz w:val="17"/>
                <w:szCs w:val="17"/>
                <w:color w:val="auto"/>
              </w:rPr>
            </w:pPr>
          </w:p>
        </w:tc>
        <w:tc>
          <w:tcPr>
            <w:tcW w:w="200" w:type="dxa"/>
            <w:vAlign w:val="bottom"/>
          </w:tcPr>
          <w:p>
            <w:pPr>
              <w:spacing w:after="0"/>
              <w:rPr>
                <w:sz w:val="17"/>
                <w:szCs w:val="17"/>
                <w:color w:val="auto"/>
              </w:rPr>
            </w:pPr>
          </w:p>
        </w:tc>
        <w:tc>
          <w:tcPr>
            <w:tcW w:w="3160" w:type="dxa"/>
            <w:vAlign w:val="bottom"/>
            <w:gridSpan w:val="2"/>
          </w:tcPr>
          <w:p>
            <w:pPr>
              <w:ind w:left="1920"/>
              <w:spacing w:after="0"/>
              <w:rPr>
                <w:sz w:val="20"/>
                <w:szCs w:val="20"/>
                <w:color w:val="auto"/>
              </w:rPr>
            </w:pPr>
            <w:r>
              <w:rPr>
                <w:rFonts w:ascii="Times New Roman" w:cs="Times New Roman" w:eastAsia="Times New Roman" w:hAnsi="Times New Roman"/>
                <w:sz w:val="14"/>
                <w:szCs w:val="14"/>
                <w:b w:val="1"/>
                <w:bCs w:val="1"/>
                <w:color w:val="005A64"/>
              </w:rPr>
              <w:t>input factor</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input factor</w:t>
            </w:r>
          </w:p>
        </w:tc>
      </w:tr>
      <w:tr>
        <w:trPr>
          <w:trHeight w:val="203"/>
        </w:trPr>
        <w:tc>
          <w:tcPr>
            <w:tcW w:w="28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Input factor</w:t>
            </w:r>
          </w:p>
        </w:tc>
        <w:tc>
          <w:tcPr>
            <w:tcW w:w="200" w:type="dxa"/>
            <w:vAlign w:val="bottom"/>
          </w:tcPr>
          <w:p>
            <w:pPr>
              <w:spacing w:after="0"/>
              <w:rPr>
                <w:sz w:val="17"/>
                <w:szCs w:val="17"/>
                <w:color w:val="auto"/>
              </w:rPr>
            </w:pPr>
          </w:p>
        </w:tc>
        <w:tc>
          <w:tcPr>
            <w:tcW w:w="204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005A64"/>
              </w:rPr>
              <w:t>Change in assumptions</w:t>
            </w:r>
          </w:p>
        </w:tc>
        <w:tc>
          <w:tcPr>
            <w:tcW w:w="200" w:type="dxa"/>
            <w:vAlign w:val="bottom"/>
          </w:tcPr>
          <w:p>
            <w:pPr>
              <w:spacing w:after="0"/>
              <w:rPr>
                <w:sz w:val="17"/>
                <w:szCs w:val="17"/>
                <w:color w:val="auto"/>
              </w:rPr>
            </w:pPr>
          </w:p>
        </w:tc>
        <w:tc>
          <w:tcPr>
            <w:tcW w:w="31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005A64"/>
              </w:rPr>
              <w:t>(in millions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(in millions €)</w:t>
            </w:r>
          </w:p>
        </w:tc>
      </w:tr>
      <w:tr>
        <w:trPr>
          <w:trHeight w:val="50"/>
        </w:trPr>
        <w:tc>
          <w:tcPr>
            <w:tcW w:w="2620" w:type="dxa"/>
            <w:vAlign w:val="bottom"/>
            <w:tcBorders>
              <w:bottom w:val="single" w:sz="8" w:color="005A64"/>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200" w:type="dxa"/>
            <w:vAlign w:val="bottom"/>
          </w:tcPr>
          <w:p>
            <w:pPr>
              <w:spacing w:after="0"/>
              <w:rPr>
                <w:sz w:val="4"/>
                <w:szCs w:val="4"/>
                <w:color w:val="auto"/>
              </w:rPr>
            </w:pPr>
          </w:p>
        </w:tc>
        <w:tc>
          <w:tcPr>
            <w:tcW w:w="1820" w:type="dxa"/>
            <w:vAlign w:val="bottom"/>
            <w:tcBorders>
              <w:bottom w:val="single" w:sz="8" w:color="005A64"/>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200" w:type="dxa"/>
            <w:vAlign w:val="bottom"/>
          </w:tcPr>
          <w:p>
            <w:pPr>
              <w:spacing w:after="0"/>
              <w:rPr>
                <w:sz w:val="4"/>
                <w:szCs w:val="4"/>
                <w:color w:val="auto"/>
              </w:rPr>
            </w:pPr>
          </w:p>
        </w:tc>
        <w:tc>
          <w:tcPr>
            <w:tcW w:w="2760" w:type="dxa"/>
            <w:vAlign w:val="bottom"/>
            <w:tcBorders>
              <w:bottom w:val="single" w:sz="8" w:color="005A64"/>
            </w:tcBorders>
          </w:tcPr>
          <w:p>
            <w:pPr>
              <w:spacing w:after="0"/>
              <w:rPr>
                <w:sz w:val="4"/>
                <w:szCs w:val="4"/>
                <w:color w:val="auto"/>
              </w:rPr>
            </w:pPr>
          </w:p>
        </w:tc>
        <w:tc>
          <w:tcPr>
            <w:tcW w:w="400" w:type="dxa"/>
            <w:vAlign w:val="bottom"/>
          </w:tcPr>
          <w:p>
            <w:pPr>
              <w:spacing w:after="0"/>
              <w:rPr>
                <w:sz w:val="4"/>
                <w:szCs w:val="4"/>
                <w:color w:val="auto"/>
              </w:rPr>
            </w:pPr>
          </w:p>
        </w:tc>
        <w:tc>
          <w:tcPr>
            <w:tcW w:w="2780" w:type="dxa"/>
            <w:vAlign w:val="bottom"/>
            <w:tcBorders>
              <w:bottom w:val="single" w:sz="8" w:color="005A64"/>
            </w:tcBorders>
          </w:tcPr>
          <w:p>
            <w:pPr>
              <w:spacing w:after="0"/>
              <w:rPr>
                <w:sz w:val="4"/>
                <w:szCs w:val="4"/>
                <w:color w:val="auto"/>
              </w:rPr>
            </w:pPr>
          </w:p>
        </w:tc>
      </w:tr>
      <w:tr>
        <w:trPr>
          <w:trHeight w:val="200"/>
        </w:trPr>
        <w:tc>
          <w:tcPr>
            <w:tcW w:w="28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Cash flow projections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10%</w:t>
            </w:r>
          </w:p>
        </w:tc>
        <w:tc>
          <w:tcPr>
            <w:tcW w:w="220" w:type="dxa"/>
            <w:vAlign w:val="bottom"/>
            <w:tcBorders>
              <w:right w:val="single" w:sz="8" w:color="BECD32"/>
            </w:tcBorders>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7.5</w:t>
            </w:r>
          </w:p>
        </w:tc>
        <w:tc>
          <w:tcPr>
            <w:tcW w:w="400" w:type="dxa"/>
            <w:vAlign w:val="bottom"/>
          </w:tcPr>
          <w:p>
            <w:pPr>
              <w:spacing w:after="0"/>
              <w:rPr>
                <w:sz w:val="17"/>
                <w:szCs w:val="17"/>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(7.5)</w:t>
            </w:r>
          </w:p>
        </w:tc>
      </w:tr>
      <w:tr>
        <w:trPr>
          <w:trHeight w:val="50"/>
        </w:trPr>
        <w:tc>
          <w:tcPr>
            <w:tcW w:w="2620" w:type="dxa"/>
            <w:vAlign w:val="bottom"/>
            <w:tcBorders>
              <w:bottom w:val="single" w:sz="8" w:color="A8C7CA"/>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200" w:type="dxa"/>
            <w:vAlign w:val="bottom"/>
          </w:tcPr>
          <w:p>
            <w:pPr>
              <w:spacing w:after="0"/>
              <w:rPr>
                <w:sz w:val="4"/>
                <w:szCs w:val="4"/>
                <w:color w:val="auto"/>
              </w:rPr>
            </w:pPr>
          </w:p>
        </w:tc>
        <w:tc>
          <w:tcPr>
            <w:tcW w:w="1820" w:type="dxa"/>
            <w:vAlign w:val="bottom"/>
            <w:tcBorders>
              <w:bottom w:val="single" w:sz="8" w:color="A8C7CA"/>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200" w:type="dxa"/>
            <w:vAlign w:val="bottom"/>
          </w:tcPr>
          <w:p>
            <w:pPr>
              <w:spacing w:after="0"/>
              <w:rPr>
                <w:sz w:val="4"/>
                <w:szCs w:val="4"/>
                <w:color w:val="auto"/>
              </w:rPr>
            </w:pPr>
          </w:p>
        </w:tc>
        <w:tc>
          <w:tcPr>
            <w:tcW w:w="2760" w:type="dxa"/>
            <w:vAlign w:val="bottom"/>
            <w:tcBorders>
              <w:bottom w:val="single" w:sz="8" w:color="A8C7CA"/>
            </w:tcBorders>
          </w:tcPr>
          <w:p>
            <w:pPr>
              <w:spacing w:after="0"/>
              <w:rPr>
                <w:sz w:val="4"/>
                <w:szCs w:val="4"/>
                <w:color w:val="auto"/>
              </w:rPr>
            </w:pPr>
          </w:p>
        </w:tc>
        <w:tc>
          <w:tcPr>
            <w:tcW w:w="400" w:type="dxa"/>
            <w:vAlign w:val="bottom"/>
          </w:tcPr>
          <w:p>
            <w:pPr>
              <w:spacing w:after="0"/>
              <w:rPr>
                <w:sz w:val="4"/>
                <w:szCs w:val="4"/>
                <w:color w:val="auto"/>
              </w:rPr>
            </w:pPr>
          </w:p>
        </w:tc>
        <w:tc>
          <w:tcPr>
            <w:tcW w:w="2780" w:type="dxa"/>
            <w:vAlign w:val="bottom"/>
            <w:tcBorders>
              <w:bottom w:val="single" w:sz="8" w:color="A8C7CA"/>
            </w:tcBorders>
          </w:tcPr>
          <w:p>
            <w:pPr>
              <w:spacing w:after="0"/>
              <w:rPr>
                <w:sz w:val="4"/>
                <w:szCs w:val="4"/>
                <w:color w:val="auto"/>
              </w:rPr>
            </w:pPr>
          </w:p>
        </w:tc>
      </w:tr>
      <w:tr>
        <w:trPr>
          <w:trHeight w:val="200"/>
        </w:trPr>
        <w:tc>
          <w:tcPr>
            <w:tcW w:w="28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Discount rate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w:t>
            </w:r>
          </w:p>
        </w:tc>
        <w:tc>
          <w:tcPr>
            <w:tcW w:w="220" w:type="dxa"/>
            <w:vAlign w:val="bottom"/>
            <w:tcBorders>
              <w:right w:val="single" w:sz="8" w:color="BECD32"/>
            </w:tcBorders>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(5.7)</w:t>
            </w:r>
          </w:p>
        </w:tc>
        <w:tc>
          <w:tcPr>
            <w:tcW w:w="400" w:type="dxa"/>
            <w:vAlign w:val="bottom"/>
          </w:tcPr>
          <w:p>
            <w:pPr>
              <w:spacing w:after="0"/>
              <w:rPr>
                <w:sz w:val="17"/>
                <w:szCs w:val="17"/>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6.3</w:t>
            </w:r>
          </w:p>
        </w:tc>
      </w:tr>
      <w:tr>
        <w:trPr>
          <w:trHeight w:val="50"/>
        </w:trPr>
        <w:tc>
          <w:tcPr>
            <w:tcW w:w="2620" w:type="dxa"/>
            <w:vAlign w:val="bottom"/>
            <w:tcBorders>
              <w:bottom w:val="single" w:sz="8" w:color="005A64"/>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200" w:type="dxa"/>
            <w:vAlign w:val="bottom"/>
            <w:tcBorders>
              <w:bottom w:val="single" w:sz="8" w:color="BECD32"/>
            </w:tcBorders>
          </w:tcPr>
          <w:p>
            <w:pPr>
              <w:spacing w:after="0"/>
              <w:rPr>
                <w:sz w:val="4"/>
                <w:szCs w:val="4"/>
                <w:color w:val="auto"/>
              </w:rPr>
            </w:pPr>
          </w:p>
        </w:tc>
        <w:tc>
          <w:tcPr>
            <w:tcW w:w="1820" w:type="dxa"/>
            <w:vAlign w:val="bottom"/>
            <w:tcBorders>
              <w:bottom w:val="single" w:sz="8" w:color="BECD32"/>
            </w:tcBorders>
          </w:tcPr>
          <w:p>
            <w:pPr>
              <w:spacing w:after="0"/>
              <w:rPr>
                <w:sz w:val="4"/>
                <w:szCs w:val="4"/>
                <w:color w:val="auto"/>
              </w:rPr>
            </w:pPr>
          </w:p>
        </w:tc>
        <w:tc>
          <w:tcPr>
            <w:tcW w:w="220" w:type="dxa"/>
            <w:vAlign w:val="bottom"/>
            <w:tcBorders>
              <w:bottom w:val="single" w:sz="8" w:color="BECD32"/>
              <w:right w:val="single" w:sz="8" w:color="BECD32"/>
            </w:tcBorders>
          </w:tcPr>
          <w:p>
            <w:pPr>
              <w:spacing w:after="0"/>
              <w:rPr>
                <w:sz w:val="4"/>
                <w:szCs w:val="4"/>
                <w:color w:val="auto"/>
              </w:rPr>
            </w:pPr>
          </w:p>
        </w:tc>
        <w:tc>
          <w:tcPr>
            <w:tcW w:w="200" w:type="dxa"/>
            <w:vAlign w:val="bottom"/>
          </w:tcPr>
          <w:p>
            <w:pPr>
              <w:spacing w:after="0"/>
              <w:rPr>
                <w:sz w:val="4"/>
                <w:szCs w:val="4"/>
                <w:color w:val="auto"/>
              </w:rPr>
            </w:pPr>
          </w:p>
        </w:tc>
        <w:tc>
          <w:tcPr>
            <w:tcW w:w="2760" w:type="dxa"/>
            <w:vAlign w:val="bottom"/>
            <w:tcBorders>
              <w:bottom w:val="single" w:sz="8" w:color="005A64"/>
            </w:tcBorders>
          </w:tcPr>
          <w:p>
            <w:pPr>
              <w:spacing w:after="0"/>
              <w:rPr>
                <w:sz w:val="4"/>
                <w:szCs w:val="4"/>
                <w:color w:val="auto"/>
              </w:rPr>
            </w:pPr>
          </w:p>
        </w:tc>
        <w:tc>
          <w:tcPr>
            <w:tcW w:w="400" w:type="dxa"/>
            <w:vAlign w:val="bottom"/>
          </w:tcPr>
          <w:p>
            <w:pPr>
              <w:spacing w:after="0"/>
              <w:rPr>
                <w:sz w:val="4"/>
                <w:szCs w:val="4"/>
                <w:color w:val="auto"/>
              </w:rPr>
            </w:pPr>
          </w:p>
        </w:tc>
        <w:tc>
          <w:tcPr>
            <w:tcW w:w="2780" w:type="dxa"/>
            <w:vAlign w:val="bottom"/>
            <w:tcBorders>
              <w:bottom w:val="single" w:sz="8" w:color="005A64"/>
            </w:tcBorders>
          </w:tcPr>
          <w:p>
            <w:pPr>
              <w:spacing w:after="0"/>
              <w:rPr>
                <w:sz w:val="4"/>
                <w:szCs w:val="4"/>
                <w:color w:val="auto"/>
              </w:rPr>
            </w:pPr>
          </w:p>
        </w:tc>
      </w:tr>
    </w:tbl>
    <w:p>
      <w:pPr>
        <w:spacing w:after="0" w:line="37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The sensitivity of the fair values of contingent consideration to the significant, unobservable, variable input factors, with all other factors remaining constant, is shown in the following table: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220" w:type="dxa"/>
            <w:vAlign w:val="bottom"/>
            <w:tcBorders>
              <w:right w:val="single" w:sz="8" w:color="BECE33"/>
            </w:tcBorders>
          </w:tcPr>
          <w:p>
            <w:pPr>
              <w:spacing w:after="0"/>
              <w:rPr>
                <w:sz w:val="18"/>
                <w:szCs w:val="18"/>
                <w:color w:val="auto"/>
              </w:rPr>
            </w:pPr>
          </w:p>
        </w:tc>
        <w:tc>
          <w:tcPr>
            <w:tcW w:w="200" w:type="dxa"/>
            <w:vAlign w:val="bottom"/>
            <w:tcBorders>
              <w:top w:val="single" w:sz="8" w:color="BECE33"/>
            </w:tcBorders>
          </w:tcPr>
          <w:p>
            <w:pPr>
              <w:spacing w:after="0"/>
              <w:rPr>
                <w:sz w:val="18"/>
                <w:szCs w:val="18"/>
                <w:color w:val="auto"/>
              </w:rPr>
            </w:pPr>
          </w:p>
        </w:tc>
        <w:tc>
          <w:tcPr>
            <w:tcW w:w="1820" w:type="dxa"/>
            <w:vAlign w:val="bottom"/>
            <w:tcBorders>
              <w:top w:val="single" w:sz="8" w:color="BECE33"/>
            </w:tcBorders>
          </w:tcPr>
          <w:p>
            <w:pPr>
              <w:spacing w:after="0"/>
              <w:rPr>
                <w:sz w:val="18"/>
                <w:szCs w:val="18"/>
                <w:color w:val="auto"/>
              </w:rPr>
            </w:pPr>
          </w:p>
        </w:tc>
        <w:tc>
          <w:tcPr>
            <w:tcW w:w="220" w:type="dxa"/>
            <w:vAlign w:val="bottom"/>
            <w:tcBorders>
              <w:top w:val="single" w:sz="8" w:color="BECE33"/>
              <w:right w:val="single" w:sz="8" w:color="BECE33"/>
            </w:tcBorders>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005A64"/>
              </w:rPr>
              <w:t>Change in fair value with increasing</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Change in fair value with decreasing</w:t>
            </w:r>
          </w:p>
        </w:tc>
      </w:tr>
      <w:tr>
        <w:trPr>
          <w:trHeight w:val="198"/>
        </w:trPr>
        <w:tc>
          <w:tcPr>
            <w:tcW w:w="2620" w:type="dxa"/>
            <w:vAlign w:val="bottom"/>
          </w:tcPr>
          <w:p>
            <w:pPr>
              <w:spacing w:after="0"/>
              <w:rPr>
                <w:sz w:val="17"/>
                <w:szCs w:val="17"/>
                <w:color w:val="auto"/>
              </w:rPr>
            </w:pPr>
          </w:p>
        </w:tc>
        <w:tc>
          <w:tcPr>
            <w:tcW w:w="220" w:type="dxa"/>
            <w:vAlign w:val="bottom"/>
            <w:tcBorders>
              <w:right w:val="single" w:sz="8" w:color="BECE33"/>
            </w:tcBorders>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Borders>
              <w:right w:val="single" w:sz="8" w:color="BECE33"/>
            </w:tcBorders>
          </w:tcPr>
          <w:p>
            <w:pPr>
              <w:spacing w:after="0"/>
              <w:rPr>
                <w:sz w:val="17"/>
                <w:szCs w:val="17"/>
                <w:color w:val="auto"/>
              </w:rPr>
            </w:pPr>
          </w:p>
        </w:tc>
        <w:tc>
          <w:tcPr>
            <w:tcW w:w="200" w:type="dxa"/>
            <w:vAlign w:val="bottom"/>
          </w:tcPr>
          <w:p>
            <w:pPr>
              <w:spacing w:after="0"/>
              <w:rPr>
                <w:sz w:val="17"/>
                <w:szCs w:val="17"/>
                <w:color w:val="auto"/>
              </w:rPr>
            </w:pPr>
          </w:p>
        </w:tc>
        <w:tc>
          <w:tcPr>
            <w:tcW w:w="3160" w:type="dxa"/>
            <w:vAlign w:val="bottom"/>
            <w:gridSpan w:val="2"/>
          </w:tcPr>
          <w:p>
            <w:pPr>
              <w:ind w:left="1920"/>
              <w:spacing w:after="0"/>
              <w:rPr>
                <w:sz w:val="20"/>
                <w:szCs w:val="20"/>
                <w:color w:val="auto"/>
              </w:rPr>
            </w:pPr>
            <w:r>
              <w:rPr>
                <w:rFonts w:ascii="Times New Roman" w:cs="Times New Roman" w:eastAsia="Times New Roman" w:hAnsi="Times New Roman"/>
                <w:sz w:val="14"/>
                <w:szCs w:val="14"/>
                <w:b w:val="1"/>
                <w:bCs w:val="1"/>
                <w:color w:val="005A64"/>
              </w:rPr>
              <w:t>input factor</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input factor</w:t>
            </w:r>
          </w:p>
        </w:tc>
      </w:tr>
      <w:tr>
        <w:trPr>
          <w:trHeight w:val="203"/>
        </w:trPr>
        <w:tc>
          <w:tcPr>
            <w:tcW w:w="28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Input factor</w:t>
            </w:r>
          </w:p>
        </w:tc>
        <w:tc>
          <w:tcPr>
            <w:tcW w:w="200" w:type="dxa"/>
            <w:vAlign w:val="bottom"/>
          </w:tcPr>
          <w:p>
            <w:pPr>
              <w:spacing w:after="0"/>
              <w:rPr>
                <w:sz w:val="17"/>
                <w:szCs w:val="17"/>
                <w:color w:val="auto"/>
              </w:rPr>
            </w:pPr>
          </w:p>
        </w:tc>
        <w:tc>
          <w:tcPr>
            <w:tcW w:w="204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005A64"/>
              </w:rPr>
              <w:t>Change in assumptions</w:t>
            </w:r>
          </w:p>
        </w:tc>
        <w:tc>
          <w:tcPr>
            <w:tcW w:w="200" w:type="dxa"/>
            <w:vAlign w:val="bottom"/>
          </w:tcPr>
          <w:p>
            <w:pPr>
              <w:spacing w:after="0"/>
              <w:rPr>
                <w:sz w:val="17"/>
                <w:szCs w:val="17"/>
                <w:color w:val="auto"/>
              </w:rPr>
            </w:pPr>
          </w:p>
        </w:tc>
        <w:tc>
          <w:tcPr>
            <w:tcW w:w="31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005A64"/>
              </w:rPr>
              <w:t>(in millions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(in millions €)</w:t>
            </w:r>
          </w:p>
        </w:tc>
      </w:tr>
      <w:tr>
        <w:trPr>
          <w:trHeight w:val="50"/>
        </w:trPr>
        <w:tc>
          <w:tcPr>
            <w:tcW w:w="2620" w:type="dxa"/>
            <w:vAlign w:val="bottom"/>
            <w:tcBorders>
              <w:bottom w:val="single" w:sz="8" w:color="005A64"/>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1820" w:type="dxa"/>
            <w:vAlign w:val="bottom"/>
            <w:tcBorders>
              <w:bottom w:val="single" w:sz="8" w:color="005A64"/>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2760" w:type="dxa"/>
            <w:vAlign w:val="bottom"/>
            <w:tcBorders>
              <w:bottom w:val="single" w:sz="8" w:color="005A64"/>
            </w:tcBorders>
          </w:tcPr>
          <w:p>
            <w:pPr>
              <w:spacing w:after="0"/>
              <w:rPr>
                <w:sz w:val="4"/>
                <w:szCs w:val="4"/>
                <w:color w:val="auto"/>
              </w:rPr>
            </w:pPr>
          </w:p>
        </w:tc>
        <w:tc>
          <w:tcPr>
            <w:tcW w:w="400" w:type="dxa"/>
            <w:vAlign w:val="bottom"/>
          </w:tcPr>
          <w:p>
            <w:pPr>
              <w:spacing w:after="0"/>
              <w:rPr>
                <w:sz w:val="4"/>
                <w:szCs w:val="4"/>
                <w:color w:val="auto"/>
              </w:rPr>
            </w:pPr>
          </w:p>
        </w:tc>
        <w:tc>
          <w:tcPr>
            <w:tcW w:w="2780" w:type="dxa"/>
            <w:vAlign w:val="bottom"/>
            <w:tcBorders>
              <w:bottom w:val="single" w:sz="8" w:color="005A64"/>
            </w:tcBorders>
          </w:tcPr>
          <w:p>
            <w:pPr>
              <w:spacing w:after="0"/>
              <w:rPr>
                <w:sz w:val="4"/>
                <w:szCs w:val="4"/>
                <w:color w:val="auto"/>
              </w:rPr>
            </w:pPr>
          </w:p>
        </w:tc>
      </w:tr>
      <w:tr>
        <w:trPr>
          <w:trHeight w:val="200"/>
        </w:trPr>
        <w:tc>
          <w:tcPr>
            <w:tcW w:w="28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Cash flow projections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10%</w:t>
            </w:r>
          </w:p>
        </w:tc>
        <w:tc>
          <w:tcPr>
            <w:tcW w:w="220" w:type="dxa"/>
            <w:vAlign w:val="bottom"/>
            <w:tcBorders>
              <w:right w:val="single" w:sz="8" w:color="BECE33"/>
            </w:tcBorders>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7.9</w:t>
            </w:r>
          </w:p>
        </w:tc>
        <w:tc>
          <w:tcPr>
            <w:tcW w:w="400" w:type="dxa"/>
            <w:vAlign w:val="bottom"/>
          </w:tcPr>
          <w:p>
            <w:pPr>
              <w:spacing w:after="0"/>
              <w:rPr>
                <w:sz w:val="17"/>
                <w:szCs w:val="17"/>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(7.9)</w:t>
            </w:r>
          </w:p>
        </w:tc>
      </w:tr>
      <w:tr>
        <w:trPr>
          <w:trHeight w:val="50"/>
        </w:trPr>
        <w:tc>
          <w:tcPr>
            <w:tcW w:w="2620" w:type="dxa"/>
            <w:vAlign w:val="bottom"/>
            <w:tcBorders>
              <w:bottom w:val="single" w:sz="8" w:color="A8C7CA"/>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1820" w:type="dxa"/>
            <w:vAlign w:val="bottom"/>
            <w:tcBorders>
              <w:bottom w:val="single" w:sz="8" w:color="A8C7CA"/>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2760" w:type="dxa"/>
            <w:vAlign w:val="bottom"/>
            <w:tcBorders>
              <w:bottom w:val="single" w:sz="8" w:color="A8C7CA"/>
            </w:tcBorders>
          </w:tcPr>
          <w:p>
            <w:pPr>
              <w:spacing w:after="0"/>
              <w:rPr>
                <w:sz w:val="4"/>
                <w:szCs w:val="4"/>
                <w:color w:val="auto"/>
              </w:rPr>
            </w:pPr>
          </w:p>
        </w:tc>
        <w:tc>
          <w:tcPr>
            <w:tcW w:w="400" w:type="dxa"/>
            <w:vAlign w:val="bottom"/>
          </w:tcPr>
          <w:p>
            <w:pPr>
              <w:spacing w:after="0"/>
              <w:rPr>
                <w:sz w:val="4"/>
                <w:szCs w:val="4"/>
                <w:color w:val="auto"/>
              </w:rPr>
            </w:pPr>
          </w:p>
        </w:tc>
        <w:tc>
          <w:tcPr>
            <w:tcW w:w="2780" w:type="dxa"/>
            <w:vAlign w:val="bottom"/>
            <w:tcBorders>
              <w:bottom w:val="single" w:sz="8" w:color="A8C7CA"/>
            </w:tcBorders>
          </w:tcPr>
          <w:p>
            <w:pPr>
              <w:spacing w:after="0"/>
              <w:rPr>
                <w:sz w:val="4"/>
                <w:szCs w:val="4"/>
                <w:color w:val="auto"/>
              </w:rPr>
            </w:pPr>
          </w:p>
        </w:tc>
      </w:tr>
      <w:tr>
        <w:trPr>
          <w:trHeight w:val="200"/>
        </w:trPr>
        <w:tc>
          <w:tcPr>
            <w:tcW w:w="28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Discount rate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w:t>
            </w:r>
          </w:p>
        </w:tc>
        <w:tc>
          <w:tcPr>
            <w:tcW w:w="220" w:type="dxa"/>
            <w:vAlign w:val="bottom"/>
            <w:tcBorders>
              <w:right w:val="single" w:sz="8" w:color="BECE33"/>
            </w:tcBorders>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(3.0)</w:t>
            </w:r>
          </w:p>
        </w:tc>
        <w:tc>
          <w:tcPr>
            <w:tcW w:w="400" w:type="dxa"/>
            <w:vAlign w:val="bottom"/>
          </w:tcPr>
          <w:p>
            <w:pPr>
              <w:spacing w:after="0"/>
              <w:rPr>
                <w:sz w:val="17"/>
                <w:szCs w:val="17"/>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3.1</w:t>
            </w:r>
          </w:p>
        </w:tc>
      </w:tr>
      <w:tr>
        <w:trPr>
          <w:trHeight w:val="50"/>
        </w:trPr>
        <w:tc>
          <w:tcPr>
            <w:tcW w:w="2620" w:type="dxa"/>
            <w:vAlign w:val="bottom"/>
            <w:tcBorders>
              <w:bottom w:val="single" w:sz="8" w:color="005A64"/>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Borders>
              <w:bottom w:val="single" w:sz="8" w:color="BECE33"/>
            </w:tcBorders>
          </w:tcPr>
          <w:p>
            <w:pPr>
              <w:spacing w:after="0"/>
              <w:rPr>
                <w:sz w:val="4"/>
                <w:szCs w:val="4"/>
                <w:color w:val="auto"/>
              </w:rPr>
            </w:pPr>
          </w:p>
        </w:tc>
        <w:tc>
          <w:tcPr>
            <w:tcW w:w="1820" w:type="dxa"/>
            <w:vAlign w:val="bottom"/>
            <w:tcBorders>
              <w:bottom w:val="single" w:sz="8" w:color="BECE33"/>
            </w:tcBorders>
          </w:tcPr>
          <w:p>
            <w:pPr>
              <w:spacing w:after="0"/>
              <w:rPr>
                <w:sz w:val="4"/>
                <w:szCs w:val="4"/>
                <w:color w:val="auto"/>
              </w:rPr>
            </w:pPr>
          </w:p>
        </w:tc>
        <w:tc>
          <w:tcPr>
            <w:tcW w:w="220" w:type="dxa"/>
            <w:vAlign w:val="bottom"/>
            <w:tcBorders>
              <w:bottom w:val="single" w:sz="8" w:color="BECE33"/>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2760" w:type="dxa"/>
            <w:vAlign w:val="bottom"/>
            <w:tcBorders>
              <w:bottom w:val="single" w:sz="8" w:color="005A64"/>
            </w:tcBorders>
          </w:tcPr>
          <w:p>
            <w:pPr>
              <w:spacing w:after="0"/>
              <w:rPr>
                <w:sz w:val="4"/>
                <w:szCs w:val="4"/>
                <w:color w:val="auto"/>
              </w:rPr>
            </w:pPr>
          </w:p>
        </w:tc>
        <w:tc>
          <w:tcPr>
            <w:tcW w:w="400" w:type="dxa"/>
            <w:vAlign w:val="bottom"/>
          </w:tcPr>
          <w:p>
            <w:pPr>
              <w:spacing w:after="0"/>
              <w:rPr>
                <w:sz w:val="4"/>
                <w:szCs w:val="4"/>
                <w:color w:val="auto"/>
              </w:rPr>
            </w:pPr>
          </w:p>
        </w:tc>
        <w:tc>
          <w:tcPr>
            <w:tcW w:w="2780" w:type="dxa"/>
            <w:vAlign w:val="bottom"/>
            <w:tcBorders>
              <w:bottom w:val="single" w:sz="8" w:color="005A64"/>
            </w:tcBorders>
          </w:tcPr>
          <w:p>
            <w:pPr>
              <w:spacing w:after="0"/>
              <w:rPr>
                <w:sz w:val="4"/>
                <w:szCs w:val="4"/>
                <w:color w:val="auto"/>
              </w:rPr>
            </w:pPr>
          </w:p>
        </w:tc>
      </w:tr>
    </w:tbl>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 Management Activities</w:t>
      </w:r>
    </w:p>
    <w:p>
      <w:pPr>
        <w:spacing w:after="0" w:line="179"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No changes have occurred regarding our risk management activities as disclosed in the notes to our audited consolidated financial statements included in our Annual Report on Form 20-F as of and for the year ended December 31, 2025.</w:t>
      </w:r>
    </w:p>
    <w:p>
      <w:pPr>
        <w:sectPr>
          <w:pgSz w:w="11900" w:h="16838" w:orient="portrait"/>
          <w:cols w:equalWidth="0" w:num="1">
            <w:col w:w="11220"/>
          </w:cols>
          <w:pgMar w:left="320" w:top="388" w:right="359"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r>
        <w:rPr>
          <w:sz w:val="20"/>
          <w:szCs w:val="20"/>
          <w:color w:val="auto"/>
        </w:rPr>
        <w:tab/>
      </w:r>
      <w:r>
        <w:rPr>
          <w:rFonts w:ascii="Times New Roman" w:cs="Times New Roman" w:eastAsia="Times New Roman" w:hAnsi="Times New Roman"/>
          <w:sz w:val="22"/>
          <w:szCs w:val="22"/>
          <w:b w:val="1"/>
          <w:bCs w:val="1"/>
          <w:color w:val="C3C3C3"/>
        </w:rPr>
        <w:t>16</w:t>
      </w:r>
    </w:p>
    <w:p>
      <w:pPr>
        <w:sectPr>
          <w:pgSz w:w="11900" w:h="16838" w:orient="portrait"/>
          <w:cols w:equalWidth="0" w:num="1">
            <w:col w:w="11220"/>
          </w:cols>
          <w:pgMar w:left="320" w:top="388" w:right="359" w:bottom="1440" w:gutter="0" w:footer="0" w:header="0"/>
          <w:type w:val="continuous"/>
        </w:sectPr>
      </w:pPr>
    </w:p>
    <w:bookmarkStart w:id="25" w:name="page26"/>
    <w:bookmarkEnd w:id="2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3C9673"/>
        </w:rPr>
        <w:drawing>
          <wp:anchor simplePos="0" relativeHeight="251657728" behindDoc="1" locked="0" layoutInCell="0" allowOverlap="1">
            <wp:simplePos x="0" y="0"/>
            <wp:positionH relativeFrom="page">
              <wp:posOffset>2016760</wp:posOffset>
            </wp:positionH>
            <wp:positionV relativeFrom="page">
              <wp:posOffset>106045</wp:posOffset>
            </wp:positionV>
            <wp:extent cx="222885" cy="6858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C3C3C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20320</wp:posOffset>
            </wp:positionV>
            <wp:extent cx="222885" cy="6858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8. Issued Capital and Reserves</w:t>
      </w:r>
    </w:p>
    <w:p>
      <w:pPr>
        <w:spacing w:after="0" w:line="203"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As of March 31, 2026, the number of shares outstanding was 252,884,261, with a notional value of €1 per share. This amount excludes 6,143,226 shares held in treasury. As of December 31, 2025, the number of shares outstanding was 251,325,340, excluding 7,702,147 shares held in treasury. As described in Note 5 to our audited consolidated financial statements included in our Annual Report on Form 20-F as of and for the year ended December 31, 2025, we completed the acquisition of the remaining CureVac shares at the beginning of January 2026 as part of the previously announced post-offer reorganization (back-end measures), resulting in a transfer within share capital as disclosed in our interim condensed consolidated statements of changes in stockholders’ equity.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9.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15175"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20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80" w:type="dxa"/>
            <w:vAlign w:val="bottom"/>
            <w:tcBorders>
              <w:top w:val="single" w:sz="8" w:color="BECE33"/>
            </w:tcBorders>
          </w:tcPr>
          <w:p>
            <w:pPr>
              <w:spacing w:after="0"/>
              <w:rPr>
                <w:sz w:val="19"/>
                <w:szCs w:val="19"/>
                <w:color w:val="auto"/>
              </w:rPr>
            </w:pPr>
          </w:p>
        </w:tc>
        <w:tc>
          <w:tcPr>
            <w:tcW w:w="2480" w:type="dxa"/>
            <w:vAlign w:val="bottom"/>
            <w:tcBorders>
              <w:top w:val="single" w:sz="8" w:color="BECE33"/>
              <w:right w:val="single" w:sz="8" w:color="BECE33"/>
            </w:tcBorders>
            <w:gridSpan w:val="2"/>
          </w:tcPr>
          <w:p>
            <w:pPr>
              <w:ind w:left="1320"/>
              <w:spacing w:after="0"/>
              <w:rPr>
                <w:sz w:val="20"/>
                <w:szCs w:val="20"/>
                <w:color w:val="auto"/>
              </w:rPr>
            </w:pPr>
            <w:r>
              <w:rPr>
                <w:rFonts w:ascii="Times New Roman" w:cs="Times New Roman" w:eastAsia="Times New Roman" w:hAnsi="Times New Roman"/>
                <w:sz w:val="14"/>
                <w:szCs w:val="14"/>
                <w:b w:val="1"/>
                <w:bCs w:val="1"/>
                <w:color w:val="005A64"/>
              </w:rPr>
              <w:t>March 31, 2026</w:t>
            </w:r>
          </w:p>
        </w:tc>
        <w:tc>
          <w:tcPr>
            <w:tcW w:w="10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December 31, 2025</w:t>
            </w:r>
          </w:p>
        </w:tc>
      </w:tr>
      <w:tr>
        <w:trPr>
          <w:trHeight w:val="51"/>
        </w:trPr>
        <w:tc>
          <w:tcPr>
            <w:tcW w:w="6060" w:type="dxa"/>
            <w:vAlign w:val="bottom"/>
            <w:tcBorders>
              <w:bottom w:val="single" w:sz="8" w:color="005A64"/>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2360" w:type="dxa"/>
            <w:vAlign w:val="bottom"/>
            <w:tcBorders>
              <w:bottom w:val="single" w:sz="8" w:color="005A64"/>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2360" w:type="dxa"/>
            <w:vAlign w:val="bottom"/>
            <w:tcBorders>
              <w:bottom w:val="single" w:sz="8" w:color="005A64"/>
            </w:tcBorders>
          </w:tcPr>
          <w:p>
            <w:pPr>
              <w:spacing w:after="0"/>
              <w:rPr>
                <w:sz w:val="4"/>
                <w:szCs w:val="4"/>
                <w:color w:val="auto"/>
              </w:rPr>
            </w:pPr>
          </w:p>
        </w:tc>
      </w:tr>
      <w:tr>
        <w:trPr>
          <w:trHeight w:val="199"/>
        </w:trPr>
        <w:tc>
          <w:tcPr>
            <w:tcW w:w="620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Contractual disputes / settlements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58.6</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58.6</w:t>
            </w:r>
          </w:p>
        </w:tc>
      </w:tr>
      <w:tr>
        <w:trPr>
          <w:trHeight w:val="51"/>
        </w:trPr>
        <w:tc>
          <w:tcPr>
            <w:tcW w:w="606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236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2360" w:type="dxa"/>
            <w:vAlign w:val="bottom"/>
            <w:tcBorders>
              <w:bottom w:val="single" w:sz="8" w:color="7FACB1"/>
            </w:tcBorders>
          </w:tcPr>
          <w:p>
            <w:pPr>
              <w:spacing w:after="0"/>
              <w:rPr>
                <w:sz w:val="4"/>
                <w:szCs w:val="4"/>
                <w:color w:val="auto"/>
              </w:rPr>
            </w:pPr>
          </w:p>
        </w:tc>
      </w:tr>
      <w:tr>
        <w:trPr>
          <w:trHeight w:val="199"/>
        </w:trPr>
        <w:tc>
          <w:tcPr>
            <w:tcW w:w="620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Obligations from onerous contracts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52.0</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51.8</w:t>
            </w:r>
          </w:p>
        </w:tc>
      </w:tr>
      <w:tr>
        <w:trPr>
          <w:trHeight w:val="51"/>
        </w:trPr>
        <w:tc>
          <w:tcPr>
            <w:tcW w:w="606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236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2360" w:type="dxa"/>
            <w:vAlign w:val="bottom"/>
            <w:tcBorders>
              <w:bottom w:val="single" w:sz="8" w:color="7FACB1"/>
            </w:tcBorders>
          </w:tcPr>
          <w:p>
            <w:pPr>
              <w:spacing w:after="0"/>
              <w:rPr>
                <w:sz w:val="4"/>
                <w:szCs w:val="4"/>
                <w:color w:val="auto"/>
              </w:rPr>
            </w:pPr>
          </w:p>
        </w:tc>
      </w:tr>
      <w:tr>
        <w:trPr>
          <w:trHeight w:val="199"/>
        </w:trPr>
        <w:tc>
          <w:tcPr>
            <w:tcW w:w="620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Restructuring</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41.9</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39.1</w:t>
            </w:r>
          </w:p>
        </w:tc>
      </w:tr>
      <w:tr>
        <w:trPr>
          <w:trHeight w:val="51"/>
        </w:trPr>
        <w:tc>
          <w:tcPr>
            <w:tcW w:w="606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236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2360" w:type="dxa"/>
            <w:vAlign w:val="bottom"/>
            <w:tcBorders>
              <w:bottom w:val="single" w:sz="8" w:color="7FACB1"/>
            </w:tcBorders>
          </w:tcPr>
          <w:p>
            <w:pPr>
              <w:spacing w:after="0"/>
              <w:rPr>
                <w:sz w:val="4"/>
                <w:szCs w:val="4"/>
                <w:color w:val="auto"/>
              </w:rPr>
            </w:pPr>
          </w:p>
        </w:tc>
      </w:tr>
      <w:tr>
        <w:trPr>
          <w:trHeight w:val="199"/>
        </w:trPr>
        <w:tc>
          <w:tcPr>
            <w:tcW w:w="620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Other</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38.3</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31.3</w:t>
            </w:r>
          </w:p>
        </w:tc>
      </w:tr>
      <w:tr>
        <w:trPr>
          <w:trHeight w:val="51"/>
        </w:trPr>
        <w:tc>
          <w:tcPr>
            <w:tcW w:w="606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236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2360" w:type="dxa"/>
            <w:vAlign w:val="bottom"/>
            <w:tcBorders>
              <w:bottom w:val="single" w:sz="8" w:color="7FACB1"/>
            </w:tcBorders>
          </w:tcPr>
          <w:p>
            <w:pPr>
              <w:spacing w:after="0"/>
              <w:rPr>
                <w:sz w:val="4"/>
                <w:szCs w:val="4"/>
                <w:color w:val="auto"/>
              </w:rPr>
            </w:pPr>
          </w:p>
        </w:tc>
      </w:tr>
      <w:tr>
        <w:trPr>
          <w:trHeight w:val="199"/>
        </w:trPr>
        <w:tc>
          <w:tcPr>
            <w:tcW w:w="620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190.8</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180.8</w:t>
            </w:r>
          </w:p>
        </w:tc>
      </w:tr>
      <w:tr>
        <w:trPr>
          <w:trHeight w:val="51"/>
        </w:trPr>
        <w:tc>
          <w:tcPr>
            <w:tcW w:w="6060" w:type="dxa"/>
            <w:vAlign w:val="bottom"/>
            <w:tcBorders>
              <w:bottom w:val="single" w:sz="8" w:color="005A64"/>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2360" w:type="dxa"/>
            <w:vAlign w:val="bottom"/>
            <w:tcBorders>
              <w:bottom w:val="single" w:sz="8" w:color="005A64"/>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2360" w:type="dxa"/>
            <w:vAlign w:val="bottom"/>
            <w:tcBorders>
              <w:bottom w:val="single" w:sz="8" w:color="005A64"/>
            </w:tcBorders>
          </w:tcPr>
          <w:p>
            <w:pPr>
              <w:spacing w:after="0"/>
              <w:rPr>
                <w:sz w:val="4"/>
                <w:szCs w:val="4"/>
                <w:color w:val="auto"/>
              </w:rPr>
            </w:pPr>
          </w:p>
        </w:tc>
      </w:tr>
      <w:tr>
        <w:trPr>
          <w:trHeight w:val="199"/>
        </w:trPr>
        <w:tc>
          <w:tcPr>
            <w:tcW w:w="620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Total current</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167.0</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145.3</w:t>
            </w:r>
          </w:p>
        </w:tc>
      </w:tr>
      <w:tr>
        <w:trPr>
          <w:trHeight w:val="50"/>
        </w:trPr>
        <w:tc>
          <w:tcPr>
            <w:tcW w:w="606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236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2360" w:type="dxa"/>
            <w:vAlign w:val="bottom"/>
            <w:tcBorders>
              <w:bottom w:val="single" w:sz="8" w:color="7FACB1"/>
            </w:tcBorders>
          </w:tcPr>
          <w:p>
            <w:pPr>
              <w:spacing w:after="0"/>
              <w:rPr>
                <w:sz w:val="4"/>
                <w:szCs w:val="4"/>
                <w:color w:val="auto"/>
              </w:rPr>
            </w:pPr>
          </w:p>
        </w:tc>
      </w:tr>
      <w:tr>
        <w:trPr>
          <w:trHeight w:val="200"/>
        </w:trPr>
        <w:tc>
          <w:tcPr>
            <w:tcW w:w="620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Total non-current</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23.8</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35.5</w:t>
            </w:r>
          </w:p>
        </w:tc>
      </w:tr>
      <w:tr>
        <w:trPr>
          <w:trHeight w:val="50"/>
        </w:trPr>
        <w:tc>
          <w:tcPr>
            <w:tcW w:w="6060" w:type="dxa"/>
            <w:vAlign w:val="bottom"/>
            <w:tcBorders>
              <w:bottom w:val="single" w:sz="8" w:color="005A64"/>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Borders>
              <w:bottom w:val="single" w:sz="8" w:color="BECE33"/>
            </w:tcBorders>
          </w:tcPr>
          <w:p>
            <w:pPr>
              <w:spacing w:after="0"/>
              <w:rPr>
                <w:sz w:val="4"/>
                <w:szCs w:val="4"/>
                <w:color w:val="auto"/>
              </w:rPr>
            </w:pPr>
          </w:p>
        </w:tc>
        <w:tc>
          <w:tcPr>
            <w:tcW w:w="2360" w:type="dxa"/>
            <w:vAlign w:val="bottom"/>
            <w:tcBorders>
              <w:bottom w:val="single" w:sz="8" w:color="BECE33"/>
            </w:tcBorders>
          </w:tcPr>
          <w:p>
            <w:pPr>
              <w:spacing w:after="0"/>
              <w:rPr>
                <w:sz w:val="4"/>
                <w:szCs w:val="4"/>
                <w:color w:val="auto"/>
              </w:rPr>
            </w:pPr>
          </w:p>
        </w:tc>
        <w:tc>
          <w:tcPr>
            <w:tcW w:w="120" w:type="dxa"/>
            <w:vAlign w:val="bottom"/>
            <w:tcBorders>
              <w:bottom w:val="single" w:sz="8" w:color="BECE33"/>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2360" w:type="dxa"/>
            <w:vAlign w:val="bottom"/>
            <w:tcBorders>
              <w:bottom w:val="single" w:sz="8" w:color="005A64"/>
            </w:tcBorders>
          </w:tcPr>
          <w:p>
            <w:pPr>
              <w:spacing w:after="0"/>
              <w:rPr>
                <w:sz w:val="4"/>
                <w:szCs w:val="4"/>
                <w:color w:val="auto"/>
              </w:rPr>
            </w:pPr>
          </w:p>
        </w:tc>
      </w:tr>
    </w:tbl>
    <w:p>
      <w:pPr>
        <w:spacing w:after="0" w:line="360"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As of March 31, 2026, our current provisions included €58.6 million in contractual disputes mainly relating to collaborators regarding, among other things, the interpretation of each party’s obligations or the amounts payable under the respective agreements. There were no changes compared to December 31, 2025.</w:t>
      </w:r>
    </w:p>
    <w:p>
      <w:pPr>
        <w:spacing w:after="0" w:line="231"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As of March 31, 2026, our current provisions included €52.0 million of obligations from onerous contracts, primarily relating to production capacities derived from contracts with contract manufacturing organizations, or CMOs, that became redundant. There were no significant changes compared to December 31, 2025.</w:t>
      </w:r>
    </w:p>
    <w:p>
      <w:pPr>
        <w:spacing w:after="0" w:line="231"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As of March 31, 2026, our provisions included €41.9 million of obligations from restructuring due to pipeline prioritization and mainly are classified as current. Compared to December 31, 2025, the additions (see Note 4.2) exceed the usage of the provision.</w:t>
      </w:r>
    </w:p>
    <w:p>
      <w:pPr>
        <w:spacing w:after="0" w:line="217"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As of March 31, 2026, our current and non-current provisions included €38.3 million in other obligations mainly comprising employee related obligations such as social security costs related to share-based payment programs as well as inventor remunerations and obligations for dismantling/removing. The change compared to December 31, 2025, related mainly to additions.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10. Contingent Liabilities</w:t>
      </w:r>
    </w:p>
    <w:p>
      <w:pPr>
        <w:spacing w:after="0" w:line="190"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Our contingent liabilities include, but are not limited to, intellectual property disputes and contractual disputes regarding, among other things, the interpretation of each party’s obligations or the amounts payable under the respective agreements, product-related disputes, and actions by or on behalf of our shareholders.</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17</w:t>
            </w:r>
          </w:p>
        </w:tc>
      </w:tr>
    </w:tbl>
    <w:p>
      <w:pPr>
        <w:sectPr>
          <w:pgSz w:w="11900" w:h="16838" w:orient="portrait"/>
          <w:cols w:equalWidth="0" w:num="1">
            <w:col w:w="11240"/>
          </w:cols>
          <w:pgMar w:left="320" w:top="388" w:right="339" w:bottom="1440" w:gutter="0" w:footer="0" w:header="0"/>
        </w:sectPr>
      </w:pPr>
    </w:p>
    <w:bookmarkStart w:id="26" w:name="page27"/>
    <w:bookmarkEnd w:id="2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3C9673"/>
        </w:rPr>
        <w:drawing>
          <wp:anchor simplePos="0" relativeHeight="251657728" behindDoc="1" locked="0" layoutInCell="0" allowOverlap="1">
            <wp:simplePos x="0" y="0"/>
            <wp:positionH relativeFrom="page">
              <wp:posOffset>2016760</wp:posOffset>
            </wp:positionH>
            <wp:positionV relativeFrom="page">
              <wp:posOffset>106045</wp:posOffset>
            </wp:positionV>
            <wp:extent cx="222885" cy="6858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C3C3C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20320</wp:posOffset>
            </wp:positionV>
            <wp:extent cx="222885" cy="6858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From time to time, in the normal course and conduct of our business, we may be involved in proceedings with third parties, including proceedings regarding, for example, the use and/or remuneration for use of such third party’s intellectual property. As of March 31, 2026, none of the intellectual property-related considerations outlined below, of which we have either been notified, or for which potential claims could be brought against us or our subsidiaries in the future, fulfill the criteria for recording a provision.</w:t>
      </w:r>
    </w:p>
    <w:p>
      <w:pPr>
        <w:spacing w:after="0" w:line="236"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We are subject to an increasing number of product-related disputes. Our product liability claims often involve highly complex issues related to medical causation, correctness and completeness of product information (Summary of Product Characteristics/package leaflet) as well as label warnings and reliance thereon, scientific evidence and findings, actual and provable defectiveness and injury, and other matters. These complexities vary from matter to matter. As of March 31, 2026, none of these claims fulfill the criteria for recording a provision.</w:t>
      </w:r>
    </w:p>
    <w:p>
      <w:pPr>
        <w:spacing w:after="0" w:line="23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Substantially all of our contingent liabilities are subject to significant uncertainties and, therefore, determining the likelihood of a loss and/or the measurement of any loss can be complex. Consequently, we are unable to estimate the range of reasonably possible loss. Our assessments, which result from a complex series of judgments about future events and uncertainties, are based on estimates and assumptions that have been deemed reasonable by management, but that may prove to be incomplete or inaccurate, and unanticipated events and circumstances may occur that might cause us to change those estimates and assumptions. We currently do not believe that any of these matters will have a material adverse effect on our financial position, and will continue to monitor the status of these and other claims that may arise. However, we could incur judgments, enter into settlements or revise our expectations regarding the outcome of matters, which could have a material adverse effect on our results of operations and/or our cash flows in the period in which the amounts are accrued or paid. We will continue to evaluate whether, if circumstances were to change in the future, the recording of a provision may be needed and whether potential indemnification entitlements exist against any such claim.</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Certain pending matters to which we are a party are discussed below.</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Moderna Proceedings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Germany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Infringement Proceedings – EP’949 and EP’565</w:t>
      </w:r>
    </w:p>
    <w:p>
      <w:pPr>
        <w:spacing w:after="0" w:line="148"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In August 2022, Moderna filed a lawsuit against us and Pfizer and our wholly owned subsidiaries, BioNTech Manufacturing GmbH, BioNTech Europe GmbH and BioNTech Manufacturing Marburg GmbH, Pfizer Manufacturing Belgium NV, Pfizer Ireland Pharmaceuticals and Pfizer Inc. in the Düsseldorf Regional Court alleging Comirnaty’s infringement of two European patents, 3590949B1, or EP’949, and 3718565B1, or EP’565. With respect to EP’565, on November 7, 2023, the Opposition Division of the EPO revoked EP’565 after a one-day oral hearing held in the co-pending opposition proceeding, and on December 7, 2023, it issued the written decision revoking EP’565. On February 7, 2024, Moderna appealed the Opposition Division’s revocation decision on EP’565. An oral hearing on Moderna’s appeal was held on January 27, 2026, and at the conclusion of this hearing, the Technical Boards of Appeal affirmed the revocation of EP’565. With respect to EP’949, on December 8, 2023, the Opposition Division issued a preliminary opinion noting that it believes EP’949 is likely invalid. As a result of those developments in the EPO proceedings, the Düsseldorf Regional Court postponed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18</w:t>
            </w:r>
          </w:p>
        </w:tc>
      </w:tr>
    </w:tbl>
    <w:p>
      <w:pPr>
        <w:sectPr>
          <w:pgSz w:w="11900" w:h="16838" w:orient="portrait"/>
          <w:cols w:equalWidth="0" w:num="1">
            <w:col w:w="11240"/>
          </w:cols>
          <w:pgMar w:left="320" w:top="388" w:right="339" w:bottom="1440" w:gutter="0" w:footer="0" w:header="0"/>
        </w:sectPr>
      </w:pPr>
    </w:p>
    <w:bookmarkStart w:id="27" w:name="page28"/>
    <w:bookmarkEnd w:id="2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3C9673"/>
        </w:rPr>
        <w:drawing>
          <wp:anchor simplePos="0" relativeHeight="251657728" behindDoc="1" locked="0" layoutInCell="0" allowOverlap="1">
            <wp:simplePos x="0" y="0"/>
            <wp:positionH relativeFrom="page">
              <wp:posOffset>2016760</wp:posOffset>
            </wp:positionH>
            <wp:positionV relativeFrom="page">
              <wp:posOffset>106045</wp:posOffset>
            </wp:positionV>
            <wp:extent cx="222885" cy="6858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C3C3C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20320</wp:posOffset>
            </wp:positionV>
            <wp:extent cx="222885" cy="6858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hearing on infringement with respect to EP’949, originally scheduled for December 12, 2023, to January 21, 2025. On May 16, 2024, the EPO Opposition Division decided that EP’949 is valid, in amended form, and issued its written decision regarding the same on July 8, 2024. We appealed this decision, and the appeal is currently pending, with an oral hearing scheduled for September 2026. The Düsseldorf Regional Court held an infringement hearing on January 21, 2025, and on March 5, 2025, it issued a first-instance decision declining to stay the infringement proceedings and finding infringement of EP’949 by us and Pfizer. We and Pfizer have appealed the Düsseldorf Regional Court’s infringement decision, and the appeal is currently pending. The court has not ruled on the invalidity of EP’949, which will be decided in a next step by the EPO in the opposition appeal proceedings. Moderna has not yet taken steps to enforce the Düsseldorf Regional Court’s first-instance decision on infringement.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United Kingdom</w:t>
      </w:r>
    </w:p>
    <w:p>
      <w:pPr>
        <w:spacing w:after="0" w:line="166"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8"/>
          <w:szCs w:val="18"/>
          <w:color w:val="080509"/>
        </w:rPr>
        <w:t>In August 2022, Moderna filed a lawsuit asserting Comirnaty’s infringement of EP’949 and EP’565 against us and our wholly owned subsidiaries, BioNTech Manufacturing GmbH, BioNTech Europe GmbH and BioNTech Manufacturing Marburg GmbH, and Pfizer Limited, Pfizer Manufacturing Belgium NV and Pfizer Inc. in the Business and Property Courts of England and Wales, in the UK High Court. In September 2022, we and Pfizer filed a revocation action in the Business and Property Courts of England and Wales requesting revocation of EP’949 and EP’565.</w:t>
      </w:r>
    </w:p>
    <w:p>
      <w:pPr>
        <w:spacing w:after="0" w:line="200" w:lineRule="exact"/>
        <w:rPr>
          <w:sz w:val="20"/>
          <w:szCs w:val="20"/>
          <w:color w:val="auto"/>
        </w:rPr>
      </w:pPr>
    </w:p>
    <w:p>
      <w:pPr>
        <w:spacing w:after="0" w:line="295"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The UK High Court held a trial between April 22, 2024, and May 21, 2024. On July 2, 2024, the UK High Court released two judgments. The first judgment concerns the validity of EP’949 and EP’565. In this first judgment, the UK High Court found that EP’565 is invalid and therefore not infringed, while EP’949 is valid and infringed. The second judgment concerns whether Moderna’s October 2020 commitment not to “enforce [its] COVID-19 related patents against those making vaccines intended to combat the pandemic,” or the Patent Pledge, amounted to a consent under UK law to carry out any acts that would otherwise amount to patent infringement. With respect to this judgment, the UK High Court found that Moderna’s Patent Pledge amounted to consent to carry out activities that might otherwise infringe its patents prior to March 2022, but not after March 2022.</w:t>
      </w:r>
    </w:p>
    <w:p>
      <w:pPr>
        <w:spacing w:after="0" w:line="200" w:lineRule="exact"/>
        <w:rPr>
          <w:sz w:val="20"/>
          <w:szCs w:val="20"/>
          <w:color w:val="auto"/>
        </w:rPr>
      </w:pPr>
    </w:p>
    <w:p>
      <w:pPr>
        <w:spacing w:after="0" w:line="304"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The UK High Court held a hearing on September 25, 2024, during which the Court granted Pfizer and BioNTech permission to appeal its judgment regarding the validity of EP’949, and declined Moderna’s permission to appeal its judgment regarding validity of EP’565. On October 16, 2024, Moderna sought permission from the UK Appeals Court to appeal the EP’565 judgment. On November 11, 2024, the UK Appeals Court denied Moderna’s application to appeal; accordingly, the UK designation of EP’565 is finally revoked with no further opportunity to appeal in UK. No party sought permission to appeal the UK High Court’s judgment on the patent pledge.</w:t>
      </w:r>
    </w:p>
    <w:p>
      <w:pPr>
        <w:spacing w:after="0" w:line="240"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The UK Court of Appeal held an oral hearing on the appeal of EP’949 on July 10-11, 2025. On August 1, 2025, the UK Court of Appeal issued a judgment agreeing with the UK High Court that EP‘949 is valid, and dismissed our appeal. We applied for permission to appeal this decision to the UK Supreme Court, and on December 8, 2025, the UK Supreme Court denied permission to appeal. Accordingly, the UK designation of EP‘949 is valid and infringed. However, Moderna has not yet taken steps to enforce this final judgment on infringement. Additionally, EP‘949 is currently subject to opposition proceedings at the EPO. The Opposition Division initially issued a preliminary opinion noting that EP‘949 is invalid, but in May 2024, issued a first-instance decision finding EP‘949 valid. BioNTech and Pfizer appealed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19</w:t>
            </w:r>
          </w:p>
        </w:tc>
      </w:tr>
    </w:tbl>
    <w:p>
      <w:pPr>
        <w:sectPr>
          <w:pgSz w:w="11900" w:h="16838" w:orient="portrait"/>
          <w:cols w:equalWidth="0" w:num="1">
            <w:col w:w="11240"/>
          </w:cols>
          <w:pgMar w:left="320" w:top="388" w:right="339" w:bottom="1440" w:gutter="0" w:footer="0" w:header="0"/>
        </w:sectPr>
      </w:pPr>
    </w:p>
    <w:bookmarkStart w:id="28" w:name="page29"/>
    <w:bookmarkEnd w:id="2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3C9673"/>
        </w:rPr>
        <w:drawing>
          <wp:anchor simplePos="0" relativeHeight="251657728" behindDoc="1" locked="0" layoutInCell="0" allowOverlap="1">
            <wp:simplePos x="0" y="0"/>
            <wp:positionH relativeFrom="page">
              <wp:posOffset>2016760</wp:posOffset>
            </wp:positionH>
            <wp:positionV relativeFrom="page">
              <wp:posOffset>106045</wp:posOffset>
            </wp:positionV>
            <wp:extent cx="222885" cy="6858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C3C3C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20320</wp:posOffset>
            </wp:positionV>
            <wp:extent cx="222885" cy="6858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first-instance decision, which is currently pending. The oral hearing in this appeal is scheduled for September 2026.</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U.S. District Court Litigation</w:t>
      </w:r>
    </w:p>
    <w:p>
      <w:pPr>
        <w:spacing w:after="0" w:line="148"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In August 2022, Moderna filed a lawsuit in the U.S. District Court for the District of Massachusetts against us and our wholly owned subsidiaries BioNTech Manufacturing GmbH and BioNTech US Inc. and Pfizer Inc. alleging Comirnaty’s infringement of U.S. Patent Nos. 10,898,574; 10,702,600 and 10,933,127 and seeking monetary relief. On April 12, 2024, the U.S. District Court for the District of Massachusetts stayed the litigation pending resolution of the inter partes review of U.S. Patent Nos. 10,702,600 and 10,933,127.</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Inter Partes Review</w:t>
      </w:r>
    </w:p>
    <w:p>
      <w:pPr>
        <w:spacing w:after="0" w:line="135"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In August 2023, Pfizer and we filed petitions seeking inter partes review of U.S. Patent Nos. 10,702,600 and 10,933,127 before the United States Patent Trial and Appeal Board, or the PTAB. On March 6, 2024, the PTAB issued decisions instituting inter partes review proceedings on all challenged claims of U.S. Patent Nos. 10,702,600 and 10,933,127. An oral hearing on the merits occurred on December 10, 2024. On March 5, 2025, the PTAB found all challenged claims of Moderna’s U.S. Patent Nos. 10,933,127 and 10,702,600 to be unpatentable and thus invalid. Moderna appealed this decision, and the appeal is pending.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Netherlands</w:t>
      </w:r>
    </w:p>
    <w:p>
      <w:pPr>
        <w:spacing w:after="0" w:line="16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In September 2022, Moderna filed a lawsuit against us and our wholly owned subsidiary BioNTech Manufacturing GmbH and Pfizer B.V., Pfizer Export B.V., C.P. Pharmaceuticals International C.V. and Pfizer Inc. in the District Court of The Hague alleging Comirnaty’s infringement of EP’949 and EP’565. The District Court of the Hague held a hearing on October 6, 2023, on infringement and validity with respect to EP’949. On December 6, 2023, the Court found EP’949 to be invalid. On March 5, 2024, Moderna appealed this decision, and the appeal is pending. A hearing on the EP’949 appeal occurred on September 22, 2025, with a decision expected around May 2026. The infringement proceedings with respect to EP’565 have been withdrawn and therefore dismissed, following the EPO’s final revocation of EP’565 in January 2026.</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Ireland</w:t>
      </w:r>
    </w:p>
    <w:p>
      <w:pPr>
        <w:spacing w:after="0" w:line="166"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In May 2023, Moderna filed a lawsuit against us and our wholly owned subsidiary BioNTech Manufacturing GmbH, Pfizer Inc., Pfizer Healthcare Ireland, Pfizer Ireland Pharmaceuticals, and C.P. Pharmaceuticals International C.V. alleging Comirnaty’s infringement of EP’949 and EP’565 in the High Court of Ireland. On February 26, 2024, the High Court of Ireland stayed the lawsuit pending the final determination of the EPO opposition proceedings for EP’949 and EP’565 (in each case including any appeals).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Belgium</w:t>
      </w:r>
    </w:p>
    <w:p>
      <w:pPr>
        <w:spacing w:after="0" w:line="166"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In May 2023, Moderna filed a lawsuit against us, our wholly owned subsidiary BioNTech Manufacturing GmbH, Pfizer Inc. and Pfizer Manufacturing Belgium alleging Comirnaty’s infringement of EP’949 and EP’565 in the Brussels Dutch-speaking Enterprise Court. On May 29, 2024, the parties filed a joint request to stay the proceedings, which was entered by the Court.</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20</w:t>
            </w:r>
          </w:p>
        </w:tc>
      </w:tr>
    </w:tbl>
    <w:p>
      <w:pPr>
        <w:sectPr>
          <w:pgSz w:w="11900" w:h="16838" w:orient="portrait"/>
          <w:cols w:equalWidth="0" w:num="1">
            <w:col w:w="11240"/>
          </w:cols>
          <w:pgMar w:left="320" w:top="388" w:right="339" w:bottom="1440" w:gutter="0" w:footer="0" w:header="0"/>
        </w:sectPr>
      </w:pPr>
    </w:p>
    <w:bookmarkStart w:id="29" w:name="page30"/>
    <w:bookmarkEnd w:id="2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3C9673"/>
        </w:rPr>
        <w:drawing>
          <wp:anchor simplePos="0" relativeHeight="251657728" behindDoc="1" locked="0" layoutInCell="0" allowOverlap="1">
            <wp:simplePos x="0" y="0"/>
            <wp:positionH relativeFrom="page">
              <wp:posOffset>2016760</wp:posOffset>
            </wp:positionH>
            <wp:positionV relativeFrom="page">
              <wp:posOffset>106045</wp:posOffset>
            </wp:positionV>
            <wp:extent cx="222885" cy="6858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C3C3C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20320</wp:posOffset>
            </wp:positionV>
            <wp:extent cx="222885" cy="6858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All of the above proceedings are currently pending.</w:t>
      </w:r>
    </w:p>
    <w:p>
      <w:pPr>
        <w:spacing w:after="0" w:line="333"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each of the patents and intend to vigorously defend ourselves in the proceedings mentioned above. However, our analysis of Moderna’s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Arbutus and Genevant Proceedings</w:t>
      </w:r>
    </w:p>
    <w:p>
      <w:pPr>
        <w:spacing w:after="0" w:line="179"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In April 2023, Arbutus Biopharma Corp., or Arbutus, and Genevant Sciences GmbH, or Genevant, filed a lawsuit against Pfizer and us in the U.S. District Court for the District of New Jersey alleging that Pfizer and we have infringed the following patents owned by Arbutus: U.S. Patent Nos. 9,504,651; 8,492,359; 11,141,378; 11,298,320; and 11,318,098, through the use of Genevant’s lipid nanoparticle technology and methods for producing such lipids in Comirnaty, and seeking monetary relief. This proceeding is currently pending.</w:t>
      </w:r>
    </w:p>
    <w:p>
      <w:pPr>
        <w:spacing w:after="0" w:line="236"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each of the patents and intend to vigorously defend ourselves in the lawsuit mentioned above. However, our analysis of Arbutus and Genevant’s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GlaxoSmithKline Proceedings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United States</w:t>
      </w:r>
    </w:p>
    <w:p>
      <w:pPr>
        <w:spacing w:after="0" w:line="28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In April 2024, GlaxoSmithKline Biologicals SA and GlaxoSmithKline LLC, or GSK, filed a lawsuit against Pfizer and us and our wholly owned subsidiaries BioNTech Manufacturing GmbH and BioNTech US Inc. in the U.S. District Court for the District of Delaware alleging that the cationic lipid used in Comirnaty infringes U.S. Patent Nos. 11,638,693; 11,638,694; 11,666,534; 11,766,401; and 11,786,467; and seeking monetary relief. On August 14, 2024, GSK filed an amended complaint to assert infringement of three additional patents, U.S. Patent Nos. 11,759,422; 11,655,475; and 11,851,660. A trial is scheduled to occur in June 2027. This proceeding is currently pending.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Ireland</w:t>
      </w:r>
    </w:p>
    <w:p>
      <w:pPr>
        <w:spacing w:after="0" w:line="153"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In July 2025, GlaxoSmithKline Biologicals SA filed a lawsuit against our wholly owned subsidiary BioNTech Manufacturing GmbH, Pfizer Ireland Pharmaceuticals Unlimited Company, and Pfizer Healthcare Ireland Unlimited Company, alleging Comirnaty’s infringement of European Patent Nos. 2,590,626, 4,066,856, and 4,226,941 in the High Court of Ireland. This proceeding is currently pending.</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21</w:t>
            </w:r>
          </w:p>
        </w:tc>
      </w:tr>
    </w:tbl>
    <w:p>
      <w:pPr>
        <w:sectPr>
          <w:pgSz w:w="11900" w:h="16838" w:orient="portrait"/>
          <w:cols w:equalWidth="0" w:num="1">
            <w:col w:w="11240"/>
          </w:cols>
          <w:pgMar w:left="320" w:top="388" w:right="339" w:bottom="1440" w:gutter="0" w:footer="0" w:header="0"/>
        </w:sectPr>
      </w:pPr>
    </w:p>
    <w:bookmarkStart w:id="30" w:name="page31"/>
    <w:bookmarkEnd w:id="3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3C9673"/>
        </w:rPr>
        <w:drawing>
          <wp:anchor simplePos="0" relativeHeight="251657728" behindDoc="1" locked="0" layoutInCell="0" allowOverlap="1">
            <wp:simplePos x="0" y="0"/>
            <wp:positionH relativeFrom="page">
              <wp:posOffset>2016760</wp:posOffset>
            </wp:positionH>
            <wp:positionV relativeFrom="page">
              <wp:posOffset>106045</wp:posOffset>
            </wp:positionV>
            <wp:extent cx="222885" cy="6858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C3C3C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20320</wp:posOffset>
            </wp:positionV>
            <wp:extent cx="222885" cy="6858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Unified Patent Court</w:t>
      </w:r>
    </w:p>
    <w:p>
      <w:pPr>
        <w:spacing w:after="0" w:line="166"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In July 2025, GlaxoSmithKline Biologicals SA filed two lawsuits against BioNTech SE, BioNTech Europe GmbH, BioNTech Manufacturing GmbH, and BioNTech Manufacturing Marburg GmbH, as well as 26 Pfizer entities, in the Unified Patent Court (Hague Division). In the first lawsuit, GSK alleges Comirnaty’s infringement of European Patent No. 2,590,626, or EP’626, and in the second lawsuit, GSK alleges Comirnaty’s infringement of European Patent Nos. 4,066,856, or EP’856, and 4,226,941, or EP’941. Oral hearings wherein the UPC will hear the parties’ arguments regarding infringement and invalidity of EP’626, EP’856, and EP’941 have been scheduled for September/October 2026. This proceeding is currently pending.</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United Kingdom</w:t>
      </w:r>
    </w:p>
    <w:p>
      <w:pPr>
        <w:spacing w:after="0" w:line="166"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8"/>
          <w:szCs w:val="18"/>
          <w:color w:val="080509"/>
        </w:rPr>
        <w:t>In September 2025, we and Pfizer filed a revocation action against GlaxoSmithKline Biologics S.A. in the Business and Property Courts of England and Wales, in the U.K. High Court, requesting revocation of European Patent Nos. 2,590,626, 4,066,856, and 4,226,941. On October 7, 2025, GSK filed a defense and counterclaim for infringement against BioNTech SE and BioNTech Manufacturing GmbH, alleging Comirnaty’s infringement of European Patent Nos. 2,590,626, 4,066,856, and 4,226,941. A trial has been scheduled for February 2027. This proceeding is currently pending.</w:t>
      </w:r>
    </w:p>
    <w:p>
      <w:pPr>
        <w:spacing w:after="0" w:line="200" w:lineRule="exact"/>
        <w:rPr>
          <w:sz w:val="20"/>
          <w:szCs w:val="20"/>
          <w:color w:val="auto"/>
        </w:rPr>
      </w:pPr>
    </w:p>
    <w:p>
      <w:pPr>
        <w:spacing w:after="0" w:line="295"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each of the patents and intend to vigorously defend ourselves in the lawsuit mentioned above. However, our analysis of GlaxoSmithKline’s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March 31, 2026. However, it is currently impractical for us to estimate with sufficient reliability the respective contingent liabilities.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Promosome Proceedings</w:t>
      </w:r>
    </w:p>
    <w:p>
      <w:pPr>
        <w:spacing w:after="0" w:line="179"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8"/>
          <w:szCs w:val="18"/>
          <w:color w:val="080509"/>
        </w:rPr>
        <w:t>In January 2025, Promosome LLC, or Promosome, filed a lawsuit against us and Pfizer in the Unified Patent Court, or UPC, Munich Division, alleging that Comirnaty infringes European Patent No. 2,401,365 and seeking monetary relief. An oral hearing wherein the UPC will hear the parties’ arguments regarding infringement and invalidity has been scheduled for May 12-13, 2026. This proceeding is currently pending.</w:t>
      </w:r>
    </w:p>
    <w:p>
      <w:pPr>
        <w:spacing w:after="0" w:line="200" w:lineRule="exact"/>
        <w:rPr>
          <w:sz w:val="20"/>
          <w:szCs w:val="20"/>
          <w:color w:val="auto"/>
        </w:rPr>
      </w:pPr>
    </w:p>
    <w:p>
      <w:pPr>
        <w:spacing w:after="0" w:line="286"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the patent and intend to vigorously defend ourselves in the lawsuit mentioned above. However, our analysis of Promosome’s claim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this matter constitutes a contingent liability as of the balance sheet date. However, it is currently impractical for us to estimate with sufficient reliability the contingent liability.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Bayer/Monsanto Proceedings</w:t>
      </w:r>
    </w:p>
    <w:p>
      <w:pPr>
        <w:spacing w:after="0" w:line="179"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In January 2026, Bayer CropScience LLC, Monsanto Company, and Monsanto Technology, LLC, or collectively, Bayer, filed a lawsuit against us and Pfizer in the United States District Court for the District of Delaware, alleging that Comirnaty infringes U.S. Patent No. 7,741,118 and seeking monetary relief. This proceeding is currently pending.</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22</w:t>
            </w:r>
          </w:p>
        </w:tc>
      </w:tr>
    </w:tbl>
    <w:p>
      <w:pPr>
        <w:sectPr>
          <w:pgSz w:w="11900" w:h="16838" w:orient="portrait"/>
          <w:cols w:equalWidth="0" w:num="1">
            <w:col w:w="11240"/>
          </w:cols>
          <w:pgMar w:left="320" w:top="388" w:right="339" w:bottom="1440" w:gutter="0" w:footer="0" w:header="0"/>
        </w:sectPr>
      </w:pPr>
    </w:p>
    <w:bookmarkStart w:id="31" w:name="page32"/>
    <w:bookmarkEnd w:id="3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3C9673"/>
        </w:rPr>
        <w:drawing>
          <wp:anchor simplePos="0" relativeHeight="251657728" behindDoc="1" locked="0" layoutInCell="0" allowOverlap="1">
            <wp:simplePos x="0" y="0"/>
            <wp:positionH relativeFrom="page">
              <wp:posOffset>2016760</wp:posOffset>
            </wp:positionH>
            <wp:positionV relativeFrom="page">
              <wp:posOffset>106045</wp:posOffset>
            </wp:positionV>
            <wp:extent cx="222885" cy="6858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C3C3C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20320</wp:posOffset>
            </wp:positionV>
            <wp:extent cx="222885" cy="6858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the patent and intend to vigorously defend ourselves in the lawsuit mentioned above. However, our analysis of Bayer’s claim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this matter constitutes a contingent liability as of March 31, 2026. However, it is currently impractical for us to estimate with sufficient reliability the contingent liability.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11. Related Party Disclosures</w:t>
      </w:r>
    </w:p>
    <w:p>
      <w:pPr>
        <w:spacing w:after="0" w:line="203" w:lineRule="exact"/>
        <w:rPr>
          <w:sz w:val="20"/>
          <w:szCs w:val="20"/>
          <w:color w:val="auto"/>
        </w:rPr>
      </w:pPr>
    </w:p>
    <w:p>
      <w:pPr>
        <w:jc w:val="both"/>
        <w:ind w:right="20"/>
        <w:spacing w:after="0" w:line="322" w:lineRule="auto"/>
        <w:rPr>
          <w:sz w:val="20"/>
          <w:szCs w:val="20"/>
          <w:color w:val="auto"/>
        </w:rPr>
      </w:pPr>
      <w:r>
        <w:rPr>
          <w:rFonts w:ascii="Times New Roman" w:cs="Times New Roman" w:eastAsia="Times New Roman" w:hAnsi="Times New Roman"/>
          <w:sz w:val="18"/>
          <w:szCs w:val="18"/>
          <w:color w:val="080509"/>
        </w:rPr>
        <w:t>ATHOS KG, Holzkirchen, Germany is the sole shareholder of AT Impf GmbH, Munich, Germany and a beneficial owner of our ordinary shares. Entities controlled by ATHOS KG mainly provide rental and property management activities and sell property, plant and equipment to us. The total amount of transactions with ATHOS KG or entities controlled by them had no significant impact on our unaudited interim condensed consolidated financial statements as of and for the three months ended March 31, 2026, compared to the details disclosed in Note 21 to our audited consolidated financial statements included in our Annual Report on Form 20-F as of and for the year ended December 31, 2025.</w:t>
      </w:r>
    </w:p>
    <w:p>
      <w:pPr>
        <w:spacing w:after="0" w:line="200" w:lineRule="exact"/>
        <w:rPr>
          <w:sz w:val="20"/>
          <w:szCs w:val="20"/>
          <w:color w:val="auto"/>
        </w:rPr>
      </w:pPr>
    </w:p>
    <w:p>
      <w:pPr>
        <w:spacing w:after="0" w:line="301"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Members of the Management Board and the Supervisory Board of BioNTech SE are related parties as key management personnel having authority and responsibility for planning, directing, and controlling the activities of BioNTech SE directly or indirectly. The total amount of transactions with related parties had no significant impact on our unaudited interim condensed consolidated financial statements as of and for the three months ended March 31, 2026, compared to the details disclosed in Note 21 to our audited consolidated financial statements included in our Annual Report on Form 20-F as of and for the year ended December 31,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12. Events after the Reporting Period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Planned Capital Return to Shareholders</w:t>
      </w:r>
    </w:p>
    <w:p>
      <w:pPr>
        <w:spacing w:after="0" w:line="179"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The Management Board and Supervisory Board expect to authorize a share repurchase program of BioNTech’s ADSs, pursuant to which the Company may repurchase ADSs in the amount of up to $1.0 billion over the next twelve months. We expect to use the repurchased ADSs to satisfy obligations in the ordinary course of business, including settlements under our share-based payment arrangements. The program is designed to enhance capital efficiency and support long-term value creation to execute our objective to become a multi-product company by 2030.</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Manufacturing Footprint Consolidation</w:t>
      </w:r>
    </w:p>
    <w:p>
      <w:pPr>
        <w:spacing w:after="0" w:line="179"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We continue to allocate capital strategically while optimizing capacities broadly to drive operational efficiency and sustainable value creation. To this end, we plan to align and consolidate our manufacturing network further where excess capacity is expected, due to evolving supply needs, mergers and acquisitions, our partners’ manufacturing capacities and completion of contracts.</w:t>
      </w:r>
    </w:p>
    <w:p>
      <w:pPr>
        <w:spacing w:after="0" w:line="231"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We plan to exit operations at the manufacturing sites in Idar-Oberstein, Marburg, and Singapore as well as CureVac’s sites, affecting up to approximately 1,860 positions in total. The exit from the manufacturing sites in Idar-Oberstein, Marburg as well as CureVac’s sites in Germany and abroad,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23</w:t>
            </w:r>
          </w:p>
        </w:tc>
      </w:tr>
    </w:tbl>
    <w:p>
      <w:pPr>
        <w:sectPr>
          <w:pgSz w:w="11900" w:h="16838" w:orient="portrait"/>
          <w:cols w:equalWidth="0" w:num="1">
            <w:col w:w="11240"/>
          </w:cols>
          <w:pgMar w:left="320" w:top="388" w:right="339" w:bottom="1440" w:gutter="0" w:footer="0" w:header="0"/>
        </w:sectPr>
      </w:pPr>
    </w:p>
    <w:bookmarkStart w:id="32" w:name="page33"/>
    <w:bookmarkEnd w:id="3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3C9673"/>
        </w:rPr>
        <w:drawing>
          <wp:anchor simplePos="0" relativeHeight="251657728" behindDoc="1" locked="0" layoutInCell="0" allowOverlap="1">
            <wp:simplePos x="0" y="0"/>
            <wp:positionH relativeFrom="page">
              <wp:posOffset>2016760</wp:posOffset>
            </wp:positionH>
            <wp:positionV relativeFrom="page">
              <wp:posOffset>106045</wp:posOffset>
            </wp:positionV>
            <wp:extent cx="222885" cy="6858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C3C3C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20320</wp:posOffset>
            </wp:positionV>
            <wp:extent cx="222885" cy="6858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planned by the end of 2027, while operations in Singapore are expected to conclude in Q1 2027. For each manufacturing site, we are exploring divestment options, including a partial or total sale.</w:t>
      </w:r>
    </w:p>
    <w:p>
      <w:pPr>
        <w:spacing w:after="0" w:line="217"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In addition, we plan to exit operations of our wholly owned subsidiary JPT Peptide Technologies GmbH (“JPT”) by end of 2026, affecting up to approximately 140 positions, given the sharpened focus on our growing late-stage oncology pipeline. JPT is a contract manufacturing company specializing in peptide-based products and services.</w:t>
      </w:r>
    </w:p>
    <w:p>
      <w:pPr>
        <w:spacing w:after="0" w:line="231"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While we expect exit costs in relation to the measures, we anticipate cost savings to ramp up over time, potentially resulting in recurring annual savings upon full implementation of the measures in 2029. These savings are intended to support our capital allocation to further advance our growing oncology pipeline toward commercialization.</w:t>
      </w:r>
    </w:p>
    <w:p>
      <w:pPr>
        <w:spacing w:after="0" w:line="231"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We continue to ensure a robust drug supply via our established manufacturing network. No impact on commercial or clinical supply nor contractual obligations is expected as the affected sites will become underutilized or idle in the next 24 months.</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24</w:t>
            </w:r>
          </w:p>
        </w:tc>
      </w:tr>
    </w:tbl>
    <w:p>
      <w:pPr>
        <w:sectPr>
          <w:pgSz w:w="11900" w:h="16838" w:orient="portrait"/>
          <w:cols w:equalWidth="0" w:num="1">
            <w:col w:w="11220"/>
          </w:cols>
          <w:pgMar w:left="320" w:top="388" w:right="359" w:bottom="1440" w:gutter="0" w:footer="0" w:header="0"/>
        </w:sectPr>
      </w:pPr>
    </w:p>
    <w:bookmarkStart w:id="33" w:name="page34"/>
    <w:bookmarkEnd w:id="3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107072"/>
        </w:rPr>
        <w:t>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In this report, unless stated or the context otherwise requires, references to the “Company”, “BioNTech”, “Group”, “we”, “us” and “our” refer to BioNTech SE and its consolidated subsidiaries. The following “Operating and Financial Review and Prospects” should be read together with the unaudited interim condensed consolidated financial statements and related notes as presented above. The following discussion is based on our financial information prepared in accordance with the IFRS Accounting Standards, or IFRS, as issued by the International Accounting Standards Board, which may differ in material respects from generally accepted accounting principles in other jurisdictions, including U.S. GAAP.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in the “Risk Factors” section further below. Please also see “Forward-Looking Statements” included elsewhere in this quarterly report for the three months ended March 31, 2026.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Operating Results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Overview</w:t>
      </w:r>
    </w:p>
    <w:p>
      <w:pPr>
        <w:spacing w:after="0" w:line="165" w:lineRule="exact"/>
        <w:rPr>
          <w:sz w:val="20"/>
          <w:szCs w:val="20"/>
          <w:color w:val="auto"/>
        </w:rPr>
      </w:pPr>
    </w:p>
    <w:p>
      <w:pPr>
        <w:jc w:val="both"/>
        <w:ind w:right="20"/>
        <w:spacing w:after="0" w:line="322" w:lineRule="auto"/>
        <w:rPr>
          <w:sz w:val="20"/>
          <w:szCs w:val="20"/>
          <w:color w:val="auto"/>
        </w:rPr>
      </w:pPr>
      <w:r>
        <w:rPr>
          <w:rFonts w:ascii="Times New Roman" w:cs="Times New Roman" w:eastAsia="Times New Roman" w:hAnsi="Times New Roman"/>
          <w:sz w:val="18"/>
          <w:szCs w:val="18"/>
          <w:color w:val="080509"/>
        </w:rPr>
        <w:t>We are a global next-generation immunotherapy company aiming to pioneer novel medicines against cancer, infectious diseases and other serious diseases. Since our founding in 2008, we have focused on harnessing the power of the immune system to address human diseases with unmet medical needs and major global health burdens. Our fully integrated model combines decades of research in immunology with a multi-technology innovation engine, GMP manufacturing, translational drug discovery, clinical development, commercial capabilities, computational medicine, data science and artificial intelligence, or AI, and machine learning, or ML, capabilities to discover, develop and commercialize our marketed product and product candidates.</w:t>
      </w:r>
    </w:p>
    <w:p>
      <w:pPr>
        <w:spacing w:after="0" w:line="200" w:lineRule="exact"/>
        <w:rPr>
          <w:sz w:val="20"/>
          <w:szCs w:val="20"/>
          <w:color w:val="auto"/>
        </w:rPr>
      </w:pPr>
    </w:p>
    <w:p>
      <w:pPr>
        <w:spacing w:after="0" w:line="301"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We have built a broad toolkit across multiple technology platforms, including a diverse range of potentially first-in-class therapeutic approaches. This includes investigational messenger ribonucleic acid, or mRNA immunotherapies and protein-based therapeutics (including targeted antibodies such as monoclonal, bispecific and antibody-drug conjugates, or ADCs).</w:t>
      </w:r>
    </w:p>
    <w:p>
      <w:pPr>
        <w:spacing w:after="0" w:line="231"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Our multi-technology combination of platforms and product candidates aims to position us as pioneers in the field of individualized, patient-centric therapeutic approaches in oncology and infectious diseases. We believe that by combining complementary treatment modalities, we can leverage the potential of each technology to provide precise and personalized treatments to patients. Such treatments, if approved, could both increase the likelihood of therapeutic success and reduce the risk of therapeutic resistance.</w:t>
      </w:r>
    </w:p>
    <w:p>
      <w:pPr>
        <w:spacing w:after="0" w:line="23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Our primary focus is oncology, where we endeavor to address the full continuum of cancer from early to late disease stages. The root causes of cancer treatment failure are cancer heterogeneity and interindividual variability. Driven by random sequential mutations, every patient’s cancer is different and within one patient’s tumor, every cell is different. Addressing these two challenges is the core of</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25</w:t>
            </w:r>
          </w:p>
        </w:tc>
      </w:tr>
    </w:tbl>
    <w:p>
      <w:pPr>
        <w:sectPr>
          <w:pgSz w:w="11900" w:h="16838" w:orient="portrait"/>
          <w:cols w:equalWidth="0" w:num="1">
            <w:col w:w="11240"/>
          </w:cols>
          <w:pgMar w:left="320" w:top="388" w:right="339" w:bottom="1440" w:gutter="0" w:footer="0" w:header="0"/>
        </w:sectPr>
      </w:pPr>
    </w:p>
    <w:bookmarkStart w:id="34" w:name="page35"/>
    <w:bookmarkEnd w:id="3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our strategy. To augment anti-tumor activity and to counteract resistance mechanisms, we seek to combine compounds with non-overlapping, potentially synergistic mechanisms of action.</w:t>
      </w:r>
    </w:p>
    <w:p>
      <w:pPr>
        <w:spacing w:after="0" w:line="217"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In infectious diseases, our goal is to develop vaccines and therapeutics caused by respiratory viruses, latent viruses, bacteria and parasites. We believe our scientific approach and our mRNA technology have the potential to significantly contribute to the fight against global health threats caused by infectious diseases. We have pursued both strategic partnerships and corporate collaborations to partially fund our infectious disease global health programs and aim to continue to do so. Our infectious disease programs aim to contribute to equitable access to innovative vaccines for high medical need indications.</w:t>
      </w:r>
    </w:p>
    <w:p>
      <w:pPr>
        <w:spacing w:after="0" w:line="200" w:lineRule="exact"/>
        <w:rPr>
          <w:sz w:val="20"/>
          <w:szCs w:val="20"/>
          <w:color w:val="auto"/>
        </w:rPr>
      </w:pPr>
    </w:p>
    <w:p>
      <w:pPr>
        <w:spacing w:after="0" w:line="295"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 xml:space="preserve">Our approach has generated a robust and diversified product candidate pipeline across a range of technologies in oncology and infectious disease, and has led to the approval of our first marketed pharmaceutical product,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Innovation is at the core of our company, and we see potential for our technologies to expand beyond oncology and infectious diseases.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Environmental, Social, and Governance (ESG)</w:t>
      </w:r>
    </w:p>
    <w:p>
      <w:pPr>
        <w:spacing w:after="0" w:line="179"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BioNTech was founded out of a responsibility to patients and to society and this is still the vision that drives the Company. It gives grounds for our enhanced responsibility: for translating the Company’s science into the health of people worldwide and contributing to equitable access to vaccines, for environmental and climate protection, for respecting human rights and for fostering the full potential of all employees. We recognize our responsibility as a corporate citizen and are committed to supporting our local communities and beyond through donations, sponsorships and volunteer activities.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Our performance on environmental, social, and governance matters is regularly assessed by external rating agencies.</w:t>
      </w:r>
    </w:p>
    <w:p>
      <w:pPr>
        <w:spacing w:after="0" w:line="333"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retained our “Prime” status from ISS ESG in the assessment for 2025. ISS ESG is a provider of ESG screening, ratings and analytics services and part of the Institutional Shareholder Services Group (ISS). Since 2022, ISS ESG has consistently awarded us “Prime” status, placing us in the top 10% of all companies rated in the Pharmaceuticals and Biotechnology sector. We maintained our overall rating of B in the overall Corporate Rating 2025 on a scale from D- (lowest rating) to A+ (highest rating). In the ISS ESG QualityScore, we achieved an Environment Score of 2 and a Social Score of 1. These scores indicate a company’s transparency with a focus on social and environmental matters on a scale from 1 (high disclosure) to 10 (low disclosure). Furthermore, we received a score of 5 in the "Governance” dimension of the ISS Quality Score on a risk scale ranging from 1 (low risk) to 10 (high risk).</w:t>
      </w:r>
      <w:r>
        <w:rPr>
          <w:rFonts w:ascii="Times New Roman" w:cs="Times New Roman" w:eastAsia="Times New Roman" w:hAnsi="Times New Roman"/>
          <w:sz w:val="23"/>
          <w:szCs w:val="23"/>
          <w:color w:val="080509"/>
          <w:vertAlign w:val="superscript"/>
        </w:rPr>
        <w:t>1</w:t>
      </w:r>
    </w:p>
    <w:p>
      <w:pPr>
        <w:spacing w:after="0" w:line="200" w:lineRule="exact"/>
        <w:rPr>
          <w:sz w:val="20"/>
          <w:szCs w:val="20"/>
          <w:color w:val="auto"/>
        </w:rPr>
      </w:pPr>
    </w:p>
    <w:p>
      <w:pPr>
        <w:spacing w:after="0" w:line="246"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8"/>
          <w:szCs w:val="18"/>
          <w:color w:val="080509"/>
        </w:rPr>
        <w:t>We received 50 out of 100 possible points in the 2025 S&amp;P CSA</w:t>
      </w:r>
      <w:r>
        <w:rPr>
          <w:rFonts w:ascii="Times New Roman" w:cs="Times New Roman" w:eastAsia="Times New Roman" w:hAnsi="Times New Roman"/>
          <w:sz w:val="23"/>
          <w:szCs w:val="23"/>
          <w:color w:val="080509"/>
          <w:vertAlign w:val="superscript"/>
        </w:rPr>
        <w:t>2</w:t>
      </w:r>
      <w:r>
        <w:rPr>
          <w:rFonts w:ascii="Times New Roman" w:cs="Times New Roman" w:eastAsia="Times New Roman" w:hAnsi="Times New Roman"/>
          <w:sz w:val="18"/>
          <w:szCs w:val="18"/>
          <w:color w:val="080509"/>
        </w:rPr>
        <w:t xml:space="preserve"> (2024: 52/100). Since 2022, we have been actively engaging in the comprehensive S&amp;P CSA rating process and has been listed as a participating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226314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295"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BioNTech SE's last governance data profile update: December 5, 2025. Last Environment &amp; Social (E&amp;S) data profile update: December 5, 2025.</w:t>
      </w:r>
    </w:p>
    <w:p>
      <w:pPr>
        <w:spacing w:after="0" w:line="63" w:lineRule="exact"/>
        <w:rPr>
          <w:rFonts w:ascii="Times New Roman" w:cs="Times New Roman" w:eastAsia="Times New Roman" w:hAnsi="Times New Roman"/>
          <w:sz w:val="18"/>
          <w:szCs w:val="18"/>
          <w:color w:val="107072"/>
          <w:vertAlign w:val="superscript"/>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Results were released on July 30, 2025.</w:t>
      </w: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26</w:t>
            </w:r>
          </w:p>
        </w:tc>
      </w:tr>
    </w:tbl>
    <w:p>
      <w:pPr>
        <w:sectPr>
          <w:pgSz w:w="11900" w:h="16838" w:orient="portrait"/>
          <w:cols w:equalWidth="0" w:num="1">
            <w:col w:w="11240"/>
          </w:cols>
          <w:pgMar w:left="320" w:top="388" w:right="339" w:bottom="1440" w:gutter="0" w:footer="0" w:header="0"/>
        </w:sectPr>
      </w:pPr>
    </w:p>
    <w:bookmarkStart w:id="35" w:name="page36"/>
    <w:bookmarkEnd w:id="3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8"/>
          <w:szCs w:val="18"/>
          <w:color w:val="080509"/>
        </w:rPr>
        <w:t>In May 2025, we received an ESG Risk Rating of 21.4</w:t>
      </w:r>
      <w:r>
        <w:rPr>
          <w:rFonts w:ascii="Times New Roman" w:cs="Times New Roman" w:eastAsia="Times New Roman" w:hAnsi="Times New Roman"/>
          <w:sz w:val="23"/>
          <w:szCs w:val="23"/>
          <w:color w:val="080509"/>
          <w:vertAlign w:val="superscript"/>
        </w:rPr>
        <w:t>3</w:t>
      </w:r>
      <w:r>
        <w:rPr>
          <w:rFonts w:ascii="Times New Roman" w:cs="Times New Roman" w:eastAsia="Times New Roman" w:hAnsi="Times New Roman"/>
          <w:sz w:val="18"/>
          <w:szCs w:val="18"/>
          <w:color w:val="080509"/>
        </w:rPr>
        <w:t xml:space="preserve"> by the rating agency Morningstar Sustainalytics and were assessed to be at medium risk of experiencing material financial impacts from ESG factors (2024: 25.9, medium risk). This places the risk at the third level of a five-level risk scale (negligible, low, medium, high and severe). The rating measures the extent to which the economic value of a company is at risk due to ESG factors.</w:t>
      </w:r>
    </w:p>
    <w:p>
      <w:pPr>
        <w:spacing w:after="0" w:line="200" w:lineRule="exact"/>
        <w:rPr>
          <w:sz w:val="20"/>
          <w:szCs w:val="20"/>
          <w:color w:val="auto"/>
        </w:rPr>
      </w:pPr>
    </w:p>
    <w:p>
      <w:pPr>
        <w:spacing w:after="0" w:line="321"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Our Corporate Sustainability &amp; Responsibility, or CSR, Management, is presented in detail in the separate 2025 Sustainability Report and made available online at www.biontech.com. More information about our performance in selected ESG ratings, our Human Rights Statement as well as further relevant information and material can also be found on our website.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Marketed Product: Comirnaty, our COVID-19 Vaccine Program (BNT162)</w:t>
      </w:r>
    </w:p>
    <w:p>
      <w:pPr>
        <w:spacing w:after="0" w:line="179"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COVID-19 vaccination has played an important role in saving lives and livelihoods across the world. Our commercial product, developed in 2020, Comirnaty, was the first-ever approved mRNA-based product, and, to our knowledge, remains the fastest ever developed prophylactic vaccine from viral sampling to approval. As of March 2026, our COVID-19 vaccine products have been authorized or approved for emergency or temporary use or granted marketing authorization in more than 180 countries and regions worldwide. Our efforts have resulted in over 5 billion doses shipped globally since first approval to date.</w:t>
      </w:r>
    </w:p>
    <w:p>
      <w:pPr>
        <w:spacing w:after="0" w:line="240"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Under our collaboration with Pfizer, we are the Marketing Authorization Holder in the United States, the European Union, or EU, the UK, Canada and other countries. Additionally, we are the holder of emergency use authorizations or equivalents in the United States (jointly with Pfizer) and other countries for the COVID-19 vaccine program. Pfizer has marketing and distribution rights worldwide apart from Greater China, Germany, and Türkiye. We have the marketing and distribution rights to Comirnaty in Germany and Türkiye.</w:t>
      </w:r>
    </w:p>
    <w:p>
      <w:pPr>
        <w:spacing w:after="0" w:line="236"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Under our collaboration with Fosun Pharmaceutical Industrial Development, Co., Ltd, or Fosun Pharma, Fosun Pharma has marketing and distribution rights in Mainland China, Hong Kong Special Administrative Region, or SAR, Macau SAR and Taiwan region.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A. Commercial Updates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Our and Pfizer’s LP.8.1-adapted COVID-19 vaccine received multiple regulatory approvals and authorizations in 69 markets.</w:t>
      </w:r>
    </w:p>
    <w:p>
      <w:pPr>
        <w:spacing w:after="0" w:line="333"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We expect that as SARS-CoV-2 continues to evolve, and the risk of severe COVID-19 disease and deaths persists, there will be continued demand for primary and seasonal vaccinations, especially for at-risk and immunocompromised populations. Studies have demonstrated that natural immunity acquired by SARS-CoV-2 infection is variable across individuals and wanes over time due to viral escape mutations and decreasing antibody titers. The risk of severe COVID-19 disease remains high in vulnerable populations. Vaccination not only reduces the risk of severe COVID-19 but may also mitigate the risk of health impairments related to COVID-19. Given this, and our current understanding of COVID-19’s burden on healthcare systems during the fall and winter season, along with its observed peaks at other times of the year, we anticipate the need for annual adapted vaccines to be a long-term component of COVID-19 vaccination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226314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288"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The latest update to the score was issued on September 23, 2025; the full rating update was issued on May 29, 2025.</w:t>
      </w: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27</w:t>
            </w:r>
          </w:p>
        </w:tc>
      </w:tr>
    </w:tbl>
    <w:p>
      <w:pPr>
        <w:sectPr>
          <w:pgSz w:w="11900" w:h="16838" w:orient="portrait"/>
          <w:cols w:equalWidth="0" w:num="1">
            <w:col w:w="11240"/>
          </w:cols>
          <w:pgMar w:left="320" w:top="388" w:right="339" w:bottom="1440" w:gutter="0" w:footer="0" w:header="0"/>
        </w:sectPr>
      </w:pPr>
    </w:p>
    <w:bookmarkStart w:id="36" w:name="page37"/>
    <w:bookmarkEnd w:id="3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B. Clinical Development, Regulatory and Manufacturing Updates</w:t>
      </w:r>
    </w:p>
    <w:p>
      <w:pPr>
        <w:spacing w:after="0" w:line="166" w:lineRule="exact"/>
        <w:rPr>
          <w:sz w:val="20"/>
          <w:szCs w:val="20"/>
          <w:color w:val="auto"/>
        </w:rPr>
      </w:pPr>
    </w:p>
    <w:p>
      <w:pPr>
        <w:spacing w:after="0" w:line="344" w:lineRule="auto"/>
        <w:rPr>
          <w:sz w:val="20"/>
          <w:szCs w:val="20"/>
          <w:color w:val="auto"/>
        </w:rPr>
      </w:pPr>
      <w:r>
        <w:rPr>
          <w:rFonts w:ascii="Times New Roman" w:cs="Times New Roman" w:eastAsia="Times New Roman" w:hAnsi="Times New Roman"/>
          <w:sz w:val="18"/>
          <w:szCs w:val="18"/>
          <w:color w:val="080509"/>
        </w:rPr>
        <w:t>In 2026, BioNTech has been, and expects to continue, preparing for COVID-19 vaccine adaptation and, pending regulatory approval, commercial launch ahead of the upcoming 2026/2027 fall and winter season.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Pipeline of Product Candidates: First Quarter of 2026 and Post Period-End Updates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Below is a summary of active clinical trials evaluating our product and clinical product candidates, organized by platform and indication.</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Oncology</w:t>
      </w:r>
      <w:r>
        <w:rPr>
          <w:rFonts w:ascii="Times New Roman" w:cs="Times New Roman" w:eastAsia="Times New Roman" w:hAnsi="Times New Roman"/>
          <w:sz w:val="25"/>
          <w:szCs w:val="25"/>
          <w:color w:val="005A64"/>
          <w:vertAlign w:val="superscript"/>
        </w:rPr>
        <w:t>1,2</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80509"/>
              </w:rPr>
              <w:t>Phase 1</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80509"/>
              </w:rPr>
              <w:t>Phase 1/2</w:t>
            </w: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80509"/>
              </w:rPr>
              <w:t>Phase 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080509"/>
              </w:rPr>
              <w:t>Phase 2/3</w:t>
            </w:r>
          </w:p>
        </w:tc>
        <w:tc>
          <w:tcPr>
            <w:tcW w:w="1560" w:type="dxa"/>
            <w:vAlign w:val="bottom"/>
          </w:tcPr>
          <w:p>
            <w:pPr>
              <w:spacing w:after="0"/>
              <w:rPr>
                <w:sz w:val="20"/>
                <w:szCs w:val="20"/>
                <w:color w:val="auto"/>
              </w:rPr>
            </w:pPr>
            <w:r>
              <w:rPr>
                <w:rFonts w:ascii="Times New Roman" w:cs="Times New Roman" w:eastAsia="Times New Roman" w:hAnsi="Times New Roman"/>
                <w:sz w:val="18"/>
                <w:szCs w:val="18"/>
                <w:b w:val="1"/>
                <w:bCs w:val="1"/>
                <w:color w:val="080509"/>
              </w:rPr>
              <w:t>Phase 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00" w:type="dxa"/>
            <w:vAlign w:val="bottom"/>
            <w:tcBorders>
              <w:bottom w:val="single" w:sz="8" w:color="0F7F40"/>
            </w:tcBorders>
          </w:tcPr>
          <w:p>
            <w:pPr>
              <w:spacing w:after="0"/>
              <w:rPr>
                <w:sz w:val="2"/>
                <w:szCs w:val="2"/>
                <w:color w:val="auto"/>
              </w:rPr>
            </w:pPr>
          </w:p>
        </w:tc>
        <w:tc>
          <w:tcPr>
            <w:tcW w:w="400" w:type="dxa"/>
            <w:vAlign w:val="bottom"/>
            <w:tcBorders>
              <w:bottom w:val="single" w:sz="8" w:color="0F7F40"/>
            </w:tcBorders>
          </w:tcPr>
          <w:p>
            <w:pPr>
              <w:spacing w:after="0"/>
              <w:rPr>
                <w:sz w:val="2"/>
                <w:szCs w:val="2"/>
                <w:color w:val="auto"/>
              </w:rPr>
            </w:pPr>
          </w:p>
        </w:tc>
        <w:tc>
          <w:tcPr>
            <w:tcW w:w="1180" w:type="dxa"/>
            <w:vAlign w:val="bottom"/>
            <w:tcBorders>
              <w:bottom w:val="single" w:sz="8" w:color="0F7F40"/>
            </w:tcBorders>
          </w:tcPr>
          <w:p>
            <w:pPr>
              <w:spacing w:after="0"/>
              <w:rPr>
                <w:sz w:val="2"/>
                <w:szCs w:val="2"/>
                <w:color w:val="auto"/>
              </w:rPr>
            </w:pPr>
          </w:p>
        </w:tc>
        <w:tc>
          <w:tcPr>
            <w:tcW w:w="820" w:type="dxa"/>
            <w:vAlign w:val="bottom"/>
            <w:tcBorders>
              <w:bottom w:val="single" w:sz="8" w:color="0F7F40"/>
            </w:tcBorders>
          </w:tcPr>
          <w:p>
            <w:pPr>
              <w:spacing w:after="0"/>
              <w:rPr>
                <w:sz w:val="2"/>
                <w:szCs w:val="2"/>
                <w:color w:val="auto"/>
              </w:rPr>
            </w:pPr>
          </w:p>
        </w:tc>
        <w:tc>
          <w:tcPr>
            <w:tcW w:w="400" w:type="dxa"/>
            <w:vAlign w:val="bottom"/>
            <w:tcBorders>
              <w:bottom w:val="single" w:sz="8" w:color="0F7F40"/>
            </w:tcBorders>
          </w:tcPr>
          <w:p>
            <w:pPr>
              <w:spacing w:after="0"/>
              <w:rPr>
                <w:sz w:val="2"/>
                <w:szCs w:val="2"/>
                <w:color w:val="auto"/>
              </w:rPr>
            </w:pPr>
          </w:p>
        </w:tc>
        <w:tc>
          <w:tcPr>
            <w:tcW w:w="380" w:type="dxa"/>
            <w:vAlign w:val="bottom"/>
            <w:tcBorders>
              <w:bottom w:val="single" w:sz="8" w:color="0F7F40"/>
            </w:tcBorders>
          </w:tcPr>
          <w:p>
            <w:pPr>
              <w:spacing w:after="0"/>
              <w:rPr>
                <w:sz w:val="2"/>
                <w:szCs w:val="2"/>
                <w:color w:val="auto"/>
              </w:rPr>
            </w:pPr>
          </w:p>
        </w:tc>
        <w:tc>
          <w:tcPr>
            <w:tcW w:w="1580" w:type="dxa"/>
            <w:vAlign w:val="bottom"/>
            <w:tcBorders>
              <w:bottom w:val="single" w:sz="8" w:color="0F7F40"/>
            </w:tcBorders>
          </w:tcPr>
          <w:p>
            <w:pPr>
              <w:spacing w:after="0"/>
              <w:rPr>
                <w:sz w:val="2"/>
                <w:szCs w:val="2"/>
                <w:color w:val="auto"/>
              </w:rPr>
            </w:pPr>
          </w:p>
        </w:tc>
        <w:tc>
          <w:tcPr>
            <w:tcW w:w="80" w:type="dxa"/>
            <w:vAlign w:val="bottom"/>
            <w:tcBorders>
              <w:bottom w:val="single" w:sz="8" w:color="0F7F40"/>
            </w:tcBorders>
          </w:tcPr>
          <w:p>
            <w:pPr>
              <w:spacing w:after="0"/>
              <w:rPr>
                <w:sz w:val="2"/>
                <w:szCs w:val="2"/>
                <w:color w:val="auto"/>
              </w:rPr>
            </w:pPr>
          </w:p>
        </w:tc>
        <w:tc>
          <w:tcPr>
            <w:tcW w:w="380" w:type="dxa"/>
            <w:vAlign w:val="bottom"/>
            <w:tcBorders>
              <w:bottom w:val="single" w:sz="8" w:color="0F7F40"/>
            </w:tcBorders>
          </w:tcPr>
          <w:p>
            <w:pPr>
              <w:spacing w:after="0"/>
              <w:rPr>
                <w:sz w:val="2"/>
                <w:szCs w:val="2"/>
                <w:color w:val="auto"/>
              </w:rPr>
            </w:pPr>
          </w:p>
        </w:tc>
        <w:tc>
          <w:tcPr>
            <w:tcW w:w="1140" w:type="dxa"/>
            <w:vAlign w:val="bottom"/>
            <w:tcBorders>
              <w:bottom w:val="single" w:sz="8" w:color="0F7F40"/>
            </w:tcBorders>
          </w:tcPr>
          <w:p>
            <w:pPr>
              <w:spacing w:after="0"/>
              <w:rPr>
                <w:sz w:val="2"/>
                <w:szCs w:val="2"/>
                <w:color w:val="auto"/>
              </w:rPr>
            </w:pPr>
          </w:p>
        </w:tc>
        <w:tc>
          <w:tcPr>
            <w:tcW w:w="900" w:type="dxa"/>
            <w:vAlign w:val="bottom"/>
            <w:tcBorders>
              <w:bottom w:val="single" w:sz="8" w:color="0F7F40"/>
            </w:tcBorders>
          </w:tcPr>
          <w:p>
            <w:pPr>
              <w:spacing w:after="0"/>
              <w:rPr>
                <w:sz w:val="2"/>
                <w:szCs w:val="2"/>
                <w:color w:val="auto"/>
              </w:rPr>
            </w:pPr>
          </w:p>
        </w:tc>
        <w:tc>
          <w:tcPr>
            <w:tcW w:w="400" w:type="dxa"/>
            <w:vAlign w:val="bottom"/>
            <w:tcBorders>
              <w:bottom w:val="single" w:sz="8" w:color="0F7F40"/>
            </w:tcBorders>
          </w:tcPr>
          <w:p>
            <w:pPr>
              <w:spacing w:after="0"/>
              <w:rPr>
                <w:sz w:val="2"/>
                <w:szCs w:val="2"/>
                <w:color w:val="auto"/>
              </w:rPr>
            </w:pPr>
          </w:p>
        </w:tc>
        <w:tc>
          <w:tcPr>
            <w:tcW w:w="320" w:type="dxa"/>
            <w:vAlign w:val="bottom"/>
            <w:tcBorders>
              <w:bottom w:val="single" w:sz="8" w:color="0F7F40"/>
            </w:tcBorders>
          </w:tcPr>
          <w:p>
            <w:pPr>
              <w:spacing w:after="0"/>
              <w:rPr>
                <w:sz w:val="2"/>
                <w:szCs w:val="2"/>
                <w:color w:val="auto"/>
              </w:rPr>
            </w:pPr>
          </w:p>
        </w:tc>
        <w:tc>
          <w:tcPr>
            <w:tcW w:w="1560" w:type="dxa"/>
            <w:vAlign w:val="bottom"/>
            <w:tcBorders>
              <w:bottom w:val="single" w:sz="8" w:color="0F7F40"/>
            </w:tcBorders>
          </w:tcPr>
          <w:p>
            <w:pPr>
              <w:spacing w:after="0"/>
              <w:rPr>
                <w:sz w:val="2"/>
                <w:szCs w:val="2"/>
                <w:color w:val="auto"/>
              </w:rPr>
            </w:pPr>
          </w:p>
        </w:tc>
        <w:tc>
          <w:tcPr>
            <w:tcW w:w="20" w:type="dxa"/>
            <w:vAlign w:val="bottom"/>
            <w:tcBorders>
              <w:bottom w:val="single" w:sz="8" w:color="0F7F40"/>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600" w:type="dxa"/>
            <w:vAlign w:val="bottom"/>
            <w:tcBorders>
              <w:right w:val="single" w:sz="8" w:color="99BDC1"/>
            </w:tcBorders>
            <w:vMerge w:val="restart"/>
            <w:shd w:val="clear" w:color="auto" w:fill="DCDDB2"/>
          </w:tcPr>
          <w:p>
            <w:pPr>
              <w:ind w:left="40"/>
              <w:spacing w:after="0"/>
              <w:rPr>
                <w:sz w:val="20"/>
                <w:szCs w:val="20"/>
                <w:color w:val="auto"/>
              </w:rPr>
            </w:pPr>
            <w:r>
              <w:rPr>
                <w:rFonts w:ascii="Times New Roman" w:cs="Times New Roman" w:eastAsia="Times New Roman" w:hAnsi="Times New Roman"/>
                <w:sz w:val="11"/>
                <w:szCs w:val="11"/>
                <w:color w:val="005A64"/>
              </w:rPr>
              <w:t>BNT116</w:t>
            </w:r>
          </w:p>
        </w:tc>
        <w:tc>
          <w:tcPr>
            <w:tcW w:w="1580" w:type="dxa"/>
            <w:vAlign w:val="bottom"/>
            <w:tcBorders>
              <w:left w:val="single" w:sz="8" w:color="99BDC1"/>
            </w:tcBorders>
            <w:gridSpan w:val="2"/>
            <w:vMerge w:val="restart"/>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BNT3214</w:t>
            </w:r>
          </w:p>
        </w:tc>
        <w:tc>
          <w:tcPr>
            <w:tcW w:w="1600" w:type="dxa"/>
            <w:vAlign w:val="bottom"/>
            <w:gridSpan w:val="3"/>
            <w:shd w:val="clear" w:color="auto" w:fill="CDDEE1"/>
          </w:tcPr>
          <w:p>
            <w:pPr>
              <w:ind w:left="40"/>
              <w:spacing w:after="0"/>
              <w:rPr>
                <w:sz w:val="20"/>
                <w:szCs w:val="20"/>
                <w:color w:val="auto"/>
              </w:rPr>
            </w:pPr>
            <w:r>
              <w:rPr>
                <w:rFonts w:ascii="Times New Roman" w:cs="Times New Roman" w:eastAsia="Times New Roman" w:hAnsi="Times New Roman"/>
                <w:sz w:val="11"/>
                <w:szCs w:val="11"/>
                <w:color w:val="005A64"/>
              </w:rPr>
              <w:t>Pumitamig</w:t>
            </w:r>
            <w:r>
              <w:rPr>
                <w:rFonts w:ascii="Times New Roman" w:cs="Times New Roman" w:eastAsia="Times New Roman" w:hAnsi="Times New Roman"/>
                <w:sz w:val="14"/>
                <w:szCs w:val="14"/>
                <w:color w:val="005A64"/>
                <w:vertAlign w:val="superscript"/>
              </w:rPr>
              <w:t>3</w:t>
            </w:r>
            <w:r>
              <w:rPr>
                <w:rFonts w:ascii="Times New Roman" w:cs="Times New Roman" w:eastAsia="Times New Roman" w:hAnsi="Times New Roman"/>
                <w:sz w:val="11"/>
                <w:szCs w:val="11"/>
                <w:color w:val="005A64"/>
              </w:rPr>
              <w:t xml:space="preserve"> +</w:t>
            </w:r>
          </w:p>
        </w:tc>
        <w:tc>
          <w:tcPr>
            <w:tcW w:w="1580" w:type="dxa"/>
            <w:vAlign w:val="bottom"/>
            <w:tcBorders>
              <w:left w:val="single" w:sz="8" w:color="DCDDB2"/>
            </w:tcBorders>
            <w:shd w:val="clear" w:color="auto" w:fill="DCDDB2"/>
          </w:tcPr>
          <w:p>
            <w:pPr>
              <w:ind w:left="40"/>
              <w:spacing w:after="0"/>
              <w:rPr>
                <w:sz w:val="20"/>
                <w:szCs w:val="20"/>
                <w:color w:val="auto"/>
              </w:rPr>
            </w:pPr>
            <w:r>
              <w:rPr>
                <w:rFonts w:ascii="Times New Roman" w:cs="Times New Roman" w:eastAsia="Times New Roman" w:hAnsi="Times New Roman"/>
                <w:sz w:val="11"/>
                <w:szCs w:val="11"/>
                <w:color w:val="005A64"/>
              </w:rPr>
              <w:t>Autogene cevumeran</w:t>
            </w:r>
            <w:r>
              <w:rPr>
                <w:rFonts w:ascii="Times New Roman" w:cs="Times New Roman" w:eastAsia="Times New Roman" w:hAnsi="Times New Roman"/>
                <w:sz w:val="14"/>
                <w:szCs w:val="14"/>
                <w:color w:val="005A64"/>
                <w:vertAlign w:val="superscript"/>
              </w:rPr>
              <w:t>6</w:t>
            </w:r>
          </w:p>
        </w:tc>
        <w:tc>
          <w:tcPr>
            <w:tcW w:w="1600" w:type="dxa"/>
            <w:vAlign w:val="bottom"/>
            <w:gridSpan w:val="3"/>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Pumitamig</w:t>
            </w:r>
            <w:r>
              <w:rPr>
                <w:rFonts w:ascii="Times New Roman" w:cs="Times New Roman" w:eastAsia="Times New Roman" w:hAnsi="Times New Roman"/>
                <w:sz w:val="14"/>
                <w:szCs w:val="14"/>
                <w:color w:val="005A64"/>
                <w:vertAlign w:val="superscript"/>
              </w:rPr>
              <w:t>3</w:t>
            </w:r>
          </w:p>
        </w:tc>
        <w:tc>
          <w:tcPr>
            <w:tcW w:w="1620" w:type="dxa"/>
            <w:vAlign w:val="bottom"/>
            <w:tcBorders>
              <w:left w:val="single" w:sz="8" w:color="DCDDB2"/>
              <w:right w:val="single" w:sz="8" w:color="99BDC1"/>
            </w:tcBorders>
            <w:gridSpan w:val="3"/>
            <w:vMerge w:val="restart"/>
            <w:shd w:val="clear" w:color="auto" w:fill="DCDDB2"/>
          </w:tcPr>
          <w:p>
            <w:pPr>
              <w:ind w:left="40"/>
              <w:spacing w:after="0"/>
              <w:rPr>
                <w:sz w:val="20"/>
                <w:szCs w:val="20"/>
                <w:color w:val="auto"/>
              </w:rPr>
            </w:pPr>
            <w:r>
              <w:rPr>
                <w:rFonts w:ascii="Times New Roman" w:cs="Times New Roman" w:eastAsia="Times New Roman" w:hAnsi="Times New Roman"/>
                <w:sz w:val="11"/>
                <w:szCs w:val="11"/>
                <w:color w:val="005A64"/>
              </w:rPr>
              <w:t>BNT113</w:t>
            </w:r>
          </w:p>
        </w:tc>
        <w:tc>
          <w:tcPr>
            <w:tcW w:w="1560" w:type="dxa"/>
            <w:vAlign w:val="bottom"/>
            <w:shd w:val="clear" w:color="auto" w:fill="99BDC1"/>
          </w:tcPr>
          <w:p>
            <w:pPr>
              <w:ind w:left="20"/>
              <w:spacing w:after="0"/>
              <w:rPr>
                <w:sz w:val="20"/>
                <w:szCs w:val="20"/>
                <w:color w:val="auto"/>
              </w:rPr>
            </w:pPr>
            <w:r>
              <w:rPr>
                <w:rFonts w:ascii="Times New Roman" w:cs="Times New Roman" w:eastAsia="Times New Roman" w:hAnsi="Times New Roman"/>
                <w:sz w:val="11"/>
                <w:szCs w:val="11"/>
                <w:color w:val="005A64"/>
              </w:rPr>
              <w:t>Gotistobart</w:t>
            </w:r>
            <w:r>
              <w:rPr>
                <w:rFonts w:ascii="Times New Roman" w:cs="Times New Roman" w:eastAsia="Times New Roman" w:hAnsi="Times New Roman"/>
                <w:sz w:val="14"/>
                <w:szCs w:val="14"/>
                <w:color w:val="005A64"/>
                <w:vertAlign w:val="superscript"/>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1600" w:type="dxa"/>
            <w:vAlign w:val="bottom"/>
            <w:tcBorders>
              <w:right w:val="single" w:sz="8" w:color="99BDC1"/>
            </w:tcBorders>
            <w:vMerge w:val="continue"/>
            <w:shd w:val="clear" w:color="auto" w:fill="DCDDB2"/>
          </w:tcPr>
          <w:p>
            <w:pPr>
              <w:spacing w:after="0"/>
              <w:rPr>
                <w:sz w:val="10"/>
                <w:szCs w:val="10"/>
                <w:color w:val="auto"/>
              </w:rPr>
            </w:pPr>
          </w:p>
        </w:tc>
        <w:tc>
          <w:tcPr>
            <w:tcW w:w="1580" w:type="dxa"/>
            <w:vAlign w:val="bottom"/>
            <w:tcBorders>
              <w:left w:val="single" w:sz="8" w:color="99BDC1"/>
            </w:tcBorders>
            <w:gridSpan w:val="2"/>
            <w:vMerge w:val="continue"/>
            <w:shd w:val="clear" w:color="auto" w:fill="99BDC1"/>
          </w:tcPr>
          <w:p>
            <w:pPr>
              <w:spacing w:after="0"/>
              <w:rPr>
                <w:sz w:val="10"/>
                <w:szCs w:val="10"/>
                <w:color w:val="auto"/>
              </w:rPr>
            </w:pPr>
          </w:p>
        </w:tc>
        <w:tc>
          <w:tcPr>
            <w:tcW w:w="1600" w:type="dxa"/>
            <w:vAlign w:val="bottom"/>
            <w:gridSpan w:val="3"/>
            <w:shd w:val="clear" w:color="auto" w:fill="CDDEE1"/>
          </w:tcPr>
          <w:p>
            <w:pPr>
              <w:ind w:left="40"/>
              <w:spacing w:after="0" w:line="121" w:lineRule="exact"/>
              <w:rPr>
                <w:sz w:val="20"/>
                <w:szCs w:val="20"/>
                <w:color w:val="auto"/>
              </w:rPr>
            </w:pPr>
            <w:r>
              <w:rPr>
                <w:rFonts w:ascii="Times New Roman" w:cs="Times New Roman" w:eastAsia="Times New Roman" w:hAnsi="Times New Roman"/>
                <w:sz w:val="11"/>
                <w:szCs w:val="11"/>
                <w:color w:val="005A64"/>
              </w:rPr>
              <w:t>BNT314/GEN1059</w:t>
            </w:r>
            <w:r>
              <w:rPr>
                <w:rFonts w:ascii="Times New Roman" w:cs="Times New Roman" w:eastAsia="Times New Roman" w:hAnsi="Times New Roman"/>
                <w:sz w:val="14"/>
                <w:szCs w:val="14"/>
                <w:color w:val="005A64"/>
                <w:vertAlign w:val="superscript"/>
              </w:rPr>
              <w:t>9</w:t>
            </w:r>
          </w:p>
        </w:tc>
        <w:tc>
          <w:tcPr>
            <w:tcW w:w="1580" w:type="dxa"/>
            <w:vAlign w:val="bottom"/>
            <w:tcBorders>
              <w:left w:val="single" w:sz="8" w:color="DCDDB2"/>
            </w:tcBorders>
            <w:vMerge w:val="restart"/>
            <w:shd w:val="clear" w:color="auto" w:fill="DCDDB2"/>
          </w:tcPr>
          <w:p>
            <w:pPr>
              <w:ind w:left="40"/>
              <w:spacing w:after="0"/>
              <w:rPr>
                <w:sz w:val="20"/>
                <w:szCs w:val="20"/>
                <w:color w:val="auto"/>
              </w:rPr>
            </w:pPr>
            <w:r>
              <w:rPr>
                <w:rFonts w:ascii="Times New Roman" w:cs="Times New Roman" w:eastAsia="Times New Roman" w:hAnsi="Times New Roman"/>
                <w:sz w:val="11"/>
                <w:szCs w:val="11"/>
                <w:color w:val="005A64"/>
              </w:rPr>
              <w:t>Adj. CRC</w:t>
            </w:r>
          </w:p>
        </w:tc>
        <w:tc>
          <w:tcPr>
            <w:tcW w:w="1600" w:type="dxa"/>
            <w:vAlign w:val="bottom"/>
            <w:gridSpan w:val="3"/>
            <w:vMerge w:val="restart"/>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2L+ EGFRm NSCLC</w:t>
            </w:r>
            <w:r>
              <w:rPr>
                <w:rFonts w:ascii="Times New Roman" w:cs="Times New Roman" w:eastAsia="Times New Roman" w:hAnsi="Times New Roman"/>
                <w:sz w:val="7"/>
                <w:szCs w:val="7"/>
                <w:color w:val="005A64"/>
              </w:rPr>
              <w:t>11</w:t>
            </w:r>
          </w:p>
        </w:tc>
        <w:tc>
          <w:tcPr>
            <w:tcW w:w="1620" w:type="dxa"/>
            <w:vAlign w:val="bottom"/>
            <w:tcBorders>
              <w:left w:val="single" w:sz="8" w:color="DCDDB2"/>
              <w:right w:val="single" w:sz="8" w:color="99BDC1"/>
            </w:tcBorders>
            <w:gridSpan w:val="3"/>
            <w:vMerge w:val="continue"/>
            <w:shd w:val="clear" w:color="auto" w:fill="DCDDB2"/>
          </w:tcPr>
          <w:p>
            <w:pPr>
              <w:spacing w:after="0"/>
              <w:rPr>
                <w:sz w:val="10"/>
                <w:szCs w:val="10"/>
                <w:color w:val="auto"/>
              </w:rPr>
            </w:pPr>
          </w:p>
        </w:tc>
        <w:tc>
          <w:tcPr>
            <w:tcW w:w="1560" w:type="dxa"/>
            <w:vAlign w:val="bottom"/>
            <w:vMerge w:val="restart"/>
            <w:shd w:val="clear" w:color="auto" w:fill="99BDC1"/>
          </w:tcPr>
          <w:p>
            <w:pPr>
              <w:ind w:left="20"/>
              <w:spacing w:after="0"/>
              <w:rPr>
                <w:sz w:val="20"/>
                <w:szCs w:val="20"/>
                <w:color w:val="auto"/>
              </w:rPr>
            </w:pPr>
            <w:r>
              <w:rPr>
                <w:rFonts w:ascii="Times New Roman" w:cs="Times New Roman" w:eastAsia="Times New Roman" w:hAnsi="Times New Roman"/>
                <w:sz w:val="11"/>
                <w:szCs w:val="11"/>
                <w:color w:val="005A64"/>
              </w:rPr>
              <w:t>Met. NSCLC</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600" w:type="dxa"/>
            <w:vAlign w:val="bottom"/>
            <w:tcBorders>
              <w:right w:val="single" w:sz="8" w:color="99BDC1"/>
            </w:tcBorders>
            <w:shd w:val="clear" w:color="auto" w:fill="DCDDB2"/>
          </w:tcPr>
          <w:p>
            <w:pPr>
              <w:ind w:left="40"/>
              <w:spacing w:after="0"/>
              <w:rPr>
                <w:sz w:val="20"/>
                <w:szCs w:val="20"/>
                <w:color w:val="auto"/>
              </w:rPr>
            </w:pPr>
            <w:r>
              <w:rPr>
                <w:rFonts w:ascii="Times New Roman" w:cs="Times New Roman" w:eastAsia="Times New Roman" w:hAnsi="Times New Roman"/>
                <w:sz w:val="11"/>
                <w:szCs w:val="11"/>
                <w:color w:val="005A64"/>
              </w:rPr>
              <w:t>Adv. NSCLC</w:t>
            </w:r>
          </w:p>
        </w:tc>
        <w:tc>
          <w:tcPr>
            <w:tcW w:w="1580" w:type="dxa"/>
            <w:vAlign w:val="bottom"/>
            <w:tcBorders>
              <w:left w:val="single" w:sz="8" w:color="99BDC1"/>
            </w:tcBorders>
            <w:gridSpan w:val="2"/>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Multiple solid tumors</w:t>
            </w:r>
          </w:p>
        </w:tc>
        <w:tc>
          <w:tcPr>
            <w:tcW w:w="1600" w:type="dxa"/>
            <w:vAlign w:val="bottom"/>
            <w:gridSpan w:val="3"/>
            <w:vMerge w:val="restart"/>
            <w:shd w:val="clear" w:color="auto" w:fill="CDDEE1"/>
          </w:tcPr>
          <w:p>
            <w:pPr>
              <w:ind w:left="40"/>
              <w:spacing w:after="0"/>
              <w:rPr>
                <w:sz w:val="20"/>
                <w:szCs w:val="20"/>
                <w:color w:val="auto"/>
              </w:rPr>
            </w:pPr>
            <w:r>
              <w:rPr>
                <w:rFonts w:ascii="Times New Roman" w:cs="Times New Roman" w:eastAsia="Times New Roman" w:hAnsi="Times New Roman"/>
                <w:sz w:val="11"/>
                <w:szCs w:val="11"/>
                <w:color w:val="005A64"/>
              </w:rPr>
              <w:t>Met. CRC</w:t>
            </w:r>
            <w:r>
              <w:rPr>
                <w:rFonts w:ascii="Times New Roman" w:cs="Times New Roman" w:eastAsia="Times New Roman" w:hAnsi="Times New Roman"/>
                <w:sz w:val="14"/>
                <w:szCs w:val="14"/>
                <w:color w:val="005A64"/>
                <w:vertAlign w:val="superscript"/>
              </w:rPr>
              <w:t>4</w:t>
            </w:r>
          </w:p>
        </w:tc>
        <w:tc>
          <w:tcPr>
            <w:tcW w:w="1580" w:type="dxa"/>
            <w:vAlign w:val="bottom"/>
            <w:tcBorders>
              <w:left w:val="single" w:sz="8" w:color="DCDDB2"/>
            </w:tcBorders>
            <w:vMerge w:val="continue"/>
            <w:shd w:val="clear" w:color="auto" w:fill="DCDDB2"/>
          </w:tcPr>
          <w:p>
            <w:pPr>
              <w:spacing w:after="0"/>
              <w:rPr>
                <w:sz w:val="12"/>
                <w:szCs w:val="12"/>
                <w:color w:val="auto"/>
              </w:rPr>
            </w:pPr>
          </w:p>
        </w:tc>
        <w:tc>
          <w:tcPr>
            <w:tcW w:w="1600" w:type="dxa"/>
            <w:vAlign w:val="bottom"/>
            <w:gridSpan w:val="3"/>
            <w:vMerge w:val="continue"/>
            <w:shd w:val="clear" w:color="auto" w:fill="99BDC1"/>
          </w:tcPr>
          <w:p>
            <w:pPr>
              <w:spacing w:after="0"/>
              <w:rPr>
                <w:sz w:val="12"/>
                <w:szCs w:val="12"/>
                <w:color w:val="auto"/>
              </w:rPr>
            </w:pPr>
          </w:p>
        </w:tc>
        <w:tc>
          <w:tcPr>
            <w:tcW w:w="1620" w:type="dxa"/>
            <w:vAlign w:val="bottom"/>
            <w:tcBorders>
              <w:left w:val="single" w:sz="8" w:color="DCDDB2"/>
              <w:right w:val="single" w:sz="8" w:color="99BDC1"/>
            </w:tcBorders>
            <w:gridSpan w:val="3"/>
            <w:shd w:val="clear" w:color="auto" w:fill="DCDDB2"/>
          </w:tcPr>
          <w:p>
            <w:pPr>
              <w:ind w:left="40"/>
              <w:spacing w:after="0"/>
              <w:rPr>
                <w:sz w:val="20"/>
                <w:szCs w:val="20"/>
                <w:color w:val="auto"/>
              </w:rPr>
            </w:pPr>
            <w:r>
              <w:rPr>
                <w:rFonts w:ascii="Times New Roman" w:cs="Times New Roman" w:eastAsia="Times New Roman" w:hAnsi="Times New Roman"/>
                <w:sz w:val="11"/>
                <w:szCs w:val="11"/>
                <w:color w:val="005A64"/>
              </w:rPr>
              <w:t>1L HPV16+ HNSCC</w:t>
            </w:r>
          </w:p>
        </w:tc>
        <w:tc>
          <w:tcPr>
            <w:tcW w:w="1560" w:type="dxa"/>
            <w:vAlign w:val="bottom"/>
            <w:vMerge w:val="continue"/>
            <w:shd w:val="clear" w:color="auto" w:fill="99BDC1"/>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600" w:type="dxa"/>
            <w:vAlign w:val="bottom"/>
            <w:tcBorders>
              <w:right w:val="single" w:sz="8" w:color="99BDC1"/>
            </w:tcBorders>
            <w:shd w:val="clear" w:color="auto" w:fill="DCDDB2"/>
          </w:tcPr>
          <w:p>
            <w:pPr>
              <w:spacing w:after="0"/>
              <w:rPr>
                <w:sz w:val="10"/>
                <w:szCs w:val="10"/>
                <w:color w:val="auto"/>
              </w:rPr>
            </w:pPr>
          </w:p>
        </w:tc>
        <w:tc>
          <w:tcPr>
            <w:tcW w:w="400" w:type="dxa"/>
            <w:vAlign w:val="bottom"/>
            <w:tcBorders>
              <w:left w:val="single" w:sz="8" w:color="99BDC1"/>
            </w:tcBorders>
            <w:shd w:val="clear" w:color="auto" w:fill="99BDC1"/>
          </w:tcPr>
          <w:p>
            <w:pPr>
              <w:spacing w:after="0"/>
              <w:rPr>
                <w:sz w:val="10"/>
                <w:szCs w:val="10"/>
                <w:color w:val="auto"/>
              </w:rPr>
            </w:pPr>
          </w:p>
        </w:tc>
        <w:tc>
          <w:tcPr>
            <w:tcW w:w="1180" w:type="dxa"/>
            <w:vAlign w:val="bottom"/>
            <w:shd w:val="clear" w:color="auto" w:fill="99BDC1"/>
          </w:tcPr>
          <w:p>
            <w:pPr>
              <w:spacing w:after="0"/>
              <w:rPr>
                <w:sz w:val="10"/>
                <w:szCs w:val="10"/>
                <w:color w:val="auto"/>
              </w:rPr>
            </w:pPr>
          </w:p>
        </w:tc>
        <w:tc>
          <w:tcPr>
            <w:tcW w:w="1600" w:type="dxa"/>
            <w:vAlign w:val="bottom"/>
            <w:gridSpan w:val="3"/>
            <w:vMerge w:val="continue"/>
            <w:shd w:val="clear" w:color="auto" w:fill="CDDEE1"/>
          </w:tcPr>
          <w:p>
            <w:pPr>
              <w:spacing w:after="0"/>
              <w:rPr>
                <w:sz w:val="10"/>
                <w:szCs w:val="10"/>
                <w:color w:val="auto"/>
              </w:rPr>
            </w:pPr>
          </w:p>
        </w:tc>
        <w:tc>
          <w:tcPr>
            <w:tcW w:w="1580" w:type="dxa"/>
            <w:vAlign w:val="bottom"/>
            <w:tcBorders>
              <w:left w:val="single" w:sz="8" w:color="DCDDB2"/>
            </w:tcBorders>
            <w:shd w:val="clear" w:color="auto" w:fill="DCDDB2"/>
          </w:tcPr>
          <w:p>
            <w:pPr>
              <w:spacing w:after="0"/>
              <w:rPr>
                <w:sz w:val="10"/>
                <w:szCs w:val="10"/>
                <w:color w:val="auto"/>
              </w:rPr>
            </w:pPr>
          </w:p>
        </w:tc>
        <w:tc>
          <w:tcPr>
            <w:tcW w:w="80" w:type="dxa"/>
            <w:vAlign w:val="bottom"/>
            <w:shd w:val="clear" w:color="auto" w:fill="99BDC1"/>
          </w:tcPr>
          <w:p>
            <w:pPr>
              <w:spacing w:after="0"/>
              <w:rPr>
                <w:sz w:val="10"/>
                <w:szCs w:val="10"/>
                <w:color w:val="auto"/>
              </w:rPr>
            </w:pPr>
          </w:p>
        </w:tc>
        <w:tc>
          <w:tcPr>
            <w:tcW w:w="380" w:type="dxa"/>
            <w:vAlign w:val="bottom"/>
            <w:shd w:val="clear" w:color="auto" w:fill="99BDC1"/>
          </w:tcPr>
          <w:p>
            <w:pPr>
              <w:spacing w:after="0"/>
              <w:rPr>
                <w:sz w:val="10"/>
                <w:szCs w:val="10"/>
                <w:color w:val="auto"/>
              </w:rPr>
            </w:pPr>
          </w:p>
        </w:tc>
        <w:tc>
          <w:tcPr>
            <w:tcW w:w="1140" w:type="dxa"/>
            <w:vAlign w:val="bottom"/>
            <w:shd w:val="clear" w:color="auto" w:fill="99BDC1"/>
          </w:tcPr>
          <w:p>
            <w:pPr>
              <w:spacing w:after="0"/>
              <w:rPr>
                <w:sz w:val="10"/>
                <w:szCs w:val="10"/>
                <w:color w:val="auto"/>
              </w:rPr>
            </w:pPr>
          </w:p>
        </w:tc>
        <w:tc>
          <w:tcPr>
            <w:tcW w:w="900" w:type="dxa"/>
            <w:vAlign w:val="bottom"/>
            <w:tcBorders>
              <w:left w:val="single" w:sz="8" w:color="DCDDB2"/>
            </w:tcBorders>
            <w:shd w:val="clear" w:color="auto" w:fill="DCDDB2"/>
          </w:tcPr>
          <w:p>
            <w:pPr>
              <w:spacing w:after="0"/>
              <w:rPr>
                <w:sz w:val="10"/>
                <w:szCs w:val="10"/>
                <w:color w:val="auto"/>
              </w:rPr>
            </w:pPr>
          </w:p>
        </w:tc>
        <w:tc>
          <w:tcPr>
            <w:tcW w:w="400" w:type="dxa"/>
            <w:vAlign w:val="bottom"/>
            <w:shd w:val="clear" w:color="auto" w:fill="DCDDB2"/>
          </w:tcPr>
          <w:p>
            <w:pPr>
              <w:spacing w:after="0"/>
              <w:rPr>
                <w:sz w:val="10"/>
                <w:szCs w:val="10"/>
                <w:color w:val="auto"/>
              </w:rPr>
            </w:pPr>
          </w:p>
        </w:tc>
        <w:tc>
          <w:tcPr>
            <w:tcW w:w="320" w:type="dxa"/>
            <w:vAlign w:val="bottom"/>
            <w:tcBorders>
              <w:right w:val="single" w:sz="8" w:color="99BDC1"/>
            </w:tcBorders>
            <w:shd w:val="clear" w:color="auto" w:fill="DCDDB2"/>
          </w:tcPr>
          <w:p>
            <w:pPr>
              <w:spacing w:after="0"/>
              <w:rPr>
                <w:sz w:val="10"/>
                <w:szCs w:val="10"/>
                <w:color w:val="auto"/>
              </w:rPr>
            </w:pPr>
          </w:p>
        </w:tc>
        <w:tc>
          <w:tcPr>
            <w:tcW w:w="1560" w:type="dxa"/>
            <w:vAlign w:val="bottom"/>
            <w:shd w:val="clear" w:color="auto" w:fill="99BDC1"/>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600" w:type="dxa"/>
            <w:vAlign w:val="bottom"/>
            <w:tcBorders>
              <w:right w:val="single" w:sz="8" w:color="99BDC1"/>
            </w:tcBorders>
            <w:shd w:val="clear" w:color="auto" w:fill="DCDDB2"/>
          </w:tcPr>
          <w:p>
            <w:pPr>
              <w:spacing w:after="0"/>
              <w:rPr>
                <w:sz w:val="5"/>
                <w:szCs w:val="5"/>
                <w:color w:val="auto"/>
              </w:rPr>
            </w:pPr>
          </w:p>
        </w:tc>
        <w:tc>
          <w:tcPr>
            <w:tcW w:w="400" w:type="dxa"/>
            <w:vAlign w:val="bottom"/>
            <w:tcBorders>
              <w:left w:val="single" w:sz="8" w:color="99BDC1"/>
            </w:tcBorders>
            <w:shd w:val="clear" w:color="auto" w:fill="99BDC1"/>
          </w:tcPr>
          <w:p>
            <w:pPr>
              <w:spacing w:after="0"/>
              <w:rPr>
                <w:sz w:val="5"/>
                <w:szCs w:val="5"/>
                <w:color w:val="auto"/>
              </w:rPr>
            </w:pPr>
          </w:p>
        </w:tc>
        <w:tc>
          <w:tcPr>
            <w:tcW w:w="1180" w:type="dxa"/>
            <w:vAlign w:val="bottom"/>
            <w:shd w:val="clear" w:color="auto" w:fill="99BDC1"/>
          </w:tcPr>
          <w:p>
            <w:pPr>
              <w:spacing w:after="0"/>
              <w:rPr>
                <w:sz w:val="5"/>
                <w:szCs w:val="5"/>
                <w:color w:val="auto"/>
              </w:rPr>
            </w:pPr>
          </w:p>
        </w:tc>
        <w:tc>
          <w:tcPr>
            <w:tcW w:w="820" w:type="dxa"/>
            <w:vAlign w:val="bottom"/>
            <w:shd w:val="clear" w:color="auto" w:fill="CDDEE1"/>
          </w:tcPr>
          <w:p>
            <w:pPr>
              <w:spacing w:after="0"/>
              <w:rPr>
                <w:sz w:val="5"/>
                <w:szCs w:val="5"/>
                <w:color w:val="auto"/>
              </w:rPr>
            </w:pPr>
          </w:p>
        </w:tc>
        <w:tc>
          <w:tcPr>
            <w:tcW w:w="400" w:type="dxa"/>
            <w:vAlign w:val="bottom"/>
            <w:shd w:val="clear" w:color="auto" w:fill="CDDEE1"/>
          </w:tcPr>
          <w:p>
            <w:pPr>
              <w:spacing w:after="0"/>
              <w:rPr>
                <w:sz w:val="5"/>
                <w:szCs w:val="5"/>
                <w:color w:val="auto"/>
              </w:rPr>
            </w:pPr>
          </w:p>
        </w:tc>
        <w:tc>
          <w:tcPr>
            <w:tcW w:w="380" w:type="dxa"/>
            <w:vAlign w:val="bottom"/>
            <w:shd w:val="clear" w:color="auto" w:fill="CDDEE1"/>
          </w:tcPr>
          <w:p>
            <w:pPr>
              <w:spacing w:after="0"/>
              <w:rPr>
                <w:sz w:val="5"/>
                <w:szCs w:val="5"/>
                <w:color w:val="auto"/>
              </w:rPr>
            </w:pPr>
          </w:p>
        </w:tc>
        <w:tc>
          <w:tcPr>
            <w:tcW w:w="1580" w:type="dxa"/>
            <w:vAlign w:val="bottom"/>
            <w:tcBorders>
              <w:left w:val="single" w:sz="8" w:color="DCDDB2"/>
            </w:tcBorders>
            <w:shd w:val="clear" w:color="auto" w:fill="DCDDB2"/>
          </w:tcPr>
          <w:p>
            <w:pPr>
              <w:spacing w:after="0"/>
              <w:rPr>
                <w:sz w:val="5"/>
                <w:szCs w:val="5"/>
                <w:color w:val="auto"/>
              </w:rPr>
            </w:pPr>
          </w:p>
        </w:tc>
        <w:tc>
          <w:tcPr>
            <w:tcW w:w="80" w:type="dxa"/>
            <w:vAlign w:val="bottom"/>
            <w:shd w:val="clear" w:color="auto" w:fill="99BDC1"/>
          </w:tcPr>
          <w:p>
            <w:pPr>
              <w:spacing w:after="0"/>
              <w:rPr>
                <w:sz w:val="5"/>
                <w:szCs w:val="5"/>
                <w:color w:val="auto"/>
              </w:rPr>
            </w:pPr>
          </w:p>
        </w:tc>
        <w:tc>
          <w:tcPr>
            <w:tcW w:w="380" w:type="dxa"/>
            <w:vAlign w:val="bottom"/>
            <w:shd w:val="clear" w:color="auto" w:fill="99BDC1"/>
          </w:tcPr>
          <w:p>
            <w:pPr>
              <w:spacing w:after="0"/>
              <w:rPr>
                <w:sz w:val="5"/>
                <w:szCs w:val="5"/>
                <w:color w:val="auto"/>
              </w:rPr>
            </w:pPr>
          </w:p>
        </w:tc>
        <w:tc>
          <w:tcPr>
            <w:tcW w:w="1140" w:type="dxa"/>
            <w:vAlign w:val="bottom"/>
            <w:shd w:val="clear" w:color="auto" w:fill="99BDC1"/>
          </w:tcPr>
          <w:p>
            <w:pPr>
              <w:spacing w:after="0"/>
              <w:rPr>
                <w:sz w:val="5"/>
                <w:szCs w:val="5"/>
                <w:color w:val="auto"/>
              </w:rPr>
            </w:pPr>
          </w:p>
        </w:tc>
        <w:tc>
          <w:tcPr>
            <w:tcW w:w="900" w:type="dxa"/>
            <w:vAlign w:val="bottom"/>
            <w:tcBorders>
              <w:left w:val="single" w:sz="8" w:color="DCDDB2"/>
            </w:tcBorders>
            <w:shd w:val="clear" w:color="auto" w:fill="DCDDB2"/>
          </w:tcPr>
          <w:p>
            <w:pPr>
              <w:spacing w:after="0"/>
              <w:rPr>
                <w:sz w:val="5"/>
                <w:szCs w:val="5"/>
                <w:color w:val="auto"/>
              </w:rPr>
            </w:pPr>
          </w:p>
        </w:tc>
        <w:tc>
          <w:tcPr>
            <w:tcW w:w="400" w:type="dxa"/>
            <w:vAlign w:val="bottom"/>
            <w:shd w:val="clear" w:color="auto" w:fill="DCDDB2"/>
          </w:tcPr>
          <w:p>
            <w:pPr>
              <w:spacing w:after="0"/>
              <w:rPr>
                <w:sz w:val="5"/>
                <w:szCs w:val="5"/>
                <w:color w:val="auto"/>
              </w:rPr>
            </w:pPr>
          </w:p>
        </w:tc>
        <w:tc>
          <w:tcPr>
            <w:tcW w:w="320" w:type="dxa"/>
            <w:vAlign w:val="bottom"/>
            <w:tcBorders>
              <w:right w:val="single" w:sz="8" w:color="99BDC1"/>
            </w:tcBorders>
            <w:shd w:val="clear" w:color="auto" w:fill="DCDDB2"/>
          </w:tcPr>
          <w:p>
            <w:pPr>
              <w:spacing w:after="0"/>
              <w:rPr>
                <w:sz w:val="5"/>
                <w:szCs w:val="5"/>
                <w:color w:val="auto"/>
              </w:rPr>
            </w:pPr>
          </w:p>
        </w:tc>
        <w:tc>
          <w:tcPr>
            <w:tcW w:w="1560" w:type="dxa"/>
            <w:vAlign w:val="bottom"/>
            <w:shd w:val="clear" w:color="auto" w:fill="99BDC1"/>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00" w:type="dxa"/>
            <w:vAlign w:val="bottom"/>
            <w:tcBorders>
              <w:right w:val="single" w:sz="8" w:color="9DCAB9"/>
            </w:tcBorders>
            <w:vMerge w:val="restart"/>
            <w:shd w:val="clear" w:color="auto" w:fill="9DCAB9"/>
          </w:tcPr>
          <w:p>
            <w:pPr>
              <w:ind w:left="40"/>
              <w:spacing w:after="0"/>
              <w:rPr>
                <w:sz w:val="20"/>
                <w:szCs w:val="20"/>
                <w:color w:val="auto"/>
              </w:rPr>
            </w:pPr>
            <w:r>
              <w:rPr>
                <w:rFonts w:ascii="Times New Roman" w:cs="Times New Roman" w:eastAsia="Times New Roman" w:hAnsi="Times New Roman"/>
                <w:sz w:val="11"/>
                <w:szCs w:val="11"/>
                <w:color w:val="005A64"/>
              </w:rPr>
              <w:t>BNT211</w:t>
            </w:r>
          </w:p>
        </w:tc>
        <w:tc>
          <w:tcPr>
            <w:tcW w:w="1580" w:type="dxa"/>
            <w:vAlign w:val="bottom"/>
            <w:tcBorders>
              <w:left w:val="single" w:sz="8" w:color="9DCAB9"/>
            </w:tcBorders>
            <w:gridSpan w:val="2"/>
            <w:shd w:val="clear" w:color="auto" w:fill="9DCAB9"/>
          </w:tcPr>
          <w:p>
            <w:pPr>
              <w:ind w:left="40"/>
              <w:spacing w:after="0"/>
              <w:rPr>
                <w:sz w:val="20"/>
                <w:szCs w:val="20"/>
                <w:color w:val="auto"/>
              </w:rPr>
            </w:pPr>
            <w:r>
              <w:rPr>
                <w:rFonts w:ascii="Times New Roman" w:cs="Times New Roman" w:eastAsia="Times New Roman" w:hAnsi="Times New Roman"/>
                <w:sz w:val="11"/>
                <w:szCs w:val="11"/>
                <w:color w:val="005A64"/>
              </w:rPr>
              <w:t>BNT324/DB-1311</w:t>
            </w:r>
            <w:r>
              <w:rPr>
                <w:rFonts w:ascii="Times New Roman" w:cs="Times New Roman" w:eastAsia="Times New Roman" w:hAnsi="Times New Roman"/>
                <w:sz w:val="14"/>
                <w:szCs w:val="14"/>
                <w:color w:val="005A64"/>
                <w:vertAlign w:val="superscript"/>
              </w:rPr>
              <w:t>5</w:t>
            </w:r>
          </w:p>
        </w:tc>
        <w:tc>
          <w:tcPr>
            <w:tcW w:w="1600" w:type="dxa"/>
            <w:vAlign w:val="bottom"/>
            <w:gridSpan w:val="3"/>
            <w:shd w:val="clear" w:color="auto" w:fill="CDDEE1"/>
          </w:tcPr>
          <w:p>
            <w:pPr>
              <w:ind w:left="40"/>
              <w:spacing w:after="0"/>
              <w:rPr>
                <w:sz w:val="20"/>
                <w:szCs w:val="20"/>
                <w:color w:val="auto"/>
              </w:rPr>
            </w:pPr>
            <w:r>
              <w:rPr>
                <w:rFonts w:ascii="Times New Roman" w:cs="Times New Roman" w:eastAsia="Times New Roman" w:hAnsi="Times New Roman"/>
                <w:sz w:val="11"/>
                <w:szCs w:val="11"/>
                <w:color w:val="005A64"/>
              </w:rPr>
              <w:t>Pumitamig</w:t>
            </w:r>
            <w:r>
              <w:rPr>
                <w:rFonts w:ascii="Times New Roman" w:cs="Times New Roman" w:eastAsia="Times New Roman" w:hAnsi="Times New Roman"/>
                <w:sz w:val="14"/>
                <w:szCs w:val="14"/>
                <w:color w:val="005A64"/>
                <w:vertAlign w:val="superscript"/>
              </w:rPr>
              <w:t>3</w:t>
            </w:r>
            <w:r>
              <w:rPr>
                <w:rFonts w:ascii="Times New Roman" w:cs="Times New Roman" w:eastAsia="Times New Roman" w:hAnsi="Times New Roman"/>
                <w:sz w:val="11"/>
                <w:szCs w:val="11"/>
                <w:color w:val="005A64"/>
              </w:rPr>
              <w:t xml:space="preserve"> + BNT3212</w:t>
            </w:r>
          </w:p>
        </w:tc>
        <w:tc>
          <w:tcPr>
            <w:tcW w:w="1580" w:type="dxa"/>
            <w:vAlign w:val="bottom"/>
            <w:tcBorders>
              <w:left w:val="single" w:sz="8" w:color="DCDDB2"/>
            </w:tcBorders>
            <w:shd w:val="clear" w:color="auto" w:fill="DCDDB2"/>
          </w:tcPr>
          <w:p>
            <w:pPr>
              <w:ind w:left="40"/>
              <w:spacing w:after="0"/>
              <w:rPr>
                <w:sz w:val="20"/>
                <w:szCs w:val="20"/>
                <w:color w:val="auto"/>
              </w:rPr>
            </w:pPr>
            <w:r>
              <w:rPr>
                <w:rFonts w:ascii="Times New Roman" w:cs="Times New Roman" w:eastAsia="Times New Roman" w:hAnsi="Times New Roman"/>
                <w:sz w:val="11"/>
                <w:szCs w:val="11"/>
                <w:color w:val="005A64"/>
              </w:rPr>
              <w:t>Autogene cevumeran</w:t>
            </w:r>
            <w:r>
              <w:rPr>
                <w:rFonts w:ascii="Times New Roman" w:cs="Times New Roman" w:eastAsia="Times New Roman" w:hAnsi="Times New Roman"/>
                <w:sz w:val="14"/>
                <w:szCs w:val="14"/>
                <w:color w:val="005A64"/>
                <w:vertAlign w:val="superscript"/>
              </w:rPr>
              <w:t>6</w:t>
            </w:r>
          </w:p>
        </w:tc>
        <w:tc>
          <w:tcPr>
            <w:tcW w:w="1600" w:type="dxa"/>
            <w:vAlign w:val="bottom"/>
            <w:gridSpan w:val="3"/>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Pumitamig</w:t>
            </w:r>
            <w:r>
              <w:rPr>
                <w:rFonts w:ascii="Times New Roman" w:cs="Times New Roman" w:eastAsia="Times New Roman" w:hAnsi="Times New Roman"/>
                <w:sz w:val="14"/>
                <w:szCs w:val="14"/>
                <w:color w:val="005A64"/>
                <w:vertAlign w:val="superscript"/>
              </w:rPr>
              <w:t>3</w:t>
            </w:r>
          </w:p>
        </w:tc>
        <w:tc>
          <w:tcPr>
            <w:tcW w:w="1620" w:type="dxa"/>
            <w:vAlign w:val="bottom"/>
            <w:tcBorders>
              <w:left w:val="single" w:sz="8" w:color="99BDC1"/>
              <w:right w:val="single" w:sz="8" w:color="99BDC1"/>
            </w:tcBorders>
            <w:gridSpan w:val="3"/>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Pumitamig</w:t>
            </w:r>
            <w:r>
              <w:rPr>
                <w:rFonts w:ascii="Times New Roman" w:cs="Times New Roman" w:eastAsia="Times New Roman" w:hAnsi="Times New Roman"/>
                <w:sz w:val="14"/>
                <w:szCs w:val="14"/>
                <w:color w:val="005A64"/>
                <w:vertAlign w:val="superscript"/>
              </w:rPr>
              <w:t>3</w:t>
            </w:r>
          </w:p>
        </w:tc>
        <w:tc>
          <w:tcPr>
            <w:tcW w:w="1560" w:type="dxa"/>
            <w:vAlign w:val="bottom"/>
            <w:shd w:val="clear" w:color="auto" w:fill="99BDC1"/>
          </w:tcPr>
          <w:p>
            <w:pPr>
              <w:ind w:left="20"/>
              <w:spacing w:after="0"/>
              <w:rPr>
                <w:sz w:val="20"/>
                <w:szCs w:val="20"/>
                <w:color w:val="auto"/>
              </w:rPr>
            </w:pPr>
            <w:r>
              <w:rPr>
                <w:rFonts w:ascii="Times New Roman" w:cs="Times New Roman" w:eastAsia="Times New Roman" w:hAnsi="Times New Roman"/>
                <w:sz w:val="11"/>
                <w:szCs w:val="11"/>
                <w:color w:val="005A64"/>
              </w:rPr>
              <w:t>Pumitamig</w:t>
            </w:r>
            <w:r>
              <w:rPr>
                <w:rFonts w:ascii="Times New Roman" w:cs="Times New Roman" w:eastAsia="Times New Roman" w:hAnsi="Times New Roman"/>
                <w:sz w:val="14"/>
                <w:szCs w:val="14"/>
                <w:color w:val="005A64"/>
                <w:vertAlign w:val="superscript"/>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1600" w:type="dxa"/>
            <w:vAlign w:val="bottom"/>
            <w:tcBorders>
              <w:right w:val="single" w:sz="8" w:color="9DCAB9"/>
            </w:tcBorders>
            <w:vMerge w:val="continue"/>
            <w:shd w:val="clear" w:color="auto" w:fill="9DCAB9"/>
          </w:tcPr>
          <w:p>
            <w:pPr>
              <w:spacing w:after="0"/>
              <w:rPr>
                <w:sz w:val="2"/>
                <w:szCs w:val="2"/>
                <w:color w:val="auto"/>
              </w:rPr>
            </w:pPr>
          </w:p>
        </w:tc>
        <w:tc>
          <w:tcPr>
            <w:tcW w:w="400" w:type="dxa"/>
            <w:vAlign w:val="bottom"/>
            <w:tcBorders>
              <w:left w:val="single" w:sz="8" w:color="9DCAB9"/>
            </w:tcBorders>
            <w:shd w:val="clear" w:color="auto" w:fill="9DCAB9"/>
          </w:tcPr>
          <w:p>
            <w:pPr>
              <w:spacing w:after="0"/>
              <w:rPr>
                <w:sz w:val="2"/>
                <w:szCs w:val="2"/>
                <w:color w:val="auto"/>
              </w:rPr>
            </w:pPr>
          </w:p>
        </w:tc>
        <w:tc>
          <w:tcPr>
            <w:tcW w:w="1180" w:type="dxa"/>
            <w:vAlign w:val="bottom"/>
            <w:shd w:val="clear" w:color="auto" w:fill="9DCAB9"/>
          </w:tcPr>
          <w:p>
            <w:pPr>
              <w:spacing w:after="0"/>
              <w:rPr>
                <w:sz w:val="2"/>
                <w:szCs w:val="2"/>
                <w:color w:val="auto"/>
              </w:rPr>
            </w:pPr>
          </w:p>
        </w:tc>
        <w:tc>
          <w:tcPr>
            <w:tcW w:w="820" w:type="dxa"/>
            <w:vAlign w:val="bottom"/>
            <w:shd w:val="clear" w:color="auto" w:fill="CDDEE1"/>
          </w:tcPr>
          <w:p>
            <w:pPr>
              <w:spacing w:after="0"/>
              <w:rPr>
                <w:sz w:val="2"/>
                <w:szCs w:val="2"/>
                <w:color w:val="auto"/>
              </w:rPr>
            </w:pPr>
          </w:p>
        </w:tc>
        <w:tc>
          <w:tcPr>
            <w:tcW w:w="400" w:type="dxa"/>
            <w:vAlign w:val="bottom"/>
            <w:shd w:val="clear" w:color="auto" w:fill="CDDEE1"/>
          </w:tcPr>
          <w:p>
            <w:pPr>
              <w:spacing w:after="0"/>
              <w:rPr>
                <w:sz w:val="2"/>
                <w:szCs w:val="2"/>
                <w:color w:val="auto"/>
              </w:rPr>
            </w:pPr>
          </w:p>
        </w:tc>
        <w:tc>
          <w:tcPr>
            <w:tcW w:w="380" w:type="dxa"/>
            <w:vAlign w:val="bottom"/>
            <w:shd w:val="clear" w:color="auto" w:fill="CDDEE1"/>
          </w:tcPr>
          <w:p>
            <w:pPr>
              <w:spacing w:after="0"/>
              <w:rPr>
                <w:sz w:val="2"/>
                <w:szCs w:val="2"/>
                <w:color w:val="auto"/>
              </w:rPr>
            </w:pPr>
          </w:p>
        </w:tc>
        <w:tc>
          <w:tcPr>
            <w:tcW w:w="1580" w:type="dxa"/>
            <w:vAlign w:val="bottom"/>
            <w:tcBorders>
              <w:left w:val="single" w:sz="8" w:color="DCDDB2"/>
            </w:tcBorders>
            <w:shd w:val="clear" w:color="auto" w:fill="DCDDB2"/>
          </w:tcPr>
          <w:p>
            <w:pPr>
              <w:spacing w:after="0"/>
              <w:rPr>
                <w:sz w:val="2"/>
                <w:szCs w:val="2"/>
                <w:color w:val="auto"/>
              </w:rPr>
            </w:pPr>
          </w:p>
        </w:tc>
        <w:tc>
          <w:tcPr>
            <w:tcW w:w="80" w:type="dxa"/>
            <w:vAlign w:val="bottom"/>
            <w:shd w:val="clear" w:color="auto" w:fill="99BDC1"/>
          </w:tcPr>
          <w:p>
            <w:pPr>
              <w:spacing w:after="0"/>
              <w:rPr>
                <w:sz w:val="2"/>
                <w:szCs w:val="2"/>
                <w:color w:val="auto"/>
              </w:rPr>
            </w:pPr>
          </w:p>
        </w:tc>
        <w:tc>
          <w:tcPr>
            <w:tcW w:w="380" w:type="dxa"/>
            <w:vAlign w:val="bottom"/>
            <w:shd w:val="clear" w:color="auto" w:fill="99BDC1"/>
          </w:tcPr>
          <w:p>
            <w:pPr>
              <w:spacing w:after="0"/>
              <w:rPr>
                <w:sz w:val="2"/>
                <w:szCs w:val="2"/>
                <w:color w:val="auto"/>
              </w:rPr>
            </w:pPr>
          </w:p>
        </w:tc>
        <w:tc>
          <w:tcPr>
            <w:tcW w:w="1140" w:type="dxa"/>
            <w:vAlign w:val="bottom"/>
            <w:shd w:val="clear" w:color="auto" w:fill="99BDC1"/>
          </w:tcPr>
          <w:p>
            <w:pPr>
              <w:spacing w:after="0"/>
              <w:rPr>
                <w:sz w:val="2"/>
                <w:szCs w:val="2"/>
                <w:color w:val="auto"/>
              </w:rPr>
            </w:pPr>
          </w:p>
        </w:tc>
        <w:tc>
          <w:tcPr>
            <w:tcW w:w="900" w:type="dxa"/>
            <w:vAlign w:val="bottom"/>
            <w:tcBorders>
              <w:left w:val="single" w:sz="8" w:color="99BDC1"/>
            </w:tcBorders>
            <w:shd w:val="clear" w:color="auto" w:fill="99BDC1"/>
          </w:tcPr>
          <w:p>
            <w:pPr>
              <w:spacing w:after="0"/>
              <w:rPr>
                <w:sz w:val="2"/>
                <w:szCs w:val="2"/>
                <w:color w:val="auto"/>
              </w:rPr>
            </w:pPr>
          </w:p>
        </w:tc>
        <w:tc>
          <w:tcPr>
            <w:tcW w:w="400" w:type="dxa"/>
            <w:vAlign w:val="bottom"/>
            <w:shd w:val="clear" w:color="auto" w:fill="99BDC1"/>
          </w:tcPr>
          <w:p>
            <w:pPr>
              <w:spacing w:after="0"/>
              <w:rPr>
                <w:sz w:val="2"/>
                <w:szCs w:val="2"/>
                <w:color w:val="auto"/>
              </w:rPr>
            </w:pPr>
          </w:p>
        </w:tc>
        <w:tc>
          <w:tcPr>
            <w:tcW w:w="320" w:type="dxa"/>
            <w:vAlign w:val="bottom"/>
            <w:tcBorders>
              <w:right w:val="single" w:sz="8" w:color="99BDC1"/>
            </w:tcBorders>
            <w:shd w:val="clear" w:color="auto" w:fill="99BDC1"/>
          </w:tcPr>
          <w:p>
            <w:pPr>
              <w:spacing w:after="0"/>
              <w:rPr>
                <w:sz w:val="2"/>
                <w:szCs w:val="2"/>
                <w:color w:val="auto"/>
              </w:rPr>
            </w:pPr>
          </w:p>
        </w:tc>
        <w:tc>
          <w:tcPr>
            <w:tcW w:w="1560" w:type="dxa"/>
            <w:vAlign w:val="bottom"/>
            <w:shd w:val="clear" w:color="auto" w:fill="99BDC1"/>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600" w:type="dxa"/>
            <w:vAlign w:val="bottom"/>
            <w:tcBorders>
              <w:right w:val="single" w:sz="8" w:color="9DCAB9"/>
            </w:tcBorders>
            <w:shd w:val="clear" w:color="auto" w:fill="9DCAB9"/>
          </w:tcPr>
          <w:p>
            <w:pPr>
              <w:ind w:left="40"/>
              <w:spacing w:after="0"/>
              <w:rPr>
                <w:sz w:val="20"/>
                <w:szCs w:val="20"/>
                <w:color w:val="auto"/>
              </w:rPr>
            </w:pPr>
            <w:r>
              <w:rPr>
                <w:rFonts w:ascii="Times New Roman" w:cs="Times New Roman" w:eastAsia="Times New Roman" w:hAnsi="Times New Roman"/>
                <w:sz w:val="11"/>
                <w:szCs w:val="11"/>
                <w:color w:val="005A64"/>
              </w:rPr>
              <w:t>Multiple solid tumors</w:t>
            </w:r>
          </w:p>
        </w:tc>
        <w:tc>
          <w:tcPr>
            <w:tcW w:w="1580" w:type="dxa"/>
            <w:vAlign w:val="bottom"/>
            <w:tcBorders>
              <w:left w:val="single" w:sz="8" w:color="9DCAB9"/>
            </w:tcBorders>
            <w:gridSpan w:val="2"/>
            <w:shd w:val="clear" w:color="auto" w:fill="9DCAB9"/>
          </w:tcPr>
          <w:p>
            <w:pPr>
              <w:ind w:left="40"/>
              <w:spacing w:after="0"/>
              <w:rPr>
                <w:sz w:val="20"/>
                <w:szCs w:val="20"/>
                <w:color w:val="auto"/>
              </w:rPr>
            </w:pPr>
            <w:r>
              <w:rPr>
                <w:rFonts w:ascii="Times New Roman" w:cs="Times New Roman" w:eastAsia="Times New Roman" w:hAnsi="Times New Roman"/>
                <w:sz w:val="11"/>
                <w:szCs w:val="11"/>
                <w:color w:val="005A64"/>
              </w:rPr>
              <w:t>Multiple solid tumors</w:t>
            </w:r>
          </w:p>
        </w:tc>
        <w:tc>
          <w:tcPr>
            <w:tcW w:w="1600" w:type="dxa"/>
            <w:vAlign w:val="bottom"/>
            <w:gridSpan w:val="3"/>
            <w:shd w:val="clear" w:color="auto" w:fill="CDDEE1"/>
          </w:tcPr>
          <w:p>
            <w:pPr>
              <w:ind w:left="40"/>
              <w:spacing w:after="0"/>
              <w:rPr>
                <w:sz w:val="20"/>
                <w:szCs w:val="20"/>
                <w:color w:val="auto"/>
              </w:rPr>
            </w:pPr>
            <w:r>
              <w:rPr>
                <w:rFonts w:ascii="Times New Roman" w:cs="Times New Roman" w:eastAsia="Times New Roman" w:hAnsi="Times New Roman"/>
                <w:sz w:val="11"/>
                <w:szCs w:val="11"/>
                <w:color w:val="005A64"/>
              </w:rPr>
              <w:t>Multiple solid tumors</w:t>
            </w:r>
          </w:p>
        </w:tc>
        <w:tc>
          <w:tcPr>
            <w:tcW w:w="1580" w:type="dxa"/>
            <w:vAlign w:val="bottom"/>
            <w:tcBorders>
              <w:left w:val="single" w:sz="8" w:color="DCDDB2"/>
            </w:tcBorders>
            <w:shd w:val="clear" w:color="auto" w:fill="DCDDB2"/>
          </w:tcPr>
          <w:p>
            <w:pPr>
              <w:ind w:left="40"/>
              <w:spacing w:after="0"/>
              <w:rPr>
                <w:sz w:val="20"/>
                <w:szCs w:val="20"/>
                <w:color w:val="auto"/>
              </w:rPr>
            </w:pPr>
            <w:r>
              <w:rPr>
                <w:rFonts w:ascii="Times New Roman" w:cs="Times New Roman" w:eastAsia="Times New Roman" w:hAnsi="Times New Roman"/>
                <w:sz w:val="11"/>
                <w:szCs w:val="11"/>
                <w:color w:val="005A64"/>
              </w:rPr>
              <w:t>Adj. PDAC</w:t>
            </w:r>
          </w:p>
        </w:tc>
        <w:tc>
          <w:tcPr>
            <w:tcW w:w="1600" w:type="dxa"/>
            <w:vAlign w:val="bottom"/>
            <w:gridSpan w:val="3"/>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2L Glioblastoma</w:t>
            </w:r>
            <w:r>
              <w:rPr>
                <w:rFonts w:ascii="Times New Roman" w:cs="Times New Roman" w:eastAsia="Times New Roman" w:hAnsi="Times New Roman"/>
                <w:sz w:val="7"/>
                <w:szCs w:val="7"/>
                <w:color w:val="005A64"/>
              </w:rPr>
              <w:t>11</w:t>
            </w:r>
          </w:p>
        </w:tc>
        <w:tc>
          <w:tcPr>
            <w:tcW w:w="1620" w:type="dxa"/>
            <w:vAlign w:val="bottom"/>
            <w:tcBorders>
              <w:left w:val="single" w:sz="8" w:color="99BDC1"/>
              <w:right w:val="single" w:sz="8" w:color="99BDC1"/>
            </w:tcBorders>
            <w:gridSpan w:val="3"/>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1L met. CRC</w:t>
            </w:r>
          </w:p>
        </w:tc>
        <w:tc>
          <w:tcPr>
            <w:tcW w:w="1560" w:type="dxa"/>
            <w:vAlign w:val="bottom"/>
            <w:shd w:val="clear" w:color="auto" w:fill="99BDC1"/>
          </w:tcPr>
          <w:p>
            <w:pPr>
              <w:ind w:left="20"/>
              <w:spacing w:after="0"/>
              <w:rPr>
                <w:sz w:val="20"/>
                <w:szCs w:val="20"/>
                <w:color w:val="auto"/>
              </w:rPr>
            </w:pPr>
            <w:r>
              <w:rPr>
                <w:rFonts w:ascii="Times New Roman" w:cs="Times New Roman" w:eastAsia="Times New Roman" w:hAnsi="Times New Roman"/>
                <w:sz w:val="11"/>
                <w:szCs w:val="11"/>
                <w:color w:val="005A64"/>
              </w:rPr>
              <w:t>1L ES-SCLC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600" w:type="dxa"/>
            <w:vAlign w:val="bottom"/>
            <w:tcBorders>
              <w:right w:val="single" w:sz="8" w:color="9DCAB9"/>
            </w:tcBorders>
            <w:shd w:val="clear" w:color="auto" w:fill="9DCAB9"/>
          </w:tcPr>
          <w:p>
            <w:pPr>
              <w:spacing w:after="0"/>
              <w:rPr>
                <w:sz w:val="10"/>
                <w:szCs w:val="10"/>
                <w:color w:val="auto"/>
              </w:rPr>
            </w:pPr>
          </w:p>
        </w:tc>
        <w:tc>
          <w:tcPr>
            <w:tcW w:w="400" w:type="dxa"/>
            <w:vAlign w:val="bottom"/>
            <w:tcBorders>
              <w:left w:val="single" w:sz="8" w:color="9DCAB9"/>
            </w:tcBorders>
            <w:shd w:val="clear" w:color="auto" w:fill="9DCAB9"/>
          </w:tcPr>
          <w:p>
            <w:pPr>
              <w:spacing w:after="0"/>
              <w:rPr>
                <w:sz w:val="10"/>
                <w:szCs w:val="10"/>
                <w:color w:val="auto"/>
              </w:rPr>
            </w:pPr>
          </w:p>
        </w:tc>
        <w:tc>
          <w:tcPr>
            <w:tcW w:w="1180" w:type="dxa"/>
            <w:vAlign w:val="bottom"/>
            <w:shd w:val="clear" w:color="auto" w:fill="9DCAB9"/>
          </w:tcPr>
          <w:p>
            <w:pPr>
              <w:spacing w:after="0"/>
              <w:rPr>
                <w:sz w:val="10"/>
                <w:szCs w:val="10"/>
                <w:color w:val="auto"/>
              </w:rPr>
            </w:pPr>
          </w:p>
        </w:tc>
        <w:tc>
          <w:tcPr>
            <w:tcW w:w="820" w:type="dxa"/>
            <w:vAlign w:val="bottom"/>
            <w:shd w:val="clear" w:color="auto" w:fill="CDDEE1"/>
          </w:tcPr>
          <w:p>
            <w:pPr>
              <w:spacing w:after="0"/>
              <w:rPr>
                <w:sz w:val="10"/>
                <w:szCs w:val="10"/>
                <w:color w:val="auto"/>
              </w:rPr>
            </w:pPr>
          </w:p>
        </w:tc>
        <w:tc>
          <w:tcPr>
            <w:tcW w:w="400" w:type="dxa"/>
            <w:vAlign w:val="bottom"/>
            <w:shd w:val="clear" w:color="auto" w:fill="CDDEE1"/>
          </w:tcPr>
          <w:p>
            <w:pPr>
              <w:spacing w:after="0"/>
              <w:rPr>
                <w:sz w:val="10"/>
                <w:szCs w:val="10"/>
                <w:color w:val="auto"/>
              </w:rPr>
            </w:pPr>
          </w:p>
        </w:tc>
        <w:tc>
          <w:tcPr>
            <w:tcW w:w="380" w:type="dxa"/>
            <w:vAlign w:val="bottom"/>
            <w:shd w:val="clear" w:color="auto" w:fill="CDDEE1"/>
          </w:tcPr>
          <w:p>
            <w:pPr>
              <w:spacing w:after="0"/>
              <w:rPr>
                <w:sz w:val="10"/>
                <w:szCs w:val="10"/>
                <w:color w:val="auto"/>
              </w:rPr>
            </w:pPr>
          </w:p>
        </w:tc>
        <w:tc>
          <w:tcPr>
            <w:tcW w:w="1580" w:type="dxa"/>
            <w:vAlign w:val="bottom"/>
            <w:tcBorders>
              <w:left w:val="single" w:sz="8" w:color="DCDDB2"/>
            </w:tcBorders>
            <w:shd w:val="clear" w:color="auto" w:fill="DCDDB2"/>
          </w:tcPr>
          <w:p>
            <w:pPr>
              <w:spacing w:after="0"/>
              <w:rPr>
                <w:sz w:val="10"/>
                <w:szCs w:val="10"/>
                <w:color w:val="auto"/>
              </w:rPr>
            </w:pPr>
          </w:p>
        </w:tc>
        <w:tc>
          <w:tcPr>
            <w:tcW w:w="80" w:type="dxa"/>
            <w:vAlign w:val="bottom"/>
            <w:shd w:val="clear" w:color="auto" w:fill="99BDC1"/>
          </w:tcPr>
          <w:p>
            <w:pPr>
              <w:spacing w:after="0"/>
              <w:rPr>
                <w:sz w:val="10"/>
                <w:szCs w:val="10"/>
                <w:color w:val="auto"/>
              </w:rPr>
            </w:pPr>
          </w:p>
        </w:tc>
        <w:tc>
          <w:tcPr>
            <w:tcW w:w="380" w:type="dxa"/>
            <w:vAlign w:val="bottom"/>
            <w:shd w:val="clear" w:color="auto" w:fill="99BDC1"/>
          </w:tcPr>
          <w:p>
            <w:pPr>
              <w:spacing w:after="0"/>
              <w:rPr>
                <w:sz w:val="10"/>
                <w:szCs w:val="10"/>
                <w:color w:val="auto"/>
              </w:rPr>
            </w:pPr>
          </w:p>
        </w:tc>
        <w:tc>
          <w:tcPr>
            <w:tcW w:w="1140" w:type="dxa"/>
            <w:vAlign w:val="bottom"/>
            <w:shd w:val="clear" w:color="auto" w:fill="99BDC1"/>
          </w:tcPr>
          <w:p>
            <w:pPr>
              <w:spacing w:after="0"/>
              <w:rPr>
                <w:sz w:val="10"/>
                <w:szCs w:val="10"/>
                <w:color w:val="auto"/>
              </w:rPr>
            </w:pPr>
          </w:p>
        </w:tc>
        <w:tc>
          <w:tcPr>
            <w:tcW w:w="900" w:type="dxa"/>
            <w:vAlign w:val="bottom"/>
            <w:tcBorders>
              <w:left w:val="single" w:sz="8" w:color="99BDC1"/>
            </w:tcBorders>
            <w:shd w:val="clear" w:color="auto" w:fill="99BDC1"/>
          </w:tcPr>
          <w:p>
            <w:pPr>
              <w:spacing w:after="0"/>
              <w:rPr>
                <w:sz w:val="10"/>
                <w:szCs w:val="10"/>
                <w:color w:val="auto"/>
              </w:rPr>
            </w:pPr>
          </w:p>
        </w:tc>
        <w:tc>
          <w:tcPr>
            <w:tcW w:w="400" w:type="dxa"/>
            <w:vAlign w:val="bottom"/>
            <w:shd w:val="clear" w:color="auto" w:fill="99BDC1"/>
          </w:tcPr>
          <w:p>
            <w:pPr>
              <w:spacing w:after="0"/>
              <w:rPr>
                <w:sz w:val="10"/>
                <w:szCs w:val="10"/>
                <w:color w:val="auto"/>
              </w:rPr>
            </w:pPr>
          </w:p>
        </w:tc>
        <w:tc>
          <w:tcPr>
            <w:tcW w:w="320" w:type="dxa"/>
            <w:vAlign w:val="bottom"/>
            <w:tcBorders>
              <w:right w:val="single" w:sz="8" w:color="99BDC1"/>
            </w:tcBorders>
            <w:shd w:val="clear" w:color="auto" w:fill="99BDC1"/>
          </w:tcPr>
          <w:p>
            <w:pPr>
              <w:spacing w:after="0"/>
              <w:rPr>
                <w:sz w:val="10"/>
                <w:szCs w:val="10"/>
                <w:color w:val="auto"/>
              </w:rPr>
            </w:pPr>
          </w:p>
        </w:tc>
        <w:tc>
          <w:tcPr>
            <w:tcW w:w="1560" w:type="dxa"/>
            <w:vAlign w:val="bottom"/>
            <w:shd w:val="clear" w:color="auto" w:fill="99BDC1"/>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600" w:type="dxa"/>
            <w:vAlign w:val="bottom"/>
            <w:tcBorders>
              <w:right w:val="single" w:sz="8" w:color="99BDC1"/>
            </w:tcBorders>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BNT314/GEN1059</w:t>
            </w:r>
            <w:r>
              <w:rPr>
                <w:rFonts w:ascii="Times New Roman" w:cs="Times New Roman" w:eastAsia="Times New Roman" w:hAnsi="Times New Roman"/>
                <w:sz w:val="14"/>
                <w:szCs w:val="14"/>
                <w:color w:val="005A64"/>
                <w:vertAlign w:val="superscript"/>
              </w:rPr>
              <w:t>9</w:t>
            </w:r>
          </w:p>
        </w:tc>
        <w:tc>
          <w:tcPr>
            <w:tcW w:w="1580" w:type="dxa"/>
            <w:vAlign w:val="bottom"/>
            <w:tcBorders>
              <w:left w:val="single" w:sz="8" w:color="9DCAB9"/>
            </w:tcBorders>
            <w:gridSpan w:val="2"/>
            <w:shd w:val="clear" w:color="auto" w:fill="9DCAB9"/>
          </w:tcPr>
          <w:p>
            <w:pPr>
              <w:ind w:left="40"/>
              <w:spacing w:after="0"/>
              <w:rPr>
                <w:sz w:val="20"/>
                <w:szCs w:val="20"/>
                <w:color w:val="auto"/>
              </w:rPr>
            </w:pPr>
            <w:r>
              <w:rPr>
                <w:rFonts w:ascii="Times New Roman" w:cs="Times New Roman" w:eastAsia="Times New Roman" w:hAnsi="Times New Roman"/>
                <w:sz w:val="11"/>
                <w:szCs w:val="11"/>
                <w:color w:val="005A64"/>
              </w:rPr>
              <w:t>Sacituzumab drozuntecan</w:t>
            </w:r>
            <w:r>
              <w:rPr>
                <w:rFonts w:ascii="Times New Roman" w:cs="Times New Roman" w:eastAsia="Times New Roman" w:hAnsi="Times New Roman"/>
                <w:sz w:val="14"/>
                <w:szCs w:val="14"/>
                <w:color w:val="005A64"/>
                <w:vertAlign w:val="superscript"/>
              </w:rPr>
              <w:t>5</w:t>
            </w:r>
          </w:p>
        </w:tc>
        <w:tc>
          <w:tcPr>
            <w:tcW w:w="1600" w:type="dxa"/>
            <w:vAlign w:val="bottom"/>
            <w:gridSpan w:val="3"/>
            <w:shd w:val="clear" w:color="auto" w:fill="CDDEE1"/>
          </w:tcPr>
          <w:p>
            <w:pPr>
              <w:ind w:left="40"/>
              <w:spacing w:after="0"/>
              <w:rPr>
                <w:sz w:val="20"/>
                <w:szCs w:val="20"/>
                <w:color w:val="auto"/>
              </w:rPr>
            </w:pPr>
            <w:r>
              <w:rPr>
                <w:rFonts w:ascii="Times New Roman" w:cs="Times New Roman" w:eastAsia="Times New Roman" w:hAnsi="Times New Roman"/>
                <w:sz w:val="11"/>
                <w:szCs w:val="11"/>
                <w:color w:val="005A64"/>
              </w:rPr>
              <w:t>Pumitamig</w:t>
            </w:r>
            <w:r>
              <w:rPr>
                <w:rFonts w:ascii="Times New Roman" w:cs="Times New Roman" w:eastAsia="Times New Roman" w:hAnsi="Times New Roman"/>
                <w:sz w:val="14"/>
                <w:szCs w:val="14"/>
                <w:color w:val="005A64"/>
                <w:vertAlign w:val="superscript"/>
              </w:rPr>
              <w:t>3</w:t>
            </w:r>
            <w:r>
              <w:rPr>
                <w:rFonts w:ascii="Times New Roman" w:cs="Times New Roman" w:eastAsia="Times New Roman" w:hAnsi="Times New Roman"/>
                <w:sz w:val="11"/>
                <w:szCs w:val="11"/>
                <w:color w:val="005A64"/>
              </w:rPr>
              <w:t xml:space="preserve"> + BNT3213</w:t>
            </w:r>
          </w:p>
        </w:tc>
        <w:tc>
          <w:tcPr>
            <w:tcW w:w="1580" w:type="dxa"/>
            <w:vAlign w:val="bottom"/>
            <w:tcBorders>
              <w:left w:val="single" w:sz="8" w:color="DCDDB2"/>
            </w:tcBorders>
            <w:shd w:val="clear" w:color="auto" w:fill="DCDDB2"/>
          </w:tcPr>
          <w:p>
            <w:pPr>
              <w:ind w:left="40"/>
              <w:spacing w:after="0"/>
              <w:rPr>
                <w:sz w:val="20"/>
                <w:szCs w:val="20"/>
                <w:color w:val="auto"/>
              </w:rPr>
            </w:pPr>
            <w:r>
              <w:rPr>
                <w:rFonts w:ascii="Times New Roman" w:cs="Times New Roman" w:eastAsia="Times New Roman" w:hAnsi="Times New Roman"/>
                <w:sz w:val="11"/>
                <w:szCs w:val="11"/>
                <w:color w:val="005A64"/>
              </w:rPr>
              <w:t>BNT116</w:t>
            </w:r>
            <w:r>
              <w:rPr>
                <w:rFonts w:ascii="Times New Roman" w:cs="Times New Roman" w:eastAsia="Times New Roman" w:hAnsi="Times New Roman"/>
                <w:sz w:val="14"/>
                <w:szCs w:val="14"/>
                <w:color w:val="005A64"/>
                <w:vertAlign w:val="superscript"/>
              </w:rPr>
              <w:t>10</w:t>
            </w:r>
          </w:p>
        </w:tc>
        <w:tc>
          <w:tcPr>
            <w:tcW w:w="1600" w:type="dxa"/>
            <w:vAlign w:val="bottom"/>
            <w:gridSpan w:val="3"/>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Pumitamig</w:t>
            </w:r>
            <w:r>
              <w:rPr>
                <w:rFonts w:ascii="Times New Roman" w:cs="Times New Roman" w:eastAsia="Times New Roman" w:hAnsi="Times New Roman"/>
                <w:sz w:val="14"/>
                <w:szCs w:val="14"/>
                <w:color w:val="005A64"/>
                <w:vertAlign w:val="superscript"/>
              </w:rPr>
              <w:t>3</w:t>
            </w:r>
          </w:p>
        </w:tc>
        <w:tc>
          <w:tcPr>
            <w:tcW w:w="1620" w:type="dxa"/>
            <w:vAlign w:val="bottom"/>
            <w:tcBorders>
              <w:left w:val="single" w:sz="8" w:color="99BDC1"/>
              <w:right w:val="single" w:sz="8" w:color="99BDC1"/>
            </w:tcBorders>
            <w:gridSpan w:val="3"/>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Pumitamig</w:t>
            </w:r>
            <w:r>
              <w:rPr>
                <w:rFonts w:ascii="Times New Roman" w:cs="Times New Roman" w:eastAsia="Times New Roman" w:hAnsi="Times New Roman"/>
                <w:sz w:val="14"/>
                <w:szCs w:val="14"/>
                <w:color w:val="005A64"/>
                <w:vertAlign w:val="superscript"/>
              </w:rPr>
              <w:t>3</w:t>
            </w:r>
          </w:p>
        </w:tc>
        <w:tc>
          <w:tcPr>
            <w:tcW w:w="1560" w:type="dxa"/>
            <w:vAlign w:val="bottom"/>
            <w:shd w:val="clear" w:color="auto" w:fill="99BDC1"/>
          </w:tcPr>
          <w:p>
            <w:pPr>
              <w:ind w:left="20"/>
              <w:spacing w:after="0"/>
              <w:rPr>
                <w:sz w:val="20"/>
                <w:szCs w:val="20"/>
                <w:color w:val="auto"/>
              </w:rPr>
            </w:pPr>
            <w:r>
              <w:rPr>
                <w:rFonts w:ascii="Times New Roman" w:cs="Times New Roman" w:eastAsia="Times New Roman" w:hAnsi="Times New Roman"/>
                <w:sz w:val="11"/>
                <w:szCs w:val="11"/>
                <w:color w:val="005A64"/>
              </w:rPr>
              <w:t>Pumitamig</w:t>
            </w:r>
            <w:r>
              <w:rPr>
                <w:rFonts w:ascii="Times New Roman" w:cs="Times New Roman" w:eastAsia="Times New Roman" w:hAnsi="Times New Roman"/>
                <w:sz w:val="14"/>
                <w:szCs w:val="14"/>
                <w:color w:val="005A64"/>
                <w:vertAlign w:val="superscript"/>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600" w:type="dxa"/>
            <w:vAlign w:val="bottom"/>
            <w:tcBorders>
              <w:right w:val="single" w:sz="8" w:color="99BDC1"/>
            </w:tcBorders>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Multiple solid tumors</w:t>
            </w:r>
          </w:p>
        </w:tc>
        <w:tc>
          <w:tcPr>
            <w:tcW w:w="1580" w:type="dxa"/>
            <w:vAlign w:val="bottom"/>
            <w:tcBorders>
              <w:left w:val="single" w:sz="8" w:color="9DCAB9"/>
            </w:tcBorders>
            <w:gridSpan w:val="2"/>
            <w:shd w:val="clear" w:color="auto" w:fill="9DCAB9"/>
          </w:tcPr>
          <w:p>
            <w:pPr>
              <w:ind w:left="40"/>
              <w:spacing w:after="0"/>
              <w:rPr>
                <w:sz w:val="20"/>
                <w:szCs w:val="20"/>
                <w:color w:val="auto"/>
              </w:rPr>
            </w:pPr>
            <w:r>
              <w:rPr>
                <w:rFonts w:ascii="Times New Roman" w:cs="Times New Roman" w:eastAsia="Times New Roman" w:hAnsi="Times New Roman"/>
                <w:sz w:val="11"/>
                <w:szCs w:val="11"/>
                <w:color w:val="005A64"/>
              </w:rPr>
              <w:t>Multiple solid tumors</w:t>
            </w:r>
          </w:p>
        </w:tc>
        <w:tc>
          <w:tcPr>
            <w:tcW w:w="1600" w:type="dxa"/>
            <w:vAlign w:val="bottom"/>
            <w:gridSpan w:val="3"/>
            <w:shd w:val="clear" w:color="auto" w:fill="CDDEE1"/>
          </w:tcPr>
          <w:p>
            <w:pPr>
              <w:ind w:left="40"/>
              <w:spacing w:after="0"/>
              <w:rPr>
                <w:sz w:val="20"/>
                <w:szCs w:val="20"/>
                <w:color w:val="auto"/>
              </w:rPr>
            </w:pPr>
            <w:r>
              <w:rPr>
                <w:rFonts w:ascii="Times New Roman" w:cs="Times New Roman" w:eastAsia="Times New Roman" w:hAnsi="Times New Roman"/>
                <w:sz w:val="11"/>
                <w:szCs w:val="11"/>
                <w:color w:val="005A64"/>
              </w:rPr>
              <w:t>1L HCC</w:t>
            </w:r>
            <w:r>
              <w:rPr>
                <w:rFonts w:ascii="Times New Roman" w:cs="Times New Roman" w:eastAsia="Times New Roman" w:hAnsi="Times New Roman"/>
                <w:sz w:val="7"/>
                <w:szCs w:val="7"/>
                <w:color w:val="005A64"/>
              </w:rPr>
              <w:t>4,11</w:t>
            </w:r>
          </w:p>
        </w:tc>
        <w:tc>
          <w:tcPr>
            <w:tcW w:w="1580" w:type="dxa"/>
            <w:vAlign w:val="bottom"/>
            <w:tcBorders>
              <w:left w:val="single" w:sz="8" w:color="DCDDB2"/>
            </w:tcBorders>
            <w:shd w:val="clear" w:color="auto" w:fill="DCDDB2"/>
          </w:tcPr>
          <w:p>
            <w:pPr>
              <w:ind w:left="40"/>
              <w:spacing w:after="0"/>
              <w:rPr>
                <w:sz w:val="20"/>
                <w:szCs w:val="20"/>
                <w:color w:val="auto"/>
              </w:rPr>
            </w:pPr>
            <w:r>
              <w:rPr>
                <w:rFonts w:ascii="Times New Roman" w:cs="Times New Roman" w:eastAsia="Times New Roman" w:hAnsi="Times New Roman"/>
                <w:sz w:val="11"/>
                <w:szCs w:val="11"/>
                <w:color w:val="005A64"/>
              </w:rPr>
              <w:t>1L adv. NSCLC</w:t>
            </w:r>
          </w:p>
        </w:tc>
        <w:tc>
          <w:tcPr>
            <w:tcW w:w="1600" w:type="dxa"/>
            <w:vAlign w:val="bottom"/>
            <w:gridSpan w:val="3"/>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1L HCC</w:t>
            </w:r>
            <w:r>
              <w:rPr>
                <w:rFonts w:ascii="Times New Roman" w:cs="Times New Roman" w:eastAsia="Times New Roman" w:hAnsi="Times New Roman"/>
                <w:sz w:val="7"/>
                <w:szCs w:val="7"/>
                <w:color w:val="005A64"/>
              </w:rPr>
              <w:t>11</w:t>
            </w:r>
          </w:p>
        </w:tc>
        <w:tc>
          <w:tcPr>
            <w:tcW w:w="1620" w:type="dxa"/>
            <w:vAlign w:val="bottom"/>
            <w:tcBorders>
              <w:left w:val="single" w:sz="8" w:color="99BDC1"/>
              <w:right w:val="single" w:sz="8" w:color="99BDC1"/>
            </w:tcBorders>
            <w:gridSpan w:val="3"/>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1L adv./met. Gastric</w:t>
            </w:r>
          </w:p>
        </w:tc>
        <w:tc>
          <w:tcPr>
            <w:tcW w:w="1560" w:type="dxa"/>
            <w:vAlign w:val="bottom"/>
            <w:shd w:val="clear" w:color="auto" w:fill="99BDC1"/>
          </w:tcPr>
          <w:p>
            <w:pPr>
              <w:ind w:left="20"/>
              <w:spacing w:after="0"/>
              <w:rPr>
                <w:sz w:val="20"/>
                <w:szCs w:val="20"/>
                <w:color w:val="auto"/>
              </w:rPr>
            </w:pPr>
            <w:r>
              <w:rPr>
                <w:rFonts w:ascii="Times New Roman" w:cs="Times New Roman" w:eastAsia="Times New Roman" w:hAnsi="Times New Roman"/>
                <w:sz w:val="11"/>
                <w:szCs w:val="11"/>
                <w:color w:val="005A64"/>
              </w:rPr>
              <w:t>1L adv. NSCLC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600" w:type="dxa"/>
            <w:vAlign w:val="bottom"/>
            <w:tcBorders>
              <w:right w:val="single" w:sz="8" w:color="99BDC1"/>
            </w:tcBorders>
            <w:shd w:val="clear" w:color="auto" w:fill="99BDC1"/>
          </w:tcPr>
          <w:p>
            <w:pPr>
              <w:spacing w:after="0"/>
              <w:rPr>
                <w:sz w:val="10"/>
                <w:szCs w:val="10"/>
                <w:color w:val="auto"/>
              </w:rPr>
            </w:pPr>
          </w:p>
        </w:tc>
        <w:tc>
          <w:tcPr>
            <w:tcW w:w="400" w:type="dxa"/>
            <w:vAlign w:val="bottom"/>
            <w:tcBorders>
              <w:left w:val="single" w:sz="8" w:color="9DCAB9"/>
            </w:tcBorders>
            <w:shd w:val="clear" w:color="auto" w:fill="9DCAB9"/>
          </w:tcPr>
          <w:p>
            <w:pPr>
              <w:spacing w:after="0"/>
              <w:rPr>
                <w:sz w:val="10"/>
                <w:szCs w:val="10"/>
                <w:color w:val="auto"/>
              </w:rPr>
            </w:pPr>
          </w:p>
        </w:tc>
        <w:tc>
          <w:tcPr>
            <w:tcW w:w="1180" w:type="dxa"/>
            <w:vAlign w:val="bottom"/>
            <w:shd w:val="clear" w:color="auto" w:fill="9DCAB9"/>
          </w:tcPr>
          <w:p>
            <w:pPr>
              <w:spacing w:after="0"/>
              <w:rPr>
                <w:sz w:val="10"/>
                <w:szCs w:val="10"/>
                <w:color w:val="auto"/>
              </w:rPr>
            </w:pPr>
          </w:p>
        </w:tc>
        <w:tc>
          <w:tcPr>
            <w:tcW w:w="1600" w:type="dxa"/>
            <w:vAlign w:val="bottom"/>
            <w:gridSpan w:val="3"/>
            <w:vMerge w:val="restart"/>
            <w:shd w:val="clear" w:color="auto" w:fill="CDDEE1"/>
          </w:tcPr>
          <w:p>
            <w:pPr>
              <w:ind w:left="40"/>
              <w:spacing w:after="0"/>
              <w:rPr>
                <w:sz w:val="20"/>
                <w:szCs w:val="20"/>
                <w:color w:val="auto"/>
              </w:rPr>
            </w:pPr>
            <w:r>
              <w:rPr>
                <w:rFonts w:ascii="Times New Roman" w:cs="Times New Roman" w:eastAsia="Times New Roman" w:hAnsi="Times New Roman"/>
                <w:sz w:val="11"/>
                <w:szCs w:val="11"/>
                <w:color w:val="005A64"/>
              </w:rPr>
              <w:t>Pumitamig</w:t>
            </w:r>
            <w:r>
              <w:rPr>
                <w:rFonts w:ascii="Times New Roman" w:cs="Times New Roman" w:eastAsia="Times New Roman" w:hAnsi="Times New Roman"/>
                <w:sz w:val="14"/>
                <w:szCs w:val="14"/>
                <w:color w:val="005A64"/>
                <w:vertAlign w:val="superscript"/>
              </w:rPr>
              <w:t>3</w:t>
            </w:r>
            <w:r>
              <w:rPr>
                <w:rFonts w:ascii="Times New Roman" w:cs="Times New Roman" w:eastAsia="Times New Roman" w:hAnsi="Times New Roman"/>
                <w:sz w:val="11"/>
                <w:szCs w:val="11"/>
                <w:color w:val="005A64"/>
              </w:rPr>
              <w:t xml:space="preserve"> + BNT324/DB-</w:t>
            </w:r>
          </w:p>
        </w:tc>
        <w:tc>
          <w:tcPr>
            <w:tcW w:w="1580" w:type="dxa"/>
            <w:vAlign w:val="bottom"/>
            <w:tcBorders>
              <w:left w:val="single" w:sz="8" w:color="DCDDB2"/>
            </w:tcBorders>
            <w:shd w:val="clear" w:color="auto" w:fill="DCDDB2"/>
          </w:tcPr>
          <w:p>
            <w:pPr>
              <w:spacing w:after="0"/>
              <w:rPr>
                <w:sz w:val="10"/>
                <w:szCs w:val="10"/>
                <w:color w:val="auto"/>
              </w:rPr>
            </w:pPr>
          </w:p>
        </w:tc>
        <w:tc>
          <w:tcPr>
            <w:tcW w:w="80" w:type="dxa"/>
            <w:vAlign w:val="bottom"/>
            <w:shd w:val="clear" w:color="auto" w:fill="99BDC1"/>
          </w:tcPr>
          <w:p>
            <w:pPr>
              <w:spacing w:after="0"/>
              <w:rPr>
                <w:sz w:val="10"/>
                <w:szCs w:val="10"/>
                <w:color w:val="auto"/>
              </w:rPr>
            </w:pPr>
          </w:p>
        </w:tc>
        <w:tc>
          <w:tcPr>
            <w:tcW w:w="380" w:type="dxa"/>
            <w:vAlign w:val="bottom"/>
            <w:shd w:val="clear" w:color="auto" w:fill="99BDC1"/>
          </w:tcPr>
          <w:p>
            <w:pPr>
              <w:spacing w:after="0"/>
              <w:rPr>
                <w:sz w:val="10"/>
                <w:szCs w:val="10"/>
                <w:color w:val="auto"/>
              </w:rPr>
            </w:pPr>
          </w:p>
        </w:tc>
        <w:tc>
          <w:tcPr>
            <w:tcW w:w="1140" w:type="dxa"/>
            <w:vAlign w:val="bottom"/>
            <w:shd w:val="clear" w:color="auto" w:fill="99BDC1"/>
          </w:tcPr>
          <w:p>
            <w:pPr>
              <w:spacing w:after="0"/>
              <w:rPr>
                <w:sz w:val="10"/>
                <w:szCs w:val="10"/>
                <w:color w:val="auto"/>
              </w:rPr>
            </w:pPr>
          </w:p>
        </w:tc>
        <w:tc>
          <w:tcPr>
            <w:tcW w:w="900" w:type="dxa"/>
            <w:vAlign w:val="bottom"/>
            <w:tcBorders>
              <w:left w:val="single" w:sz="8" w:color="99BDC1"/>
            </w:tcBorders>
            <w:shd w:val="clear" w:color="auto" w:fill="99BDC1"/>
          </w:tcPr>
          <w:p>
            <w:pPr>
              <w:spacing w:after="0"/>
              <w:rPr>
                <w:sz w:val="10"/>
                <w:szCs w:val="10"/>
                <w:color w:val="auto"/>
              </w:rPr>
            </w:pPr>
          </w:p>
        </w:tc>
        <w:tc>
          <w:tcPr>
            <w:tcW w:w="400" w:type="dxa"/>
            <w:vAlign w:val="bottom"/>
            <w:shd w:val="clear" w:color="auto" w:fill="99BDC1"/>
          </w:tcPr>
          <w:p>
            <w:pPr>
              <w:spacing w:after="0"/>
              <w:rPr>
                <w:sz w:val="10"/>
                <w:szCs w:val="10"/>
                <w:color w:val="auto"/>
              </w:rPr>
            </w:pPr>
          </w:p>
        </w:tc>
        <w:tc>
          <w:tcPr>
            <w:tcW w:w="320" w:type="dxa"/>
            <w:vAlign w:val="bottom"/>
            <w:tcBorders>
              <w:right w:val="single" w:sz="8" w:color="99BDC1"/>
            </w:tcBorders>
            <w:shd w:val="clear" w:color="auto" w:fill="99BDC1"/>
          </w:tcPr>
          <w:p>
            <w:pPr>
              <w:spacing w:after="0"/>
              <w:rPr>
                <w:sz w:val="10"/>
                <w:szCs w:val="10"/>
                <w:color w:val="auto"/>
              </w:rPr>
            </w:pPr>
          </w:p>
        </w:tc>
        <w:tc>
          <w:tcPr>
            <w:tcW w:w="1560" w:type="dxa"/>
            <w:vAlign w:val="bottom"/>
            <w:shd w:val="clear" w:color="auto" w:fill="99BDC1"/>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600" w:type="dxa"/>
            <w:vAlign w:val="bottom"/>
            <w:tcBorders>
              <w:right w:val="single" w:sz="8" w:color="99BDC1"/>
            </w:tcBorders>
            <w:vMerge w:val="restart"/>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BNT317</w:t>
            </w:r>
          </w:p>
        </w:tc>
        <w:tc>
          <w:tcPr>
            <w:tcW w:w="1580" w:type="dxa"/>
            <w:vAlign w:val="bottom"/>
            <w:tcBorders>
              <w:left w:val="single" w:sz="8" w:color="9DCAB9"/>
            </w:tcBorders>
            <w:gridSpan w:val="2"/>
            <w:vMerge w:val="restart"/>
            <w:shd w:val="clear" w:color="auto" w:fill="9DCAB9"/>
          </w:tcPr>
          <w:p>
            <w:pPr>
              <w:ind w:left="40"/>
              <w:spacing w:after="0"/>
              <w:rPr>
                <w:sz w:val="20"/>
                <w:szCs w:val="20"/>
                <w:color w:val="auto"/>
              </w:rPr>
            </w:pPr>
            <w:r>
              <w:rPr>
                <w:rFonts w:ascii="Times New Roman" w:cs="Times New Roman" w:eastAsia="Times New Roman" w:hAnsi="Times New Roman"/>
                <w:sz w:val="11"/>
                <w:szCs w:val="11"/>
                <w:color w:val="005A64"/>
              </w:rPr>
              <w:t>BNT329</w:t>
            </w:r>
          </w:p>
        </w:tc>
        <w:tc>
          <w:tcPr>
            <w:tcW w:w="1600" w:type="dxa"/>
            <w:vAlign w:val="bottom"/>
            <w:gridSpan w:val="3"/>
            <w:vMerge w:val="continue"/>
            <w:shd w:val="clear" w:color="auto" w:fill="CDDEE1"/>
          </w:tcPr>
          <w:p>
            <w:pPr>
              <w:spacing w:after="0"/>
              <w:rPr>
                <w:sz w:val="18"/>
                <w:szCs w:val="18"/>
                <w:color w:val="auto"/>
              </w:rPr>
            </w:pPr>
          </w:p>
        </w:tc>
        <w:tc>
          <w:tcPr>
            <w:tcW w:w="1580" w:type="dxa"/>
            <w:vAlign w:val="bottom"/>
            <w:tcBorders>
              <w:left w:val="single" w:sz="8" w:color="9DCAB9"/>
            </w:tcBorders>
            <w:shd w:val="clear" w:color="auto" w:fill="9DCAB9"/>
          </w:tcPr>
          <w:p>
            <w:pPr>
              <w:ind w:left="40"/>
              <w:spacing w:after="0"/>
              <w:rPr>
                <w:sz w:val="20"/>
                <w:szCs w:val="20"/>
                <w:color w:val="auto"/>
              </w:rPr>
            </w:pPr>
            <w:r>
              <w:rPr>
                <w:rFonts w:ascii="Times New Roman" w:cs="Times New Roman" w:eastAsia="Times New Roman" w:hAnsi="Times New Roman"/>
                <w:sz w:val="11"/>
                <w:szCs w:val="11"/>
                <w:color w:val="005A64"/>
              </w:rPr>
              <w:t>BNT326/YL202</w:t>
            </w:r>
            <w:r>
              <w:rPr>
                <w:rFonts w:ascii="Times New Roman" w:cs="Times New Roman" w:eastAsia="Times New Roman" w:hAnsi="Times New Roman"/>
                <w:sz w:val="14"/>
                <w:szCs w:val="14"/>
                <w:color w:val="005A64"/>
                <w:vertAlign w:val="superscript"/>
              </w:rPr>
              <w:t>8</w:t>
            </w:r>
          </w:p>
        </w:tc>
        <w:tc>
          <w:tcPr>
            <w:tcW w:w="1600" w:type="dxa"/>
            <w:vAlign w:val="bottom"/>
            <w:gridSpan w:val="3"/>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Pumitamig</w:t>
            </w:r>
            <w:r>
              <w:rPr>
                <w:rFonts w:ascii="Times New Roman" w:cs="Times New Roman" w:eastAsia="Times New Roman" w:hAnsi="Times New Roman"/>
                <w:sz w:val="14"/>
                <w:szCs w:val="14"/>
                <w:color w:val="005A64"/>
                <w:vertAlign w:val="superscript"/>
              </w:rPr>
              <w:t>3</w:t>
            </w:r>
          </w:p>
        </w:tc>
        <w:tc>
          <w:tcPr>
            <w:tcW w:w="1620" w:type="dxa"/>
            <w:vAlign w:val="bottom"/>
            <w:tcBorders>
              <w:left w:val="single" w:sz="8" w:color="99BDC1"/>
              <w:right w:val="single" w:sz="8" w:color="99BDC1"/>
            </w:tcBorders>
            <w:gridSpan w:val="3"/>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Pumitamig</w:t>
            </w:r>
            <w:r>
              <w:rPr>
                <w:rFonts w:ascii="Times New Roman" w:cs="Times New Roman" w:eastAsia="Times New Roman" w:hAnsi="Times New Roman"/>
                <w:sz w:val="14"/>
                <w:szCs w:val="14"/>
                <w:color w:val="005A64"/>
                <w:vertAlign w:val="superscript"/>
              </w:rPr>
              <w:t>3</w:t>
            </w:r>
          </w:p>
        </w:tc>
        <w:tc>
          <w:tcPr>
            <w:tcW w:w="1560" w:type="dxa"/>
            <w:vAlign w:val="bottom"/>
            <w:shd w:val="clear" w:color="auto" w:fill="99BDC1"/>
          </w:tcPr>
          <w:p>
            <w:pPr>
              <w:ind w:left="20"/>
              <w:spacing w:after="0"/>
              <w:rPr>
                <w:sz w:val="20"/>
                <w:szCs w:val="20"/>
                <w:color w:val="auto"/>
              </w:rPr>
            </w:pPr>
            <w:r>
              <w:rPr>
                <w:rFonts w:ascii="Times New Roman" w:cs="Times New Roman" w:eastAsia="Times New Roman" w:hAnsi="Times New Roman"/>
                <w:sz w:val="11"/>
                <w:szCs w:val="11"/>
                <w:color w:val="005A64"/>
              </w:rPr>
              <w:t>Pumitamig</w:t>
            </w:r>
            <w:r>
              <w:rPr>
                <w:rFonts w:ascii="Times New Roman" w:cs="Times New Roman" w:eastAsia="Times New Roman" w:hAnsi="Times New Roman"/>
                <w:sz w:val="14"/>
                <w:szCs w:val="14"/>
                <w:color w:val="005A64"/>
                <w:vertAlign w:val="superscript"/>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600" w:type="dxa"/>
            <w:vAlign w:val="bottom"/>
            <w:tcBorders>
              <w:right w:val="single" w:sz="8" w:color="99BDC1"/>
            </w:tcBorders>
            <w:vMerge w:val="continue"/>
            <w:shd w:val="clear" w:color="auto" w:fill="99BDC1"/>
          </w:tcPr>
          <w:p>
            <w:pPr>
              <w:spacing w:after="0"/>
              <w:rPr>
                <w:sz w:val="10"/>
                <w:szCs w:val="10"/>
                <w:color w:val="auto"/>
              </w:rPr>
            </w:pPr>
          </w:p>
        </w:tc>
        <w:tc>
          <w:tcPr>
            <w:tcW w:w="1580" w:type="dxa"/>
            <w:vAlign w:val="bottom"/>
            <w:tcBorders>
              <w:left w:val="single" w:sz="8" w:color="9DCAB9"/>
            </w:tcBorders>
            <w:gridSpan w:val="2"/>
            <w:vMerge w:val="continue"/>
            <w:shd w:val="clear" w:color="auto" w:fill="9DCAB9"/>
          </w:tcPr>
          <w:p>
            <w:pPr>
              <w:spacing w:after="0"/>
              <w:rPr>
                <w:sz w:val="10"/>
                <w:szCs w:val="10"/>
                <w:color w:val="auto"/>
              </w:rPr>
            </w:pPr>
          </w:p>
        </w:tc>
        <w:tc>
          <w:tcPr>
            <w:tcW w:w="820" w:type="dxa"/>
            <w:vAlign w:val="bottom"/>
            <w:shd w:val="clear" w:color="auto" w:fill="CDDEE1"/>
          </w:tcPr>
          <w:p>
            <w:pPr>
              <w:ind w:left="40"/>
              <w:spacing w:after="0" w:line="121" w:lineRule="exact"/>
              <w:rPr>
                <w:sz w:val="20"/>
                <w:szCs w:val="20"/>
                <w:color w:val="auto"/>
              </w:rPr>
            </w:pPr>
            <w:r>
              <w:rPr>
                <w:rFonts w:ascii="Times New Roman" w:cs="Times New Roman" w:eastAsia="Times New Roman" w:hAnsi="Times New Roman"/>
                <w:sz w:val="11"/>
                <w:szCs w:val="11"/>
                <w:color w:val="005A64"/>
              </w:rPr>
              <w:t>1311</w:t>
            </w:r>
            <w:r>
              <w:rPr>
                <w:rFonts w:ascii="Times New Roman" w:cs="Times New Roman" w:eastAsia="Times New Roman" w:hAnsi="Times New Roman"/>
                <w:sz w:val="14"/>
                <w:szCs w:val="14"/>
                <w:color w:val="005A64"/>
                <w:vertAlign w:val="superscript"/>
              </w:rPr>
              <w:t>5</w:t>
            </w:r>
          </w:p>
        </w:tc>
        <w:tc>
          <w:tcPr>
            <w:tcW w:w="400" w:type="dxa"/>
            <w:vAlign w:val="bottom"/>
            <w:shd w:val="clear" w:color="auto" w:fill="CDDEE1"/>
          </w:tcPr>
          <w:p>
            <w:pPr>
              <w:spacing w:after="0"/>
              <w:rPr>
                <w:sz w:val="10"/>
                <w:szCs w:val="10"/>
                <w:color w:val="auto"/>
              </w:rPr>
            </w:pPr>
          </w:p>
        </w:tc>
        <w:tc>
          <w:tcPr>
            <w:tcW w:w="380" w:type="dxa"/>
            <w:vAlign w:val="bottom"/>
            <w:shd w:val="clear" w:color="auto" w:fill="CDDEE1"/>
          </w:tcPr>
          <w:p>
            <w:pPr>
              <w:spacing w:after="0"/>
              <w:rPr>
                <w:sz w:val="10"/>
                <w:szCs w:val="10"/>
                <w:color w:val="auto"/>
              </w:rPr>
            </w:pPr>
          </w:p>
        </w:tc>
        <w:tc>
          <w:tcPr>
            <w:tcW w:w="1580" w:type="dxa"/>
            <w:vAlign w:val="bottom"/>
            <w:tcBorders>
              <w:left w:val="single" w:sz="8" w:color="9DCAB9"/>
            </w:tcBorders>
            <w:vMerge w:val="restart"/>
            <w:shd w:val="clear" w:color="auto" w:fill="9DCAB9"/>
          </w:tcPr>
          <w:p>
            <w:pPr>
              <w:ind w:left="40"/>
              <w:spacing w:after="0"/>
              <w:rPr>
                <w:sz w:val="20"/>
                <w:szCs w:val="20"/>
                <w:color w:val="auto"/>
              </w:rPr>
            </w:pPr>
            <w:r>
              <w:rPr>
                <w:rFonts w:ascii="Times New Roman" w:cs="Times New Roman" w:eastAsia="Times New Roman" w:hAnsi="Times New Roman"/>
                <w:sz w:val="11"/>
                <w:szCs w:val="11"/>
                <w:color w:val="005A64"/>
              </w:rPr>
              <w:t>Multiple solid tumors</w:t>
            </w:r>
            <w:r>
              <w:rPr>
                <w:rFonts w:ascii="Times New Roman" w:cs="Times New Roman" w:eastAsia="Times New Roman" w:hAnsi="Times New Roman"/>
                <w:sz w:val="7"/>
                <w:szCs w:val="7"/>
                <w:color w:val="005A64"/>
              </w:rPr>
              <w:t>11</w:t>
            </w:r>
          </w:p>
        </w:tc>
        <w:tc>
          <w:tcPr>
            <w:tcW w:w="1600" w:type="dxa"/>
            <w:vAlign w:val="bottom"/>
            <w:gridSpan w:val="3"/>
            <w:vMerge w:val="restart"/>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1L MPM</w:t>
            </w:r>
            <w:r>
              <w:rPr>
                <w:rFonts w:ascii="Times New Roman" w:cs="Times New Roman" w:eastAsia="Times New Roman" w:hAnsi="Times New Roman"/>
                <w:sz w:val="7"/>
                <w:szCs w:val="7"/>
                <w:color w:val="005A64"/>
              </w:rPr>
              <w:t>11</w:t>
            </w:r>
          </w:p>
        </w:tc>
        <w:tc>
          <w:tcPr>
            <w:tcW w:w="1620" w:type="dxa"/>
            <w:vAlign w:val="bottom"/>
            <w:tcBorders>
              <w:left w:val="single" w:sz="8" w:color="99BDC1"/>
              <w:right w:val="single" w:sz="8" w:color="99BDC1"/>
            </w:tcBorders>
            <w:gridSpan w:val="3"/>
            <w:vMerge w:val="restart"/>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1L NSCLC</w:t>
            </w:r>
          </w:p>
        </w:tc>
        <w:tc>
          <w:tcPr>
            <w:tcW w:w="1560" w:type="dxa"/>
            <w:vAlign w:val="bottom"/>
            <w:vMerge w:val="restart"/>
            <w:shd w:val="clear" w:color="auto" w:fill="99BDC1"/>
          </w:tcPr>
          <w:p>
            <w:pPr>
              <w:ind w:left="20"/>
              <w:spacing w:after="0"/>
              <w:rPr>
                <w:sz w:val="20"/>
                <w:szCs w:val="20"/>
                <w:color w:val="auto"/>
              </w:rPr>
            </w:pPr>
            <w:r>
              <w:rPr>
                <w:rFonts w:ascii="Times New Roman" w:cs="Times New Roman" w:eastAsia="Times New Roman" w:hAnsi="Times New Roman"/>
                <w:sz w:val="11"/>
                <w:szCs w:val="11"/>
                <w:color w:val="005A64"/>
              </w:rPr>
              <w:t>Unresectable Stage III NSCLC</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600" w:type="dxa"/>
            <w:vAlign w:val="bottom"/>
            <w:tcBorders>
              <w:right w:val="single" w:sz="8" w:color="99BDC1"/>
            </w:tcBorders>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Multiple solid tumors</w:t>
            </w:r>
          </w:p>
        </w:tc>
        <w:tc>
          <w:tcPr>
            <w:tcW w:w="1580" w:type="dxa"/>
            <w:vAlign w:val="bottom"/>
            <w:tcBorders>
              <w:left w:val="single" w:sz="8" w:color="9DCAB9"/>
            </w:tcBorders>
            <w:gridSpan w:val="2"/>
            <w:shd w:val="clear" w:color="auto" w:fill="9DCAB9"/>
          </w:tcPr>
          <w:p>
            <w:pPr>
              <w:ind w:left="40"/>
              <w:spacing w:after="0"/>
              <w:rPr>
                <w:sz w:val="20"/>
                <w:szCs w:val="20"/>
                <w:color w:val="auto"/>
              </w:rPr>
            </w:pPr>
            <w:r>
              <w:rPr>
                <w:rFonts w:ascii="Times New Roman" w:cs="Times New Roman" w:eastAsia="Times New Roman" w:hAnsi="Times New Roman"/>
                <w:sz w:val="11"/>
                <w:szCs w:val="11"/>
                <w:color w:val="005A64"/>
              </w:rPr>
              <w:t>Multiple solid tumors</w:t>
            </w:r>
          </w:p>
        </w:tc>
        <w:tc>
          <w:tcPr>
            <w:tcW w:w="1600" w:type="dxa"/>
            <w:vAlign w:val="bottom"/>
            <w:gridSpan w:val="3"/>
            <w:vMerge w:val="restart"/>
            <w:shd w:val="clear" w:color="auto" w:fill="CDDEE1"/>
          </w:tcPr>
          <w:p>
            <w:pPr>
              <w:ind w:left="40"/>
              <w:spacing w:after="0"/>
              <w:rPr>
                <w:sz w:val="20"/>
                <w:szCs w:val="20"/>
                <w:color w:val="auto"/>
              </w:rPr>
            </w:pPr>
            <w:r>
              <w:rPr>
                <w:rFonts w:ascii="Times New Roman" w:cs="Times New Roman" w:eastAsia="Times New Roman" w:hAnsi="Times New Roman"/>
                <w:sz w:val="11"/>
                <w:szCs w:val="11"/>
                <w:color w:val="005A64"/>
              </w:rPr>
              <w:t>Adv./met. NSCLC and SCLC</w:t>
            </w:r>
            <w:r>
              <w:rPr>
                <w:rFonts w:ascii="Times New Roman" w:cs="Times New Roman" w:eastAsia="Times New Roman" w:hAnsi="Times New Roman"/>
                <w:sz w:val="14"/>
                <w:szCs w:val="14"/>
                <w:color w:val="005A64"/>
                <w:vertAlign w:val="superscript"/>
              </w:rPr>
              <w:t>4</w:t>
            </w:r>
          </w:p>
        </w:tc>
        <w:tc>
          <w:tcPr>
            <w:tcW w:w="1580" w:type="dxa"/>
            <w:vAlign w:val="bottom"/>
            <w:tcBorders>
              <w:left w:val="single" w:sz="8" w:color="9DCAB9"/>
            </w:tcBorders>
            <w:vMerge w:val="continue"/>
            <w:shd w:val="clear" w:color="auto" w:fill="9DCAB9"/>
          </w:tcPr>
          <w:p>
            <w:pPr>
              <w:spacing w:after="0"/>
              <w:rPr>
                <w:sz w:val="12"/>
                <w:szCs w:val="12"/>
                <w:color w:val="auto"/>
              </w:rPr>
            </w:pPr>
          </w:p>
        </w:tc>
        <w:tc>
          <w:tcPr>
            <w:tcW w:w="1600" w:type="dxa"/>
            <w:vAlign w:val="bottom"/>
            <w:gridSpan w:val="3"/>
            <w:vMerge w:val="continue"/>
            <w:shd w:val="clear" w:color="auto" w:fill="99BDC1"/>
          </w:tcPr>
          <w:p>
            <w:pPr>
              <w:spacing w:after="0"/>
              <w:rPr>
                <w:sz w:val="12"/>
                <w:szCs w:val="12"/>
                <w:color w:val="auto"/>
              </w:rPr>
            </w:pPr>
          </w:p>
        </w:tc>
        <w:tc>
          <w:tcPr>
            <w:tcW w:w="1620" w:type="dxa"/>
            <w:vAlign w:val="bottom"/>
            <w:tcBorders>
              <w:left w:val="single" w:sz="8" w:color="99BDC1"/>
              <w:right w:val="single" w:sz="8" w:color="99BDC1"/>
            </w:tcBorders>
            <w:gridSpan w:val="3"/>
            <w:vMerge w:val="continue"/>
            <w:shd w:val="clear" w:color="auto" w:fill="99BDC1"/>
          </w:tcPr>
          <w:p>
            <w:pPr>
              <w:spacing w:after="0"/>
              <w:rPr>
                <w:sz w:val="12"/>
                <w:szCs w:val="12"/>
                <w:color w:val="auto"/>
              </w:rPr>
            </w:pPr>
          </w:p>
        </w:tc>
        <w:tc>
          <w:tcPr>
            <w:tcW w:w="1560" w:type="dxa"/>
            <w:vAlign w:val="bottom"/>
            <w:vMerge w:val="continue"/>
            <w:shd w:val="clear" w:color="auto" w:fill="99BDC1"/>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600" w:type="dxa"/>
            <w:vAlign w:val="bottom"/>
            <w:tcBorders>
              <w:right w:val="single" w:sz="8" w:color="99BDC1"/>
            </w:tcBorders>
            <w:shd w:val="clear" w:color="auto" w:fill="99BDC1"/>
          </w:tcPr>
          <w:p>
            <w:pPr>
              <w:spacing w:after="0"/>
              <w:rPr>
                <w:sz w:val="10"/>
                <w:szCs w:val="10"/>
                <w:color w:val="auto"/>
              </w:rPr>
            </w:pPr>
          </w:p>
        </w:tc>
        <w:tc>
          <w:tcPr>
            <w:tcW w:w="400" w:type="dxa"/>
            <w:vAlign w:val="bottom"/>
            <w:tcBorders>
              <w:left w:val="single" w:sz="8" w:color="9DCAB9"/>
            </w:tcBorders>
            <w:shd w:val="clear" w:color="auto" w:fill="9DCAB9"/>
          </w:tcPr>
          <w:p>
            <w:pPr>
              <w:spacing w:after="0"/>
              <w:rPr>
                <w:sz w:val="10"/>
                <w:szCs w:val="10"/>
                <w:color w:val="auto"/>
              </w:rPr>
            </w:pPr>
          </w:p>
        </w:tc>
        <w:tc>
          <w:tcPr>
            <w:tcW w:w="1180" w:type="dxa"/>
            <w:vAlign w:val="bottom"/>
            <w:shd w:val="clear" w:color="auto" w:fill="9DCAB9"/>
          </w:tcPr>
          <w:p>
            <w:pPr>
              <w:spacing w:after="0"/>
              <w:rPr>
                <w:sz w:val="10"/>
                <w:szCs w:val="10"/>
                <w:color w:val="auto"/>
              </w:rPr>
            </w:pPr>
          </w:p>
        </w:tc>
        <w:tc>
          <w:tcPr>
            <w:tcW w:w="1600" w:type="dxa"/>
            <w:vAlign w:val="bottom"/>
            <w:gridSpan w:val="3"/>
            <w:vMerge w:val="continue"/>
            <w:shd w:val="clear" w:color="auto" w:fill="CDDEE1"/>
          </w:tcPr>
          <w:p>
            <w:pPr>
              <w:spacing w:after="0"/>
              <w:rPr>
                <w:sz w:val="10"/>
                <w:szCs w:val="10"/>
                <w:color w:val="auto"/>
              </w:rPr>
            </w:pPr>
          </w:p>
        </w:tc>
        <w:tc>
          <w:tcPr>
            <w:tcW w:w="1580" w:type="dxa"/>
            <w:vAlign w:val="bottom"/>
            <w:tcBorders>
              <w:left w:val="single" w:sz="8" w:color="9DCAB9"/>
            </w:tcBorders>
            <w:shd w:val="clear" w:color="auto" w:fill="9DCAB9"/>
          </w:tcPr>
          <w:p>
            <w:pPr>
              <w:spacing w:after="0"/>
              <w:rPr>
                <w:sz w:val="10"/>
                <w:szCs w:val="10"/>
                <w:color w:val="auto"/>
              </w:rPr>
            </w:pPr>
          </w:p>
        </w:tc>
        <w:tc>
          <w:tcPr>
            <w:tcW w:w="80" w:type="dxa"/>
            <w:vAlign w:val="bottom"/>
            <w:shd w:val="clear" w:color="auto" w:fill="99BDC1"/>
          </w:tcPr>
          <w:p>
            <w:pPr>
              <w:spacing w:after="0"/>
              <w:rPr>
                <w:sz w:val="10"/>
                <w:szCs w:val="10"/>
                <w:color w:val="auto"/>
              </w:rPr>
            </w:pPr>
          </w:p>
        </w:tc>
        <w:tc>
          <w:tcPr>
            <w:tcW w:w="380" w:type="dxa"/>
            <w:vAlign w:val="bottom"/>
            <w:shd w:val="clear" w:color="auto" w:fill="99BDC1"/>
          </w:tcPr>
          <w:p>
            <w:pPr>
              <w:spacing w:after="0"/>
              <w:rPr>
                <w:sz w:val="10"/>
                <w:szCs w:val="10"/>
                <w:color w:val="auto"/>
              </w:rPr>
            </w:pPr>
          </w:p>
        </w:tc>
        <w:tc>
          <w:tcPr>
            <w:tcW w:w="1140" w:type="dxa"/>
            <w:vAlign w:val="bottom"/>
            <w:shd w:val="clear" w:color="auto" w:fill="99BDC1"/>
          </w:tcPr>
          <w:p>
            <w:pPr>
              <w:spacing w:after="0"/>
              <w:rPr>
                <w:sz w:val="10"/>
                <w:szCs w:val="10"/>
                <w:color w:val="auto"/>
              </w:rPr>
            </w:pPr>
          </w:p>
        </w:tc>
        <w:tc>
          <w:tcPr>
            <w:tcW w:w="900" w:type="dxa"/>
            <w:vAlign w:val="bottom"/>
            <w:tcBorders>
              <w:left w:val="single" w:sz="8" w:color="99BDC1"/>
            </w:tcBorders>
            <w:shd w:val="clear" w:color="auto" w:fill="99BDC1"/>
          </w:tcPr>
          <w:p>
            <w:pPr>
              <w:spacing w:after="0"/>
              <w:rPr>
                <w:sz w:val="10"/>
                <w:szCs w:val="10"/>
                <w:color w:val="auto"/>
              </w:rPr>
            </w:pPr>
          </w:p>
        </w:tc>
        <w:tc>
          <w:tcPr>
            <w:tcW w:w="400" w:type="dxa"/>
            <w:vAlign w:val="bottom"/>
            <w:shd w:val="clear" w:color="auto" w:fill="99BDC1"/>
          </w:tcPr>
          <w:p>
            <w:pPr>
              <w:spacing w:after="0"/>
              <w:rPr>
                <w:sz w:val="10"/>
                <w:szCs w:val="10"/>
                <w:color w:val="auto"/>
              </w:rPr>
            </w:pPr>
          </w:p>
        </w:tc>
        <w:tc>
          <w:tcPr>
            <w:tcW w:w="320" w:type="dxa"/>
            <w:vAlign w:val="bottom"/>
            <w:tcBorders>
              <w:right w:val="single" w:sz="8" w:color="99BDC1"/>
            </w:tcBorders>
            <w:shd w:val="clear" w:color="auto" w:fill="99BDC1"/>
          </w:tcPr>
          <w:p>
            <w:pPr>
              <w:spacing w:after="0"/>
              <w:rPr>
                <w:sz w:val="10"/>
                <w:szCs w:val="10"/>
                <w:color w:val="auto"/>
              </w:rPr>
            </w:pPr>
          </w:p>
        </w:tc>
        <w:tc>
          <w:tcPr>
            <w:tcW w:w="1560" w:type="dxa"/>
            <w:vAlign w:val="bottom"/>
            <w:shd w:val="clear" w:color="auto" w:fill="99BDC1"/>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600" w:type="dxa"/>
            <w:vAlign w:val="bottom"/>
            <w:tcBorders>
              <w:right w:val="single" w:sz="8" w:color="99BDC1"/>
            </w:tcBorders>
            <w:shd w:val="clear" w:color="auto" w:fill="99BDC1"/>
          </w:tcPr>
          <w:p>
            <w:pPr>
              <w:spacing w:after="0"/>
              <w:rPr>
                <w:sz w:val="5"/>
                <w:szCs w:val="5"/>
                <w:color w:val="auto"/>
              </w:rPr>
            </w:pPr>
          </w:p>
        </w:tc>
        <w:tc>
          <w:tcPr>
            <w:tcW w:w="400" w:type="dxa"/>
            <w:vAlign w:val="bottom"/>
            <w:tcBorders>
              <w:left w:val="single" w:sz="8" w:color="9DCAB9"/>
            </w:tcBorders>
            <w:shd w:val="clear" w:color="auto" w:fill="9DCAB9"/>
          </w:tcPr>
          <w:p>
            <w:pPr>
              <w:spacing w:after="0"/>
              <w:rPr>
                <w:sz w:val="5"/>
                <w:szCs w:val="5"/>
                <w:color w:val="auto"/>
              </w:rPr>
            </w:pPr>
          </w:p>
        </w:tc>
        <w:tc>
          <w:tcPr>
            <w:tcW w:w="1180" w:type="dxa"/>
            <w:vAlign w:val="bottom"/>
            <w:shd w:val="clear" w:color="auto" w:fill="9DCAB9"/>
          </w:tcPr>
          <w:p>
            <w:pPr>
              <w:spacing w:after="0"/>
              <w:rPr>
                <w:sz w:val="5"/>
                <w:szCs w:val="5"/>
                <w:color w:val="auto"/>
              </w:rPr>
            </w:pPr>
          </w:p>
        </w:tc>
        <w:tc>
          <w:tcPr>
            <w:tcW w:w="1600" w:type="dxa"/>
            <w:vAlign w:val="bottom"/>
            <w:gridSpan w:val="3"/>
            <w:vMerge w:val="restart"/>
            <w:shd w:val="clear" w:color="auto" w:fill="CDDEE1"/>
          </w:tcPr>
          <w:p>
            <w:pPr>
              <w:ind w:left="40"/>
              <w:spacing w:after="0"/>
              <w:rPr>
                <w:sz w:val="20"/>
                <w:szCs w:val="20"/>
                <w:color w:val="auto"/>
              </w:rPr>
            </w:pPr>
            <w:r>
              <w:rPr>
                <w:rFonts w:ascii="Times New Roman" w:cs="Times New Roman" w:eastAsia="Times New Roman" w:hAnsi="Times New Roman"/>
                <w:sz w:val="11"/>
                <w:szCs w:val="11"/>
                <w:color w:val="005A64"/>
              </w:rPr>
              <w:t>Pumitamig</w:t>
            </w:r>
            <w:r>
              <w:rPr>
                <w:rFonts w:ascii="Times New Roman" w:cs="Times New Roman" w:eastAsia="Times New Roman" w:hAnsi="Times New Roman"/>
                <w:sz w:val="14"/>
                <w:szCs w:val="14"/>
                <w:color w:val="005A64"/>
                <w:vertAlign w:val="superscript"/>
              </w:rPr>
              <w:t>3</w:t>
            </w:r>
            <w:r>
              <w:rPr>
                <w:rFonts w:ascii="Times New Roman" w:cs="Times New Roman" w:eastAsia="Times New Roman" w:hAnsi="Times New Roman"/>
                <w:sz w:val="11"/>
                <w:szCs w:val="11"/>
                <w:color w:val="005A64"/>
              </w:rPr>
              <w:t xml:space="preserve"> + Sacituzumab</w:t>
            </w:r>
          </w:p>
        </w:tc>
        <w:tc>
          <w:tcPr>
            <w:tcW w:w="1580" w:type="dxa"/>
            <w:vAlign w:val="bottom"/>
            <w:tcBorders>
              <w:left w:val="single" w:sz="8" w:color="9DCAB9"/>
            </w:tcBorders>
            <w:shd w:val="clear" w:color="auto" w:fill="9DCAB9"/>
          </w:tcPr>
          <w:p>
            <w:pPr>
              <w:spacing w:after="0"/>
              <w:rPr>
                <w:sz w:val="5"/>
                <w:szCs w:val="5"/>
                <w:color w:val="auto"/>
              </w:rPr>
            </w:pPr>
          </w:p>
        </w:tc>
        <w:tc>
          <w:tcPr>
            <w:tcW w:w="80" w:type="dxa"/>
            <w:vAlign w:val="bottom"/>
            <w:shd w:val="clear" w:color="auto" w:fill="99BDC1"/>
          </w:tcPr>
          <w:p>
            <w:pPr>
              <w:spacing w:after="0"/>
              <w:rPr>
                <w:sz w:val="5"/>
                <w:szCs w:val="5"/>
                <w:color w:val="auto"/>
              </w:rPr>
            </w:pPr>
          </w:p>
        </w:tc>
        <w:tc>
          <w:tcPr>
            <w:tcW w:w="380" w:type="dxa"/>
            <w:vAlign w:val="bottom"/>
            <w:shd w:val="clear" w:color="auto" w:fill="99BDC1"/>
          </w:tcPr>
          <w:p>
            <w:pPr>
              <w:spacing w:after="0"/>
              <w:rPr>
                <w:sz w:val="5"/>
                <w:szCs w:val="5"/>
                <w:color w:val="auto"/>
              </w:rPr>
            </w:pPr>
          </w:p>
        </w:tc>
        <w:tc>
          <w:tcPr>
            <w:tcW w:w="1140" w:type="dxa"/>
            <w:vAlign w:val="bottom"/>
            <w:shd w:val="clear" w:color="auto" w:fill="99BDC1"/>
          </w:tcPr>
          <w:p>
            <w:pPr>
              <w:spacing w:after="0"/>
              <w:rPr>
                <w:sz w:val="5"/>
                <w:szCs w:val="5"/>
                <w:color w:val="auto"/>
              </w:rPr>
            </w:pPr>
          </w:p>
        </w:tc>
        <w:tc>
          <w:tcPr>
            <w:tcW w:w="900" w:type="dxa"/>
            <w:vAlign w:val="bottom"/>
            <w:tcBorders>
              <w:left w:val="single" w:sz="8" w:color="99BDC1"/>
            </w:tcBorders>
            <w:shd w:val="clear" w:color="auto" w:fill="99BDC1"/>
          </w:tcPr>
          <w:p>
            <w:pPr>
              <w:spacing w:after="0"/>
              <w:rPr>
                <w:sz w:val="5"/>
                <w:szCs w:val="5"/>
                <w:color w:val="auto"/>
              </w:rPr>
            </w:pPr>
          </w:p>
        </w:tc>
        <w:tc>
          <w:tcPr>
            <w:tcW w:w="400" w:type="dxa"/>
            <w:vAlign w:val="bottom"/>
            <w:shd w:val="clear" w:color="auto" w:fill="99BDC1"/>
          </w:tcPr>
          <w:p>
            <w:pPr>
              <w:spacing w:after="0"/>
              <w:rPr>
                <w:sz w:val="5"/>
                <w:szCs w:val="5"/>
                <w:color w:val="auto"/>
              </w:rPr>
            </w:pPr>
          </w:p>
        </w:tc>
        <w:tc>
          <w:tcPr>
            <w:tcW w:w="320" w:type="dxa"/>
            <w:vAlign w:val="bottom"/>
            <w:tcBorders>
              <w:right w:val="single" w:sz="8" w:color="99BDC1"/>
            </w:tcBorders>
            <w:shd w:val="clear" w:color="auto" w:fill="99BDC1"/>
          </w:tcPr>
          <w:p>
            <w:pPr>
              <w:spacing w:after="0"/>
              <w:rPr>
                <w:sz w:val="5"/>
                <w:szCs w:val="5"/>
                <w:color w:val="auto"/>
              </w:rPr>
            </w:pPr>
          </w:p>
        </w:tc>
        <w:tc>
          <w:tcPr>
            <w:tcW w:w="1560" w:type="dxa"/>
            <w:vAlign w:val="bottom"/>
            <w:shd w:val="clear" w:color="auto" w:fill="99BDC1"/>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00" w:type="dxa"/>
            <w:vAlign w:val="bottom"/>
            <w:tcBorders>
              <w:right w:val="single" w:sz="8" w:color="99BDC1"/>
            </w:tcBorders>
            <w:shd w:val="clear" w:color="auto" w:fill="9DCAB9"/>
          </w:tcPr>
          <w:p>
            <w:pPr>
              <w:ind w:left="40"/>
              <w:spacing w:after="0"/>
              <w:rPr>
                <w:sz w:val="20"/>
                <w:szCs w:val="20"/>
                <w:color w:val="auto"/>
              </w:rPr>
            </w:pPr>
            <w:r>
              <w:rPr>
                <w:rFonts w:ascii="Times New Roman" w:cs="Times New Roman" w:eastAsia="Times New Roman" w:hAnsi="Times New Roman"/>
                <w:sz w:val="11"/>
                <w:szCs w:val="11"/>
                <w:color w:val="005A64"/>
              </w:rPr>
              <w:t>BNT326/YL202</w:t>
            </w:r>
            <w:r>
              <w:rPr>
                <w:rFonts w:ascii="Times New Roman" w:cs="Times New Roman" w:eastAsia="Times New Roman" w:hAnsi="Times New Roman"/>
                <w:sz w:val="14"/>
                <w:szCs w:val="14"/>
                <w:color w:val="005A64"/>
                <w:vertAlign w:val="superscript"/>
              </w:rPr>
              <w:t>8</w:t>
            </w:r>
          </w:p>
        </w:tc>
        <w:tc>
          <w:tcPr>
            <w:tcW w:w="1580" w:type="dxa"/>
            <w:vAlign w:val="bottom"/>
            <w:tcBorders>
              <w:left w:val="single" w:sz="8" w:color="99BDC1"/>
            </w:tcBorders>
            <w:gridSpan w:val="2"/>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Gotistobart</w:t>
            </w:r>
            <w:r>
              <w:rPr>
                <w:rFonts w:ascii="Times New Roman" w:cs="Times New Roman" w:eastAsia="Times New Roman" w:hAnsi="Times New Roman"/>
                <w:sz w:val="14"/>
                <w:szCs w:val="14"/>
                <w:color w:val="005A64"/>
                <w:vertAlign w:val="superscript"/>
              </w:rPr>
              <w:t>7</w:t>
            </w:r>
          </w:p>
        </w:tc>
        <w:tc>
          <w:tcPr>
            <w:tcW w:w="1600" w:type="dxa"/>
            <w:vAlign w:val="bottom"/>
            <w:gridSpan w:val="3"/>
            <w:vMerge w:val="continue"/>
            <w:shd w:val="clear" w:color="auto" w:fill="CDDEE1"/>
          </w:tcPr>
          <w:p>
            <w:pPr>
              <w:spacing w:after="0"/>
              <w:rPr>
                <w:sz w:val="18"/>
                <w:szCs w:val="18"/>
                <w:color w:val="auto"/>
              </w:rPr>
            </w:pPr>
          </w:p>
        </w:tc>
        <w:tc>
          <w:tcPr>
            <w:tcW w:w="1580" w:type="dxa"/>
            <w:vAlign w:val="bottom"/>
            <w:tcBorders>
              <w:left w:val="single" w:sz="8" w:color="9DCAB9"/>
            </w:tcBorders>
            <w:shd w:val="clear" w:color="auto" w:fill="9DCAB9"/>
          </w:tcPr>
          <w:p>
            <w:pPr>
              <w:ind w:left="40"/>
              <w:spacing w:after="0"/>
              <w:rPr>
                <w:sz w:val="20"/>
                <w:szCs w:val="20"/>
                <w:color w:val="auto"/>
              </w:rPr>
            </w:pPr>
            <w:r>
              <w:rPr>
                <w:rFonts w:ascii="Times New Roman" w:cs="Times New Roman" w:eastAsia="Times New Roman" w:hAnsi="Times New Roman"/>
                <w:sz w:val="11"/>
                <w:szCs w:val="11"/>
                <w:color w:val="005A64"/>
              </w:rPr>
              <w:t>BNT326/YL202</w:t>
            </w:r>
            <w:r>
              <w:rPr>
                <w:rFonts w:ascii="Times New Roman" w:cs="Times New Roman" w:eastAsia="Times New Roman" w:hAnsi="Times New Roman"/>
                <w:sz w:val="14"/>
                <w:szCs w:val="14"/>
                <w:color w:val="005A64"/>
                <w:vertAlign w:val="superscript"/>
              </w:rPr>
              <w:t>8</w:t>
            </w:r>
          </w:p>
        </w:tc>
        <w:tc>
          <w:tcPr>
            <w:tcW w:w="1600" w:type="dxa"/>
            <w:vAlign w:val="bottom"/>
            <w:gridSpan w:val="3"/>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Pumitamig</w:t>
            </w:r>
            <w:r>
              <w:rPr>
                <w:rFonts w:ascii="Times New Roman" w:cs="Times New Roman" w:eastAsia="Times New Roman" w:hAnsi="Times New Roman"/>
                <w:sz w:val="14"/>
                <w:szCs w:val="14"/>
                <w:color w:val="005A64"/>
                <w:vertAlign w:val="superscript"/>
              </w:rPr>
              <w:t>3</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Borders>
              <w:right w:val="single" w:sz="8" w:color="99BDC1"/>
            </w:tcBorders>
          </w:tcPr>
          <w:p>
            <w:pPr>
              <w:spacing w:after="0"/>
              <w:rPr>
                <w:sz w:val="18"/>
                <w:szCs w:val="18"/>
                <w:color w:val="auto"/>
              </w:rPr>
            </w:pPr>
          </w:p>
        </w:tc>
        <w:tc>
          <w:tcPr>
            <w:tcW w:w="1560" w:type="dxa"/>
            <w:vAlign w:val="bottom"/>
            <w:shd w:val="clear" w:color="auto" w:fill="99BDC1"/>
          </w:tcPr>
          <w:p>
            <w:pPr>
              <w:ind w:left="20"/>
              <w:spacing w:after="0"/>
              <w:rPr>
                <w:sz w:val="20"/>
                <w:szCs w:val="20"/>
                <w:color w:val="auto"/>
              </w:rPr>
            </w:pPr>
            <w:r>
              <w:rPr>
                <w:rFonts w:ascii="Times New Roman" w:cs="Times New Roman" w:eastAsia="Times New Roman" w:hAnsi="Times New Roman"/>
                <w:sz w:val="11"/>
                <w:szCs w:val="11"/>
                <w:color w:val="005A64"/>
              </w:rPr>
              <w:t>Pumitamig</w:t>
            </w:r>
            <w:r>
              <w:rPr>
                <w:rFonts w:ascii="Times New Roman" w:cs="Times New Roman" w:eastAsia="Times New Roman" w:hAnsi="Times New Roman"/>
                <w:sz w:val="14"/>
                <w:szCs w:val="14"/>
                <w:color w:val="005A64"/>
                <w:vertAlign w:val="superscript"/>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600" w:type="dxa"/>
            <w:vAlign w:val="bottom"/>
            <w:tcBorders>
              <w:right w:val="single" w:sz="8" w:color="99BDC1"/>
            </w:tcBorders>
            <w:vMerge w:val="restart"/>
            <w:shd w:val="clear" w:color="auto" w:fill="9DCAB9"/>
          </w:tcPr>
          <w:p>
            <w:pPr>
              <w:ind w:left="40"/>
              <w:spacing w:after="0"/>
              <w:rPr>
                <w:sz w:val="20"/>
                <w:szCs w:val="20"/>
                <w:color w:val="auto"/>
              </w:rPr>
            </w:pPr>
            <w:r>
              <w:rPr>
                <w:rFonts w:ascii="Times New Roman" w:cs="Times New Roman" w:eastAsia="Times New Roman" w:hAnsi="Times New Roman"/>
                <w:sz w:val="11"/>
                <w:szCs w:val="11"/>
                <w:color w:val="005A64"/>
              </w:rPr>
              <w:t>Multiple solid tumors</w:t>
            </w:r>
          </w:p>
        </w:tc>
        <w:tc>
          <w:tcPr>
            <w:tcW w:w="1580" w:type="dxa"/>
            <w:vAlign w:val="bottom"/>
            <w:tcBorders>
              <w:left w:val="single" w:sz="8" w:color="99BDC1"/>
            </w:tcBorders>
            <w:gridSpan w:val="2"/>
            <w:vMerge w:val="restart"/>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Met. CRPC</w:t>
            </w:r>
          </w:p>
        </w:tc>
        <w:tc>
          <w:tcPr>
            <w:tcW w:w="1600" w:type="dxa"/>
            <w:vAlign w:val="bottom"/>
            <w:gridSpan w:val="3"/>
            <w:shd w:val="clear" w:color="auto" w:fill="CDDEE1"/>
          </w:tcPr>
          <w:p>
            <w:pPr>
              <w:ind w:left="40"/>
              <w:spacing w:after="0"/>
              <w:rPr>
                <w:sz w:val="20"/>
                <w:szCs w:val="20"/>
                <w:color w:val="auto"/>
              </w:rPr>
            </w:pPr>
            <w:r>
              <w:rPr>
                <w:rFonts w:ascii="Times New Roman" w:cs="Times New Roman" w:eastAsia="Times New Roman" w:hAnsi="Times New Roman"/>
                <w:sz w:val="11"/>
                <w:szCs w:val="11"/>
                <w:color w:val="005A64"/>
              </w:rPr>
              <w:t>drozuntecan</w:t>
            </w:r>
            <w:r>
              <w:rPr>
                <w:rFonts w:ascii="Times New Roman" w:cs="Times New Roman" w:eastAsia="Times New Roman" w:hAnsi="Times New Roman"/>
                <w:sz w:val="14"/>
                <w:szCs w:val="14"/>
                <w:color w:val="005A64"/>
                <w:vertAlign w:val="superscript"/>
              </w:rPr>
              <w:t>5</w:t>
            </w:r>
          </w:p>
        </w:tc>
        <w:tc>
          <w:tcPr>
            <w:tcW w:w="1580" w:type="dxa"/>
            <w:vAlign w:val="bottom"/>
            <w:tcBorders>
              <w:left w:val="single" w:sz="8" w:color="9DCAB9"/>
            </w:tcBorders>
            <w:vMerge w:val="restart"/>
            <w:shd w:val="clear" w:color="auto" w:fill="9DCAB9"/>
          </w:tcPr>
          <w:p>
            <w:pPr>
              <w:ind w:left="40"/>
              <w:spacing w:after="0"/>
              <w:rPr>
                <w:sz w:val="20"/>
                <w:szCs w:val="20"/>
                <w:color w:val="auto"/>
              </w:rPr>
            </w:pPr>
            <w:r>
              <w:rPr>
                <w:rFonts w:ascii="Times New Roman" w:cs="Times New Roman" w:eastAsia="Times New Roman" w:hAnsi="Times New Roman"/>
                <w:sz w:val="11"/>
                <w:szCs w:val="11"/>
                <w:color w:val="005A64"/>
              </w:rPr>
              <w:t>Adv./met. BC</w:t>
            </w:r>
            <w:r>
              <w:rPr>
                <w:rFonts w:ascii="Times New Roman" w:cs="Times New Roman" w:eastAsia="Times New Roman" w:hAnsi="Times New Roman"/>
                <w:sz w:val="7"/>
                <w:szCs w:val="7"/>
                <w:color w:val="005A64"/>
              </w:rPr>
              <w:t>.11</w:t>
            </w:r>
          </w:p>
        </w:tc>
        <w:tc>
          <w:tcPr>
            <w:tcW w:w="1600" w:type="dxa"/>
            <w:vAlign w:val="bottom"/>
            <w:gridSpan w:val="3"/>
            <w:vMerge w:val="restart"/>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2L NEN</w:t>
            </w:r>
            <w:r>
              <w:rPr>
                <w:rFonts w:ascii="Times New Roman" w:cs="Times New Roman" w:eastAsia="Times New Roman" w:hAnsi="Times New Roman"/>
                <w:sz w:val="7"/>
                <w:szCs w:val="7"/>
                <w:color w:val="005A64"/>
              </w:rPr>
              <w:t>11</w:t>
            </w: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Borders>
              <w:right w:val="single" w:sz="8" w:color="99BDC1"/>
            </w:tcBorders>
          </w:tcPr>
          <w:p>
            <w:pPr>
              <w:spacing w:after="0"/>
              <w:rPr>
                <w:sz w:val="16"/>
                <w:szCs w:val="16"/>
                <w:color w:val="auto"/>
              </w:rPr>
            </w:pPr>
          </w:p>
        </w:tc>
        <w:tc>
          <w:tcPr>
            <w:tcW w:w="1560" w:type="dxa"/>
            <w:vAlign w:val="bottom"/>
            <w:vMerge w:val="restart"/>
            <w:shd w:val="clear" w:color="auto" w:fill="99BDC1"/>
          </w:tcPr>
          <w:p>
            <w:pPr>
              <w:ind w:left="20"/>
              <w:spacing w:after="0"/>
              <w:rPr>
                <w:sz w:val="20"/>
                <w:szCs w:val="20"/>
                <w:color w:val="auto"/>
              </w:rPr>
            </w:pPr>
            <w:r>
              <w:rPr>
                <w:rFonts w:ascii="Times New Roman" w:cs="Times New Roman" w:eastAsia="Times New Roman" w:hAnsi="Times New Roman"/>
                <w:sz w:val="11"/>
                <w:szCs w:val="11"/>
                <w:color w:val="005A64"/>
              </w:rPr>
              <w:t>2L SCLC</w:t>
            </w:r>
            <w:r>
              <w:rPr>
                <w:rFonts w:ascii="Times New Roman" w:cs="Times New Roman" w:eastAsia="Times New Roman" w:hAnsi="Times New Roman"/>
                <w:sz w:val="7"/>
                <w:szCs w:val="7"/>
                <w:color w:val="005A64"/>
              </w:rPr>
              <w:t>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600" w:type="dxa"/>
            <w:vAlign w:val="bottom"/>
            <w:tcBorders>
              <w:right w:val="single" w:sz="8" w:color="99BDC1"/>
            </w:tcBorders>
            <w:vMerge w:val="continue"/>
            <w:shd w:val="clear" w:color="auto" w:fill="9DCAB9"/>
          </w:tcPr>
          <w:p>
            <w:pPr>
              <w:spacing w:after="0"/>
              <w:rPr>
                <w:sz w:val="5"/>
                <w:szCs w:val="5"/>
                <w:color w:val="auto"/>
              </w:rPr>
            </w:pPr>
          </w:p>
        </w:tc>
        <w:tc>
          <w:tcPr>
            <w:tcW w:w="1580" w:type="dxa"/>
            <w:vAlign w:val="bottom"/>
            <w:tcBorders>
              <w:left w:val="single" w:sz="8" w:color="99BDC1"/>
            </w:tcBorders>
            <w:gridSpan w:val="2"/>
            <w:vMerge w:val="continue"/>
            <w:shd w:val="clear" w:color="auto" w:fill="99BDC1"/>
          </w:tcPr>
          <w:p>
            <w:pPr>
              <w:spacing w:after="0"/>
              <w:rPr>
                <w:sz w:val="5"/>
                <w:szCs w:val="5"/>
                <w:color w:val="auto"/>
              </w:rPr>
            </w:pPr>
          </w:p>
        </w:tc>
        <w:tc>
          <w:tcPr>
            <w:tcW w:w="1600" w:type="dxa"/>
            <w:vAlign w:val="bottom"/>
            <w:gridSpan w:val="3"/>
            <w:vMerge w:val="restart"/>
            <w:shd w:val="clear" w:color="auto" w:fill="CDDEE1"/>
          </w:tcPr>
          <w:p>
            <w:pPr>
              <w:ind w:left="40"/>
              <w:spacing w:after="0"/>
              <w:rPr>
                <w:sz w:val="20"/>
                <w:szCs w:val="20"/>
                <w:color w:val="auto"/>
              </w:rPr>
            </w:pPr>
            <w:r>
              <w:rPr>
                <w:rFonts w:ascii="Times New Roman" w:cs="Times New Roman" w:eastAsia="Times New Roman" w:hAnsi="Times New Roman"/>
                <w:sz w:val="11"/>
                <w:szCs w:val="11"/>
                <w:color w:val="005A64"/>
              </w:rPr>
              <w:t>Multiple solid tumors</w:t>
            </w:r>
            <w:r>
              <w:rPr>
                <w:rFonts w:ascii="Times New Roman" w:cs="Times New Roman" w:eastAsia="Times New Roman" w:hAnsi="Times New Roman"/>
                <w:sz w:val="14"/>
                <w:szCs w:val="14"/>
                <w:color w:val="005A64"/>
                <w:vertAlign w:val="superscript"/>
              </w:rPr>
              <w:t>4</w:t>
            </w:r>
          </w:p>
        </w:tc>
        <w:tc>
          <w:tcPr>
            <w:tcW w:w="1580" w:type="dxa"/>
            <w:vAlign w:val="bottom"/>
            <w:tcBorders>
              <w:left w:val="single" w:sz="8" w:color="9DCAB9"/>
            </w:tcBorders>
            <w:vMerge w:val="continue"/>
            <w:shd w:val="clear" w:color="auto" w:fill="9DCAB9"/>
          </w:tcPr>
          <w:p>
            <w:pPr>
              <w:spacing w:after="0"/>
              <w:rPr>
                <w:sz w:val="5"/>
                <w:szCs w:val="5"/>
                <w:color w:val="auto"/>
              </w:rPr>
            </w:pPr>
          </w:p>
        </w:tc>
        <w:tc>
          <w:tcPr>
            <w:tcW w:w="1600" w:type="dxa"/>
            <w:vAlign w:val="bottom"/>
            <w:gridSpan w:val="3"/>
            <w:vMerge w:val="continue"/>
            <w:shd w:val="clear" w:color="auto" w:fill="99BDC1"/>
          </w:tcPr>
          <w:p>
            <w:pPr>
              <w:spacing w:after="0"/>
              <w:rPr>
                <w:sz w:val="5"/>
                <w:szCs w:val="5"/>
                <w:color w:val="auto"/>
              </w:rPr>
            </w:pPr>
          </w:p>
        </w:tc>
        <w:tc>
          <w:tcPr>
            <w:tcW w:w="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Borders>
              <w:right w:val="single" w:sz="8" w:color="99BDC1"/>
            </w:tcBorders>
          </w:tcPr>
          <w:p>
            <w:pPr>
              <w:spacing w:after="0"/>
              <w:rPr>
                <w:sz w:val="5"/>
                <w:szCs w:val="5"/>
                <w:color w:val="auto"/>
              </w:rPr>
            </w:pPr>
          </w:p>
        </w:tc>
        <w:tc>
          <w:tcPr>
            <w:tcW w:w="1560" w:type="dxa"/>
            <w:vAlign w:val="bottom"/>
            <w:vMerge w:val="continue"/>
            <w:shd w:val="clear" w:color="auto" w:fill="99BDC1"/>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1600" w:type="dxa"/>
            <w:vAlign w:val="bottom"/>
            <w:tcBorders>
              <w:right w:val="single" w:sz="8" w:color="99BDC1"/>
            </w:tcBorders>
            <w:shd w:val="clear" w:color="auto" w:fill="9DCAB9"/>
          </w:tcPr>
          <w:p>
            <w:pPr>
              <w:spacing w:after="0"/>
              <w:rPr>
                <w:sz w:val="11"/>
                <w:szCs w:val="11"/>
                <w:color w:val="auto"/>
              </w:rPr>
            </w:pPr>
          </w:p>
        </w:tc>
        <w:tc>
          <w:tcPr>
            <w:tcW w:w="400" w:type="dxa"/>
            <w:vAlign w:val="bottom"/>
            <w:tcBorders>
              <w:left w:val="single" w:sz="8" w:color="99BDC1"/>
            </w:tcBorders>
            <w:shd w:val="clear" w:color="auto" w:fill="99BDC1"/>
          </w:tcPr>
          <w:p>
            <w:pPr>
              <w:spacing w:after="0"/>
              <w:rPr>
                <w:sz w:val="11"/>
                <w:szCs w:val="11"/>
                <w:color w:val="auto"/>
              </w:rPr>
            </w:pPr>
          </w:p>
        </w:tc>
        <w:tc>
          <w:tcPr>
            <w:tcW w:w="1180" w:type="dxa"/>
            <w:vAlign w:val="bottom"/>
            <w:shd w:val="clear" w:color="auto" w:fill="99BDC1"/>
          </w:tcPr>
          <w:p>
            <w:pPr>
              <w:spacing w:after="0"/>
              <w:rPr>
                <w:sz w:val="11"/>
                <w:szCs w:val="11"/>
                <w:color w:val="auto"/>
              </w:rPr>
            </w:pPr>
          </w:p>
        </w:tc>
        <w:tc>
          <w:tcPr>
            <w:tcW w:w="1600" w:type="dxa"/>
            <w:vAlign w:val="bottom"/>
            <w:gridSpan w:val="3"/>
            <w:vMerge w:val="continue"/>
            <w:shd w:val="clear" w:color="auto" w:fill="CDDEE1"/>
          </w:tcPr>
          <w:p>
            <w:pPr>
              <w:spacing w:after="0"/>
              <w:rPr>
                <w:sz w:val="11"/>
                <w:szCs w:val="11"/>
                <w:color w:val="auto"/>
              </w:rPr>
            </w:pPr>
          </w:p>
        </w:tc>
        <w:tc>
          <w:tcPr>
            <w:tcW w:w="1580" w:type="dxa"/>
            <w:vAlign w:val="bottom"/>
            <w:tcBorders>
              <w:left w:val="single" w:sz="8" w:color="9DCAB9"/>
            </w:tcBorders>
            <w:shd w:val="clear" w:color="auto" w:fill="9DCAB9"/>
          </w:tcPr>
          <w:p>
            <w:pPr>
              <w:spacing w:after="0"/>
              <w:rPr>
                <w:sz w:val="11"/>
                <w:szCs w:val="11"/>
                <w:color w:val="auto"/>
              </w:rPr>
            </w:pPr>
          </w:p>
        </w:tc>
        <w:tc>
          <w:tcPr>
            <w:tcW w:w="80" w:type="dxa"/>
            <w:vAlign w:val="bottom"/>
            <w:shd w:val="clear" w:color="auto" w:fill="99BDC1"/>
          </w:tcPr>
          <w:p>
            <w:pPr>
              <w:spacing w:after="0"/>
              <w:rPr>
                <w:sz w:val="11"/>
                <w:szCs w:val="11"/>
                <w:color w:val="auto"/>
              </w:rPr>
            </w:pPr>
          </w:p>
        </w:tc>
        <w:tc>
          <w:tcPr>
            <w:tcW w:w="380" w:type="dxa"/>
            <w:vAlign w:val="bottom"/>
            <w:shd w:val="clear" w:color="auto" w:fill="99BDC1"/>
          </w:tcPr>
          <w:p>
            <w:pPr>
              <w:spacing w:after="0"/>
              <w:rPr>
                <w:sz w:val="11"/>
                <w:szCs w:val="11"/>
                <w:color w:val="auto"/>
              </w:rPr>
            </w:pPr>
          </w:p>
        </w:tc>
        <w:tc>
          <w:tcPr>
            <w:tcW w:w="1140" w:type="dxa"/>
            <w:vAlign w:val="bottom"/>
            <w:shd w:val="clear" w:color="auto" w:fill="99BDC1"/>
          </w:tcPr>
          <w:p>
            <w:pPr>
              <w:spacing w:after="0"/>
              <w:rPr>
                <w:sz w:val="11"/>
                <w:szCs w:val="11"/>
                <w:color w:val="auto"/>
              </w:rPr>
            </w:pP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Borders>
              <w:right w:val="single" w:sz="8" w:color="99BDC1"/>
            </w:tcBorders>
          </w:tcPr>
          <w:p>
            <w:pPr>
              <w:spacing w:after="0"/>
              <w:rPr>
                <w:sz w:val="11"/>
                <w:szCs w:val="11"/>
                <w:color w:val="auto"/>
              </w:rPr>
            </w:pPr>
          </w:p>
        </w:tc>
        <w:tc>
          <w:tcPr>
            <w:tcW w:w="1560" w:type="dxa"/>
            <w:vAlign w:val="bottom"/>
            <w:shd w:val="clear" w:color="auto" w:fill="99BDC1"/>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1600" w:type="dxa"/>
            <w:vAlign w:val="bottom"/>
            <w:tcBorders>
              <w:right w:val="single" w:sz="8" w:color="99BDC1"/>
            </w:tcBorders>
            <w:shd w:val="clear" w:color="auto" w:fill="9DCAB9"/>
          </w:tcPr>
          <w:p>
            <w:pPr>
              <w:spacing w:after="0"/>
              <w:rPr>
                <w:sz w:val="5"/>
                <w:szCs w:val="5"/>
                <w:color w:val="auto"/>
              </w:rPr>
            </w:pPr>
          </w:p>
        </w:tc>
        <w:tc>
          <w:tcPr>
            <w:tcW w:w="400" w:type="dxa"/>
            <w:vAlign w:val="bottom"/>
            <w:tcBorders>
              <w:left w:val="single" w:sz="8" w:color="99BDC1"/>
            </w:tcBorders>
            <w:shd w:val="clear" w:color="auto" w:fill="99BDC1"/>
          </w:tcPr>
          <w:p>
            <w:pPr>
              <w:spacing w:after="0"/>
              <w:rPr>
                <w:sz w:val="5"/>
                <w:szCs w:val="5"/>
                <w:color w:val="auto"/>
              </w:rPr>
            </w:pPr>
          </w:p>
        </w:tc>
        <w:tc>
          <w:tcPr>
            <w:tcW w:w="1180" w:type="dxa"/>
            <w:vAlign w:val="bottom"/>
            <w:shd w:val="clear" w:color="auto" w:fill="99BDC1"/>
          </w:tcPr>
          <w:p>
            <w:pPr>
              <w:spacing w:after="0"/>
              <w:rPr>
                <w:sz w:val="5"/>
                <w:szCs w:val="5"/>
                <w:color w:val="auto"/>
              </w:rPr>
            </w:pPr>
          </w:p>
        </w:tc>
        <w:tc>
          <w:tcPr>
            <w:tcW w:w="1600" w:type="dxa"/>
            <w:vAlign w:val="bottom"/>
            <w:gridSpan w:val="3"/>
            <w:vMerge w:val="restart"/>
            <w:shd w:val="clear" w:color="auto" w:fill="CDDEE1"/>
          </w:tcPr>
          <w:p>
            <w:pPr>
              <w:ind w:left="40"/>
              <w:spacing w:after="0"/>
              <w:rPr>
                <w:sz w:val="20"/>
                <w:szCs w:val="20"/>
                <w:color w:val="auto"/>
              </w:rPr>
            </w:pPr>
            <w:r>
              <w:rPr>
                <w:rFonts w:ascii="Times New Roman" w:cs="Times New Roman" w:eastAsia="Times New Roman" w:hAnsi="Times New Roman"/>
                <w:sz w:val="11"/>
                <w:szCs w:val="11"/>
                <w:color w:val="005A64"/>
              </w:rPr>
              <w:t>Pumitamig</w:t>
            </w:r>
            <w:r>
              <w:rPr>
                <w:rFonts w:ascii="Times New Roman" w:cs="Times New Roman" w:eastAsia="Times New Roman" w:hAnsi="Times New Roman"/>
                <w:sz w:val="14"/>
                <w:szCs w:val="14"/>
                <w:color w:val="005A64"/>
                <w:vertAlign w:val="superscript"/>
              </w:rPr>
              <w:t>3</w:t>
            </w:r>
            <w:r>
              <w:rPr>
                <w:rFonts w:ascii="Times New Roman" w:cs="Times New Roman" w:eastAsia="Times New Roman" w:hAnsi="Times New Roman"/>
                <w:sz w:val="11"/>
                <w:szCs w:val="11"/>
                <w:color w:val="005A64"/>
              </w:rPr>
              <w:t xml:space="preserve"> +</w:t>
            </w:r>
          </w:p>
        </w:tc>
        <w:tc>
          <w:tcPr>
            <w:tcW w:w="1580" w:type="dxa"/>
            <w:vAlign w:val="bottom"/>
            <w:tcBorders>
              <w:left w:val="single" w:sz="8" w:color="9DCAB9"/>
            </w:tcBorders>
            <w:shd w:val="clear" w:color="auto" w:fill="9DCAB9"/>
          </w:tcPr>
          <w:p>
            <w:pPr>
              <w:spacing w:after="0"/>
              <w:rPr>
                <w:sz w:val="5"/>
                <w:szCs w:val="5"/>
                <w:color w:val="auto"/>
              </w:rPr>
            </w:pPr>
          </w:p>
        </w:tc>
        <w:tc>
          <w:tcPr>
            <w:tcW w:w="80" w:type="dxa"/>
            <w:vAlign w:val="bottom"/>
            <w:shd w:val="clear" w:color="auto" w:fill="99BDC1"/>
          </w:tcPr>
          <w:p>
            <w:pPr>
              <w:spacing w:after="0"/>
              <w:rPr>
                <w:sz w:val="5"/>
                <w:szCs w:val="5"/>
                <w:color w:val="auto"/>
              </w:rPr>
            </w:pPr>
          </w:p>
        </w:tc>
        <w:tc>
          <w:tcPr>
            <w:tcW w:w="380" w:type="dxa"/>
            <w:vAlign w:val="bottom"/>
            <w:shd w:val="clear" w:color="auto" w:fill="99BDC1"/>
          </w:tcPr>
          <w:p>
            <w:pPr>
              <w:spacing w:after="0"/>
              <w:rPr>
                <w:sz w:val="5"/>
                <w:szCs w:val="5"/>
                <w:color w:val="auto"/>
              </w:rPr>
            </w:pPr>
          </w:p>
        </w:tc>
        <w:tc>
          <w:tcPr>
            <w:tcW w:w="1140" w:type="dxa"/>
            <w:vAlign w:val="bottom"/>
            <w:shd w:val="clear" w:color="auto" w:fill="99BDC1"/>
          </w:tcPr>
          <w:p>
            <w:pPr>
              <w:spacing w:after="0"/>
              <w:rPr>
                <w:sz w:val="5"/>
                <w:szCs w:val="5"/>
                <w:color w:val="auto"/>
              </w:rPr>
            </w:pPr>
          </w:p>
        </w:tc>
        <w:tc>
          <w:tcPr>
            <w:tcW w:w="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Borders>
              <w:right w:val="single" w:sz="8" w:color="99BDC1"/>
            </w:tcBorders>
          </w:tcPr>
          <w:p>
            <w:pPr>
              <w:spacing w:after="0"/>
              <w:rPr>
                <w:sz w:val="5"/>
                <w:szCs w:val="5"/>
                <w:color w:val="auto"/>
              </w:rPr>
            </w:pPr>
          </w:p>
        </w:tc>
        <w:tc>
          <w:tcPr>
            <w:tcW w:w="1560" w:type="dxa"/>
            <w:vAlign w:val="bottom"/>
            <w:shd w:val="clear" w:color="auto" w:fill="99BDC1"/>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600" w:type="dxa"/>
            <w:vAlign w:val="bottom"/>
            <w:tcBorders>
              <w:right w:val="single" w:sz="8" w:color="99BDC1"/>
            </w:tcBorders>
          </w:tcPr>
          <w:p>
            <w:pPr>
              <w:spacing w:after="0"/>
              <w:rPr>
                <w:sz w:val="19"/>
                <w:szCs w:val="19"/>
                <w:color w:val="auto"/>
              </w:rPr>
            </w:pPr>
          </w:p>
        </w:tc>
        <w:tc>
          <w:tcPr>
            <w:tcW w:w="1580" w:type="dxa"/>
            <w:vAlign w:val="bottom"/>
            <w:tcBorders>
              <w:left w:val="single" w:sz="8" w:color="99BDC1"/>
            </w:tcBorders>
            <w:gridSpan w:val="2"/>
            <w:vMerge w:val="restart"/>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Gotistobart</w:t>
            </w:r>
            <w:r>
              <w:rPr>
                <w:rFonts w:ascii="Times New Roman" w:cs="Times New Roman" w:eastAsia="Times New Roman" w:hAnsi="Times New Roman"/>
                <w:sz w:val="14"/>
                <w:szCs w:val="14"/>
                <w:color w:val="005A64"/>
                <w:vertAlign w:val="superscript"/>
              </w:rPr>
              <w:t>7</w:t>
            </w:r>
          </w:p>
        </w:tc>
        <w:tc>
          <w:tcPr>
            <w:tcW w:w="1600" w:type="dxa"/>
            <w:vAlign w:val="bottom"/>
            <w:gridSpan w:val="3"/>
            <w:vMerge w:val="continue"/>
            <w:shd w:val="clear" w:color="auto" w:fill="CDDEE1"/>
          </w:tcPr>
          <w:p>
            <w:pPr>
              <w:spacing w:after="0"/>
              <w:rPr>
                <w:sz w:val="19"/>
                <w:szCs w:val="19"/>
                <w:color w:val="auto"/>
              </w:rPr>
            </w:pPr>
          </w:p>
        </w:tc>
        <w:tc>
          <w:tcPr>
            <w:tcW w:w="1580" w:type="dxa"/>
            <w:vAlign w:val="bottom"/>
            <w:tcBorders>
              <w:left w:val="single" w:sz="8" w:color="99BDC1"/>
            </w:tcBorders>
            <w:vMerge w:val="restart"/>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Gotistobart</w:t>
            </w:r>
            <w:r>
              <w:rPr>
                <w:rFonts w:ascii="Times New Roman" w:cs="Times New Roman" w:eastAsia="Times New Roman" w:hAnsi="Times New Roman"/>
                <w:sz w:val="14"/>
                <w:szCs w:val="14"/>
                <w:color w:val="005A64"/>
                <w:vertAlign w:val="superscript"/>
              </w:rPr>
              <w:t>7</w:t>
            </w:r>
          </w:p>
        </w:tc>
        <w:tc>
          <w:tcPr>
            <w:tcW w:w="1600" w:type="dxa"/>
            <w:vAlign w:val="bottom"/>
            <w:gridSpan w:val="3"/>
            <w:vMerge w:val="restart"/>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Pumitamig</w:t>
            </w:r>
            <w:r>
              <w:rPr>
                <w:rFonts w:ascii="Times New Roman" w:cs="Times New Roman" w:eastAsia="Times New Roman" w:hAnsi="Times New Roman"/>
                <w:sz w:val="14"/>
                <w:szCs w:val="14"/>
                <w:color w:val="005A64"/>
                <w:vertAlign w:val="superscript"/>
              </w:rPr>
              <w:t>3</w:t>
            </w: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Borders>
              <w:right w:val="single" w:sz="8" w:color="99BDC1"/>
            </w:tcBorders>
          </w:tcPr>
          <w:p>
            <w:pPr>
              <w:spacing w:after="0"/>
              <w:rPr>
                <w:sz w:val="19"/>
                <w:szCs w:val="19"/>
                <w:color w:val="auto"/>
              </w:rPr>
            </w:pPr>
          </w:p>
        </w:tc>
        <w:tc>
          <w:tcPr>
            <w:tcW w:w="1560" w:type="dxa"/>
            <w:vAlign w:val="bottom"/>
            <w:vMerge w:val="restart"/>
            <w:shd w:val="clear" w:color="auto" w:fill="99BDC1"/>
          </w:tcPr>
          <w:p>
            <w:pPr>
              <w:ind w:left="20"/>
              <w:spacing w:after="0"/>
              <w:rPr>
                <w:sz w:val="20"/>
                <w:szCs w:val="20"/>
                <w:color w:val="auto"/>
              </w:rPr>
            </w:pPr>
            <w:r>
              <w:rPr>
                <w:rFonts w:ascii="Times New Roman" w:cs="Times New Roman" w:eastAsia="Times New Roman" w:hAnsi="Times New Roman"/>
                <w:sz w:val="11"/>
                <w:szCs w:val="11"/>
                <w:color w:val="005A64"/>
              </w:rPr>
              <w:t>Pumitamig</w:t>
            </w:r>
            <w:r>
              <w:rPr>
                <w:rFonts w:ascii="Times New Roman" w:cs="Times New Roman" w:eastAsia="Times New Roman" w:hAnsi="Times New Roman"/>
                <w:sz w:val="14"/>
                <w:szCs w:val="14"/>
                <w:color w:val="005A64"/>
                <w:vertAlign w:val="superscript"/>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600" w:type="dxa"/>
            <w:vAlign w:val="bottom"/>
            <w:tcBorders>
              <w:right w:val="single" w:sz="8" w:color="99BDC1"/>
            </w:tcBorders>
          </w:tcPr>
          <w:p>
            <w:pPr>
              <w:spacing w:after="0"/>
              <w:rPr>
                <w:sz w:val="9"/>
                <w:szCs w:val="9"/>
                <w:color w:val="auto"/>
              </w:rPr>
            </w:pPr>
          </w:p>
        </w:tc>
        <w:tc>
          <w:tcPr>
            <w:tcW w:w="1580" w:type="dxa"/>
            <w:vAlign w:val="bottom"/>
            <w:tcBorders>
              <w:left w:val="single" w:sz="8" w:color="99BDC1"/>
            </w:tcBorders>
            <w:gridSpan w:val="2"/>
            <w:vMerge w:val="continue"/>
            <w:shd w:val="clear" w:color="auto" w:fill="99BDC1"/>
          </w:tcPr>
          <w:p>
            <w:pPr>
              <w:spacing w:after="0"/>
              <w:rPr>
                <w:sz w:val="9"/>
                <w:szCs w:val="9"/>
                <w:color w:val="auto"/>
              </w:rPr>
            </w:pPr>
          </w:p>
        </w:tc>
        <w:tc>
          <w:tcPr>
            <w:tcW w:w="1600" w:type="dxa"/>
            <w:vAlign w:val="bottom"/>
            <w:gridSpan w:val="3"/>
            <w:vMerge w:val="restart"/>
            <w:shd w:val="clear" w:color="auto" w:fill="CDDEE1"/>
          </w:tcPr>
          <w:p>
            <w:pPr>
              <w:ind w:left="40"/>
              <w:spacing w:after="0"/>
              <w:rPr>
                <w:sz w:val="20"/>
                <w:szCs w:val="20"/>
                <w:color w:val="auto"/>
              </w:rPr>
            </w:pPr>
            <w:r>
              <w:rPr>
                <w:rFonts w:ascii="Times New Roman" w:cs="Times New Roman" w:eastAsia="Times New Roman" w:hAnsi="Times New Roman"/>
                <w:sz w:val="11"/>
                <w:szCs w:val="11"/>
                <w:color w:val="005A64"/>
              </w:rPr>
              <w:t>BNT326/YL202</w:t>
            </w:r>
            <w:r>
              <w:rPr>
                <w:rFonts w:ascii="Times New Roman" w:cs="Times New Roman" w:eastAsia="Times New Roman" w:hAnsi="Times New Roman"/>
                <w:sz w:val="7"/>
                <w:szCs w:val="7"/>
                <w:color w:val="005A64"/>
              </w:rPr>
              <w:t>8</w:t>
            </w:r>
          </w:p>
        </w:tc>
        <w:tc>
          <w:tcPr>
            <w:tcW w:w="1580" w:type="dxa"/>
            <w:vAlign w:val="bottom"/>
            <w:tcBorders>
              <w:left w:val="single" w:sz="8" w:color="99BDC1"/>
            </w:tcBorders>
            <w:vMerge w:val="continue"/>
            <w:shd w:val="clear" w:color="auto" w:fill="99BDC1"/>
          </w:tcPr>
          <w:p>
            <w:pPr>
              <w:spacing w:after="0"/>
              <w:rPr>
                <w:sz w:val="9"/>
                <w:szCs w:val="9"/>
                <w:color w:val="auto"/>
              </w:rPr>
            </w:pPr>
          </w:p>
        </w:tc>
        <w:tc>
          <w:tcPr>
            <w:tcW w:w="1600" w:type="dxa"/>
            <w:vAlign w:val="bottom"/>
            <w:gridSpan w:val="3"/>
            <w:vMerge w:val="continue"/>
            <w:shd w:val="clear" w:color="auto" w:fill="99BDC1"/>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Borders>
              <w:right w:val="single" w:sz="8" w:color="99BDC1"/>
            </w:tcBorders>
          </w:tcPr>
          <w:p>
            <w:pPr>
              <w:spacing w:after="0"/>
              <w:rPr>
                <w:sz w:val="9"/>
                <w:szCs w:val="9"/>
                <w:color w:val="auto"/>
              </w:rPr>
            </w:pPr>
          </w:p>
        </w:tc>
        <w:tc>
          <w:tcPr>
            <w:tcW w:w="1560" w:type="dxa"/>
            <w:vAlign w:val="bottom"/>
            <w:vMerge w:val="continue"/>
            <w:shd w:val="clear" w:color="auto" w:fill="99BDC1"/>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600" w:type="dxa"/>
            <w:vAlign w:val="bottom"/>
            <w:tcBorders>
              <w:right w:val="single" w:sz="8" w:color="99BDC1"/>
            </w:tcBorders>
          </w:tcPr>
          <w:p>
            <w:pPr>
              <w:spacing w:after="0"/>
              <w:rPr>
                <w:sz w:val="5"/>
                <w:szCs w:val="5"/>
                <w:color w:val="auto"/>
              </w:rPr>
            </w:pPr>
          </w:p>
        </w:tc>
        <w:tc>
          <w:tcPr>
            <w:tcW w:w="1580" w:type="dxa"/>
            <w:vAlign w:val="bottom"/>
            <w:tcBorders>
              <w:left w:val="single" w:sz="8" w:color="99BDC1"/>
            </w:tcBorders>
            <w:gridSpan w:val="2"/>
            <w:vMerge w:val="restart"/>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Multiple solid tumors</w:t>
            </w:r>
          </w:p>
        </w:tc>
        <w:tc>
          <w:tcPr>
            <w:tcW w:w="1600" w:type="dxa"/>
            <w:vAlign w:val="bottom"/>
            <w:gridSpan w:val="3"/>
            <w:vMerge w:val="continue"/>
            <w:shd w:val="clear" w:color="auto" w:fill="CDDEE1"/>
          </w:tcPr>
          <w:p>
            <w:pPr>
              <w:spacing w:after="0"/>
              <w:rPr>
                <w:sz w:val="5"/>
                <w:szCs w:val="5"/>
                <w:color w:val="auto"/>
              </w:rPr>
            </w:pPr>
          </w:p>
        </w:tc>
        <w:tc>
          <w:tcPr>
            <w:tcW w:w="1580" w:type="dxa"/>
            <w:vAlign w:val="bottom"/>
            <w:tcBorders>
              <w:left w:val="single" w:sz="8" w:color="99BDC1"/>
            </w:tcBorders>
            <w:vMerge w:val="restart"/>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PROC</w:t>
            </w:r>
          </w:p>
        </w:tc>
        <w:tc>
          <w:tcPr>
            <w:tcW w:w="1600" w:type="dxa"/>
            <w:vAlign w:val="bottom"/>
            <w:gridSpan w:val="3"/>
            <w:vMerge w:val="restart"/>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2L adv./met. NSCLC</w:t>
            </w:r>
          </w:p>
        </w:tc>
        <w:tc>
          <w:tcPr>
            <w:tcW w:w="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Borders>
              <w:right w:val="single" w:sz="8" w:color="99BDC1"/>
            </w:tcBorders>
          </w:tcPr>
          <w:p>
            <w:pPr>
              <w:spacing w:after="0"/>
              <w:rPr>
                <w:sz w:val="5"/>
                <w:szCs w:val="5"/>
                <w:color w:val="auto"/>
              </w:rPr>
            </w:pPr>
          </w:p>
        </w:tc>
        <w:tc>
          <w:tcPr>
            <w:tcW w:w="1560" w:type="dxa"/>
            <w:vAlign w:val="bottom"/>
            <w:vMerge w:val="restart"/>
            <w:shd w:val="clear" w:color="auto" w:fill="99BDC1"/>
          </w:tcPr>
          <w:p>
            <w:pPr>
              <w:ind w:left="20"/>
              <w:spacing w:after="0"/>
              <w:rPr>
                <w:sz w:val="20"/>
                <w:szCs w:val="20"/>
                <w:color w:val="auto"/>
              </w:rPr>
            </w:pPr>
            <w:r>
              <w:rPr>
                <w:rFonts w:ascii="Times New Roman" w:cs="Times New Roman" w:eastAsia="Times New Roman" w:hAnsi="Times New Roman"/>
                <w:sz w:val="11"/>
                <w:szCs w:val="11"/>
                <w:color w:val="005A64"/>
              </w:rPr>
              <w:t>1L TNBC</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600" w:type="dxa"/>
            <w:vAlign w:val="bottom"/>
            <w:tcBorders>
              <w:right w:val="single" w:sz="8" w:color="99BDC1"/>
            </w:tcBorders>
          </w:tcPr>
          <w:p>
            <w:pPr>
              <w:spacing w:after="0"/>
              <w:rPr>
                <w:sz w:val="9"/>
                <w:szCs w:val="9"/>
                <w:color w:val="auto"/>
              </w:rPr>
            </w:pPr>
          </w:p>
        </w:tc>
        <w:tc>
          <w:tcPr>
            <w:tcW w:w="1580" w:type="dxa"/>
            <w:vAlign w:val="bottom"/>
            <w:tcBorders>
              <w:left w:val="single" w:sz="8" w:color="99BDC1"/>
            </w:tcBorders>
            <w:gridSpan w:val="2"/>
            <w:vMerge w:val="continue"/>
            <w:shd w:val="clear" w:color="auto" w:fill="99BDC1"/>
          </w:tcPr>
          <w:p>
            <w:pPr>
              <w:spacing w:after="0"/>
              <w:rPr>
                <w:sz w:val="9"/>
                <w:szCs w:val="9"/>
                <w:color w:val="auto"/>
              </w:rPr>
            </w:pPr>
          </w:p>
        </w:tc>
        <w:tc>
          <w:tcPr>
            <w:tcW w:w="1600" w:type="dxa"/>
            <w:vAlign w:val="bottom"/>
            <w:gridSpan w:val="3"/>
            <w:vMerge w:val="restart"/>
            <w:shd w:val="clear" w:color="auto" w:fill="CDDEE1"/>
          </w:tcPr>
          <w:p>
            <w:pPr>
              <w:ind w:left="40"/>
              <w:spacing w:after="0"/>
              <w:rPr>
                <w:sz w:val="20"/>
                <w:szCs w:val="20"/>
                <w:color w:val="auto"/>
              </w:rPr>
            </w:pPr>
            <w:r>
              <w:rPr>
                <w:rFonts w:ascii="Times New Roman" w:cs="Times New Roman" w:eastAsia="Times New Roman" w:hAnsi="Times New Roman"/>
                <w:sz w:val="11"/>
                <w:szCs w:val="11"/>
                <w:color w:val="005A64"/>
              </w:rPr>
              <w:t>Multiple solid tumors</w:t>
            </w:r>
          </w:p>
        </w:tc>
        <w:tc>
          <w:tcPr>
            <w:tcW w:w="1580" w:type="dxa"/>
            <w:vAlign w:val="bottom"/>
            <w:tcBorders>
              <w:left w:val="single" w:sz="8" w:color="99BDC1"/>
            </w:tcBorders>
            <w:vMerge w:val="continue"/>
            <w:shd w:val="clear" w:color="auto" w:fill="99BDC1"/>
          </w:tcPr>
          <w:p>
            <w:pPr>
              <w:spacing w:after="0"/>
              <w:rPr>
                <w:sz w:val="9"/>
                <w:szCs w:val="9"/>
                <w:color w:val="auto"/>
              </w:rPr>
            </w:pPr>
          </w:p>
        </w:tc>
        <w:tc>
          <w:tcPr>
            <w:tcW w:w="1600" w:type="dxa"/>
            <w:vAlign w:val="bottom"/>
            <w:gridSpan w:val="3"/>
            <w:vMerge w:val="continue"/>
            <w:shd w:val="clear" w:color="auto" w:fill="99BDC1"/>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Borders>
              <w:right w:val="single" w:sz="8" w:color="99BDC1"/>
            </w:tcBorders>
          </w:tcPr>
          <w:p>
            <w:pPr>
              <w:spacing w:after="0"/>
              <w:rPr>
                <w:sz w:val="9"/>
                <w:szCs w:val="9"/>
                <w:color w:val="auto"/>
              </w:rPr>
            </w:pPr>
          </w:p>
        </w:tc>
        <w:tc>
          <w:tcPr>
            <w:tcW w:w="1560" w:type="dxa"/>
            <w:vAlign w:val="bottom"/>
            <w:vMerge w:val="continue"/>
            <w:shd w:val="clear" w:color="auto" w:fill="99BDC1"/>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00" w:type="dxa"/>
            <w:vAlign w:val="bottom"/>
            <w:tcBorders>
              <w:right w:val="single" w:sz="8" w:color="99BDC1"/>
            </w:tcBorders>
          </w:tcPr>
          <w:p>
            <w:pPr>
              <w:spacing w:after="0"/>
              <w:rPr>
                <w:sz w:val="10"/>
                <w:szCs w:val="10"/>
                <w:color w:val="auto"/>
              </w:rPr>
            </w:pPr>
          </w:p>
        </w:tc>
        <w:tc>
          <w:tcPr>
            <w:tcW w:w="400" w:type="dxa"/>
            <w:vAlign w:val="bottom"/>
            <w:tcBorders>
              <w:left w:val="single" w:sz="8" w:color="99BDC1"/>
            </w:tcBorders>
            <w:shd w:val="clear" w:color="auto" w:fill="99BDC1"/>
          </w:tcPr>
          <w:p>
            <w:pPr>
              <w:spacing w:after="0"/>
              <w:rPr>
                <w:sz w:val="10"/>
                <w:szCs w:val="10"/>
                <w:color w:val="auto"/>
              </w:rPr>
            </w:pPr>
          </w:p>
        </w:tc>
        <w:tc>
          <w:tcPr>
            <w:tcW w:w="1180" w:type="dxa"/>
            <w:vAlign w:val="bottom"/>
            <w:shd w:val="clear" w:color="auto" w:fill="99BDC1"/>
          </w:tcPr>
          <w:p>
            <w:pPr>
              <w:spacing w:after="0"/>
              <w:rPr>
                <w:sz w:val="10"/>
                <w:szCs w:val="10"/>
                <w:color w:val="auto"/>
              </w:rPr>
            </w:pPr>
          </w:p>
        </w:tc>
        <w:tc>
          <w:tcPr>
            <w:tcW w:w="1600" w:type="dxa"/>
            <w:vAlign w:val="bottom"/>
            <w:gridSpan w:val="3"/>
            <w:vMerge w:val="continue"/>
            <w:shd w:val="clear" w:color="auto" w:fill="CDDEE1"/>
          </w:tcPr>
          <w:p>
            <w:pPr>
              <w:spacing w:after="0"/>
              <w:rPr>
                <w:sz w:val="10"/>
                <w:szCs w:val="10"/>
                <w:color w:val="auto"/>
              </w:rPr>
            </w:pPr>
          </w:p>
        </w:tc>
        <w:tc>
          <w:tcPr>
            <w:tcW w:w="1580" w:type="dxa"/>
            <w:vAlign w:val="bottom"/>
            <w:tcBorders>
              <w:left w:val="single" w:sz="8" w:color="99BDC1"/>
            </w:tcBorders>
            <w:shd w:val="clear" w:color="auto" w:fill="99BDC1"/>
          </w:tcPr>
          <w:p>
            <w:pPr>
              <w:spacing w:after="0"/>
              <w:rPr>
                <w:sz w:val="10"/>
                <w:szCs w:val="10"/>
                <w:color w:val="auto"/>
              </w:rPr>
            </w:pPr>
          </w:p>
        </w:tc>
        <w:tc>
          <w:tcPr>
            <w:tcW w:w="80" w:type="dxa"/>
            <w:vAlign w:val="bottom"/>
            <w:shd w:val="clear" w:color="auto" w:fill="99BDC1"/>
          </w:tcPr>
          <w:p>
            <w:pPr>
              <w:spacing w:after="0"/>
              <w:rPr>
                <w:sz w:val="10"/>
                <w:szCs w:val="10"/>
                <w:color w:val="auto"/>
              </w:rPr>
            </w:pPr>
          </w:p>
        </w:tc>
        <w:tc>
          <w:tcPr>
            <w:tcW w:w="380" w:type="dxa"/>
            <w:vAlign w:val="bottom"/>
            <w:shd w:val="clear" w:color="auto" w:fill="99BDC1"/>
          </w:tcPr>
          <w:p>
            <w:pPr>
              <w:spacing w:after="0"/>
              <w:rPr>
                <w:sz w:val="10"/>
                <w:szCs w:val="10"/>
                <w:color w:val="auto"/>
              </w:rPr>
            </w:pPr>
          </w:p>
        </w:tc>
        <w:tc>
          <w:tcPr>
            <w:tcW w:w="1140" w:type="dxa"/>
            <w:vAlign w:val="bottom"/>
            <w:shd w:val="clear" w:color="auto" w:fill="99BDC1"/>
          </w:tcPr>
          <w:p>
            <w:pPr>
              <w:spacing w:after="0"/>
              <w:rPr>
                <w:sz w:val="10"/>
                <w:szCs w:val="10"/>
                <w:color w:val="auto"/>
              </w:rPr>
            </w:pP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Borders>
              <w:right w:val="single" w:sz="8" w:color="99BDC1"/>
            </w:tcBorders>
          </w:tcPr>
          <w:p>
            <w:pPr>
              <w:spacing w:after="0"/>
              <w:rPr>
                <w:sz w:val="10"/>
                <w:szCs w:val="10"/>
                <w:color w:val="auto"/>
              </w:rPr>
            </w:pPr>
          </w:p>
        </w:tc>
        <w:tc>
          <w:tcPr>
            <w:tcW w:w="1560" w:type="dxa"/>
            <w:vAlign w:val="bottom"/>
            <w:shd w:val="clear" w:color="auto" w:fill="99BDC1"/>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1600" w:type="dxa"/>
            <w:vAlign w:val="bottom"/>
            <w:tcBorders>
              <w:right w:val="single" w:sz="8" w:color="99BDC1"/>
            </w:tcBorders>
          </w:tcPr>
          <w:p>
            <w:pPr>
              <w:spacing w:after="0"/>
              <w:rPr>
                <w:sz w:val="24"/>
                <w:szCs w:val="24"/>
                <w:color w:val="auto"/>
              </w:rPr>
            </w:pPr>
          </w:p>
        </w:tc>
        <w:tc>
          <w:tcPr>
            <w:tcW w:w="1580" w:type="dxa"/>
            <w:vAlign w:val="bottom"/>
            <w:tcBorders>
              <w:left w:val="single" w:sz="8" w:color="99BDC1"/>
            </w:tcBorders>
            <w:gridSpan w:val="2"/>
            <w:vMerge w:val="restart"/>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Pumitamig</w:t>
            </w:r>
            <w:r>
              <w:rPr>
                <w:rFonts w:ascii="Times New Roman" w:cs="Times New Roman" w:eastAsia="Times New Roman" w:hAnsi="Times New Roman"/>
                <w:sz w:val="14"/>
                <w:szCs w:val="14"/>
                <w:color w:val="005A64"/>
                <w:vertAlign w:val="superscript"/>
              </w:rPr>
              <w:t>3</w:t>
            </w:r>
          </w:p>
        </w:tc>
        <w:tc>
          <w:tcPr>
            <w:tcW w:w="1600" w:type="dxa"/>
            <w:vAlign w:val="bottom"/>
            <w:gridSpan w:val="3"/>
            <w:shd w:val="clear" w:color="auto" w:fill="CDDEE1"/>
          </w:tcPr>
          <w:p>
            <w:pPr>
              <w:ind w:left="40"/>
              <w:spacing w:after="0"/>
              <w:rPr>
                <w:sz w:val="20"/>
                <w:szCs w:val="20"/>
                <w:color w:val="auto"/>
              </w:rPr>
            </w:pPr>
            <w:r>
              <w:rPr>
                <w:rFonts w:ascii="Times New Roman" w:cs="Times New Roman" w:eastAsia="Times New Roman" w:hAnsi="Times New Roman"/>
                <w:sz w:val="11"/>
                <w:szCs w:val="11"/>
                <w:color w:val="005A64"/>
              </w:rPr>
              <w:t>Pumitamig</w:t>
            </w:r>
            <w:r>
              <w:rPr>
                <w:rFonts w:ascii="Times New Roman" w:cs="Times New Roman" w:eastAsia="Times New Roman" w:hAnsi="Times New Roman"/>
                <w:sz w:val="14"/>
                <w:szCs w:val="14"/>
                <w:color w:val="005A64"/>
                <w:vertAlign w:val="superscript"/>
              </w:rPr>
              <w:t>3</w:t>
            </w:r>
            <w:r>
              <w:rPr>
                <w:rFonts w:ascii="Times New Roman" w:cs="Times New Roman" w:eastAsia="Times New Roman" w:hAnsi="Times New Roman"/>
                <w:sz w:val="11"/>
                <w:szCs w:val="11"/>
                <w:color w:val="005A64"/>
              </w:rPr>
              <w:t xml:space="preserve"> +</w:t>
            </w:r>
          </w:p>
        </w:tc>
        <w:tc>
          <w:tcPr>
            <w:tcW w:w="1580" w:type="dxa"/>
            <w:vAlign w:val="bottom"/>
            <w:tcBorders>
              <w:left w:val="single" w:sz="8" w:color="99BDC1"/>
            </w:tcBorders>
            <w:vMerge w:val="restart"/>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Pumitamig</w:t>
            </w:r>
            <w:r>
              <w:rPr>
                <w:rFonts w:ascii="Times New Roman" w:cs="Times New Roman" w:eastAsia="Times New Roman" w:hAnsi="Times New Roman"/>
                <w:sz w:val="14"/>
                <w:szCs w:val="14"/>
                <w:color w:val="005A64"/>
                <w:vertAlign w:val="superscript"/>
              </w:rPr>
              <w:t>3</w:t>
            </w:r>
          </w:p>
        </w:tc>
        <w:tc>
          <w:tcPr>
            <w:tcW w:w="1600" w:type="dxa"/>
            <w:vAlign w:val="bottom"/>
            <w:gridSpan w:val="3"/>
            <w:vMerge w:val="restart"/>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Pumitamig</w:t>
            </w:r>
            <w:r>
              <w:rPr>
                <w:rFonts w:ascii="Times New Roman" w:cs="Times New Roman" w:eastAsia="Times New Roman" w:hAnsi="Times New Roman"/>
                <w:sz w:val="14"/>
                <w:szCs w:val="14"/>
                <w:color w:val="005A64"/>
                <w:vertAlign w:val="superscript"/>
              </w:rPr>
              <w:t>3</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Borders>
              <w:right w:val="single" w:sz="8" w:color="99BDC1"/>
            </w:tcBorders>
          </w:tcPr>
          <w:p>
            <w:pPr>
              <w:spacing w:after="0"/>
              <w:rPr>
                <w:sz w:val="24"/>
                <w:szCs w:val="24"/>
                <w:color w:val="auto"/>
              </w:rPr>
            </w:pPr>
          </w:p>
        </w:tc>
        <w:tc>
          <w:tcPr>
            <w:tcW w:w="1560" w:type="dxa"/>
            <w:vAlign w:val="bottom"/>
            <w:vMerge w:val="restart"/>
            <w:shd w:val="clear" w:color="auto" w:fill="99BDC1"/>
          </w:tcPr>
          <w:p>
            <w:pPr>
              <w:ind w:left="20"/>
              <w:spacing w:after="0"/>
              <w:rPr>
                <w:sz w:val="20"/>
                <w:szCs w:val="20"/>
                <w:color w:val="auto"/>
              </w:rPr>
            </w:pPr>
            <w:r>
              <w:rPr>
                <w:rFonts w:ascii="Times New Roman" w:cs="Times New Roman" w:eastAsia="Times New Roman" w:hAnsi="Times New Roman"/>
                <w:sz w:val="11"/>
                <w:szCs w:val="11"/>
                <w:color w:val="005A64"/>
              </w:rPr>
              <w:t>Pumitamig</w:t>
            </w:r>
            <w:r>
              <w:rPr>
                <w:rFonts w:ascii="Times New Roman" w:cs="Times New Roman" w:eastAsia="Times New Roman" w:hAnsi="Times New Roman"/>
                <w:sz w:val="14"/>
                <w:szCs w:val="14"/>
                <w:color w:val="005A64"/>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600" w:type="dxa"/>
            <w:vAlign w:val="bottom"/>
            <w:tcBorders>
              <w:right w:val="single" w:sz="8" w:color="99BDC1"/>
            </w:tcBorders>
          </w:tcPr>
          <w:p>
            <w:pPr>
              <w:spacing w:after="0"/>
              <w:rPr>
                <w:sz w:val="9"/>
                <w:szCs w:val="9"/>
                <w:color w:val="auto"/>
              </w:rPr>
            </w:pPr>
          </w:p>
        </w:tc>
        <w:tc>
          <w:tcPr>
            <w:tcW w:w="1580" w:type="dxa"/>
            <w:vAlign w:val="bottom"/>
            <w:tcBorders>
              <w:left w:val="single" w:sz="8" w:color="99BDC1"/>
            </w:tcBorders>
            <w:gridSpan w:val="2"/>
            <w:vMerge w:val="continue"/>
            <w:shd w:val="clear" w:color="auto" w:fill="99BDC1"/>
          </w:tcPr>
          <w:p>
            <w:pPr>
              <w:spacing w:after="0"/>
              <w:rPr>
                <w:sz w:val="9"/>
                <w:szCs w:val="9"/>
                <w:color w:val="auto"/>
              </w:rPr>
            </w:pPr>
          </w:p>
        </w:tc>
        <w:tc>
          <w:tcPr>
            <w:tcW w:w="1600" w:type="dxa"/>
            <w:vAlign w:val="bottom"/>
            <w:gridSpan w:val="3"/>
            <w:vMerge w:val="restart"/>
            <w:shd w:val="clear" w:color="auto" w:fill="CDDEE1"/>
          </w:tcPr>
          <w:p>
            <w:pPr>
              <w:ind w:left="40"/>
              <w:spacing w:after="0"/>
              <w:rPr>
                <w:sz w:val="20"/>
                <w:szCs w:val="20"/>
                <w:color w:val="auto"/>
              </w:rPr>
            </w:pPr>
            <w:r>
              <w:rPr>
                <w:rFonts w:ascii="Times New Roman" w:cs="Times New Roman" w:eastAsia="Times New Roman" w:hAnsi="Times New Roman"/>
                <w:sz w:val="11"/>
                <w:szCs w:val="11"/>
                <w:color w:val="005A64"/>
              </w:rPr>
              <w:t>BNT326/YL202</w:t>
            </w:r>
            <w:r>
              <w:rPr>
                <w:rFonts w:ascii="Times New Roman" w:cs="Times New Roman" w:eastAsia="Times New Roman" w:hAnsi="Times New Roman"/>
                <w:sz w:val="7"/>
                <w:szCs w:val="7"/>
                <w:color w:val="005A64"/>
              </w:rPr>
              <w:t>8</w:t>
            </w:r>
          </w:p>
        </w:tc>
        <w:tc>
          <w:tcPr>
            <w:tcW w:w="1580" w:type="dxa"/>
            <w:vAlign w:val="bottom"/>
            <w:tcBorders>
              <w:left w:val="single" w:sz="8" w:color="99BDC1"/>
            </w:tcBorders>
            <w:vMerge w:val="continue"/>
            <w:shd w:val="clear" w:color="auto" w:fill="99BDC1"/>
          </w:tcPr>
          <w:p>
            <w:pPr>
              <w:spacing w:after="0"/>
              <w:rPr>
                <w:sz w:val="9"/>
                <w:szCs w:val="9"/>
                <w:color w:val="auto"/>
              </w:rPr>
            </w:pPr>
          </w:p>
        </w:tc>
        <w:tc>
          <w:tcPr>
            <w:tcW w:w="1600" w:type="dxa"/>
            <w:vAlign w:val="bottom"/>
            <w:gridSpan w:val="3"/>
            <w:vMerge w:val="continue"/>
            <w:shd w:val="clear" w:color="auto" w:fill="99BDC1"/>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Borders>
              <w:right w:val="single" w:sz="8" w:color="99BDC1"/>
            </w:tcBorders>
          </w:tcPr>
          <w:p>
            <w:pPr>
              <w:spacing w:after="0"/>
              <w:rPr>
                <w:sz w:val="9"/>
                <w:szCs w:val="9"/>
                <w:color w:val="auto"/>
              </w:rPr>
            </w:pPr>
          </w:p>
        </w:tc>
        <w:tc>
          <w:tcPr>
            <w:tcW w:w="1560" w:type="dxa"/>
            <w:vAlign w:val="bottom"/>
            <w:vMerge w:val="continue"/>
            <w:shd w:val="clear" w:color="auto" w:fill="99BDC1"/>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600" w:type="dxa"/>
            <w:vAlign w:val="bottom"/>
            <w:tcBorders>
              <w:right w:val="single" w:sz="8" w:color="99BDC1"/>
            </w:tcBorders>
          </w:tcPr>
          <w:p>
            <w:pPr>
              <w:spacing w:after="0"/>
              <w:rPr>
                <w:sz w:val="5"/>
                <w:szCs w:val="5"/>
                <w:color w:val="auto"/>
              </w:rPr>
            </w:pPr>
          </w:p>
        </w:tc>
        <w:tc>
          <w:tcPr>
            <w:tcW w:w="1580" w:type="dxa"/>
            <w:vAlign w:val="bottom"/>
            <w:tcBorders>
              <w:left w:val="single" w:sz="8" w:color="99BDC1"/>
            </w:tcBorders>
            <w:gridSpan w:val="2"/>
            <w:vMerge w:val="restart"/>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1L adv. HCC</w:t>
            </w:r>
          </w:p>
        </w:tc>
        <w:tc>
          <w:tcPr>
            <w:tcW w:w="1600" w:type="dxa"/>
            <w:vAlign w:val="bottom"/>
            <w:gridSpan w:val="3"/>
            <w:vMerge w:val="continue"/>
            <w:shd w:val="clear" w:color="auto" w:fill="CDDEE1"/>
          </w:tcPr>
          <w:p>
            <w:pPr>
              <w:spacing w:after="0"/>
              <w:rPr>
                <w:sz w:val="5"/>
                <w:szCs w:val="5"/>
                <w:color w:val="auto"/>
              </w:rPr>
            </w:pPr>
          </w:p>
        </w:tc>
        <w:tc>
          <w:tcPr>
            <w:tcW w:w="1580" w:type="dxa"/>
            <w:vAlign w:val="bottom"/>
            <w:tcBorders>
              <w:left w:val="single" w:sz="8" w:color="99BDC1"/>
            </w:tcBorders>
            <w:vMerge w:val="restart"/>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1L met. CRC</w:t>
            </w:r>
            <w:r>
              <w:rPr>
                <w:rFonts w:ascii="Times New Roman" w:cs="Times New Roman" w:eastAsia="Times New Roman" w:hAnsi="Times New Roman"/>
                <w:sz w:val="7"/>
                <w:szCs w:val="7"/>
                <w:color w:val="005A64"/>
              </w:rPr>
              <w:t>11</w:t>
            </w:r>
          </w:p>
        </w:tc>
        <w:tc>
          <w:tcPr>
            <w:tcW w:w="1600" w:type="dxa"/>
            <w:vAlign w:val="bottom"/>
            <w:gridSpan w:val="3"/>
            <w:vMerge w:val="restart"/>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1L met. PDAC</w:t>
            </w:r>
            <w:r>
              <w:rPr>
                <w:rFonts w:ascii="Times New Roman" w:cs="Times New Roman" w:eastAsia="Times New Roman" w:hAnsi="Times New Roman"/>
                <w:sz w:val="7"/>
                <w:szCs w:val="7"/>
                <w:color w:val="005A64"/>
              </w:rPr>
              <w:t>11</w:t>
            </w:r>
          </w:p>
        </w:tc>
        <w:tc>
          <w:tcPr>
            <w:tcW w:w="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Borders>
              <w:right w:val="single" w:sz="8" w:color="99BDC1"/>
            </w:tcBorders>
          </w:tcPr>
          <w:p>
            <w:pPr>
              <w:spacing w:after="0"/>
              <w:rPr>
                <w:sz w:val="5"/>
                <w:szCs w:val="5"/>
                <w:color w:val="auto"/>
              </w:rPr>
            </w:pPr>
          </w:p>
        </w:tc>
        <w:tc>
          <w:tcPr>
            <w:tcW w:w="1560" w:type="dxa"/>
            <w:vAlign w:val="bottom"/>
            <w:vMerge w:val="restart"/>
            <w:shd w:val="clear" w:color="auto" w:fill="99BDC1"/>
          </w:tcPr>
          <w:p>
            <w:pPr>
              <w:ind w:left="20"/>
              <w:spacing w:after="0"/>
              <w:rPr>
                <w:sz w:val="20"/>
                <w:szCs w:val="20"/>
                <w:color w:val="auto"/>
              </w:rPr>
            </w:pPr>
            <w:r>
              <w:rPr>
                <w:rFonts w:ascii="Times New Roman" w:cs="Times New Roman" w:eastAsia="Times New Roman" w:hAnsi="Times New Roman"/>
                <w:sz w:val="11"/>
                <w:szCs w:val="11"/>
                <w:color w:val="005A64"/>
              </w:rPr>
              <w:t>1L adv./met.TNBC</w:t>
            </w:r>
            <w:r>
              <w:rPr>
                <w:rFonts w:ascii="Times New Roman" w:cs="Times New Roman" w:eastAsia="Times New Roman" w:hAnsi="Times New Roman"/>
                <w:sz w:val="7"/>
                <w:szCs w:val="7"/>
                <w:color w:val="005A64"/>
              </w:rPr>
              <w:t>11</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600" w:type="dxa"/>
            <w:vAlign w:val="bottom"/>
            <w:tcBorders>
              <w:right w:val="single" w:sz="8" w:color="99BDC1"/>
            </w:tcBorders>
          </w:tcPr>
          <w:p>
            <w:pPr>
              <w:spacing w:after="0"/>
              <w:rPr>
                <w:sz w:val="9"/>
                <w:szCs w:val="9"/>
                <w:color w:val="auto"/>
              </w:rPr>
            </w:pPr>
          </w:p>
        </w:tc>
        <w:tc>
          <w:tcPr>
            <w:tcW w:w="1580" w:type="dxa"/>
            <w:vAlign w:val="bottom"/>
            <w:tcBorders>
              <w:left w:val="single" w:sz="8" w:color="99BDC1"/>
            </w:tcBorders>
            <w:gridSpan w:val="2"/>
            <w:vMerge w:val="continue"/>
            <w:shd w:val="clear" w:color="auto" w:fill="99BDC1"/>
          </w:tcPr>
          <w:p>
            <w:pPr>
              <w:spacing w:after="0"/>
              <w:rPr>
                <w:sz w:val="9"/>
                <w:szCs w:val="9"/>
                <w:color w:val="auto"/>
              </w:rPr>
            </w:pPr>
          </w:p>
        </w:tc>
        <w:tc>
          <w:tcPr>
            <w:tcW w:w="1600" w:type="dxa"/>
            <w:vAlign w:val="bottom"/>
            <w:gridSpan w:val="3"/>
            <w:vMerge w:val="restart"/>
            <w:shd w:val="clear" w:color="auto" w:fill="CDDEE1"/>
          </w:tcPr>
          <w:p>
            <w:pPr>
              <w:ind w:left="40"/>
              <w:spacing w:after="0"/>
              <w:rPr>
                <w:sz w:val="20"/>
                <w:szCs w:val="20"/>
                <w:color w:val="auto"/>
              </w:rPr>
            </w:pPr>
            <w:r>
              <w:rPr>
                <w:rFonts w:ascii="Times New Roman" w:cs="Times New Roman" w:eastAsia="Times New Roman" w:hAnsi="Times New Roman"/>
                <w:sz w:val="11"/>
                <w:szCs w:val="11"/>
                <w:color w:val="005A64"/>
              </w:rPr>
              <w:t>Adv. NSCLC</w:t>
            </w:r>
          </w:p>
        </w:tc>
        <w:tc>
          <w:tcPr>
            <w:tcW w:w="1580" w:type="dxa"/>
            <w:vAlign w:val="bottom"/>
            <w:tcBorders>
              <w:left w:val="single" w:sz="8" w:color="99BDC1"/>
            </w:tcBorders>
            <w:vMerge w:val="continue"/>
            <w:shd w:val="clear" w:color="auto" w:fill="99BDC1"/>
          </w:tcPr>
          <w:p>
            <w:pPr>
              <w:spacing w:after="0"/>
              <w:rPr>
                <w:sz w:val="9"/>
                <w:szCs w:val="9"/>
                <w:color w:val="auto"/>
              </w:rPr>
            </w:pPr>
          </w:p>
        </w:tc>
        <w:tc>
          <w:tcPr>
            <w:tcW w:w="1600" w:type="dxa"/>
            <w:vAlign w:val="bottom"/>
            <w:gridSpan w:val="3"/>
            <w:vMerge w:val="continue"/>
            <w:shd w:val="clear" w:color="auto" w:fill="99BDC1"/>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Borders>
              <w:right w:val="single" w:sz="8" w:color="99BDC1"/>
            </w:tcBorders>
          </w:tcPr>
          <w:p>
            <w:pPr>
              <w:spacing w:after="0"/>
              <w:rPr>
                <w:sz w:val="9"/>
                <w:szCs w:val="9"/>
                <w:color w:val="auto"/>
              </w:rPr>
            </w:pPr>
          </w:p>
        </w:tc>
        <w:tc>
          <w:tcPr>
            <w:tcW w:w="1560" w:type="dxa"/>
            <w:vAlign w:val="bottom"/>
            <w:vMerge w:val="continue"/>
            <w:shd w:val="clear" w:color="auto" w:fill="99BDC1"/>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00" w:type="dxa"/>
            <w:vAlign w:val="bottom"/>
            <w:tcBorders>
              <w:right w:val="single" w:sz="8" w:color="99BDC1"/>
            </w:tcBorders>
          </w:tcPr>
          <w:p>
            <w:pPr>
              <w:spacing w:after="0"/>
              <w:rPr>
                <w:sz w:val="10"/>
                <w:szCs w:val="10"/>
                <w:color w:val="auto"/>
              </w:rPr>
            </w:pPr>
          </w:p>
        </w:tc>
        <w:tc>
          <w:tcPr>
            <w:tcW w:w="400" w:type="dxa"/>
            <w:vAlign w:val="bottom"/>
            <w:tcBorders>
              <w:left w:val="single" w:sz="8" w:color="99BDC1"/>
            </w:tcBorders>
            <w:shd w:val="clear" w:color="auto" w:fill="99BDC1"/>
          </w:tcPr>
          <w:p>
            <w:pPr>
              <w:spacing w:after="0"/>
              <w:rPr>
                <w:sz w:val="10"/>
                <w:szCs w:val="10"/>
                <w:color w:val="auto"/>
              </w:rPr>
            </w:pPr>
          </w:p>
        </w:tc>
        <w:tc>
          <w:tcPr>
            <w:tcW w:w="1180" w:type="dxa"/>
            <w:vAlign w:val="bottom"/>
            <w:shd w:val="clear" w:color="auto" w:fill="99BDC1"/>
          </w:tcPr>
          <w:p>
            <w:pPr>
              <w:spacing w:after="0"/>
              <w:rPr>
                <w:sz w:val="10"/>
                <w:szCs w:val="10"/>
                <w:color w:val="auto"/>
              </w:rPr>
            </w:pPr>
          </w:p>
        </w:tc>
        <w:tc>
          <w:tcPr>
            <w:tcW w:w="1600" w:type="dxa"/>
            <w:vAlign w:val="bottom"/>
            <w:gridSpan w:val="3"/>
            <w:vMerge w:val="continue"/>
            <w:shd w:val="clear" w:color="auto" w:fill="CDDEE1"/>
          </w:tcPr>
          <w:p>
            <w:pPr>
              <w:spacing w:after="0"/>
              <w:rPr>
                <w:sz w:val="10"/>
                <w:szCs w:val="10"/>
                <w:color w:val="auto"/>
              </w:rPr>
            </w:pPr>
          </w:p>
        </w:tc>
        <w:tc>
          <w:tcPr>
            <w:tcW w:w="1580" w:type="dxa"/>
            <w:vAlign w:val="bottom"/>
            <w:tcBorders>
              <w:left w:val="single" w:sz="8" w:color="99BDC1"/>
            </w:tcBorders>
            <w:shd w:val="clear" w:color="auto" w:fill="99BDC1"/>
          </w:tcPr>
          <w:p>
            <w:pPr>
              <w:spacing w:after="0"/>
              <w:rPr>
                <w:sz w:val="10"/>
                <w:szCs w:val="10"/>
                <w:color w:val="auto"/>
              </w:rPr>
            </w:pPr>
          </w:p>
        </w:tc>
        <w:tc>
          <w:tcPr>
            <w:tcW w:w="80" w:type="dxa"/>
            <w:vAlign w:val="bottom"/>
            <w:shd w:val="clear" w:color="auto" w:fill="99BDC1"/>
          </w:tcPr>
          <w:p>
            <w:pPr>
              <w:spacing w:after="0"/>
              <w:rPr>
                <w:sz w:val="10"/>
                <w:szCs w:val="10"/>
                <w:color w:val="auto"/>
              </w:rPr>
            </w:pPr>
          </w:p>
        </w:tc>
        <w:tc>
          <w:tcPr>
            <w:tcW w:w="380" w:type="dxa"/>
            <w:vAlign w:val="bottom"/>
            <w:shd w:val="clear" w:color="auto" w:fill="99BDC1"/>
          </w:tcPr>
          <w:p>
            <w:pPr>
              <w:spacing w:after="0"/>
              <w:rPr>
                <w:sz w:val="10"/>
                <w:szCs w:val="10"/>
                <w:color w:val="auto"/>
              </w:rPr>
            </w:pPr>
          </w:p>
        </w:tc>
        <w:tc>
          <w:tcPr>
            <w:tcW w:w="1140" w:type="dxa"/>
            <w:vAlign w:val="bottom"/>
            <w:shd w:val="clear" w:color="auto" w:fill="99BDC1"/>
          </w:tcPr>
          <w:p>
            <w:pPr>
              <w:spacing w:after="0"/>
              <w:rPr>
                <w:sz w:val="10"/>
                <w:szCs w:val="10"/>
                <w:color w:val="auto"/>
              </w:rPr>
            </w:pP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Borders>
              <w:right w:val="single" w:sz="8" w:color="99BDC1"/>
            </w:tcBorders>
          </w:tcPr>
          <w:p>
            <w:pPr>
              <w:spacing w:after="0"/>
              <w:rPr>
                <w:sz w:val="10"/>
                <w:szCs w:val="10"/>
                <w:color w:val="auto"/>
              </w:rPr>
            </w:pPr>
          </w:p>
        </w:tc>
        <w:tc>
          <w:tcPr>
            <w:tcW w:w="1560" w:type="dxa"/>
            <w:vAlign w:val="bottom"/>
            <w:shd w:val="clear" w:color="auto" w:fill="99BDC1"/>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600" w:type="dxa"/>
            <w:vAlign w:val="bottom"/>
            <w:tcBorders>
              <w:right w:val="single" w:sz="8" w:color="99BDC1"/>
            </w:tcBorders>
          </w:tcPr>
          <w:p>
            <w:pPr>
              <w:spacing w:after="0"/>
              <w:rPr>
                <w:sz w:val="10"/>
                <w:szCs w:val="10"/>
                <w:color w:val="auto"/>
              </w:rPr>
            </w:pPr>
          </w:p>
        </w:tc>
        <w:tc>
          <w:tcPr>
            <w:tcW w:w="400" w:type="dxa"/>
            <w:vAlign w:val="bottom"/>
            <w:tcBorders>
              <w:left w:val="single" w:sz="8" w:color="99BDC1"/>
            </w:tcBorders>
            <w:shd w:val="clear" w:color="auto" w:fill="99BDC1"/>
          </w:tcPr>
          <w:p>
            <w:pPr>
              <w:spacing w:after="0"/>
              <w:rPr>
                <w:sz w:val="10"/>
                <w:szCs w:val="10"/>
                <w:color w:val="auto"/>
              </w:rPr>
            </w:pPr>
          </w:p>
        </w:tc>
        <w:tc>
          <w:tcPr>
            <w:tcW w:w="1180" w:type="dxa"/>
            <w:vAlign w:val="bottom"/>
            <w:shd w:val="clear" w:color="auto" w:fill="99BDC1"/>
          </w:tcPr>
          <w:p>
            <w:pPr>
              <w:spacing w:after="0"/>
              <w:rPr>
                <w:sz w:val="10"/>
                <w:szCs w:val="10"/>
                <w:color w:val="auto"/>
              </w:rPr>
            </w:pPr>
          </w:p>
        </w:tc>
        <w:tc>
          <w:tcPr>
            <w:tcW w:w="1600" w:type="dxa"/>
            <w:vAlign w:val="bottom"/>
            <w:gridSpan w:val="3"/>
            <w:vMerge w:val="restart"/>
            <w:shd w:val="clear" w:color="auto" w:fill="CDDEE1"/>
          </w:tcPr>
          <w:p>
            <w:pPr>
              <w:ind w:left="40"/>
              <w:spacing w:after="0"/>
              <w:rPr>
                <w:sz w:val="20"/>
                <w:szCs w:val="20"/>
                <w:color w:val="auto"/>
              </w:rPr>
            </w:pPr>
            <w:r>
              <w:rPr>
                <w:rFonts w:ascii="Times New Roman" w:cs="Times New Roman" w:eastAsia="Times New Roman" w:hAnsi="Times New Roman"/>
                <w:sz w:val="11"/>
                <w:szCs w:val="11"/>
                <w:color w:val="005A64"/>
              </w:rPr>
              <w:t>Pumitamig</w:t>
            </w:r>
            <w:r>
              <w:rPr>
                <w:rFonts w:ascii="Times New Roman" w:cs="Times New Roman" w:eastAsia="Times New Roman" w:hAnsi="Times New Roman"/>
                <w:sz w:val="14"/>
                <w:szCs w:val="14"/>
                <w:color w:val="005A64"/>
                <w:vertAlign w:val="superscript"/>
              </w:rPr>
              <w:t>3</w:t>
            </w:r>
            <w:r>
              <w:rPr>
                <w:rFonts w:ascii="Times New Roman" w:cs="Times New Roman" w:eastAsia="Times New Roman" w:hAnsi="Times New Roman"/>
                <w:sz w:val="11"/>
                <w:szCs w:val="11"/>
                <w:color w:val="005A64"/>
              </w:rPr>
              <w:t xml:space="preserve"> + Trastuzumab</w:t>
            </w:r>
          </w:p>
        </w:tc>
        <w:tc>
          <w:tcPr>
            <w:tcW w:w="1580" w:type="dxa"/>
            <w:vAlign w:val="bottom"/>
            <w:tcBorders>
              <w:left w:val="single" w:sz="8" w:color="99BDC1"/>
            </w:tcBorders>
            <w:shd w:val="clear" w:color="auto" w:fill="99BDC1"/>
          </w:tcPr>
          <w:p>
            <w:pPr>
              <w:spacing w:after="0"/>
              <w:rPr>
                <w:sz w:val="10"/>
                <w:szCs w:val="10"/>
                <w:color w:val="auto"/>
              </w:rPr>
            </w:pPr>
          </w:p>
        </w:tc>
        <w:tc>
          <w:tcPr>
            <w:tcW w:w="80" w:type="dxa"/>
            <w:vAlign w:val="bottom"/>
            <w:shd w:val="clear" w:color="auto" w:fill="99BDC1"/>
          </w:tcPr>
          <w:p>
            <w:pPr>
              <w:spacing w:after="0"/>
              <w:rPr>
                <w:sz w:val="10"/>
                <w:szCs w:val="10"/>
                <w:color w:val="auto"/>
              </w:rPr>
            </w:pPr>
          </w:p>
        </w:tc>
        <w:tc>
          <w:tcPr>
            <w:tcW w:w="380" w:type="dxa"/>
            <w:vAlign w:val="bottom"/>
            <w:shd w:val="clear" w:color="auto" w:fill="99BDC1"/>
          </w:tcPr>
          <w:p>
            <w:pPr>
              <w:spacing w:after="0"/>
              <w:rPr>
                <w:sz w:val="10"/>
                <w:szCs w:val="10"/>
                <w:color w:val="auto"/>
              </w:rPr>
            </w:pPr>
          </w:p>
        </w:tc>
        <w:tc>
          <w:tcPr>
            <w:tcW w:w="1140" w:type="dxa"/>
            <w:vAlign w:val="bottom"/>
            <w:shd w:val="clear" w:color="auto" w:fill="99BDC1"/>
          </w:tcPr>
          <w:p>
            <w:pPr>
              <w:spacing w:after="0"/>
              <w:rPr>
                <w:sz w:val="10"/>
                <w:szCs w:val="10"/>
                <w:color w:val="auto"/>
              </w:rPr>
            </w:pP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Borders>
              <w:right w:val="single" w:sz="8" w:color="99BDC1"/>
            </w:tcBorders>
          </w:tcPr>
          <w:p>
            <w:pPr>
              <w:spacing w:after="0"/>
              <w:rPr>
                <w:sz w:val="10"/>
                <w:szCs w:val="10"/>
                <w:color w:val="auto"/>
              </w:rPr>
            </w:pPr>
          </w:p>
        </w:tc>
        <w:tc>
          <w:tcPr>
            <w:tcW w:w="1560" w:type="dxa"/>
            <w:vAlign w:val="bottom"/>
            <w:shd w:val="clear" w:color="auto" w:fill="99BDC1"/>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600" w:type="dxa"/>
            <w:vAlign w:val="bottom"/>
            <w:tcBorders>
              <w:right w:val="single" w:sz="8" w:color="99BDC1"/>
            </w:tcBorders>
          </w:tcPr>
          <w:p>
            <w:pPr>
              <w:spacing w:after="0"/>
              <w:rPr>
                <w:sz w:val="18"/>
                <w:szCs w:val="18"/>
                <w:color w:val="auto"/>
              </w:rPr>
            </w:pPr>
          </w:p>
        </w:tc>
        <w:tc>
          <w:tcPr>
            <w:tcW w:w="1580" w:type="dxa"/>
            <w:vAlign w:val="bottom"/>
            <w:tcBorders>
              <w:left w:val="single" w:sz="8" w:color="99BDC1"/>
            </w:tcBorders>
            <w:gridSpan w:val="2"/>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Pumitamig</w:t>
            </w:r>
            <w:r>
              <w:rPr>
                <w:rFonts w:ascii="Times New Roman" w:cs="Times New Roman" w:eastAsia="Times New Roman" w:hAnsi="Times New Roman"/>
                <w:sz w:val="14"/>
                <w:szCs w:val="14"/>
                <w:color w:val="005A64"/>
                <w:vertAlign w:val="superscript"/>
              </w:rPr>
              <w:t>3</w:t>
            </w:r>
          </w:p>
        </w:tc>
        <w:tc>
          <w:tcPr>
            <w:tcW w:w="1600" w:type="dxa"/>
            <w:vAlign w:val="bottom"/>
            <w:gridSpan w:val="3"/>
            <w:vMerge w:val="continue"/>
            <w:shd w:val="clear" w:color="auto" w:fill="CDDEE1"/>
          </w:tcPr>
          <w:p>
            <w:pPr>
              <w:spacing w:after="0"/>
              <w:rPr>
                <w:sz w:val="18"/>
                <w:szCs w:val="18"/>
                <w:color w:val="auto"/>
              </w:rPr>
            </w:pPr>
          </w:p>
        </w:tc>
        <w:tc>
          <w:tcPr>
            <w:tcW w:w="1580" w:type="dxa"/>
            <w:vAlign w:val="bottom"/>
            <w:tcBorders>
              <w:left w:val="single" w:sz="8" w:color="99BDC1"/>
            </w:tcBorders>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Pumitamig</w:t>
            </w:r>
            <w:r>
              <w:rPr>
                <w:rFonts w:ascii="Times New Roman" w:cs="Times New Roman" w:eastAsia="Times New Roman" w:hAnsi="Times New Roman"/>
                <w:sz w:val="14"/>
                <w:szCs w:val="14"/>
                <w:color w:val="005A64"/>
                <w:vertAlign w:val="superscript"/>
              </w:rPr>
              <w:t>3</w:t>
            </w:r>
          </w:p>
        </w:tc>
        <w:tc>
          <w:tcPr>
            <w:tcW w:w="1600" w:type="dxa"/>
            <w:vAlign w:val="bottom"/>
            <w:gridSpan w:val="3"/>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Pumitamig</w:t>
            </w:r>
            <w:r>
              <w:rPr>
                <w:rFonts w:ascii="Times New Roman" w:cs="Times New Roman" w:eastAsia="Times New Roman" w:hAnsi="Times New Roman"/>
                <w:sz w:val="14"/>
                <w:szCs w:val="14"/>
                <w:color w:val="005A64"/>
                <w:vertAlign w:val="superscript"/>
              </w:rPr>
              <w:t>3</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Borders>
              <w:right w:val="single" w:sz="8" w:color="9DCAB9"/>
            </w:tcBorders>
          </w:tcPr>
          <w:p>
            <w:pPr>
              <w:spacing w:after="0"/>
              <w:rPr>
                <w:sz w:val="18"/>
                <w:szCs w:val="18"/>
                <w:color w:val="auto"/>
              </w:rPr>
            </w:pPr>
          </w:p>
        </w:tc>
        <w:tc>
          <w:tcPr>
            <w:tcW w:w="1560" w:type="dxa"/>
            <w:vAlign w:val="bottom"/>
            <w:shd w:val="clear" w:color="auto" w:fill="9DCAB9"/>
          </w:tcPr>
          <w:p>
            <w:pPr>
              <w:ind w:left="20"/>
              <w:spacing w:after="0"/>
              <w:rPr>
                <w:sz w:val="20"/>
                <w:szCs w:val="20"/>
                <w:color w:val="auto"/>
              </w:rPr>
            </w:pPr>
            <w:r>
              <w:rPr>
                <w:rFonts w:ascii="Times New Roman" w:cs="Times New Roman" w:eastAsia="Times New Roman" w:hAnsi="Times New Roman"/>
                <w:sz w:val="11"/>
                <w:szCs w:val="11"/>
                <w:color w:val="005A64"/>
              </w:rPr>
              <w:t>Trastuzumab pamirtecan</w:t>
            </w:r>
            <w:r>
              <w:rPr>
                <w:rFonts w:ascii="Times New Roman" w:cs="Times New Roman" w:eastAsia="Times New Roman" w:hAnsi="Times New Roman"/>
                <w:sz w:val="14"/>
                <w:szCs w:val="14"/>
                <w:color w:val="005A64"/>
                <w:vertAlign w:val="superscript"/>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600" w:type="dxa"/>
            <w:vAlign w:val="bottom"/>
            <w:tcBorders>
              <w:right w:val="single" w:sz="8" w:color="99BDC1"/>
            </w:tcBorders>
          </w:tcPr>
          <w:p>
            <w:pPr>
              <w:spacing w:after="0"/>
              <w:rPr>
                <w:sz w:val="16"/>
                <w:szCs w:val="16"/>
                <w:color w:val="auto"/>
              </w:rPr>
            </w:pPr>
          </w:p>
        </w:tc>
        <w:tc>
          <w:tcPr>
            <w:tcW w:w="1580" w:type="dxa"/>
            <w:vAlign w:val="bottom"/>
            <w:tcBorders>
              <w:left w:val="single" w:sz="8" w:color="99BDC1"/>
            </w:tcBorders>
            <w:gridSpan w:val="2"/>
            <w:vMerge w:val="restart"/>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Adv. RCC</w:t>
            </w:r>
          </w:p>
        </w:tc>
        <w:tc>
          <w:tcPr>
            <w:tcW w:w="1600" w:type="dxa"/>
            <w:vAlign w:val="bottom"/>
            <w:gridSpan w:val="3"/>
            <w:shd w:val="clear" w:color="auto" w:fill="CDDEE1"/>
          </w:tcPr>
          <w:p>
            <w:pPr>
              <w:ind w:left="40"/>
              <w:spacing w:after="0"/>
              <w:rPr>
                <w:sz w:val="20"/>
                <w:szCs w:val="20"/>
                <w:color w:val="auto"/>
              </w:rPr>
            </w:pPr>
            <w:r>
              <w:rPr>
                <w:rFonts w:ascii="Times New Roman" w:cs="Times New Roman" w:eastAsia="Times New Roman" w:hAnsi="Times New Roman"/>
                <w:sz w:val="11"/>
                <w:szCs w:val="11"/>
                <w:color w:val="005A64"/>
              </w:rPr>
              <w:t>pamirtecan</w:t>
            </w:r>
            <w:r>
              <w:rPr>
                <w:rFonts w:ascii="Times New Roman" w:cs="Times New Roman" w:eastAsia="Times New Roman" w:hAnsi="Times New Roman"/>
                <w:sz w:val="14"/>
                <w:szCs w:val="14"/>
                <w:color w:val="005A64"/>
                <w:vertAlign w:val="superscript"/>
              </w:rPr>
              <w:t>5</w:t>
            </w:r>
          </w:p>
        </w:tc>
        <w:tc>
          <w:tcPr>
            <w:tcW w:w="1580" w:type="dxa"/>
            <w:vAlign w:val="bottom"/>
            <w:tcBorders>
              <w:left w:val="single" w:sz="8" w:color="99BDC1"/>
            </w:tcBorders>
            <w:vMerge w:val="restart"/>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1L ES-SCLC</w:t>
            </w:r>
            <w:r>
              <w:rPr>
                <w:rFonts w:ascii="Times New Roman" w:cs="Times New Roman" w:eastAsia="Times New Roman" w:hAnsi="Times New Roman"/>
                <w:sz w:val="7"/>
                <w:szCs w:val="7"/>
                <w:color w:val="005A64"/>
              </w:rPr>
              <w:t>11</w:t>
            </w:r>
          </w:p>
        </w:tc>
        <w:tc>
          <w:tcPr>
            <w:tcW w:w="1600" w:type="dxa"/>
            <w:vAlign w:val="bottom"/>
            <w:gridSpan w:val="3"/>
            <w:vMerge w:val="restart"/>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1L/2L adv./met. TNBC</w:t>
            </w: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Borders>
              <w:right w:val="single" w:sz="8" w:color="9DCAB9"/>
            </w:tcBorders>
          </w:tcPr>
          <w:p>
            <w:pPr>
              <w:spacing w:after="0"/>
              <w:rPr>
                <w:sz w:val="16"/>
                <w:szCs w:val="16"/>
                <w:color w:val="auto"/>
              </w:rPr>
            </w:pPr>
          </w:p>
        </w:tc>
        <w:tc>
          <w:tcPr>
            <w:tcW w:w="1560" w:type="dxa"/>
            <w:vAlign w:val="bottom"/>
            <w:vMerge w:val="restart"/>
            <w:shd w:val="clear" w:color="auto" w:fill="9DCAB9"/>
          </w:tcPr>
          <w:p>
            <w:pPr>
              <w:ind w:left="20"/>
              <w:spacing w:after="0"/>
              <w:rPr>
                <w:sz w:val="20"/>
                <w:szCs w:val="20"/>
                <w:color w:val="auto"/>
              </w:rPr>
            </w:pPr>
            <w:r>
              <w:rPr>
                <w:rFonts w:ascii="Times New Roman" w:cs="Times New Roman" w:eastAsia="Times New Roman" w:hAnsi="Times New Roman"/>
                <w:sz w:val="11"/>
                <w:szCs w:val="11"/>
                <w:color w:val="005A64"/>
              </w:rPr>
              <w:t>Met. BC</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600" w:type="dxa"/>
            <w:vAlign w:val="bottom"/>
            <w:tcBorders>
              <w:right w:val="single" w:sz="8" w:color="99BDC1"/>
            </w:tcBorders>
          </w:tcPr>
          <w:p>
            <w:pPr>
              <w:spacing w:after="0"/>
              <w:rPr>
                <w:sz w:val="5"/>
                <w:szCs w:val="5"/>
                <w:color w:val="auto"/>
              </w:rPr>
            </w:pPr>
          </w:p>
        </w:tc>
        <w:tc>
          <w:tcPr>
            <w:tcW w:w="1580" w:type="dxa"/>
            <w:vAlign w:val="bottom"/>
            <w:tcBorders>
              <w:left w:val="single" w:sz="8" w:color="99BDC1"/>
            </w:tcBorders>
            <w:gridSpan w:val="2"/>
            <w:vMerge w:val="continue"/>
            <w:shd w:val="clear" w:color="auto" w:fill="99BDC1"/>
          </w:tcPr>
          <w:p>
            <w:pPr>
              <w:spacing w:after="0"/>
              <w:rPr>
                <w:sz w:val="5"/>
                <w:szCs w:val="5"/>
                <w:color w:val="auto"/>
              </w:rPr>
            </w:pPr>
          </w:p>
        </w:tc>
        <w:tc>
          <w:tcPr>
            <w:tcW w:w="1600" w:type="dxa"/>
            <w:vAlign w:val="bottom"/>
            <w:gridSpan w:val="3"/>
            <w:vMerge w:val="restart"/>
            <w:shd w:val="clear" w:color="auto" w:fill="CDDEE1"/>
          </w:tcPr>
          <w:p>
            <w:pPr>
              <w:ind w:left="40"/>
              <w:spacing w:after="0"/>
              <w:rPr>
                <w:sz w:val="20"/>
                <w:szCs w:val="20"/>
                <w:color w:val="auto"/>
              </w:rPr>
            </w:pPr>
            <w:r>
              <w:rPr>
                <w:rFonts w:ascii="Times New Roman" w:cs="Times New Roman" w:eastAsia="Times New Roman" w:hAnsi="Times New Roman"/>
                <w:sz w:val="11"/>
                <w:szCs w:val="11"/>
                <w:color w:val="005A64"/>
              </w:rPr>
              <w:t>Adv./met. BC</w:t>
            </w:r>
            <w:r>
              <w:rPr>
                <w:rFonts w:ascii="Times New Roman" w:cs="Times New Roman" w:eastAsia="Times New Roman" w:hAnsi="Times New Roman"/>
                <w:sz w:val="14"/>
                <w:szCs w:val="14"/>
                <w:color w:val="005A64"/>
                <w:vertAlign w:val="superscript"/>
              </w:rPr>
              <w:t>4</w:t>
            </w:r>
          </w:p>
        </w:tc>
        <w:tc>
          <w:tcPr>
            <w:tcW w:w="1580" w:type="dxa"/>
            <w:vAlign w:val="bottom"/>
            <w:tcBorders>
              <w:left w:val="single" w:sz="8" w:color="99BDC1"/>
            </w:tcBorders>
            <w:vMerge w:val="continue"/>
            <w:shd w:val="clear" w:color="auto" w:fill="99BDC1"/>
          </w:tcPr>
          <w:p>
            <w:pPr>
              <w:spacing w:after="0"/>
              <w:rPr>
                <w:sz w:val="5"/>
                <w:szCs w:val="5"/>
                <w:color w:val="auto"/>
              </w:rPr>
            </w:pPr>
          </w:p>
        </w:tc>
        <w:tc>
          <w:tcPr>
            <w:tcW w:w="1600" w:type="dxa"/>
            <w:vAlign w:val="bottom"/>
            <w:gridSpan w:val="3"/>
            <w:vMerge w:val="continue"/>
            <w:shd w:val="clear" w:color="auto" w:fill="99BDC1"/>
          </w:tcPr>
          <w:p>
            <w:pPr>
              <w:spacing w:after="0"/>
              <w:rPr>
                <w:sz w:val="5"/>
                <w:szCs w:val="5"/>
                <w:color w:val="auto"/>
              </w:rPr>
            </w:pPr>
          </w:p>
        </w:tc>
        <w:tc>
          <w:tcPr>
            <w:tcW w:w="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Borders>
              <w:right w:val="single" w:sz="8" w:color="9DCAB9"/>
            </w:tcBorders>
          </w:tcPr>
          <w:p>
            <w:pPr>
              <w:spacing w:after="0"/>
              <w:rPr>
                <w:sz w:val="5"/>
                <w:szCs w:val="5"/>
                <w:color w:val="auto"/>
              </w:rPr>
            </w:pPr>
          </w:p>
        </w:tc>
        <w:tc>
          <w:tcPr>
            <w:tcW w:w="1560" w:type="dxa"/>
            <w:vAlign w:val="bottom"/>
            <w:vMerge w:val="continue"/>
            <w:shd w:val="clear" w:color="auto" w:fill="9DCAB9"/>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1600" w:type="dxa"/>
            <w:vAlign w:val="bottom"/>
            <w:tcBorders>
              <w:right w:val="single" w:sz="8" w:color="99BDC1"/>
            </w:tcBorders>
          </w:tcPr>
          <w:p>
            <w:pPr>
              <w:spacing w:after="0"/>
              <w:rPr>
                <w:sz w:val="11"/>
                <w:szCs w:val="11"/>
                <w:color w:val="auto"/>
              </w:rPr>
            </w:pPr>
          </w:p>
        </w:tc>
        <w:tc>
          <w:tcPr>
            <w:tcW w:w="400" w:type="dxa"/>
            <w:vAlign w:val="bottom"/>
            <w:tcBorders>
              <w:left w:val="single" w:sz="8" w:color="99BDC1"/>
            </w:tcBorders>
            <w:shd w:val="clear" w:color="auto" w:fill="99BDC1"/>
          </w:tcPr>
          <w:p>
            <w:pPr>
              <w:spacing w:after="0"/>
              <w:rPr>
                <w:sz w:val="11"/>
                <w:szCs w:val="11"/>
                <w:color w:val="auto"/>
              </w:rPr>
            </w:pPr>
          </w:p>
        </w:tc>
        <w:tc>
          <w:tcPr>
            <w:tcW w:w="1180" w:type="dxa"/>
            <w:vAlign w:val="bottom"/>
            <w:shd w:val="clear" w:color="auto" w:fill="99BDC1"/>
          </w:tcPr>
          <w:p>
            <w:pPr>
              <w:spacing w:after="0"/>
              <w:rPr>
                <w:sz w:val="11"/>
                <w:szCs w:val="11"/>
                <w:color w:val="auto"/>
              </w:rPr>
            </w:pPr>
          </w:p>
        </w:tc>
        <w:tc>
          <w:tcPr>
            <w:tcW w:w="1600" w:type="dxa"/>
            <w:vAlign w:val="bottom"/>
            <w:gridSpan w:val="3"/>
            <w:vMerge w:val="continue"/>
            <w:shd w:val="clear" w:color="auto" w:fill="CDDEE1"/>
          </w:tcPr>
          <w:p>
            <w:pPr>
              <w:spacing w:after="0"/>
              <w:rPr>
                <w:sz w:val="11"/>
                <w:szCs w:val="11"/>
                <w:color w:val="auto"/>
              </w:rPr>
            </w:pPr>
          </w:p>
        </w:tc>
        <w:tc>
          <w:tcPr>
            <w:tcW w:w="1580" w:type="dxa"/>
            <w:vAlign w:val="bottom"/>
            <w:tcBorders>
              <w:left w:val="single" w:sz="8" w:color="99BDC1"/>
            </w:tcBorders>
            <w:shd w:val="clear" w:color="auto" w:fill="99BDC1"/>
          </w:tcPr>
          <w:p>
            <w:pPr>
              <w:spacing w:after="0"/>
              <w:rPr>
                <w:sz w:val="11"/>
                <w:szCs w:val="11"/>
                <w:color w:val="auto"/>
              </w:rPr>
            </w:pPr>
          </w:p>
        </w:tc>
        <w:tc>
          <w:tcPr>
            <w:tcW w:w="80" w:type="dxa"/>
            <w:vAlign w:val="bottom"/>
            <w:shd w:val="clear" w:color="auto" w:fill="99BDC1"/>
          </w:tcPr>
          <w:p>
            <w:pPr>
              <w:spacing w:after="0"/>
              <w:rPr>
                <w:sz w:val="11"/>
                <w:szCs w:val="11"/>
                <w:color w:val="auto"/>
              </w:rPr>
            </w:pPr>
          </w:p>
        </w:tc>
        <w:tc>
          <w:tcPr>
            <w:tcW w:w="380" w:type="dxa"/>
            <w:vAlign w:val="bottom"/>
            <w:shd w:val="clear" w:color="auto" w:fill="99BDC1"/>
          </w:tcPr>
          <w:p>
            <w:pPr>
              <w:spacing w:after="0"/>
              <w:rPr>
                <w:sz w:val="11"/>
                <w:szCs w:val="11"/>
                <w:color w:val="auto"/>
              </w:rPr>
            </w:pPr>
          </w:p>
        </w:tc>
        <w:tc>
          <w:tcPr>
            <w:tcW w:w="1140" w:type="dxa"/>
            <w:vAlign w:val="bottom"/>
            <w:shd w:val="clear" w:color="auto" w:fill="99BDC1"/>
          </w:tcPr>
          <w:p>
            <w:pPr>
              <w:spacing w:after="0"/>
              <w:rPr>
                <w:sz w:val="11"/>
                <w:szCs w:val="11"/>
                <w:color w:val="auto"/>
              </w:rPr>
            </w:pP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Borders>
              <w:right w:val="single" w:sz="8" w:color="9DCAB9"/>
            </w:tcBorders>
          </w:tcPr>
          <w:p>
            <w:pPr>
              <w:spacing w:after="0"/>
              <w:rPr>
                <w:sz w:val="11"/>
                <w:szCs w:val="11"/>
                <w:color w:val="auto"/>
              </w:rPr>
            </w:pPr>
          </w:p>
        </w:tc>
        <w:tc>
          <w:tcPr>
            <w:tcW w:w="1560" w:type="dxa"/>
            <w:vAlign w:val="bottom"/>
            <w:shd w:val="clear" w:color="auto" w:fill="9DCAB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1600" w:type="dxa"/>
            <w:vAlign w:val="bottom"/>
            <w:tcBorders>
              <w:right w:val="single" w:sz="8" w:color="99BDC1"/>
            </w:tcBorders>
          </w:tcPr>
          <w:p>
            <w:pPr>
              <w:spacing w:after="0"/>
              <w:rPr>
                <w:sz w:val="5"/>
                <w:szCs w:val="5"/>
                <w:color w:val="auto"/>
              </w:rPr>
            </w:pPr>
          </w:p>
        </w:tc>
        <w:tc>
          <w:tcPr>
            <w:tcW w:w="400" w:type="dxa"/>
            <w:vAlign w:val="bottom"/>
            <w:tcBorders>
              <w:left w:val="single" w:sz="8" w:color="99BDC1"/>
            </w:tcBorders>
            <w:shd w:val="clear" w:color="auto" w:fill="99BDC1"/>
          </w:tcPr>
          <w:p>
            <w:pPr>
              <w:spacing w:after="0"/>
              <w:rPr>
                <w:sz w:val="5"/>
                <w:szCs w:val="5"/>
                <w:color w:val="auto"/>
              </w:rPr>
            </w:pPr>
          </w:p>
        </w:tc>
        <w:tc>
          <w:tcPr>
            <w:tcW w:w="1180" w:type="dxa"/>
            <w:vAlign w:val="bottom"/>
            <w:shd w:val="clear" w:color="auto" w:fill="99BDC1"/>
          </w:tcPr>
          <w:p>
            <w:pPr>
              <w:spacing w:after="0"/>
              <w:rPr>
                <w:sz w:val="5"/>
                <w:szCs w:val="5"/>
                <w:color w:val="auto"/>
              </w:rPr>
            </w:pPr>
          </w:p>
        </w:tc>
        <w:tc>
          <w:tcPr>
            <w:tcW w:w="820" w:type="dxa"/>
            <w:vAlign w:val="bottom"/>
            <w:shd w:val="clear" w:color="auto" w:fill="CDDEE1"/>
          </w:tcPr>
          <w:p>
            <w:pPr>
              <w:spacing w:after="0"/>
              <w:rPr>
                <w:sz w:val="5"/>
                <w:szCs w:val="5"/>
                <w:color w:val="auto"/>
              </w:rPr>
            </w:pPr>
          </w:p>
        </w:tc>
        <w:tc>
          <w:tcPr>
            <w:tcW w:w="400" w:type="dxa"/>
            <w:vAlign w:val="bottom"/>
            <w:shd w:val="clear" w:color="auto" w:fill="CDDEE1"/>
          </w:tcPr>
          <w:p>
            <w:pPr>
              <w:spacing w:after="0"/>
              <w:rPr>
                <w:sz w:val="5"/>
                <w:szCs w:val="5"/>
                <w:color w:val="auto"/>
              </w:rPr>
            </w:pPr>
          </w:p>
        </w:tc>
        <w:tc>
          <w:tcPr>
            <w:tcW w:w="380" w:type="dxa"/>
            <w:vAlign w:val="bottom"/>
            <w:shd w:val="clear" w:color="auto" w:fill="CDDEE1"/>
          </w:tcPr>
          <w:p>
            <w:pPr>
              <w:spacing w:after="0"/>
              <w:rPr>
                <w:sz w:val="5"/>
                <w:szCs w:val="5"/>
                <w:color w:val="auto"/>
              </w:rPr>
            </w:pPr>
          </w:p>
        </w:tc>
        <w:tc>
          <w:tcPr>
            <w:tcW w:w="1580" w:type="dxa"/>
            <w:vAlign w:val="bottom"/>
            <w:tcBorders>
              <w:left w:val="single" w:sz="8" w:color="99BDC1"/>
            </w:tcBorders>
            <w:shd w:val="clear" w:color="auto" w:fill="99BDC1"/>
          </w:tcPr>
          <w:p>
            <w:pPr>
              <w:spacing w:after="0"/>
              <w:rPr>
                <w:sz w:val="5"/>
                <w:szCs w:val="5"/>
                <w:color w:val="auto"/>
              </w:rPr>
            </w:pPr>
          </w:p>
        </w:tc>
        <w:tc>
          <w:tcPr>
            <w:tcW w:w="80" w:type="dxa"/>
            <w:vAlign w:val="bottom"/>
            <w:shd w:val="clear" w:color="auto" w:fill="99BDC1"/>
          </w:tcPr>
          <w:p>
            <w:pPr>
              <w:spacing w:after="0"/>
              <w:rPr>
                <w:sz w:val="5"/>
                <w:szCs w:val="5"/>
                <w:color w:val="auto"/>
              </w:rPr>
            </w:pPr>
          </w:p>
        </w:tc>
        <w:tc>
          <w:tcPr>
            <w:tcW w:w="380" w:type="dxa"/>
            <w:vAlign w:val="bottom"/>
            <w:shd w:val="clear" w:color="auto" w:fill="99BDC1"/>
          </w:tcPr>
          <w:p>
            <w:pPr>
              <w:spacing w:after="0"/>
              <w:rPr>
                <w:sz w:val="5"/>
                <w:szCs w:val="5"/>
                <w:color w:val="auto"/>
              </w:rPr>
            </w:pPr>
          </w:p>
        </w:tc>
        <w:tc>
          <w:tcPr>
            <w:tcW w:w="1140" w:type="dxa"/>
            <w:vAlign w:val="bottom"/>
            <w:shd w:val="clear" w:color="auto" w:fill="99BDC1"/>
          </w:tcPr>
          <w:p>
            <w:pPr>
              <w:spacing w:after="0"/>
              <w:rPr>
                <w:sz w:val="5"/>
                <w:szCs w:val="5"/>
                <w:color w:val="auto"/>
              </w:rPr>
            </w:pPr>
          </w:p>
        </w:tc>
        <w:tc>
          <w:tcPr>
            <w:tcW w:w="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Borders>
              <w:right w:val="single" w:sz="8" w:color="9DCAB9"/>
            </w:tcBorders>
          </w:tcPr>
          <w:p>
            <w:pPr>
              <w:spacing w:after="0"/>
              <w:rPr>
                <w:sz w:val="5"/>
                <w:szCs w:val="5"/>
                <w:color w:val="auto"/>
              </w:rPr>
            </w:pPr>
          </w:p>
        </w:tc>
        <w:tc>
          <w:tcPr>
            <w:tcW w:w="1560" w:type="dxa"/>
            <w:vAlign w:val="bottom"/>
            <w:shd w:val="clear" w:color="auto" w:fill="9DCAB9"/>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600" w:type="dxa"/>
            <w:vAlign w:val="bottom"/>
            <w:tcBorders>
              <w:right w:val="single" w:sz="8" w:color="99BDC1"/>
            </w:tcBorders>
          </w:tcPr>
          <w:p>
            <w:pPr>
              <w:spacing w:after="0"/>
              <w:rPr>
                <w:sz w:val="16"/>
                <w:szCs w:val="16"/>
                <w:color w:val="auto"/>
              </w:rPr>
            </w:pPr>
          </w:p>
        </w:tc>
        <w:tc>
          <w:tcPr>
            <w:tcW w:w="400" w:type="dxa"/>
            <w:vAlign w:val="bottom"/>
            <w:tcBorders>
              <w:left w:val="single" w:sz="8" w:color="99BDC1"/>
            </w:tcBorders>
            <w:shd w:val="clear" w:color="auto" w:fill="99BDC1"/>
          </w:tcPr>
          <w:p>
            <w:pPr>
              <w:spacing w:after="0"/>
              <w:rPr>
                <w:sz w:val="16"/>
                <w:szCs w:val="16"/>
                <w:color w:val="auto"/>
              </w:rPr>
            </w:pPr>
          </w:p>
        </w:tc>
        <w:tc>
          <w:tcPr>
            <w:tcW w:w="1180" w:type="dxa"/>
            <w:vAlign w:val="bottom"/>
            <w:shd w:val="clear" w:color="auto" w:fill="99BDC1"/>
          </w:tcPr>
          <w:p>
            <w:pPr>
              <w:spacing w:after="0"/>
              <w:rPr>
                <w:sz w:val="16"/>
                <w:szCs w:val="16"/>
                <w:color w:val="auto"/>
              </w:rPr>
            </w:pPr>
          </w:p>
        </w:tc>
        <w:tc>
          <w:tcPr>
            <w:tcW w:w="820" w:type="dxa"/>
            <w:vAlign w:val="bottom"/>
            <w:shd w:val="clear" w:color="auto" w:fill="9DCAB9"/>
          </w:tcPr>
          <w:p>
            <w:pPr>
              <w:spacing w:after="0"/>
              <w:rPr>
                <w:sz w:val="16"/>
                <w:szCs w:val="16"/>
                <w:color w:val="auto"/>
              </w:rPr>
            </w:pPr>
          </w:p>
        </w:tc>
        <w:tc>
          <w:tcPr>
            <w:tcW w:w="400" w:type="dxa"/>
            <w:vAlign w:val="bottom"/>
            <w:shd w:val="clear" w:color="auto" w:fill="9DCAB9"/>
          </w:tcPr>
          <w:p>
            <w:pPr>
              <w:spacing w:after="0"/>
              <w:rPr>
                <w:sz w:val="16"/>
                <w:szCs w:val="16"/>
                <w:color w:val="auto"/>
              </w:rPr>
            </w:pPr>
          </w:p>
        </w:tc>
        <w:tc>
          <w:tcPr>
            <w:tcW w:w="380" w:type="dxa"/>
            <w:vAlign w:val="bottom"/>
            <w:shd w:val="clear" w:color="auto" w:fill="9DCAB9"/>
          </w:tcPr>
          <w:p>
            <w:pPr>
              <w:spacing w:after="0"/>
              <w:rPr>
                <w:sz w:val="16"/>
                <w:szCs w:val="16"/>
                <w:color w:val="auto"/>
              </w:rPr>
            </w:pPr>
          </w:p>
        </w:tc>
        <w:tc>
          <w:tcPr>
            <w:tcW w:w="1580" w:type="dxa"/>
            <w:vAlign w:val="bottom"/>
            <w:tcBorders>
              <w:left w:val="single" w:sz="8" w:color="99BDC1"/>
            </w:tcBorders>
            <w:shd w:val="clear" w:color="auto" w:fill="99BDC1"/>
          </w:tcPr>
          <w:p>
            <w:pPr>
              <w:spacing w:after="0"/>
              <w:rPr>
                <w:sz w:val="16"/>
                <w:szCs w:val="16"/>
                <w:color w:val="auto"/>
              </w:rPr>
            </w:pPr>
          </w:p>
        </w:tc>
        <w:tc>
          <w:tcPr>
            <w:tcW w:w="1600" w:type="dxa"/>
            <w:vAlign w:val="bottom"/>
            <w:gridSpan w:val="3"/>
            <w:shd w:val="clear" w:color="auto" w:fill="CDDEE1"/>
          </w:tcPr>
          <w:p>
            <w:pPr>
              <w:ind w:left="40"/>
              <w:spacing w:after="0"/>
              <w:rPr>
                <w:sz w:val="20"/>
                <w:szCs w:val="20"/>
                <w:color w:val="auto"/>
              </w:rPr>
            </w:pPr>
            <w:r>
              <w:rPr>
                <w:rFonts w:ascii="Times New Roman" w:cs="Times New Roman" w:eastAsia="Times New Roman" w:hAnsi="Times New Roman"/>
                <w:sz w:val="11"/>
                <w:szCs w:val="11"/>
                <w:color w:val="005A64"/>
              </w:rPr>
              <w:t>Pumitamig</w:t>
            </w:r>
            <w:r>
              <w:rPr>
                <w:rFonts w:ascii="Times New Roman" w:cs="Times New Roman" w:eastAsia="Times New Roman" w:hAnsi="Times New Roman"/>
                <w:sz w:val="14"/>
                <w:szCs w:val="14"/>
                <w:color w:val="005A64"/>
                <w:vertAlign w:val="superscript"/>
              </w:rPr>
              <w:t>3</w:t>
            </w:r>
            <w:r>
              <w:rPr>
                <w:rFonts w:ascii="Times New Roman" w:cs="Times New Roman" w:eastAsia="Times New Roman" w:hAnsi="Times New Roman"/>
                <w:sz w:val="11"/>
                <w:szCs w:val="11"/>
                <w:color w:val="005A64"/>
              </w:rPr>
              <w:t xml:space="preserve"> or Sacituzumab</w:t>
            </w: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Borders>
              <w:right w:val="single" w:sz="8" w:color="9DCAB9"/>
            </w:tcBorders>
          </w:tcPr>
          <w:p>
            <w:pPr>
              <w:spacing w:after="0"/>
              <w:rPr>
                <w:sz w:val="16"/>
                <w:szCs w:val="16"/>
                <w:color w:val="auto"/>
              </w:rPr>
            </w:pPr>
          </w:p>
        </w:tc>
        <w:tc>
          <w:tcPr>
            <w:tcW w:w="1560" w:type="dxa"/>
            <w:vAlign w:val="bottom"/>
            <w:shd w:val="clear" w:color="auto" w:fill="9DCAB9"/>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00" w:type="dxa"/>
            <w:vAlign w:val="bottom"/>
            <w:tcBorders>
              <w:right w:val="single" w:sz="8" w:color="99BDC1"/>
            </w:tcBorders>
          </w:tcPr>
          <w:p>
            <w:pPr>
              <w:spacing w:after="0"/>
              <w:rPr>
                <w:sz w:val="12"/>
                <w:szCs w:val="12"/>
                <w:color w:val="auto"/>
              </w:rPr>
            </w:pPr>
          </w:p>
        </w:tc>
        <w:tc>
          <w:tcPr>
            <w:tcW w:w="1580" w:type="dxa"/>
            <w:vAlign w:val="bottom"/>
            <w:tcBorders>
              <w:left w:val="single" w:sz="8" w:color="99BDC1"/>
            </w:tcBorders>
            <w:gridSpan w:val="2"/>
            <w:shd w:val="clear" w:color="auto" w:fill="99BDC1"/>
          </w:tcPr>
          <w:p>
            <w:pPr>
              <w:ind w:left="40"/>
              <w:spacing w:after="0" w:line="149" w:lineRule="exact"/>
              <w:rPr>
                <w:sz w:val="20"/>
                <w:szCs w:val="20"/>
                <w:color w:val="auto"/>
              </w:rPr>
            </w:pPr>
            <w:r>
              <w:rPr>
                <w:rFonts w:ascii="Times New Roman" w:cs="Times New Roman" w:eastAsia="Times New Roman" w:hAnsi="Times New Roman"/>
                <w:sz w:val="11"/>
                <w:szCs w:val="11"/>
                <w:color w:val="005A64"/>
              </w:rPr>
              <w:t>Pumitamig</w:t>
            </w:r>
            <w:r>
              <w:rPr>
                <w:rFonts w:ascii="Times New Roman" w:cs="Times New Roman" w:eastAsia="Times New Roman" w:hAnsi="Times New Roman"/>
                <w:sz w:val="14"/>
                <w:szCs w:val="14"/>
                <w:color w:val="005A64"/>
                <w:vertAlign w:val="superscript"/>
              </w:rPr>
              <w:t>3</w:t>
            </w:r>
          </w:p>
        </w:tc>
        <w:tc>
          <w:tcPr>
            <w:tcW w:w="1600" w:type="dxa"/>
            <w:vAlign w:val="bottom"/>
            <w:gridSpan w:val="3"/>
            <w:shd w:val="clear" w:color="auto" w:fill="9DCAB9"/>
          </w:tcPr>
          <w:p>
            <w:pPr>
              <w:ind w:left="40"/>
              <w:spacing w:after="0" w:line="149" w:lineRule="exact"/>
              <w:rPr>
                <w:sz w:val="20"/>
                <w:szCs w:val="20"/>
                <w:color w:val="auto"/>
              </w:rPr>
            </w:pPr>
            <w:r>
              <w:rPr>
                <w:rFonts w:ascii="Times New Roman" w:cs="Times New Roman" w:eastAsia="Times New Roman" w:hAnsi="Times New Roman"/>
                <w:sz w:val="11"/>
                <w:szCs w:val="11"/>
                <w:color w:val="005A64"/>
              </w:rPr>
              <w:t>Trastuzumab pamirtecan</w:t>
            </w:r>
            <w:r>
              <w:rPr>
                <w:rFonts w:ascii="Times New Roman" w:cs="Times New Roman" w:eastAsia="Times New Roman" w:hAnsi="Times New Roman"/>
                <w:sz w:val="14"/>
                <w:szCs w:val="14"/>
                <w:color w:val="005A64"/>
                <w:vertAlign w:val="superscript"/>
              </w:rPr>
              <w:t>5</w:t>
            </w:r>
          </w:p>
        </w:tc>
        <w:tc>
          <w:tcPr>
            <w:tcW w:w="1580" w:type="dxa"/>
            <w:vAlign w:val="bottom"/>
            <w:tcBorders>
              <w:left w:val="single" w:sz="8" w:color="99BDC1"/>
            </w:tcBorders>
            <w:shd w:val="clear" w:color="auto" w:fill="99BDC1"/>
          </w:tcPr>
          <w:p>
            <w:pPr>
              <w:ind w:left="40"/>
              <w:spacing w:after="0" w:line="149" w:lineRule="exact"/>
              <w:rPr>
                <w:sz w:val="20"/>
                <w:szCs w:val="20"/>
                <w:color w:val="auto"/>
              </w:rPr>
            </w:pPr>
            <w:r>
              <w:rPr>
                <w:rFonts w:ascii="Times New Roman" w:cs="Times New Roman" w:eastAsia="Times New Roman" w:hAnsi="Times New Roman"/>
                <w:sz w:val="11"/>
                <w:szCs w:val="11"/>
                <w:color w:val="005A64"/>
              </w:rPr>
              <w:t>Pumitamig</w:t>
            </w:r>
            <w:r>
              <w:rPr>
                <w:rFonts w:ascii="Times New Roman" w:cs="Times New Roman" w:eastAsia="Times New Roman" w:hAnsi="Times New Roman"/>
                <w:sz w:val="14"/>
                <w:szCs w:val="14"/>
                <w:color w:val="005A64"/>
                <w:vertAlign w:val="superscript"/>
              </w:rPr>
              <w:t>3</w:t>
            </w:r>
          </w:p>
        </w:tc>
        <w:tc>
          <w:tcPr>
            <w:tcW w:w="1600" w:type="dxa"/>
            <w:vAlign w:val="bottom"/>
            <w:gridSpan w:val="3"/>
            <w:shd w:val="clear" w:color="auto" w:fill="CDDEE1"/>
          </w:tcPr>
          <w:p>
            <w:pPr>
              <w:ind w:left="40"/>
              <w:spacing w:after="0" w:line="149" w:lineRule="exact"/>
              <w:rPr>
                <w:sz w:val="20"/>
                <w:szCs w:val="20"/>
                <w:color w:val="auto"/>
              </w:rPr>
            </w:pPr>
            <w:r>
              <w:rPr>
                <w:rFonts w:ascii="Times New Roman" w:cs="Times New Roman" w:eastAsia="Times New Roman" w:hAnsi="Times New Roman"/>
                <w:sz w:val="11"/>
                <w:szCs w:val="11"/>
                <w:color w:val="005A64"/>
              </w:rPr>
              <w:t>drozuntecan</w:t>
            </w:r>
            <w:r>
              <w:rPr>
                <w:rFonts w:ascii="Times New Roman" w:cs="Times New Roman" w:eastAsia="Times New Roman" w:hAnsi="Times New Roman"/>
                <w:sz w:val="14"/>
                <w:szCs w:val="14"/>
                <w:color w:val="005A64"/>
                <w:vertAlign w:val="superscript"/>
              </w:rPr>
              <w:t>5</w:t>
            </w:r>
            <w:r>
              <w:rPr>
                <w:rFonts w:ascii="Times New Roman" w:cs="Times New Roman" w:eastAsia="Times New Roman" w:hAnsi="Times New Roman"/>
                <w:sz w:val="11"/>
                <w:szCs w:val="11"/>
                <w:color w:val="005A64"/>
              </w:rPr>
              <w:t xml:space="preserve"> + BNT324/DB-</w:t>
            </w: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Borders>
              <w:right w:val="single" w:sz="8" w:color="9DCAB9"/>
            </w:tcBorders>
          </w:tcPr>
          <w:p>
            <w:pPr>
              <w:spacing w:after="0"/>
              <w:rPr>
                <w:sz w:val="12"/>
                <w:szCs w:val="12"/>
                <w:color w:val="auto"/>
              </w:rPr>
            </w:pPr>
          </w:p>
        </w:tc>
        <w:tc>
          <w:tcPr>
            <w:tcW w:w="1560" w:type="dxa"/>
            <w:vAlign w:val="bottom"/>
            <w:shd w:val="clear" w:color="auto" w:fill="9DCAB9"/>
          </w:tcPr>
          <w:p>
            <w:pPr>
              <w:ind w:left="20"/>
              <w:spacing w:after="0" w:line="149" w:lineRule="exact"/>
              <w:rPr>
                <w:sz w:val="20"/>
                <w:szCs w:val="20"/>
                <w:color w:val="auto"/>
              </w:rPr>
            </w:pPr>
            <w:r>
              <w:rPr>
                <w:rFonts w:ascii="Times New Roman" w:cs="Times New Roman" w:eastAsia="Times New Roman" w:hAnsi="Times New Roman"/>
                <w:sz w:val="11"/>
                <w:szCs w:val="11"/>
                <w:color w:val="005A64"/>
              </w:rPr>
              <w:t>Trastuzumab pamirtecan</w:t>
            </w:r>
            <w:r>
              <w:rPr>
                <w:rFonts w:ascii="Times New Roman" w:cs="Times New Roman" w:eastAsia="Times New Roman" w:hAnsi="Times New Roman"/>
                <w:sz w:val="14"/>
                <w:szCs w:val="14"/>
                <w:color w:val="005A64"/>
                <w:vertAlign w:val="superscript"/>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600" w:type="dxa"/>
            <w:vAlign w:val="bottom"/>
            <w:tcBorders>
              <w:right w:val="single" w:sz="8" w:color="99BDC1"/>
            </w:tcBorders>
          </w:tcPr>
          <w:p>
            <w:pPr>
              <w:spacing w:after="0"/>
              <w:rPr>
                <w:sz w:val="15"/>
                <w:szCs w:val="15"/>
                <w:color w:val="auto"/>
              </w:rPr>
            </w:pPr>
          </w:p>
        </w:tc>
        <w:tc>
          <w:tcPr>
            <w:tcW w:w="1580" w:type="dxa"/>
            <w:vAlign w:val="bottom"/>
            <w:tcBorders>
              <w:left w:val="single" w:sz="8" w:color="99BDC1"/>
            </w:tcBorders>
            <w:gridSpan w:val="2"/>
            <w:vMerge w:val="restart"/>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Multiple solid tumors</w:t>
            </w:r>
            <w:r>
              <w:rPr>
                <w:rFonts w:ascii="Times New Roman" w:cs="Times New Roman" w:eastAsia="Times New Roman" w:hAnsi="Times New Roman"/>
                <w:sz w:val="7"/>
                <w:szCs w:val="7"/>
                <w:color w:val="005A64"/>
              </w:rPr>
              <w:t>11</w:t>
            </w:r>
          </w:p>
        </w:tc>
        <w:tc>
          <w:tcPr>
            <w:tcW w:w="1600" w:type="dxa"/>
            <w:vAlign w:val="bottom"/>
            <w:gridSpan w:val="3"/>
            <w:vMerge w:val="restart"/>
            <w:shd w:val="clear" w:color="auto" w:fill="9DCAB9"/>
          </w:tcPr>
          <w:p>
            <w:pPr>
              <w:ind w:left="40"/>
              <w:spacing w:after="0"/>
              <w:rPr>
                <w:sz w:val="20"/>
                <w:szCs w:val="20"/>
                <w:color w:val="auto"/>
              </w:rPr>
            </w:pPr>
            <w:r>
              <w:rPr>
                <w:rFonts w:ascii="Times New Roman" w:cs="Times New Roman" w:eastAsia="Times New Roman" w:hAnsi="Times New Roman"/>
                <w:sz w:val="11"/>
                <w:szCs w:val="11"/>
                <w:color w:val="005A64"/>
              </w:rPr>
              <w:t>Multiple solid tumors</w:t>
            </w:r>
          </w:p>
        </w:tc>
        <w:tc>
          <w:tcPr>
            <w:tcW w:w="1580" w:type="dxa"/>
            <w:vAlign w:val="bottom"/>
            <w:tcBorders>
              <w:left w:val="single" w:sz="8" w:color="99BDC1"/>
            </w:tcBorders>
            <w:vMerge w:val="restart"/>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1L/2L+ ES-SCLC</w:t>
            </w:r>
          </w:p>
        </w:tc>
        <w:tc>
          <w:tcPr>
            <w:tcW w:w="460" w:type="dxa"/>
            <w:vAlign w:val="bottom"/>
            <w:gridSpan w:val="2"/>
            <w:shd w:val="clear" w:color="auto" w:fill="CDDEE1"/>
          </w:tcPr>
          <w:p>
            <w:pPr>
              <w:ind w:left="40"/>
              <w:spacing w:after="0"/>
              <w:rPr>
                <w:sz w:val="20"/>
                <w:szCs w:val="20"/>
                <w:color w:val="auto"/>
              </w:rPr>
            </w:pPr>
            <w:r>
              <w:rPr>
                <w:rFonts w:ascii="Times New Roman" w:cs="Times New Roman" w:eastAsia="Times New Roman" w:hAnsi="Times New Roman"/>
                <w:sz w:val="11"/>
                <w:szCs w:val="11"/>
                <w:color w:val="005A64"/>
              </w:rPr>
              <w:t>1311</w:t>
            </w:r>
            <w:r>
              <w:rPr>
                <w:rFonts w:ascii="Times New Roman" w:cs="Times New Roman" w:eastAsia="Times New Roman" w:hAnsi="Times New Roman"/>
                <w:sz w:val="14"/>
                <w:szCs w:val="14"/>
                <w:color w:val="005A64"/>
                <w:vertAlign w:val="superscript"/>
              </w:rPr>
              <w:t>5</w:t>
            </w:r>
          </w:p>
        </w:tc>
        <w:tc>
          <w:tcPr>
            <w:tcW w:w="1140" w:type="dxa"/>
            <w:vAlign w:val="bottom"/>
            <w:shd w:val="clear" w:color="auto" w:fill="CDDEE1"/>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Borders>
              <w:right w:val="single" w:sz="8" w:color="9DCAB9"/>
            </w:tcBorders>
          </w:tcPr>
          <w:p>
            <w:pPr>
              <w:spacing w:after="0"/>
              <w:rPr>
                <w:sz w:val="15"/>
                <w:szCs w:val="15"/>
                <w:color w:val="auto"/>
              </w:rPr>
            </w:pPr>
          </w:p>
        </w:tc>
        <w:tc>
          <w:tcPr>
            <w:tcW w:w="1560" w:type="dxa"/>
            <w:vAlign w:val="bottom"/>
            <w:vMerge w:val="restart"/>
            <w:shd w:val="clear" w:color="auto" w:fill="9DCAB9"/>
          </w:tcPr>
          <w:p>
            <w:pPr>
              <w:ind w:left="20"/>
              <w:spacing w:after="0"/>
              <w:rPr>
                <w:sz w:val="20"/>
                <w:szCs w:val="20"/>
                <w:color w:val="auto"/>
              </w:rPr>
            </w:pPr>
            <w:r>
              <w:rPr>
                <w:rFonts w:ascii="Times New Roman" w:cs="Times New Roman" w:eastAsia="Times New Roman" w:hAnsi="Times New Roman"/>
                <w:sz w:val="11"/>
                <w:szCs w:val="11"/>
                <w:color w:val="005A64"/>
              </w:rPr>
              <w:t>2L EC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600" w:type="dxa"/>
            <w:vAlign w:val="bottom"/>
            <w:tcBorders>
              <w:right w:val="single" w:sz="8" w:color="99BDC1"/>
            </w:tcBorders>
          </w:tcPr>
          <w:p>
            <w:pPr>
              <w:spacing w:after="0"/>
              <w:rPr>
                <w:sz w:val="2"/>
                <w:szCs w:val="2"/>
                <w:color w:val="auto"/>
              </w:rPr>
            </w:pPr>
          </w:p>
        </w:tc>
        <w:tc>
          <w:tcPr>
            <w:tcW w:w="1580" w:type="dxa"/>
            <w:vAlign w:val="bottom"/>
            <w:tcBorders>
              <w:left w:val="single" w:sz="8" w:color="99BDC1"/>
            </w:tcBorders>
            <w:gridSpan w:val="2"/>
            <w:vMerge w:val="continue"/>
            <w:shd w:val="clear" w:color="auto" w:fill="99BDC1"/>
          </w:tcPr>
          <w:p>
            <w:pPr>
              <w:spacing w:after="0"/>
              <w:rPr>
                <w:sz w:val="2"/>
                <w:szCs w:val="2"/>
                <w:color w:val="auto"/>
              </w:rPr>
            </w:pPr>
          </w:p>
        </w:tc>
        <w:tc>
          <w:tcPr>
            <w:tcW w:w="1600" w:type="dxa"/>
            <w:vAlign w:val="bottom"/>
            <w:gridSpan w:val="3"/>
            <w:vMerge w:val="continue"/>
            <w:shd w:val="clear" w:color="auto" w:fill="9DCAB9"/>
          </w:tcPr>
          <w:p>
            <w:pPr>
              <w:spacing w:after="0"/>
              <w:rPr>
                <w:sz w:val="2"/>
                <w:szCs w:val="2"/>
                <w:color w:val="auto"/>
              </w:rPr>
            </w:pPr>
          </w:p>
        </w:tc>
        <w:tc>
          <w:tcPr>
            <w:tcW w:w="1580" w:type="dxa"/>
            <w:vAlign w:val="bottom"/>
            <w:tcBorders>
              <w:left w:val="single" w:sz="8" w:color="99BDC1"/>
            </w:tcBorders>
            <w:vMerge w:val="continue"/>
            <w:shd w:val="clear" w:color="auto" w:fill="99BDC1"/>
          </w:tcPr>
          <w:p>
            <w:pPr>
              <w:spacing w:after="0"/>
              <w:rPr>
                <w:sz w:val="2"/>
                <w:szCs w:val="2"/>
                <w:color w:val="auto"/>
              </w:rPr>
            </w:pPr>
          </w:p>
        </w:tc>
        <w:tc>
          <w:tcPr>
            <w:tcW w:w="80" w:type="dxa"/>
            <w:vAlign w:val="bottom"/>
            <w:shd w:val="clear" w:color="auto" w:fill="CDDEE1"/>
          </w:tcPr>
          <w:p>
            <w:pPr>
              <w:spacing w:after="0"/>
              <w:rPr>
                <w:sz w:val="2"/>
                <w:szCs w:val="2"/>
                <w:color w:val="auto"/>
              </w:rPr>
            </w:pPr>
          </w:p>
        </w:tc>
        <w:tc>
          <w:tcPr>
            <w:tcW w:w="380" w:type="dxa"/>
            <w:vAlign w:val="bottom"/>
            <w:shd w:val="clear" w:color="auto" w:fill="CDDEE1"/>
          </w:tcPr>
          <w:p>
            <w:pPr>
              <w:spacing w:after="0"/>
              <w:rPr>
                <w:sz w:val="2"/>
                <w:szCs w:val="2"/>
                <w:color w:val="auto"/>
              </w:rPr>
            </w:pPr>
          </w:p>
        </w:tc>
        <w:tc>
          <w:tcPr>
            <w:tcW w:w="1140" w:type="dxa"/>
            <w:vAlign w:val="bottom"/>
            <w:shd w:val="clear" w:color="auto" w:fill="CDDEE1"/>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Borders>
              <w:right w:val="single" w:sz="8" w:color="9DCAB9"/>
            </w:tcBorders>
          </w:tcPr>
          <w:p>
            <w:pPr>
              <w:spacing w:after="0"/>
              <w:rPr>
                <w:sz w:val="2"/>
                <w:szCs w:val="2"/>
                <w:color w:val="auto"/>
              </w:rPr>
            </w:pPr>
          </w:p>
        </w:tc>
        <w:tc>
          <w:tcPr>
            <w:tcW w:w="1560" w:type="dxa"/>
            <w:vAlign w:val="bottom"/>
            <w:vMerge w:val="continue"/>
            <w:shd w:val="clear" w:color="auto" w:fill="9DCAB9"/>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00" w:type="dxa"/>
            <w:vAlign w:val="bottom"/>
            <w:tcBorders>
              <w:right w:val="single" w:sz="8" w:color="99BDC1"/>
            </w:tcBorders>
          </w:tcPr>
          <w:p>
            <w:pPr>
              <w:spacing w:after="0"/>
              <w:rPr>
                <w:sz w:val="17"/>
                <w:szCs w:val="17"/>
                <w:color w:val="auto"/>
              </w:rPr>
            </w:pPr>
          </w:p>
        </w:tc>
        <w:tc>
          <w:tcPr>
            <w:tcW w:w="400" w:type="dxa"/>
            <w:vAlign w:val="bottom"/>
            <w:tcBorders>
              <w:left w:val="single" w:sz="8" w:color="99BDC1"/>
            </w:tcBorders>
            <w:shd w:val="clear" w:color="auto" w:fill="99BDC1"/>
          </w:tcPr>
          <w:p>
            <w:pPr>
              <w:spacing w:after="0"/>
              <w:rPr>
                <w:sz w:val="17"/>
                <w:szCs w:val="17"/>
                <w:color w:val="auto"/>
              </w:rPr>
            </w:pPr>
          </w:p>
        </w:tc>
        <w:tc>
          <w:tcPr>
            <w:tcW w:w="1180" w:type="dxa"/>
            <w:vAlign w:val="bottom"/>
            <w:shd w:val="clear" w:color="auto" w:fill="99BDC1"/>
          </w:tcPr>
          <w:p>
            <w:pPr>
              <w:spacing w:after="0"/>
              <w:rPr>
                <w:sz w:val="17"/>
                <w:szCs w:val="17"/>
                <w:color w:val="auto"/>
              </w:rPr>
            </w:pPr>
          </w:p>
        </w:tc>
        <w:tc>
          <w:tcPr>
            <w:tcW w:w="820" w:type="dxa"/>
            <w:vAlign w:val="bottom"/>
            <w:shd w:val="clear" w:color="auto" w:fill="9DCAB9"/>
          </w:tcPr>
          <w:p>
            <w:pPr>
              <w:spacing w:after="0"/>
              <w:rPr>
                <w:sz w:val="17"/>
                <w:szCs w:val="17"/>
                <w:color w:val="auto"/>
              </w:rPr>
            </w:pPr>
          </w:p>
        </w:tc>
        <w:tc>
          <w:tcPr>
            <w:tcW w:w="400" w:type="dxa"/>
            <w:vAlign w:val="bottom"/>
            <w:shd w:val="clear" w:color="auto" w:fill="9DCAB9"/>
          </w:tcPr>
          <w:p>
            <w:pPr>
              <w:spacing w:after="0"/>
              <w:rPr>
                <w:sz w:val="17"/>
                <w:szCs w:val="17"/>
                <w:color w:val="auto"/>
              </w:rPr>
            </w:pPr>
          </w:p>
        </w:tc>
        <w:tc>
          <w:tcPr>
            <w:tcW w:w="380" w:type="dxa"/>
            <w:vAlign w:val="bottom"/>
            <w:shd w:val="clear" w:color="auto" w:fill="9DCAB9"/>
          </w:tcPr>
          <w:p>
            <w:pPr>
              <w:spacing w:after="0"/>
              <w:rPr>
                <w:sz w:val="17"/>
                <w:szCs w:val="17"/>
                <w:color w:val="auto"/>
              </w:rPr>
            </w:pPr>
          </w:p>
        </w:tc>
        <w:tc>
          <w:tcPr>
            <w:tcW w:w="1580" w:type="dxa"/>
            <w:vAlign w:val="bottom"/>
            <w:tcBorders>
              <w:left w:val="single" w:sz="8" w:color="99BDC1"/>
            </w:tcBorders>
            <w:shd w:val="clear" w:color="auto" w:fill="99BDC1"/>
          </w:tcPr>
          <w:p>
            <w:pPr>
              <w:spacing w:after="0"/>
              <w:rPr>
                <w:sz w:val="17"/>
                <w:szCs w:val="17"/>
                <w:color w:val="auto"/>
              </w:rPr>
            </w:pPr>
          </w:p>
        </w:tc>
        <w:tc>
          <w:tcPr>
            <w:tcW w:w="1600" w:type="dxa"/>
            <w:vAlign w:val="bottom"/>
            <w:gridSpan w:val="3"/>
            <w:shd w:val="clear" w:color="auto" w:fill="CDDEE1"/>
          </w:tcPr>
          <w:p>
            <w:pPr>
              <w:ind w:left="40"/>
              <w:spacing w:after="0"/>
              <w:rPr>
                <w:sz w:val="20"/>
                <w:szCs w:val="20"/>
                <w:color w:val="auto"/>
              </w:rPr>
            </w:pPr>
            <w:r>
              <w:rPr>
                <w:rFonts w:ascii="Times New Roman" w:cs="Times New Roman" w:eastAsia="Times New Roman" w:hAnsi="Times New Roman"/>
                <w:sz w:val="11"/>
                <w:szCs w:val="11"/>
                <w:color w:val="005A64"/>
              </w:rPr>
              <w:t>Multiple solid tumors</w:t>
            </w:r>
            <w:r>
              <w:rPr>
                <w:rFonts w:ascii="Times New Roman" w:cs="Times New Roman" w:eastAsia="Times New Roman" w:hAnsi="Times New Roman"/>
                <w:sz w:val="14"/>
                <w:szCs w:val="14"/>
                <w:color w:val="005A64"/>
                <w:vertAlign w:val="superscript"/>
              </w:rPr>
              <w:t>4</w:t>
            </w: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Borders>
              <w:right w:val="single" w:sz="8" w:color="9DCAB9"/>
            </w:tcBorders>
          </w:tcPr>
          <w:p>
            <w:pPr>
              <w:spacing w:after="0"/>
              <w:rPr>
                <w:sz w:val="17"/>
                <w:szCs w:val="17"/>
                <w:color w:val="auto"/>
              </w:rPr>
            </w:pPr>
          </w:p>
        </w:tc>
        <w:tc>
          <w:tcPr>
            <w:tcW w:w="1560" w:type="dxa"/>
            <w:vAlign w:val="bottom"/>
            <w:shd w:val="clear" w:color="auto" w:fill="9DCAB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1600" w:type="dxa"/>
            <w:vAlign w:val="bottom"/>
            <w:tcBorders>
              <w:right w:val="single" w:sz="8" w:color="99BDC1"/>
            </w:tcBorders>
          </w:tcPr>
          <w:p>
            <w:pPr>
              <w:spacing w:after="0"/>
              <w:rPr>
                <w:sz w:val="5"/>
                <w:szCs w:val="5"/>
                <w:color w:val="auto"/>
              </w:rPr>
            </w:pPr>
          </w:p>
        </w:tc>
        <w:tc>
          <w:tcPr>
            <w:tcW w:w="1580" w:type="dxa"/>
            <w:vAlign w:val="bottom"/>
            <w:tcBorders>
              <w:left w:val="single" w:sz="8" w:color="99BDC1"/>
            </w:tcBorders>
            <w:gridSpan w:val="2"/>
            <w:vMerge w:val="restart"/>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Pumitamig</w:t>
            </w:r>
            <w:r>
              <w:rPr>
                <w:rFonts w:ascii="Times New Roman" w:cs="Times New Roman" w:eastAsia="Times New Roman" w:hAnsi="Times New Roman"/>
                <w:sz w:val="14"/>
                <w:szCs w:val="14"/>
                <w:color w:val="005A64"/>
                <w:vertAlign w:val="superscript"/>
              </w:rPr>
              <w:t>3</w:t>
            </w:r>
          </w:p>
        </w:tc>
        <w:tc>
          <w:tcPr>
            <w:tcW w:w="820" w:type="dxa"/>
            <w:vAlign w:val="bottom"/>
            <w:shd w:val="clear" w:color="auto" w:fill="9DCAB9"/>
          </w:tcPr>
          <w:p>
            <w:pPr>
              <w:spacing w:after="0"/>
              <w:rPr>
                <w:sz w:val="5"/>
                <w:szCs w:val="5"/>
                <w:color w:val="auto"/>
              </w:rPr>
            </w:pPr>
          </w:p>
        </w:tc>
        <w:tc>
          <w:tcPr>
            <w:tcW w:w="400" w:type="dxa"/>
            <w:vAlign w:val="bottom"/>
            <w:shd w:val="clear" w:color="auto" w:fill="9DCAB9"/>
          </w:tcPr>
          <w:p>
            <w:pPr>
              <w:spacing w:after="0"/>
              <w:rPr>
                <w:sz w:val="5"/>
                <w:szCs w:val="5"/>
                <w:color w:val="auto"/>
              </w:rPr>
            </w:pPr>
          </w:p>
        </w:tc>
        <w:tc>
          <w:tcPr>
            <w:tcW w:w="380" w:type="dxa"/>
            <w:vAlign w:val="bottom"/>
            <w:shd w:val="clear" w:color="auto" w:fill="9DCAB9"/>
          </w:tcPr>
          <w:p>
            <w:pPr>
              <w:spacing w:after="0"/>
              <w:rPr>
                <w:sz w:val="5"/>
                <w:szCs w:val="5"/>
                <w:color w:val="auto"/>
              </w:rPr>
            </w:pPr>
          </w:p>
        </w:tc>
        <w:tc>
          <w:tcPr>
            <w:tcW w:w="1580" w:type="dxa"/>
            <w:vAlign w:val="bottom"/>
            <w:tcBorders>
              <w:left w:val="single" w:sz="8" w:color="99BDC1"/>
            </w:tcBorders>
            <w:vMerge w:val="restart"/>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Pumitamig</w:t>
            </w:r>
            <w:r>
              <w:rPr>
                <w:rFonts w:ascii="Times New Roman" w:cs="Times New Roman" w:eastAsia="Times New Roman" w:hAnsi="Times New Roman"/>
                <w:sz w:val="14"/>
                <w:szCs w:val="14"/>
                <w:color w:val="005A64"/>
                <w:vertAlign w:val="superscript"/>
              </w:rPr>
              <w:t>3</w:t>
            </w:r>
          </w:p>
        </w:tc>
        <w:tc>
          <w:tcPr>
            <w:tcW w:w="80" w:type="dxa"/>
            <w:vAlign w:val="bottom"/>
            <w:shd w:val="clear" w:color="auto" w:fill="CDDEE1"/>
          </w:tcPr>
          <w:p>
            <w:pPr>
              <w:spacing w:after="0"/>
              <w:rPr>
                <w:sz w:val="5"/>
                <w:szCs w:val="5"/>
                <w:color w:val="auto"/>
              </w:rPr>
            </w:pPr>
          </w:p>
        </w:tc>
        <w:tc>
          <w:tcPr>
            <w:tcW w:w="380" w:type="dxa"/>
            <w:vAlign w:val="bottom"/>
            <w:shd w:val="clear" w:color="auto" w:fill="CDDEE1"/>
          </w:tcPr>
          <w:p>
            <w:pPr>
              <w:spacing w:after="0"/>
              <w:rPr>
                <w:sz w:val="5"/>
                <w:szCs w:val="5"/>
                <w:color w:val="auto"/>
              </w:rPr>
            </w:pPr>
          </w:p>
        </w:tc>
        <w:tc>
          <w:tcPr>
            <w:tcW w:w="1140" w:type="dxa"/>
            <w:vAlign w:val="bottom"/>
            <w:shd w:val="clear" w:color="auto" w:fill="CDDEE1"/>
          </w:tcPr>
          <w:p>
            <w:pPr>
              <w:spacing w:after="0"/>
              <w:rPr>
                <w:sz w:val="5"/>
                <w:szCs w:val="5"/>
                <w:color w:val="auto"/>
              </w:rPr>
            </w:pPr>
          </w:p>
        </w:tc>
        <w:tc>
          <w:tcPr>
            <w:tcW w:w="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Borders>
              <w:right w:val="single" w:sz="8" w:color="9DCAB9"/>
            </w:tcBorders>
          </w:tcPr>
          <w:p>
            <w:pPr>
              <w:spacing w:after="0"/>
              <w:rPr>
                <w:sz w:val="5"/>
                <w:szCs w:val="5"/>
                <w:color w:val="auto"/>
              </w:rPr>
            </w:pPr>
          </w:p>
        </w:tc>
        <w:tc>
          <w:tcPr>
            <w:tcW w:w="1560" w:type="dxa"/>
            <w:vAlign w:val="bottom"/>
            <w:shd w:val="clear" w:color="auto" w:fill="9DCAB9"/>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600" w:type="dxa"/>
            <w:vAlign w:val="bottom"/>
            <w:tcBorders>
              <w:right w:val="single" w:sz="8" w:color="99BDC1"/>
            </w:tcBorders>
          </w:tcPr>
          <w:p>
            <w:pPr>
              <w:spacing w:after="0"/>
              <w:rPr>
                <w:sz w:val="19"/>
                <w:szCs w:val="19"/>
                <w:color w:val="auto"/>
              </w:rPr>
            </w:pPr>
          </w:p>
        </w:tc>
        <w:tc>
          <w:tcPr>
            <w:tcW w:w="1580" w:type="dxa"/>
            <w:vAlign w:val="bottom"/>
            <w:tcBorders>
              <w:left w:val="single" w:sz="8" w:color="99BDC1"/>
            </w:tcBorders>
            <w:gridSpan w:val="2"/>
            <w:vMerge w:val="continue"/>
            <w:shd w:val="clear" w:color="auto" w:fill="99BDC1"/>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Borders>
              <w:left w:val="single" w:sz="8" w:color="99BDC1"/>
            </w:tcBorders>
            <w:vMerge w:val="continue"/>
            <w:shd w:val="clear" w:color="auto" w:fill="99BDC1"/>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600" w:type="dxa"/>
            <w:vAlign w:val="bottom"/>
            <w:tcBorders>
              <w:right w:val="single" w:sz="8" w:color="99BDC1"/>
            </w:tcBorders>
          </w:tcPr>
          <w:p>
            <w:pPr>
              <w:spacing w:after="0"/>
              <w:rPr>
                <w:sz w:val="15"/>
                <w:szCs w:val="15"/>
                <w:color w:val="auto"/>
              </w:rPr>
            </w:pPr>
          </w:p>
        </w:tc>
        <w:tc>
          <w:tcPr>
            <w:tcW w:w="1580" w:type="dxa"/>
            <w:vAlign w:val="bottom"/>
            <w:tcBorders>
              <w:left w:val="single" w:sz="8" w:color="99BDC1"/>
            </w:tcBorders>
            <w:gridSpan w:val="2"/>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1L adv./met. TNBC</w:t>
            </w:r>
            <w:r>
              <w:rPr>
                <w:rFonts w:ascii="Times New Roman" w:cs="Times New Roman" w:eastAsia="Times New Roman" w:hAnsi="Times New Roman"/>
                <w:sz w:val="7"/>
                <w:szCs w:val="7"/>
                <w:color w:val="005A64"/>
              </w:rPr>
              <w:t>11</w:t>
            </w: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80" w:type="dxa"/>
            <w:vAlign w:val="bottom"/>
            <w:tcBorders>
              <w:left w:val="single" w:sz="8" w:color="99BDC1"/>
            </w:tcBorders>
            <w:shd w:val="clear" w:color="auto" w:fill="99BDC1"/>
          </w:tcPr>
          <w:p>
            <w:pPr>
              <w:ind w:left="40"/>
              <w:spacing w:after="0"/>
              <w:rPr>
                <w:sz w:val="20"/>
                <w:szCs w:val="20"/>
                <w:color w:val="auto"/>
              </w:rPr>
            </w:pPr>
            <w:r>
              <w:rPr>
                <w:rFonts w:ascii="Times New Roman" w:cs="Times New Roman" w:eastAsia="Times New Roman" w:hAnsi="Times New Roman"/>
                <w:sz w:val="11"/>
                <w:szCs w:val="11"/>
                <w:color w:val="005A64"/>
              </w:rPr>
              <w:t>2L ES-SCLC</w:t>
            </w:r>
            <w:r>
              <w:rPr>
                <w:rFonts w:ascii="Times New Roman" w:cs="Times New Roman" w:eastAsia="Times New Roman" w:hAnsi="Times New Roman"/>
                <w:sz w:val="7"/>
                <w:szCs w:val="7"/>
                <w:color w:val="005A64"/>
              </w:rPr>
              <w:t>11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600" w:type="dxa"/>
            <w:vAlign w:val="bottom"/>
            <w:tcBorders>
              <w:right w:val="single" w:sz="8" w:color="99BDC1"/>
            </w:tcBorders>
          </w:tcPr>
          <w:p>
            <w:pPr>
              <w:spacing w:after="0"/>
              <w:rPr>
                <w:sz w:val="10"/>
                <w:szCs w:val="10"/>
                <w:color w:val="auto"/>
              </w:rPr>
            </w:pPr>
          </w:p>
        </w:tc>
        <w:tc>
          <w:tcPr>
            <w:tcW w:w="400" w:type="dxa"/>
            <w:vAlign w:val="bottom"/>
            <w:tcBorders>
              <w:left w:val="single" w:sz="8" w:color="99BDC1"/>
            </w:tcBorders>
            <w:shd w:val="clear" w:color="auto" w:fill="99BDC1"/>
          </w:tcPr>
          <w:p>
            <w:pPr>
              <w:spacing w:after="0"/>
              <w:rPr>
                <w:sz w:val="10"/>
                <w:szCs w:val="10"/>
                <w:color w:val="auto"/>
              </w:rPr>
            </w:pPr>
          </w:p>
        </w:tc>
        <w:tc>
          <w:tcPr>
            <w:tcW w:w="1180" w:type="dxa"/>
            <w:vAlign w:val="bottom"/>
            <w:shd w:val="clear" w:color="auto" w:fill="99BDC1"/>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80" w:type="dxa"/>
            <w:vAlign w:val="bottom"/>
            <w:tcBorders>
              <w:left w:val="single" w:sz="8" w:color="99BDC1"/>
            </w:tcBorders>
            <w:shd w:val="clear" w:color="auto" w:fill="99BDC1"/>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5"/>
        </w:trPr>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5A64"/>
              </w:rPr>
              <w:t>Next generation</w:t>
            </w:r>
          </w:p>
        </w:tc>
        <w:tc>
          <w:tcPr>
            <w:tcW w:w="400" w:type="dxa"/>
            <w:vAlign w:val="bottom"/>
          </w:tcPr>
          <w:p>
            <w:pPr>
              <w:spacing w:after="0"/>
              <w:rPr>
                <w:sz w:val="24"/>
                <w:szCs w:val="24"/>
                <w:color w:val="auto"/>
              </w:rPr>
            </w:pPr>
          </w:p>
        </w:tc>
        <w:tc>
          <w:tcPr>
            <w:tcW w:w="20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1"/>
                <w:szCs w:val="11"/>
                <w:color w:val="005A64"/>
              </w:rPr>
              <w:t>Targeted therapy</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5A64"/>
              </w:rPr>
              <w:t>mRNA cancer</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1"/>
                <w:szCs w:val="11"/>
                <w:color w:val="005A64"/>
              </w:rPr>
              <w:t>Novel-novel combination</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600" w:type="dxa"/>
            <w:vAlign w:val="bottom"/>
            <w:vMerge w:val="continue"/>
          </w:tcPr>
          <w:p>
            <w:pPr>
              <w:spacing w:after="0"/>
              <w:rPr>
                <w:sz w:val="14"/>
                <w:szCs w:val="14"/>
                <w:color w:val="auto"/>
              </w:rPr>
            </w:pPr>
          </w:p>
        </w:tc>
        <w:tc>
          <w:tcPr>
            <w:tcW w:w="400" w:type="dxa"/>
            <w:vAlign w:val="bottom"/>
            <w:tcBorders>
              <w:left w:val="single" w:sz="8" w:color="99BDC1"/>
            </w:tcBorders>
            <w:shd w:val="clear" w:color="auto" w:fill="99BDC1"/>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400" w:type="dxa"/>
            <w:vAlign w:val="bottom"/>
            <w:shd w:val="clear" w:color="auto" w:fill="9DCAB9"/>
          </w:tcPr>
          <w:p>
            <w:pPr>
              <w:spacing w:after="0"/>
              <w:rPr>
                <w:sz w:val="14"/>
                <w:szCs w:val="14"/>
                <w:color w:val="auto"/>
              </w:rPr>
            </w:pPr>
          </w:p>
        </w:tc>
        <w:tc>
          <w:tcPr>
            <w:tcW w:w="3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shd w:val="clear" w:color="auto" w:fill="DCDDB2"/>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400" w:type="dxa"/>
            <w:vAlign w:val="bottom"/>
            <w:shd w:val="clear" w:color="auto" w:fill="CDDEE1"/>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5A64"/>
              </w:rPr>
              <w:t>immunomodulator</w:t>
            </w:r>
          </w:p>
        </w:tc>
        <w:tc>
          <w:tcPr>
            <w:tcW w:w="400" w:type="dxa"/>
            <w:vAlign w:val="bottom"/>
            <w:tcBorders>
              <w:left w:val="single" w:sz="8" w:color="99BDC1"/>
            </w:tcBorders>
            <w:shd w:val="clear" w:color="auto" w:fill="99BDC1"/>
          </w:tcPr>
          <w:p>
            <w:pPr>
              <w:spacing w:after="0"/>
              <w:rPr>
                <w:sz w:val="5"/>
                <w:szCs w:val="5"/>
                <w:color w:val="auto"/>
              </w:rPr>
            </w:pPr>
          </w:p>
        </w:tc>
        <w:tc>
          <w:tcPr>
            <w:tcW w:w="2000" w:type="dxa"/>
            <w:vAlign w:val="bottom"/>
            <w:gridSpan w:val="2"/>
            <w:vMerge w:val="continue"/>
          </w:tcPr>
          <w:p>
            <w:pPr>
              <w:spacing w:after="0"/>
              <w:rPr>
                <w:sz w:val="5"/>
                <w:szCs w:val="5"/>
                <w:color w:val="auto"/>
              </w:rPr>
            </w:pPr>
          </w:p>
        </w:tc>
        <w:tc>
          <w:tcPr>
            <w:tcW w:w="400" w:type="dxa"/>
            <w:vAlign w:val="bottom"/>
            <w:shd w:val="clear" w:color="auto" w:fill="9DCAB9"/>
          </w:tcPr>
          <w:p>
            <w:pPr>
              <w:spacing w:after="0"/>
              <w:rPr>
                <w:sz w:val="5"/>
                <w:szCs w:val="5"/>
                <w:color w:val="auto"/>
              </w:rPr>
            </w:pPr>
          </w:p>
        </w:tc>
        <w:tc>
          <w:tcPr>
            <w:tcW w:w="380" w:type="dxa"/>
            <w:vAlign w:val="bottom"/>
          </w:tcPr>
          <w:p>
            <w:pPr>
              <w:spacing w:after="0"/>
              <w:rPr>
                <w:sz w:val="5"/>
                <w:szCs w:val="5"/>
                <w:color w:val="auto"/>
              </w:rPr>
            </w:pPr>
          </w:p>
        </w:tc>
        <w:tc>
          <w:tcPr>
            <w:tcW w:w="15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5A64"/>
              </w:rPr>
              <w:t>immunotherapy</w:t>
            </w:r>
          </w:p>
        </w:tc>
        <w:tc>
          <w:tcPr>
            <w:tcW w:w="80" w:type="dxa"/>
            <w:vAlign w:val="bottom"/>
          </w:tcPr>
          <w:p>
            <w:pPr>
              <w:spacing w:after="0"/>
              <w:rPr>
                <w:sz w:val="5"/>
                <w:szCs w:val="5"/>
                <w:color w:val="auto"/>
              </w:rPr>
            </w:pPr>
          </w:p>
        </w:tc>
        <w:tc>
          <w:tcPr>
            <w:tcW w:w="380" w:type="dxa"/>
            <w:vAlign w:val="bottom"/>
            <w:shd w:val="clear" w:color="auto" w:fill="DCDDB2"/>
          </w:tcPr>
          <w:p>
            <w:pPr>
              <w:spacing w:after="0"/>
              <w:rPr>
                <w:sz w:val="5"/>
                <w:szCs w:val="5"/>
                <w:color w:val="auto"/>
              </w:rPr>
            </w:pPr>
          </w:p>
        </w:tc>
        <w:tc>
          <w:tcPr>
            <w:tcW w:w="2040" w:type="dxa"/>
            <w:vAlign w:val="bottom"/>
            <w:gridSpan w:val="2"/>
            <w:vMerge w:val="continue"/>
          </w:tcPr>
          <w:p>
            <w:pPr>
              <w:spacing w:after="0"/>
              <w:rPr>
                <w:sz w:val="5"/>
                <w:szCs w:val="5"/>
                <w:color w:val="auto"/>
              </w:rPr>
            </w:pPr>
          </w:p>
        </w:tc>
        <w:tc>
          <w:tcPr>
            <w:tcW w:w="400" w:type="dxa"/>
            <w:vAlign w:val="bottom"/>
            <w:shd w:val="clear" w:color="auto" w:fill="CDDEE1"/>
          </w:tcPr>
          <w:p>
            <w:pPr>
              <w:spacing w:after="0"/>
              <w:rPr>
                <w:sz w:val="5"/>
                <w:szCs w:val="5"/>
                <w:color w:val="auto"/>
              </w:rPr>
            </w:pPr>
          </w:p>
        </w:tc>
        <w:tc>
          <w:tcPr>
            <w:tcW w:w="3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600" w:type="dxa"/>
            <w:vAlign w:val="bottom"/>
            <w:vMerge w:val="continue"/>
          </w:tcPr>
          <w:p>
            <w:pPr>
              <w:spacing w:after="0"/>
              <w:rPr>
                <w:sz w:val="7"/>
                <w:szCs w:val="7"/>
                <w:color w:val="auto"/>
              </w:rPr>
            </w:pPr>
          </w:p>
        </w:tc>
        <w:tc>
          <w:tcPr>
            <w:tcW w:w="400" w:type="dxa"/>
            <w:vAlign w:val="bottom"/>
            <w:tcBorders>
              <w:left w:val="single" w:sz="8" w:color="99BDC1"/>
            </w:tcBorders>
            <w:shd w:val="clear" w:color="auto" w:fill="99BDC1"/>
          </w:tcPr>
          <w:p>
            <w:pPr>
              <w:spacing w:after="0"/>
              <w:rPr>
                <w:sz w:val="7"/>
                <w:szCs w:val="7"/>
                <w:color w:val="auto"/>
              </w:rPr>
            </w:pPr>
          </w:p>
        </w:tc>
        <w:tc>
          <w:tcPr>
            <w:tcW w:w="1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0" w:type="dxa"/>
            <w:vAlign w:val="bottom"/>
            <w:shd w:val="clear" w:color="auto" w:fill="9DCAB9"/>
          </w:tcPr>
          <w:p>
            <w:pPr>
              <w:spacing w:after="0"/>
              <w:rPr>
                <w:sz w:val="7"/>
                <w:szCs w:val="7"/>
                <w:color w:val="auto"/>
              </w:rPr>
            </w:pPr>
          </w:p>
        </w:tc>
        <w:tc>
          <w:tcPr>
            <w:tcW w:w="38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shd w:val="clear" w:color="auto" w:fill="DCDDB2"/>
          </w:tcPr>
          <w:p>
            <w:pPr>
              <w:spacing w:after="0"/>
              <w:rPr>
                <w:sz w:val="7"/>
                <w:szCs w:val="7"/>
                <w:color w:val="auto"/>
              </w:rPr>
            </w:pPr>
          </w:p>
        </w:tc>
        <w:tc>
          <w:tcPr>
            <w:tcW w:w="1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0" w:type="dxa"/>
            <w:vAlign w:val="bottom"/>
            <w:shd w:val="clear" w:color="auto" w:fill="CDDEE1"/>
          </w:tcPr>
          <w:p>
            <w:pPr>
              <w:spacing w:after="0"/>
              <w:rPr>
                <w:sz w:val="7"/>
                <w:szCs w:val="7"/>
                <w:color w:val="auto"/>
              </w:rPr>
            </w:pPr>
          </w:p>
        </w:tc>
        <w:tc>
          <w:tcPr>
            <w:tcW w:w="3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1600" w:type="dxa"/>
            <w:vAlign w:val="bottom"/>
          </w:tcPr>
          <w:p>
            <w:pPr>
              <w:spacing w:after="0"/>
              <w:rPr>
                <w:sz w:val="3"/>
                <w:szCs w:val="3"/>
                <w:color w:val="auto"/>
              </w:rPr>
            </w:pPr>
          </w:p>
        </w:tc>
        <w:tc>
          <w:tcPr>
            <w:tcW w:w="400" w:type="dxa"/>
            <w:vAlign w:val="bottom"/>
            <w:tcBorders>
              <w:left w:val="single" w:sz="8" w:color="99BDC1"/>
            </w:tcBorders>
            <w:shd w:val="clear" w:color="auto" w:fill="99BDC1"/>
          </w:tcPr>
          <w:p>
            <w:pPr>
              <w:spacing w:after="0"/>
              <w:rPr>
                <w:sz w:val="3"/>
                <w:szCs w:val="3"/>
                <w:color w:val="auto"/>
              </w:rPr>
            </w:pPr>
          </w:p>
        </w:tc>
        <w:tc>
          <w:tcPr>
            <w:tcW w:w="1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shd w:val="clear" w:color="auto" w:fill="9DCAB9"/>
          </w:tcPr>
          <w:p>
            <w:pPr>
              <w:spacing w:after="0"/>
              <w:rPr>
                <w:sz w:val="3"/>
                <w:szCs w:val="3"/>
                <w:color w:val="auto"/>
              </w:rPr>
            </w:pPr>
          </w:p>
        </w:tc>
        <w:tc>
          <w:tcPr>
            <w:tcW w:w="3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shd w:val="clear" w:color="auto" w:fill="DCDDB2"/>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shd w:val="clear" w:color="auto" w:fill="CDDEE1"/>
          </w:tcPr>
          <w:p>
            <w:pPr>
              <w:spacing w:after="0"/>
              <w:rPr>
                <w:sz w:val="3"/>
                <w:szCs w:val="3"/>
                <w:color w:val="auto"/>
              </w:rPr>
            </w:pPr>
          </w:p>
        </w:tc>
        <w:tc>
          <w:tcPr>
            <w:tcW w:w="3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-4594225</wp:posOffset>
            </wp:positionV>
            <wp:extent cx="7080885" cy="41230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080885" cy="412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28</w:t>
            </w:r>
          </w:p>
        </w:tc>
      </w:tr>
    </w:tbl>
    <w:p>
      <w:pPr>
        <w:sectPr>
          <w:pgSz w:w="11900" w:h="16838" w:orient="portrait"/>
          <w:cols w:equalWidth="0" w:num="1">
            <w:col w:w="11220"/>
          </w:cols>
          <w:pgMar w:left="320" w:top="388" w:right="359" w:bottom="1440" w:gutter="0" w:footer="0" w:header="0"/>
        </w:sectPr>
      </w:pPr>
    </w:p>
    <w:bookmarkStart w:id="37" w:name="page38"/>
    <w:bookmarkEnd w:id="3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Infectious Diseases</w:t>
      </w:r>
      <w:r>
        <w:rPr>
          <w:rFonts w:ascii="Times New Roman" w:cs="Times New Roman" w:eastAsia="Times New Roman" w:hAnsi="Times New Roman"/>
          <w:sz w:val="25"/>
          <w:szCs w:val="25"/>
          <w:color w:val="005A64"/>
          <w:vertAlign w:val="superscript"/>
        </w:rPr>
        <w:t>1,2</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080509"/>
              </w:rPr>
              <w:t>Phase 1</w:t>
            </w:r>
          </w:p>
        </w:tc>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80509"/>
              </w:rPr>
              <w:t>Phase 1/2</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080509"/>
              </w:rPr>
              <w:t>Phase 2</w:t>
            </w: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080509"/>
              </w:rPr>
              <w:t>Commercial</w:t>
            </w:r>
          </w:p>
        </w:tc>
        <w:tc>
          <w:tcPr>
            <w:tcW w:w="0" w:type="dxa"/>
            <w:vAlign w:val="bottom"/>
          </w:tcPr>
          <w:p>
            <w:pPr>
              <w:spacing w:after="0"/>
              <w:rPr>
                <w:sz w:val="1"/>
                <w:szCs w:val="1"/>
                <w:color w:val="auto"/>
              </w:rPr>
            </w:pPr>
          </w:p>
        </w:tc>
      </w:tr>
      <w:tr>
        <w:trPr>
          <w:trHeight w:val="27"/>
        </w:trPr>
        <w:tc>
          <w:tcPr>
            <w:tcW w:w="800" w:type="dxa"/>
            <w:vAlign w:val="bottom"/>
            <w:tcBorders>
              <w:bottom w:val="single" w:sz="8" w:color="0F7F40"/>
            </w:tcBorders>
          </w:tcPr>
          <w:p>
            <w:pPr>
              <w:spacing w:after="0"/>
              <w:rPr>
                <w:sz w:val="2"/>
                <w:szCs w:val="2"/>
                <w:color w:val="auto"/>
              </w:rPr>
            </w:pPr>
          </w:p>
        </w:tc>
        <w:tc>
          <w:tcPr>
            <w:tcW w:w="360" w:type="dxa"/>
            <w:vAlign w:val="bottom"/>
            <w:tcBorders>
              <w:bottom w:val="single" w:sz="8" w:color="0F7F40"/>
            </w:tcBorders>
          </w:tcPr>
          <w:p>
            <w:pPr>
              <w:spacing w:after="0"/>
              <w:rPr>
                <w:sz w:val="2"/>
                <w:szCs w:val="2"/>
                <w:color w:val="auto"/>
              </w:rPr>
            </w:pPr>
          </w:p>
        </w:tc>
        <w:tc>
          <w:tcPr>
            <w:tcW w:w="660" w:type="dxa"/>
            <w:vAlign w:val="bottom"/>
            <w:tcBorders>
              <w:bottom w:val="single" w:sz="8" w:color="0F7F40"/>
            </w:tcBorders>
          </w:tcPr>
          <w:p>
            <w:pPr>
              <w:spacing w:after="0"/>
              <w:rPr>
                <w:sz w:val="2"/>
                <w:szCs w:val="2"/>
                <w:color w:val="auto"/>
              </w:rPr>
            </w:pPr>
          </w:p>
        </w:tc>
        <w:tc>
          <w:tcPr>
            <w:tcW w:w="740" w:type="dxa"/>
            <w:vAlign w:val="bottom"/>
            <w:tcBorders>
              <w:bottom w:val="single" w:sz="8" w:color="0F7F40"/>
            </w:tcBorders>
          </w:tcPr>
          <w:p>
            <w:pPr>
              <w:spacing w:after="0"/>
              <w:rPr>
                <w:sz w:val="2"/>
                <w:szCs w:val="2"/>
                <w:color w:val="auto"/>
              </w:rPr>
            </w:pPr>
          </w:p>
        </w:tc>
        <w:tc>
          <w:tcPr>
            <w:tcW w:w="400" w:type="dxa"/>
            <w:vAlign w:val="bottom"/>
            <w:tcBorders>
              <w:bottom w:val="single" w:sz="8" w:color="0F7F40"/>
            </w:tcBorders>
          </w:tcPr>
          <w:p>
            <w:pPr>
              <w:spacing w:after="0"/>
              <w:rPr>
                <w:sz w:val="2"/>
                <w:szCs w:val="2"/>
                <w:color w:val="auto"/>
              </w:rPr>
            </w:pPr>
          </w:p>
        </w:tc>
        <w:tc>
          <w:tcPr>
            <w:tcW w:w="620" w:type="dxa"/>
            <w:vAlign w:val="bottom"/>
            <w:tcBorders>
              <w:bottom w:val="single" w:sz="8" w:color="0F7F40"/>
            </w:tcBorders>
          </w:tcPr>
          <w:p>
            <w:pPr>
              <w:spacing w:after="0"/>
              <w:rPr>
                <w:sz w:val="2"/>
                <w:szCs w:val="2"/>
                <w:color w:val="auto"/>
              </w:rPr>
            </w:pPr>
          </w:p>
        </w:tc>
        <w:tc>
          <w:tcPr>
            <w:tcW w:w="40" w:type="dxa"/>
            <w:vAlign w:val="bottom"/>
            <w:tcBorders>
              <w:bottom w:val="single" w:sz="8" w:color="DCDDB2"/>
            </w:tcBorders>
          </w:tcPr>
          <w:p>
            <w:pPr>
              <w:spacing w:after="0"/>
              <w:rPr>
                <w:sz w:val="2"/>
                <w:szCs w:val="2"/>
                <w:color w:val="auto"/>
              </w:rPr>
            </w:pPr>
          </w:p>
        </w:tc>
        <w:tc>
          <w:tcPr>
            <w:tcW w:w="1740" w:type="dxa"/>
            <w:vAlign w:val="bottom"/>
            <w:tcBorders>
              <w:bottom w:val="single" w:sz="8" w:color="0F7F40"/>
            </w:tcBorders>
          </w:tcPr>
          <w:p>
            <w:pPr>
              <w:spacing w:after="0"/>
              <w:rPr>
                <w:sz w:val="2"/>
                <w:szCs w:val="2"/>
                <w:color w:val="auto"/>
              </w:rPr>
            </w:pPr>
          </w:p>
        </w:tc>
        <w:tc>
          <w:tcPr>
            <w:tcW w:w="60" w:type="dxa"/>
            <w:vAlign w:val="bottom"/>
            <w:tcBorders>
              <w:bottom w:val="single" w:sz="8" w:color="DCDDB2"/>
            </w:tcBorders>
          </w:tcPr>
          <w:p>
            <w:pPr>
              <w:spacing w:after="0"/>
              <w:rPr>
                <w:sz w:val="2"/>
                <w:szCs w:val="2"/>
                <w:color w:val="auto"/>
              </w:rPr>
            </w:pPr>
          </w:p>
        </w:tc>
        <w:tc>
          <w:tcPr>
            <w:tcW w:w="1780" w:type="dxa"/>
            <w:vAlign w:val="bottom"/>
            <w:tcBorders>
              <w:bottom w:val="single" w:sz="8" w:color="0F7F40"/>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1820" w:type="dxa"/>
            <w:vAlign w:val="bottom"/>
            <w:tcBorders>
              <w:right w:val="single" w:sz="8" w:color="DCDDB2"/>
            </w:tcBorders>
            <w:gridSpan w:val="3"/>
            <w:shd w:val="clear" w:color="auto" w:fill="DCDDB2"/>
          </w:tcPr>
          <w:p>
            <w:pPr>
              <w:ind w:left="20"/>
              <w:spacing w:after="0"/>
              <w:rPr>
                <w:sz w:val="20"/>
                <w:szCs w:val="20"/>
                <w:color w:val="auto"/>
              </w:rPr>
            </w:pPr>
            <w:r>
              <w:rPr>
                <w:rFonts w:ascii="Times New Roman" w:cs="Times New Roman" w:eastAsia="Times New Roman" w:hAnsi="Times New Roman"/>
                <w:sz w:val="11"/>
                <w:szCs w:val="11"/>
                <w:color w:val="005A64"/>
              </w:rPr>
              <w:t>BNT163</w:t>
            </w:r>
            <w:r>
              <w:rPr>
                <w:rFonts w:ascii="Times New Roman" w:cs="Times New Roman" w:eastAsia="Times New Roman" w:hAnsi="Times New Roman"/>
                <w:sz w:val="14"/>
                <w:szCs w:val="14"/>
                <w:color w:val="005A64"/>
                <w:vertAlign w:val="superscript"/>
              </w:rPr>
              <w:t>12</w:t>
            </w:r>
          </w:p>
        </w:tc>
        <w:tc>
          <w:tcPr>
            <w:tcW w:w="1760" w:type="dxa"/>
            <w:vAlign w:val="bottom"/>
            <w:tcBorders>
              <w:right w:val="single" w:sz="8" w:color="DCDDB2"/>
            </w:tcBorders>
            <w:gridSpan w:val="3"/>
            <w:shd w:val="clear" w:color="auto" w:fill="DCDDB2"/>
          </w:tcPr>
          <w:p>
            <w:pPr>
              <w:ind w:left="20"/>
              <w:spacing w:after="0"/>
              <w:rPr>
                <w:sz w:val="20"/>
                <w:szCs w:val="20"/>
                <w:color w:val="auto"/>
              </w:rPr>
            </w:pPr>
            <w:r>
              <w:rPr>
                <w:rFonts w:ascii="Times New Roman" w:cs="Times New Roman" w:eastAsia="Times New Roman" w:hAnsi="Times New Roman"/>
                <w:sz w:val="11"/>
                <w:szCs w:val="11"/>
                <w:color w:val="005A64"/>
              </w:rPr>
              <w:t>BNT162 + BNT161</w:t>
            </w:r>
            <w:r>
              <w:rPr>
                <w:rFonts w:ascii="Times New Roman" w:cs="Times New Roman" w:eastAsia="Times New Roman" w:hAnsi="Times New Roman"/>
                <w:sz w:val="14"/>
                <w:szCs w:val="14"/>
                <w:color w:val="005A64"/>
                <w:vertAlign w:val="superscript"/>
              </w:rPr>
              <w:t>13</w:t>
            </w:r>
          </w:p>
        </w:tc>
        <w:tc>
          <w:tcPr>
            <w:tcW w:w="40" w:type="dxa"/>
            <w:vAlign w:val="bottom"/>
            <w:shd w:val="clear" w:color="auto" w:fill="DCDDB2"/>
          </w:tcPr>
          <w:p>
            <w:pPr>
              <w:spacing w:after="0"/>
              <w:rPr>
                <w:sz w:val="17"/>
                <w:szCs w:val="17"/>
                <w:color w:val="auto"/>
              </w:rPr>
            </w:pPr>
          </w:p>
        </w:tc>
        <w:tc>
          <w:tcPr>
            <w:tcW w:w="1740" w:type="dxa"/>
            <w:vAlign w:val="bottom"/>
            <w:shd w:val="clear" w:color="auto" w:fill="DCDDB2"/>
          </w:tcPr>
          <w:p>
            <w:pPr>
              <w:ind w:left="20"/>
              <w:spacing w:after="0"/>
              <w:rPr>
                <w:sz w:val="20"/>
                <w:szCs w:val="20"/>
                <w:color w:val="auto"/>
              </w:rPr>
            </w:pPr>
            <w:r>
              <w:rPr>
                <w:rFonts w:ascii="Times New Roman" w:cs="Times New Roman" w:eastAsia="Times New Roman" w:hAnsi="Times New Roman"/>
                <w:sz w:val="11"/>
                <w:szCs w:val="11"/>
                <w:color w:val="005A64"/>
              </w:rPr>
              <w:t>BNT166</w:t>
            </w:r>
            <w:r>
              <w:rPr>
                <w:rFonts w:ascii="Times New Roman" w:cs="Times New Roman" w:eastAsia="Times New Roman" w:hAnsi="Times New Roman"/>
                <w:sz w:val="14"/>
                <w:szCs w:val="14"/>
                <w:color w:val="005A64"/>
                <w:vertAlign w:val="superscript"/>
              </w:rPr>
              <w:t>16</w:t>
            </w:r>
          </w:p>
        </w:tc>
        <w:tc>
          <w:tcPr>
            <w:tcW w:w="60" w:type="dxa"/>
            <w:vAlign w:val="bottom"/>
            <w:shd w:val="clear" w:color="auto" w:fill="DCDDB2"/>
          </w:tcPr>
          <w:p>
            <w:pPr>
              <w:spacing w:after="0"/>
              <w:rPr>
                <w:sz w:val="17"/>
                <w:szCs w:val="17"/>
                <w:color w:val="auto"/>
              </w:rPr>
            </w:pPr>
          </w:p>
        </w:tc>
        <w:tc>
          <w:tcPr>
            <w:tcW w:w="1780" w:type="dxa"/>
            <w:vAlign w:val="bottom"/>
            <w:shd w:val="clear" w:color="auto" w:fill="DCDDB2"/>
          </w:tcPr>
          <w:p>
            <w:pPr>
              <w:ind w:left="20"/>
              <w:spacing w:after="0"/>
              <w:rPr>
                <w:sz w:val="20"/>
                <w:szCs w:val="20"/>
                <w:color w:val="auto"/>
              </w:rPr>
            </w:pPr>
            <w:r>
              <w:rPr>
                <w:rFonts w:ascii="Times New Roman" w:cs="Times New Roman" w:eastAsia="Times New Roman" w:hAnsi="Times New Roman"/>
                <w:sz w:val="11"/>
                <w:szCs w:val="11"/>
                <w:color w:val="005A64"/>
              </w:rPr>
              <w:t>BNT162</w:t>
            </w:r>
            <w:r>
              <w:rPr>
                <w:rFonts w:ascii="Times New Roman" w:cs="Times New Roman" w:eastAsia="Times New Roman" w:hAnsi="Times New Roman"/>
                <w:sz w:val="14"/>
                <w:szCs w:val="14"/>
                <w:color w:val="005A64"/>
                <w:vertAlign w:val="superscript"/>
              </w:rPr>
              <w:t>13,14</w:t>
            </w:r>
          </w:p>
        </w:tc>
        <w:tc>
          <w:tcPr>
            <w:tcW w:w="0" w:type="dxa"/>
            <w:vAlign w:val="bottom"/>
          </w:tcPr>
          <w:p>
            <w:pPr>
              <w:spacing w:after="0"/>
              <w:rPr>
                <w:sz w:val="1"/>
                <w:szCs w:val="1"/>
                <w:color w:val="auto"/>
              </w:rPr>
            </w:pPr>
          </w:p>
        </w:tc>
      </w:tr>
      <w:tr>
        <w:trPr>
          <w:trHeight w:val="188"/>
        </w:trPr>
        <w:tc>
          <w:tcPr>
            <w:tcW w:w="1820" w:type="dxa"/>
            <w:vAlign w:val="bottom"/>
            <w:tcBorders>
              <w:right w:val="single" w:sz="8" w:color="DCDDB2"/>
            </w:tcBorders>
            <w:gridSpan w:val="3"/>
            <w:shd w:val="clear" w:color="auto" w:fill="DCDDB2"/>
          </w:tcPr>
          <w:p>
            <w:pPr>
              <w:ind w:left="20"/>
              <w:spacing w:after="0"/>
              <w:rPr>
                <w:sz w:val="20"/>
                <w:szCs w:val="20"/>
                <w:color w:val="auto"/>
              </w:rPr>
            </w:pPr>
            <w:r>
              <w:rPr>
                <w:rFonts w:ascii="Times New Roman" w:cs="Times New Roman" w:eastAsia="Times New Roman" w:hAnsi="Times New Roman"/>
                <w:sz w:val="11"/>
                <w:szCs w:val="11"/>
                <w:color w:val="005A64"/>
              </w:rPr>
              <w:t>HSV</w:t>
            </w:r>
          </w:p>
        </w:tc>
        <w:tc>
          <w:tcPr>
            <w:tcW w:w="1760" w:type="dxa"/>
            <w:vAlign w:val="bottom"/>
            <w:tcBorders>
              <w:right w:val="single" w:sz="8" w:color="DCDDB2"/>
            </w:tcBorders>
            <w:gridSpan w:val="3"/>
            <w:shd w:val="clear" w:color="auto" w:fill="DCDDB2"/>
          </w:tcPr>
          <w:p>
            <w:pPr>
              <w:ind w:left="20"/>
              <w:spacing w:after="0"/>
              <w:rPr>
                <w:sz w:val="20"/>
                <w:szCs w:val="20"/>
                <w:color w:val="auto"/>
              </w:rPr>
            </w:pPr>
            <w:r>
              <w:rPr>
                <w:rFonts w:ascii="Times New Roman" w:cs="Times New Roman" w:eastAsia="Times New Roman" w:hAnsi="Times New Roman"/>
                <w:sz w:val="11"/>
                <w:szCs w:val="11"/>
                <w:color w:val="005A64"/>
              </w:rPr>
              <w:t>COVID-19 - Influenza combination</w:t>
            </w:r>
          </w:p>
        </w:tc>
        <w:tc>
          <w:tcPr>
            <w:tcW w:w="40" w:type="dxa"/>
            <w:vAlign w:val="bottom"/>
            <w:shd w:val="clear" w:color="auto" w:fill="DCDDB2"/>
          </w:tcPr>
          <w:p>
            <w:pPr>
              <w:spacing w:after="0"/>
              <w:rPr>
                <w:sz w:val="16"/>
                <w:szCs w:val="16"/>
                <w:color w:val="auto"/>
              </w:rPr>
            </w:pPr>
          </w:p>
        </w:tc>
        <w:tc>
          <w:tcPr>
            <w:tcW w:w="1740" w:type="dxa"/>
            <w:vAlign w:val="bottom"/>
            <w:shd w:val="clear" w:color="auto" w:fill="DCDDB2"/>
          </w:tcPr>
          <w:p>
            <w:pPr>
              <w:ind w:left="20"/>
              <w:spacing w:after="0"/>
              <w:rPr>
                <w:sz w:val="20"/>
                <w:szCs w:val="20"/>
                <w:color w:val="auto"/>
              </w:rPr>
            </w:pPr>
            <w:r>
              <w:rPr>
                <w:rFonts w:ascii="Times New Roman" w:cs="Times New Roman" w:eastAsia="Times New Roman" w:hAnsi="Times New Roman"/>
                <w:sz w:val="11"/>
                <w:szCs w:val="11"/>
                <w:color w:val="005A64"/>
              </w:rPr>
              <w:t>Mpox</w:t>
            </w:r>
          </w:p>
        </w:tc>
        <w:tc>
          <w:tcPr>
            <w:tcW w:w="60" w:type="dxa"/>
            <w:vAlign w:val="bottom"/>
            <w:shd w:val="clear" w:color="auto" w:fill="DCDDB2"/>
          </w:tcPr>
          <w:p>
            <w:pPr>
              <w:spacing w:after="0"/>
              <w:rPr>
                <w:sz w:val="16"/>
                <w:szCs w:val="16"/>
                <w:color w:val="auto"/>
              </w:rPr>
            </w:pPr>
          </w:p>
        </w:tc>
        <w:tc>
          <w:tcPr>
            <w:tcW w:w="1780" w:type="dxa"/>
            <w:vAlign w:val="bottom"/>
            <w:shd w:val="clear" w:color="auto" w:fill="DCDDB2"/>
          </w:tcPr>
          <w:p>
            <w:pPr>
              <w:ind w:left="20"/>
              <w:spacing w:after="0"/>
              <w:rPr>
                <w:sz w:val="20"/>
                <w:szCs w:val="20"/>
                <w:color w:val="auto"/>
              </w:rPr>
            </w:pPr>
            <w:r>
              <w:rPr>
                <w:rFonts w:ascii="Times New Roman" w:cs="Times New Roman" w:eastAsia="Times New Roman" w:hAnsi="Times New Roman"/>
                <w:sz w:val="11"/>
                <w:szCs w:val="11"/>
                <w:color w:val="005A64"/>
              </w:rPr>
              <w:t>COVID-19</w:t>
            </w:r>
          </w:p>
        </w:tc>
        <w:tc>
          <w:tcPr>
            <w:tcW w:w="0" w:type="dxa"/>
            <w:vAlign w:val="bottom"/>
          </w:tcPr>
          <w:p>
            <w:pPr>
              <w:spacing w:after="0"/>
              <w:rPr>
                <w:sz w:val="1"/>
                <w:szCs w:val="1"/>
                <w:color w:val="auto"/>
              </w:rPr>
            </w:pPr>
          </w:p>
        </w:tc>
      </w:tr>
      <w:tr>
        <w:trPr>
          <w:trHeight w:val="103"/>
        </w:trPr>
        <w:tc>
          <w:tcPr>
            <w:tcW w:w="800" w:type="dxa"/>
            <w:vAlign w:val="bottom"/>
            <w:shd w:val="clear" w:color="auto" w:fill="DCDDB2"/>
          </w:tcPr>
          <w:p>
            <w:pPr>
              <w:spacing w:after="0"/>
              <w:rPr>
                <w:sz w:val="8"/>
                <w:szCs w:val="8"/>
                <w:color w:val="auto"/>
              </w:rPr>
            </w:pPr>
          </w:p>
        </w:tc>
        <w:tc>
          <w:tcPr>
            <w:tcW w:w="360" w:type="dxa"/>
            <w:vAlign w:val="bottom"/>
            <w:shd w:val="clear" w:color="auto" w:fill="DCDDB2"/>
          </w:tcPr>
          <w:p>
            <w:pPr>
              <w:spacing w:after="0"/>
              <w:rPr>
                <w:sz w:val="8"/>
                <w:szCs w:val="8"/>
                <w:color w:val="auto"/>
              </w:rPr>
            </w:pPr>
          </w:p>
        </w:tc>
        <w:tc>
          <w:tcPr>
            <w:tcW w:w="660" w:type="dxa"/>
            <w:vAlign w:val="bottom"/>
            <w:tcBorders>
              <w:right w:val="single" w:sz="8" w:color="DCDDB2"/>
            </w:tcBorders>
            <w:shd w:val="clear" w:color="auto" w:fill="DCDDB2"/>
          </w:tcPr>
          <w:p>
            <w:pPr>
              <w:spacing w:after="0"/>
              <w:rPr>
                <w:sz w:val="8"/>
                <w:szCs w:val="8"/>
                <w:color w:val="auto"/>
              </w:rPr>
            </w:pPr>
          </w:p>
        </w:tc>
        <w:tc>
          <w:tcPr>
            <w:tcW w:w="1760" w:type="dxa"/>
            <w:vAlign w:val="bottom"/>
            <w:tcBorders>
              <w:right w:val="single" w:sz="8" w:color="DCDDB2"/>
            </w:tcBorders>
            <w:gridSpan w:val="3"/>
            <w:vMerge w:val="restart"/>
            <w:shd w:val="clear" w:color="auto" w:fill="DCDDB2"/>
          </w:tcPr>
          <w:p>
            <w:pPr>
              <w:ind w:left="20"/>
              <w:spacing w:after="0"/>
              <w:rPr>
                <w:sz w:val="20"/>
                <w:szCs w:val="20"/>
                <w:color w:val="auto"/>
              </w:rPr>
            </w:pPr>
            <w:r>
              <w:rPr>
                <w:rFonts w:ascii="Times New Roman" w:cs="Times New Roman" w:eastAsia="Times New Roman" w:hAnsi="Times New Roman"/>
                <w:sz w:val="11"/>
                <w:szCs w:val="11"/>
                <w:color w:val="005A64"/>
              </w:rPr>
              <w:t>BNT164</w:t>
            </w:r>
            <w:r>
              <w:rPr>
                <w:rFonts w:ascii="Times New Roman" w:cs="Times New Roman" w:eastAsia="Times New Roman" w:hAnsi="Times New Roman"/>
                <w:sz w:val="14"/>
                <w:szCs w:val="14"/>
                <w:color w:val="005A64"/>
                <w:vertAlign w:val="superscript"/>
              </w:rPr>
              <w:t>15</w:t>
            </w:r>
          </w:p>
        </w:tc>
        <w:tc>
          <w:tcPr>
            <w:tcW w:w="40" w:type="dxa"/>
            <w:vAlign w:val="bottom"/>
            <w:shd w:val="clear" w:color="auto" w:fill="DCDDB2"/>
          </w:tcPr>
          <w:p>
            <w:pPr>
              <w:spacing w:after="0"/>
              <w:rPr>
                <w:sz w:val="8"/>
                <w:szCs w:val="8"/>
                <w:color w:val="auto"/>
              </w:rPr>
            </w:pPr>
          </w:p>
        </w:tc>
        <w:tc>
          <w:tcPr>
            <w:tcW w:w="1740" w:type="dxa"/>
            <w:vAlign w:val="bottom"/>
            <w:shd w:val="clear" w:color="auto" w:fill="DCDDB2"/>
          </w:tcPr>
          <w:p>
            <w:pPr>
              <w:spacing w:after="0"/>
              <w:rPr>
                <w:sz w:val="8"/>
                <w:szCs w:val="8"/>
                <w:color w:val="auto"/>
              </w:rPr>
            </w:pPr>
          </w:p>
        </w:tc>
        <w:tc>
          <w:tcPr>
            <w:tcW w:w="60" w:type="dxa"/>
            <w:vAlign w:val="bottom"/>
            <w:shd w:val="clear" w:color="auto" w:fill="DCDDB2"/>
          </w:tcPr>
          <w:p>
            <w:pPr>
              <w:spacing w:after="0"/>
              <w:rPr>
                <w:sz w:val="8"/>
                <w:szCs w:val="8"/>
                <w:color w:val="auto"/>
              </w:rPr>
            </w:pPr>
          </w:p>
        </w:tc>
        <w:tc>
          <w:tcPr>
            <w:tcW w:w="1780" w:type="dxa"/>
            <w:vAlign w:val="bottom"/>
            <w:shd w:val="clear" w:color="auto" w:fill="DCDDB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20" w:type="dxa"/>
            <w:vAlign w:val="bottom"/>
            <w:tcBorders>
              <w:right w:val="single" w:sz="8" w:color="9DCAB9"/>
            </w:tcBorders>
            <w:gridSpan w:val="3"/>
            <w:vMerge w:val="restart"/>
            <w:shd w:val="clear" w:color="auto" w:fill="9DCAB9"/>
          </w:tcPr>
          <w:p>
            <w:pPr>
              <w:ind w:left="20"/>
              <w:spacing w:after="0"/>
              <w:rPr>
                <w:sz w:val="20"/>
                <w:szCs w:val="20"/>
                <w:color w:val="auto"/>
              </w:rPr>
            </w:pPr>
            <w:r>
              <w:rPr>
                <w:rFonts w:ascii="Times New Roman" w:cs="Times New Roman" w:eastAsia="Times New Roman" w:hAnsi="Times New Roman"/>
                <w:sz w:val="11"/>
                <w:szCs w:val="11"/>
                <w:color w:val="005A64"/>
              </w:rPr>
              <w:t>BNT351</w:t>
            </w:r>
          </w:p>
        </w:tc>
        <w:tc>
          <w:tcPr>
            <w:tcW w:w="1760" w:type="dxa"/>
            <w:vAlign w:val="bottom"/>
            <w:tcBorders>
              <w:right w:val="single" w:sz="8" w:color="DCDDB2"/>
            </w:tcBorders>
            <w:gridSpan w:val="3"/>
            <w:vMerge w:val="continue"/>
            <w:shd w:val="clear" w:color="auto" w:fill="DCDDB2"/>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1820" w:type="dxa"/>
            <w:vAlign w:val="bottom"/>
            <w:tcBorders>
              <w:right w:val="single" w:sz="8" w:color="9DCAB9"/>
            </w:tcBorders>
            <w:gridSpan w:val="3"/>
            <w:vMerge w:val="continue"/>
            <w:shd w:val="clear" w:color="auto" w:fill="9DCAB9"/>
          </w:tcPr>
          <w:p>
            <w:pPr>
              <w:spacing w:after="0"/>
              <w:rPr>
                <w:sz w:val="2"/>
                <w:szCs w:val="2"/>
                <w:color w:val="auto"/>
              </w:rPr>
            </w:pPr>
          </w:p>
        </w:tc>
        <w:tc>
          <w:tcPr>
            <w:tcW w:w="740" w:type="dxa"/>
            <w:vAlign w:val="bottom"/>
            <w:shd w:val="clear" w:color="auto" w:fill="DCDDB2"/>
          </w:tcPr>
          <w:p>
            <w:pPr>
              <w:spacing w:after="0"/>
              <w:rPr>
                <w:sz w:val="2"/>
                <w:szCs w:val="2"/>
                <w:color w:val="auto"/>
              </w:rPr>
            </w:pPr>
          </w:p>
        </w:tc>
        <w:tc>
          <w:tcPr>
            <w:tcW w:w="400" w:type="dxa"/>
            <w:vAlign w:val="bottom"/>
            <w:shd w:val="clear" w:color="auto" w:fill="DCDDB2"/>
          </w:tcPr>
          <w:p>
            <w:pPr>
              <w:spacing w:after="0"/>
              <w:rPr>
                <w:sz w:val="2"/>
                <w:szCs w:val="2"/>
                <w:color w:val="auto"/>
              </w:rPr>
            </w:pPr>
          </w:p>
        </w:tc>
        <w:tc>
          <w:tcPr>
            <w:tcW w:w="620" w:type="dxa"/>
            <w:vAlign w:val="bottom"/>
            <w:tcBorders>
              <w:right w:val="single" w:sz="8" w:color="DCDDB2"/>
            </w:tcBorders>
            <w:shd w:val="clear" w:color="auto" w:fill="DCDDB2"/>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820" w:type="dxa"/>
            <w:vAlign w:val="bottom"/>
            <w:tcBorders>
              <w:right w:val="single" w:sz="8" w:color="9DCAB9"/>
            </w:tcBorders>
            <w:gridSpan w:val="3"/>
            <w:shd w:val="clear" w:color="auto" w:fill="9DCAB9"/>
          </w:tcPr>
          <w:p>
            <w:pPr>
              <w:ind w:left="20"/>
              <w:spacing w:after="0"/>
              <w:rPr>
                <w:sz w:val="20"/>
                <w:szCs w:val="20"/>
                <w:color w:val="auto"/>
              </w:rPr>
            </w:pPr>
            <w:r>
              <w:rPr>
                <w:rFonts w:ascii="Times New Roman" w:cs="Times New Roman" w:eastAsia="Times New Roman" w:hAnsi="Times New Roman"/>
                <w:sz w:val="11"/>
                <w:szCs w:val="11"/>
                <w:color w:val="005A64"/>
              </w:rPr>
              <w:t>HIV</w:t>
            </w:r>
          </w:p>
        </w:tc>
        <w:tc>
          <w:tcPr>
            <w:tcW w:w="1760" w:type="dxa"/>
            <w:vAlign w:val="bottom"/>
            <w:tcBorders>
              <w:right w:val="single" w:sz="8" w:color="DCDDB2"/>
            </w:tcBorders>
            <w:gridSpan w:val="3"/>
            <w:shd w:val="clear" w:color="auto" w:fill="DCDDB2"/>
          </w:tcPr>
          <w:p>
            <w:pPr>
              <w:ind w:left="20"/>
              <w:spacing w:after="0"/>
              <w:rPr>
                <w:sz w:val="20"/>
                <w:szCs w:val="20"/>
                <w:color w:val="auto"/>
              </w:rPr>
            </w:pPr>
            <w:r>
              <w:rPr>
                <w:rFonts w:ascii="Times New Roman" w:cs="Times New Roman" w:eastAsia="Times New Roman" w:hAnsi="Times New Roman"/>
                <w:sz w:val="11"/>
                <w:szCs w:val="11"/>
                <w:color w:val="005A64"/>
              </w:rPr>
              <w:t>Tuberculosis</w:t>
            </w:r>
          </w:p>
        </w:tc>
        <w:tc>
          <w:tcPr>
            <w:tcW w:w="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800" w:type="dxa"/>
            <w:vAlign w:val="bottom"/>
            <w:shd w:val="clear" w:color="auto" w:fill="9DCAB9"/>
          </w:tcPr>
          <w:p>
            <w:pPr>
              <w:spacing w:after="0"/>
              <w:rPr>
                <w:sz w:val="8"/>
                <w:szCs w:val="8"/>
                <w:color w:val="auto"/>
              </w:rPr>
            </w:pPr>
          </w:p>
        </w:tc>
        <w:tc>
          <w:tcPr>
            <w:tcW w:w="360" w:type="dxa"/>
            <w:vAlign w:val="bottom"/>
            <w:shd w:val="clear" w:color="auto" w:fill="9DCAB9"/>
          </w:tcPr>
          <w:p>
            <w:pPr>
              <w:spacing w:after="0"/>
              <w:rPr>
                <w:sz w:val="8"/>
                <w:szCs w:val="8"/>
                <w:color w:val="auto"/>
              </w:rPr>
            </w:pPr>
          </w:p>
        </w:tc>
        <w:tc>
          <w:tcPr>
            <w:tcW w:w="660" w:type="dxa"/>
            <w:vAlign w:val="bottom"/>
            <w:tcBorders>
              <w:right w:val="single" w:sz="8" w:color="9DCAB9"/>
            </w:tcBorders>
            <w:shd w:val="clear" w:color="auto" w:fill="9DCAB9"/>
          </w:tcPr>
          <w:p>
            <w:pPr>
              <w:spacing w:after="0"/>
              <w:rPr>
                <w:sz w:val="8"/>
                <w:szCs w:val="8"/>
                <w:color w:val="auto"/>
              </w:rPr>
            </w:pPr>
          </w:p>
        </w:tc>
        <w:tc>
          <w:tcPr>
            <w:tcW w:w="1760" w:type="dxa"/>
            <w:vAlign w:val="bottom"/>
            <w:tcBorders>
              <w:right w:val="single" w:sz="8" w:color="DCDDB2"/>
            </w:tcBorders>
            <w:gridSpan w:val="3"/>
            <w:vMerge w:val="restart"/>
            <w:shd w:val="clear" w:color="auto" w:fill="DCDDB2"/>
          </w:tcPr>
          <w:p>
            <w:pPr>
              <w:ind w:left="20"/>
              <w:spacing w:after="0"/>
              <w:rPr>
                <w:sz w:val="20"/>
                <w:szCs w:val="20"/>
                <w:color w:val="auto"/>
              </w:rPr>
            </w:pPr>
            <w:r>
              <w:rPr>
                <w:rFonts w:ascii="Times New Roman" w:cs="Times New Roman" w:eastAsia="Times New Roman" w:hAnsi="Times New Roman"/>
                <w:sz w:val="11"/>
                <w:szCs w:val="11"/>
                <w:color w:val="005A64"/>
              </w:rPr>
              <w:t>BNT165</w:t>
            </w:r>
          </w:p>
        </w:tc>
        <w:tc>
          <w:tcPr>
            <w:tcW w:w="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Borders>
              <w:right w:val="single" w:sz="8" w:color="DCDDB2"/>
            </w:tcBorders>
          </w:tcPr>
          <w:p>
            <w:pPr>
              <w:spacing w:after="0"/>
              <w:rPr>
                <w:sz w:val="15"/>
                <w:szCs w:val="15"/>
                <w:color w:val="auto"/>
              </w:rPr>
            </w:pPr>
          </w:p>
        </w:tc>
        <w:tc>
          <w:tcPr>
            <w:tcW w:w="1760" w:type="dxa"/>
            <w:vAlign w:val="bottom"/>
            <w:tcBorders>
              <w:right w:val="single" w:sz="8" w:color="DCDDB2"/>
            </w:tcBorders>
            <w:gridSpan w:val="3"/>
            <w:vMerge w:val="continue"/>
            <w:shd w:val="clear" w:color="auto" w:fill="DCDDB2"/>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Borders>
              <w:right w:val="single" w:sz="8" w:color="DCDDB2"/>
            </w:tcBorders>
          </w:tcPr>
          <w:p>
            <w:pPr>
              <w:spacing w:after="0"/>
              <w:rPr>
                <w:sz w:val="14"/>
                <w:szCs w:val="14"/>
                <w:color w:val="auto"/>
              </w:rPr>
            </w:pPr>
          </w:p>
        </w:tc>
        <w:tc>
          <w:tcPr>
            <w:tcW w:w="1760" w:type="dxa"/>
            <w:vAlign w:val="bottom"/>
            <w:tcBorders>
              <w:bottom w:val="single" w:sz="8" w:color="DCDDB2"/>
              <w:right w:val="single" w:sz="8" w:color="DCDDB2"/>
            </w:tcBorders>
            <w:gridSpan w:val="3"/>
            <w:shd w:val="clear" w:color="auto" w:fill="DCDDB2"/>
          </w:tcPr>
          <w:p>
            <w:pPr>
              <w:ind w:left="20"/>
              <w:spacing w:after="0"/>
              <w:rPr>
                <w:sz w:val="20"/>
                <w:szCs w:val="20"/>
                <w:color w:val="auto"/>
              </w:rPr>
            </w:pPr>
            <w:r>
              <w:rPr>
                <w:rFonts w:ascii="Times New Roman" w:cs="Times New Roman" w:eastAsia="Times New Roman" w:hAnsi="Times New Roman"/>
                <w:sz w:val="11"/>
                <w:szCs w:val="11"/>
                <w:color w:val="005A64"/>
              </w:rPr>
              <w:t>Malaria</w:t>
            </w:r>
          </w:p>
        </w:tc>
        <w:tc>
          <w:tcPr>
            <w:tcW w:w="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820" w:type="dxa"/>
            <w:vAlign w:val="bottom"/>
            <w:gridSpan w:val="3"/>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00" w:type="dxa"/>
            <w:vAlign w:val="bottom"/>
          </w:tcPr>
          <w:p>
            <w:pPr>
              <w:ind w:left="20"/>
              <w:spacing w:after="0"/>
              <w:rPr>
                <w:sz w:val="20"/>
                <w:szCs w:val="20"/>
                <w:color w:val="auto"/>
              </w:rPr>
            </w:pPr>
            <w:r>
              <w:rPr>
                <w:rFonts w:ascii="Times New Roman" w:cs="Times New Roman" w:eastAsia="Times New Roman" w:hAnsi="Times New Roman"/>
                <w:sz w:val="11"/>
                <w:szCs w:val="11"/>
                <w:color w:val="005A64"/>
              </w:rPr>
              <w:t>Antibody</w:t>
            </w:r>
          </w:p>
        </w:tc>
        <w:tc>
          <w:tcPr>
            <w:tcW w:w="360" w:type="dxa"/>
            <w:vAlign w:val="bottom"/>
            <w:shd w:val="clear" w:color="auto" w:fill="9DCAB9"/>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1"/>
                <w:szCs w:val="11"/>
                <w:color w:val="005A64"/>
              </w:rPr>
              <w:t>mRNA</w:t>
            </w:r>
          </w:p>
        </w:tc>
        <w:tc>
          <w:tcPr>
            <w:tcW w:w="400" w:type="dxa"/>
            <w:vAlign w:val="bottom"/>
            <w:shd w:val="clear" w:color="auto" w:fill="DCDDB2"/>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800" w:type="dxa"/>
            <w:vAlign w:val="bottom"/>
          </w:tcPr>
          <w:p>
            <w:pPr>
              <w:spacing w:after="0"/>
              <w:rPr>
                <w:sz w:val="3"/>
                <w:szCs w:val="3"/>
                <w:color w:val="auto"/>
              </w:rPr>
            </w:pPr>
          </w:p>
        </w:tc>
        <w:tc>
          <w:tcPr>
            <w:tcW w:w="360" w:type="dxa"/>
            <w:vAlign w:val="bottom"/>
            <w:shd w:val="clear" w:color="auto" w:fill="9DCAB9"/>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shd w:val="clear" w:color="auto" w:fill="DCDDB2"/>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-1259205</wp:posOffset>
            </wp:positionV>
            <wp:extent cx="34290" cy="88265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4290" cy="882650"/>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-1259205</wp:posOffset>
            </wp:positionV>
            <wp:extent cx="1174115" cy="88265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174115" cy="882650"/>
                    </a:xfrm>
                    <a:prstGeom prst="rect">
                      <a:avLst/>
                    </a:prstGeom>
                    <a:noFill/>
                  </pic:spPr>
                </pic:pic>
              </a:graphicData>
            </a:graphic>
          </wp:anchor>
        </w:drawing>
      </w:r>
    </w:p>
    <w:p>
      <w:pPr>
        <w:spacing w:after="0" w:line="299"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For further details about BioNTech’s rights, see elsewhere in this Quarterly Report.</w:t>
      </w:r>
    </w:p>
    <w:p>
      <w:pPr>
        <w:spacing w:after="0" w:line="49" w:lineRule="exact"/>
        <w:rPr>
          <w:rFonts w:ascii="Times New Roman" w:cs="Times New Roman" w:eastAsia="Times New Roman" w:hAnsi="Times New Roman"/>
          <w:sz w:val="18"/>
          <w:szCs w:val="18"/>
          <w:color w:val="107072"/>
          <w:vertAlign w:val="superscript"/>
        </w:rPr>
      </w:pPr>
    </w:p>
    <w:p>
      <w:pPr>
        <w:ind w:left="260" w:hanging="252"/>
        <w:spacing w:after="0" w:line="209" w:lineRule="auto"/>
        <w:tabs>
          <w:tab w:leader="none" w:pos="260" w:val="left"/>
        </w:tabs>
        <w:numPr>
          <w:ilvl w:val="0"/>
          <w:numId w:val="8"/>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Abbreviations are defined in the corresponding trial descriptions.</w:t>
      </w:r>
    </w:p>
    <w:p>
      <w:pPr>
        <w:spacing w:after="0" w:line="49" w:lineRule="exact"/>
        <w:rPr>
          <w:rFonts w:ascii="Times New Roman" w:cs="Times New Roman" w:eastAsia="Times New Roman" w:hAnsi="Times New Roman"/>
          <w:sz w:val="18"/>
          <w:szCs w:val="18"/>
          <w:color w:val="107072"/>
          <w:vertAlign w:val="superscript"/>
        </w:rPr>
      </w:pPr>
    </w:p>
    <w:p>
      <w:pPr>
        <w:ind w:left="260" w:hanging="252"/>
        <w:spacing w:after="0" w:line="209" w:lineRule="auto"/>
        <w:tabs>
          <w:tab w:leader="none" w:pos="260" w:val="left"/>
        </w:tabs>
        <w:numPr>
          <w:ilvl w:val="0"/>
          <w:numId w:val="8"/>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Partnered with Bristol Myers Squibb.</w:t>
      </w:r>
    </w:p>
    <w:p>
      <w:pPr>
        <w:spacing w:after="0" w:line="62" w:lineRule="exact"/>
        <w:rPr>
          <w:rFonts w:ascii="Times New Roman" w:cs="Times New Roman" w:eastAsia="Times New Roman" w:hAnsi="Times New Roman"/>
          <w:sz w:val="18"/>
          <w:szCs w:val="18"/>
          <w:color w:val="107072"/>
          <w:vertAlign w:val="superscript"/>
        </w:rPr>
      </w:pPr>
    </w:p>
    <w:p>
      <w:pPr>
        <w:ind w:left="260" w:hanging="252"/>
        <w:spacing w:after="0" w:line="209" w:lineRule="auto"/>
        <w:tabs>
          <w:tab w:leader="none" w:pos="260" w:val="left"/>
        </w:tabs>
        <w:numPr>
          <w:ilvl w:val="0"/>
          <w:numId w:val="8"/>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Trial is currently being conducted by or on behalf of BioNTech. Bristol Myers Squibb holds co-exclusive rights to pumitamig.</w:t>
      </w:r>
    </w:p>
    <w:p>
      <w:pPr>
        <w:spacing w:after="0" w:line="49" w:lineRule="exact"/>
        <w:rPr>
          <w:rFonts w:ascii="Times New Roman" w:cs="Times New Roman" w:eastAsia="Times New Roman" w:hAnsi="Times New Roman"/>
          <w:sz w:val="18"/>
          <w:szCs w:val="18"/>
          <w:color w:val="107072"/>
          <w:vertAlign w:val="superscript"/>
        </w:rPr>
      </w:pPr>
    </w:p>
    <w:p>
      <w:pPr>
        <w:ind w:left="260" w:hanging="252"/>
        <w:spacing w:after="0" w:line="209" w:lineRule="auto"/>
        <w:tabs>
          <w:tab w:leader="none" w:pos="260" w:val="left"/>
        </w:tabs>
        <w:numPr>
          <w:ilvl w:val="0"/>
          <w:numId w:val="8"/>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Partnered with DualityBio.</w:t>
      </w:r>
    </w:p>
    <w:p>
      <w:pPr>
        <w:spacing w:after="0" w:line="49" w:lineRule="exact"/>
        <w:rPr>
          <w:rFonts w:ascii="Times New Roman" w:cs="Times New Roman" w:eastAsia="Times New Roman" w:hAnsi="Times New Roman"/>
          <w:sz w:val="18"/>
          <w:szCs w:val="18"/>
          <w:color w:val="107072"/>
          <w:vertAlign w:val="superscript"/>
        </w:rPr>
      </w:pPr>
    </w:p>
    <w:p>
      <w:pPr>
        <w:ind w:left="260" w:hanging="252"/>
        <w:spacing w:after="0" w:line="209" w:lineRule="auto"/>
        <w:tabs>
          <w:tab w:leader="none" w:pos="260" w:val="left"/>
        </w:tabs>
        <w:numPr>
          <w:ilvl w:val="0"/>
          <w:numId w:val="8"/>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Partnered with Genentech, a member of the Roche Group.</w:t>
      </w:r>
    </w:p>
    <w:p>
      <w:pPr>
        <w:spacing w:after="0" w:line="62" w:lineRule="exact"/>
        <w:rPr>
          <w:rFonts w:ascii="Times New Roman" w:cs="Times New Roman" w:eastAsia="Times New Roman" w:hAnsi="Times New Roman"/>
          <w:sz w:val="18"/>
          <w:szCs w:val="18"/>
          <w:color w:val="107072"/>
          <w:vertAlign w:val="superscript"/>
        </w:rPr>
      </w:pPr>
    </w:p>
    <w:p>
      <w:pPr>
        <w:ind w:left="260" w:hanging="252"/>
        <w:spacing w:after="0" w:line="209" w:lineRule="auto"/>
        <w:tabs>
          <w:tab w:leader="none" w:pos="260" w:val="left"/>
        </w:tabs>
        <w:numPr>
          <w:ilvl w:val="0"/>
          <w:numId w:val="8"/>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Partnered with OncoC4.</w:t>
      </w:r>
    </w:p>
    <w:p>
      <w:pPr>
        <w:spacing w:after="0" w:line="49" w:lineRule="exact"/>
        <w:rPr>
          <w:rFonts w:ascii="Times New Roman" w:cs="Times New Roman" w:eastAsia="Times New Roman" w:hAnsi="Times New Roman"/>
          <w:sz w:val="18"/>
          <w:szCs w:val="18"/>
          <w:color w:val="107072"/>
          <w:vertAlign w:val="superscript"/>
        </w:rPr>
      </w:pPr>
    </w:p>
    <w:p>
      <w:pPr>
        <w:ind w:left="260" w:hanging="252"/>
        <w:spacing w:after="0" w:line="209" w:lineRule="auto"/>
        <w:tabs>
          <w:tab w:leader="none" w:pos="260" w:val="left"/>
        </w:tabs>
        <w:numPr>
          <w:ilvl w:val="0"/>
          <w:numId w:val="8"/>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Partnered with MediLink Therapeutics.</w:t>
      </w:r>
    </w:p>
    <w:p>
      <w:pPr>
        <w:spacing w:after="0" w:line="49" w:lineRule="exact"/>
        <w:rPr>
          <w:rFonts w:ascii="Times New Roman" w:cs="Times New Roman" w:eastAsia="Times New Roman" w:hAnsi="Times New Roman"/>
          <w:sz w:val="18"/>
          <w:szCs w:val="18"/>
          <w:color w:val="107072"/>
          <w:vertAlign w:val="superscript"/>
        </w:rPr>
      </w:pPr>
    </w:p>
    <w:p>
      <w:pPr>
        <w:ind w:left="260" w:hanging="252"/>
        <w:spacing w:after="0" w:line="209" w:lineRule="auto"/>
        <w:tabs>
          <w:tab w:leader="none" w:pos="260" w:val="left"/>
        </w:tabs>
        <w:numPr>
          <w:ilvl w:val="0"/>
          <w:numId w:val="8"/>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Partnered with Genmab.</w:t>
      </w:r>
    </w:p>
    <w:p>
      <w:pPr>
        <w:spacing w:after="0" w:line="62" w:lineRule="exact"/>
        <w:rPr>
          <w:rFonts w:ascii="Times New Roman" w:cs="Times New Roman" w:eastAsia="Times New Roman" w:hAnsi="Times New Roman"/>
          <w:sz w:val="18"/>
          <w:szCs w:val="18"/>
          <w:color w:val="107072"/>
          <w:vertAlign w:val="superscript"/>
        </w:rPr>
      </w:pPr>
    </w:p>
    <w:p>
      <w:pPr>
        <w:ind w:left="320" w:hanging="312"/>
        <w:spacing w:after="0" w:line="209" w:lineRule="auto"/>
        <w:tabs>
          <w:tab w:leader="none" w:pos="320" w:val="left"/>
        </w:tabs>
        <w:numPr>
          <w:ilvl w:val="0"/>
          <w:numId w:val="8"/>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In collaboration with Regeneron.</w:t>
      </w:r>
    </w:p>
    <w:p>
      <w:pPr>
        <w:spacing w:after="0" w:line="49" w:lineRule="exact"/>
        <w:rPr>
          <w:rFonts w:ascii="Times New Roman" w:cs="Times New Roman" w:eastAsia="Times New Roman" w:hAnsi="Times New Roman"/>
          <w:sz w:val="18"/>
          <w:szCs w:val="18"/>
          <w:color w:val="107072"/>
          <w:vertAlign w:val="superscript"/>
        </w:rPr>
      </w:pPr>
    </w:p>
    <w:p>
      <w:pPr>
        <w:ind w:left="300" w:hanging="292"/>
        <w:spacing w:after="0" w:line="209" w:lineRule="auto"/>
        <w:tabs>
          <w:tab w:leader="none" w:pos="300" w:val="left"/>
        </w:tabs>
        <w:numPr>
          <w:ilvl w:val="0"/>
          <w:numId w:val="8"/>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Trial ongoing in China only.</w:t>
      </w:r>
    </w:p>
    <w:p>
      <w:pPr>
        <w:spacing w:after="0" w:line="49" w:lineRule="exact"/>
        <w:rPr>
          <w:rFonts w:ascii="Times New Roman" w:cs="Times New Roman" w:eastAsia="Times New Roman" w:hAnsi="Times New Roman"/>
          <w:sz w:val="18"/>
          <w:szCs w:val="18"/>
          <w:color w:val="107072"/>
          <w:vertAlign w:val="superscript"/>
        </w:rPr>
      </w:pPr>
    </w:p>
    <w:p>
      <w:pPr>
        <w:ind w:left="320" w:hanging="312"/>
        <w:spacing w:after="0" w:line="209" w:lineRule="auto"/>
        <w:tabs>
          <w:tab w:leader="none" w:pos="320" w:val="left"/>
        </w:tabs>
        <w:numPr>
          <w:ilvl w:val="0"/>
          <w:numId w:val="8"/>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Partnered with University of Pennsylvania.</w:t>
      </w:r>
    </w:p>
    <w:p>
      <w:pPr>
        <w:spacing w:after="0" w:line="62" w:lineRule="exact"/>
        <w:rPr>
          <w:rFonts w:ascii="Times New Roman" w:cs="Times New Roman" w:eastAsia="Times New Roman" w:hAnsi="Times New Roman"/>
          <w:sz w:val="18"/>
          <w:szCs w:val="18"/>
          <w:color w:val="107072"/>
          <w:vertAlign w:val="superscript"/>
        </w:rPr>
      </w:pPr>
    </w:p>
    <w:p>
      <w:pPr>
        <w:ind w:left="320" w:hanging="312"/>
        <w:spacing w:after="0" w:line="209" w:lineRule="auto"/>
        <w:tabs>
          <w:tab w:leader="none" w:pos="320" w:val="left"/>
        </w:tabs>
        <w:numPr>
          <w:ilvl w:val="0"/>
          <w:numId w:val="8"/>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Partnered with Pfizer.</w:t>
      </w:r>
    </w:p>
    <w:p>
      <w:pPr>
        <w:spacing w:after="0" w:line="49" w:lineRule="exact"/>
        <w:rPr>
          <w:rFonts w:ascii="Times New Roman" w:cs="Times New Roman" w:eastAsia="Times New Roman" w:hAnsi="Times New Roman"/>
          <w:sz w:val="18"/>
          <w:szCs w:val="18"/>
          <w:color w:val="107072"/>
          <w:vertAlign w:val="superscript"/>
        </w:rPr>
      </w:pPr>
    </w:p>
    <w:p>
      <w:pPr>
        <w:ind w:left="320" w:hanging="312"/>
        <w:spacing w:after="0" w:line="209" w:lineRule="auto"/>
        <w:tabs>
          <w:tab w:leader="none" w:pos="320" w:val="left"/>
        </w:tabs>
        <w:numPr>
          <w:ilvl w:val="0"/>
          <w:numId w:val="8"/>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Partnered with Fosun Pharma.</w:t>
      </w:r>
    </w:p>
    <w:p>
      <w:pPr>
        <w:spacing w:after="0" w:line="49" w:lineRule="exact"/>
        <w:rPr>
          <w:rFonts w:ascii="Times New Roman" w:cs="Times New Roman" w:eastAsia="Times New Roman" w:hAnsi="Times New Roman"/>
          <w:sz w:val="18"/>
          <w:szCs w:val="18"/>
          <w:color w:val="107072"/>
          <w:vertAlign w:val="superscript"/>
        </w:rPr>
      </w:pPr>
    </w:p>
    <w:p>
      <w:pPr>
        <w:ind w:left="320" w:hanging="312"/>
        <w:spacing w:after="0" w:line="209" w:lineRule="auto"/>
        <w:tabs>
          <w:tab w:leader="none" w:pos="320" w:val="left"/>
        </w:tabs>
        <w:numPr>
          <w:ilvl w:val="0"/>
          <w:numId w:val="8"/>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Funded by the Gates Foundation.</w:t>
      </w:r>
    </w:p>
    <w:p>
      <w:pPr>
        <w:spacing w:after="0" w:line="62" w:lineRule="exact"/>
        <w:rPr>
          <w:rFonts w:ascii="Times New Roman" w:cs="Times New Roman" w:eastAsia="Times New Roman" w:hAnsi="Times New Roman"/>
          <w:sz w:val="18"/>
          <w:szCs w:val="18"/>
          <w:color w:val="107072"/>
          <w:vertAlign w:val="superscript"/>
        </w:rPr>
      </w:pPr>
    </w:p>
    <w:p>
      <w:pPr>
        <w:ind w:left="320" w:hanging="312"/>
        <w:spacing w:after="0" w:line="209" w:lineRule="auto"/>
        <w:tabs>
          <w:tab w:leader="none" w:pos="320" w:val="left"/>
        </w:tabs>
        <w:numPr>
          <w:ilvl w:val="0"/>
          <w:numId w:val="8"/>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Funded by the Coalition for Epidemic Preparedness Innovations (CEPI).</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A. Oncology Programs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1. Pumitamig (BNT327/BMS986545), a Bispecific Immunomodulator Candidate Targeting PD-L1 and VEGF-A</w:t>
      </w:r>
    </w:p>
    <w:p>
      <w:pPr>
        <w:spacing w:after="0" w:line="14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Pumitamig is a bispecific immunomodulator candidate targeting both PD-L1 and VEGF-A. Pumitamig is currently being evaluated in multiple Phase 2 and Phase 3 global and China-only clinical trials to assess its efficacy and safety as monotherapy or in combination with chemotherapy, ADCs, other immunomodulators or mRNA-based cancer immunotherapies in various indications. We and our partner, BMS, currently have seven global registrational trials for pumitamig ongoing. Pumitamig is also being evaluated in combination with next-generation ADC candidates trastuzumab pamirtecan (BNT323/DB-1303), BNT324/DB-1311, sacituzumab drozuntecan (BNT325/DB-1305), BNT326/YL202, BNT3212 and izalontamab brengitecan (iza-bren), and in combination with bispecific antibody candidates BNT314/GEN1059 and BNT3213.</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ROSETTA Lung-01 Phase 3 Clinical Trial in First-Line Extensive-Stage Small Cell Lung Cancer, or ES-SCLC</w:t>
      </w:r>
    </w:p>
    <w:p>
      <w:pPr>
        <w:spacing w:after="0" w:line="144"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A global Phase 3 clinical trial (NCT06712355) is being conducted to evaluate pumitamig in combination with chemotherapy compared to atezolizumab in combination with chemotherapy as a first-line treatment for patients with ES-SCLC.</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29</w:t>
            </w:r>
          </w:p>
        </w:tc>
      </w:tr>
    </w:tbl>
    <w:p>
      <w:pPr>
        <w:sectPr>
          <w:pgSz w:w="11900" w:h="16838" w:orient="portrait"/>
          <w:cols w:equalWidth="0" w:num="1">
            <w:col w:w="11240"/>
          </w:cols>
          <w:pgMar w:left="320" w:top="388" w:right="339" w:bottom="1440" w:gutter="0" w:footer="0" w:header="0"/>
        </w:sectPr>
      </w:pPr>
    </w:p>
    <w:bookmarkStart w:id="38" w:name="page39"/>
    <w:bookmarkEnd w:id="3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trial-in-progress poster was presented at the European Lung Cancer Congress, or ELCC, 2026 in Copenhagen, Denmark.</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3 Clinical Trial in Second-Line Small-Cell Lung Cancer, or SCLC</w:t>
      </w:r>
    </w:p>
    <w:p>
      <w:pPr>
        <w:spacing w:after="0" w:line="144"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A Phase 3 clinical trial (NCT06616532) is being conducted in China to evaluate pumitamig in combination with chemotherapy compared to investigator’s choice chemotherapy as a second-line treatment for patients with SCLC. Enrollment has been terminated and follow-up of patients will continue.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 Clinical Trial in ES-SCLC</w:t>
      </w:r>
    </w:p>
    <w:p>
      <w:pPr>
        <w:spacing w:after="0" w:line="144"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A global Phase 2 clinical trial (NCT06449209) is being conducted to evaluate pumitamig in combination with chemotherapy in patients with untreated ES-SCLC and in patients with SCLC that progressed after first- or second-line treatment. The trial is fully enrolled and treatment is ongoing.</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 Clinical Trial in First-Line ES-SCLC</w:t>
      </w:r>
    </w:p>
    <w:p>
      <w:pPr>
        <w:spacing w:after="0" w:line="144"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A Phase 2 clinical trial (NCT05844150) is being conducted in China to evaluate pumitamig in combination with chemotherapy as a first-line treatment for patients with ES-SCLC.</w:t>
      </w:r>
    </w:p>
    <w:p>
      <w:pPr>
        <w:spacing w:after="0" w:line="217" w:lineRule="exact"/>
        <w:rPr>
          <w:sz w:val="20"/>
          <w:szCs w:val="20"/>
          <w:color w:val="auto"/>
        </w:rPr>
      </w:pPr>
    </w:p>
    <w:p>
      <w:pPr>
        <w:ind w:left="2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March 2026, updated data from this trial were presented at ELCC 2026. Pumitamig in combination with platinum-based chemotherapy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demonstrated encouraging durable efficacy during long-term follow-up. The safety profile was manageable, with a low rate of treatment discontinuation.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 Clinical Trial in Second-Line SCLC</w:t>
      </w:r>
    </w:p>
    <w:p>
      <w:pPr>
        <w:spacing w:after="0" w:line="144"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A Phase 2 clinical trial (NCT05879068) is being conducted in China to evaluate pumitamig in combination with chemotherapy as a second-line treatment for patients with SCLC.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ROSETTA Lung-02 Phase 2/3 Clinical Trial in First-Line NSCLC</w:t>
      </w:r>
    </w:p>
    <w:p>
      <w:pPr>
        <w:spacing w:after="0" w:line="144"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8"/>
          <w:szCs w:val="18"/>
          <w:color w:val="080509"/>
        </w:rPr>
        <w:t>A global Phase 2/3 clinical trial (NCT06712316) is being conducted to evaluate pumitamig in combination with chemotherapy compared to pembrolizumab and chemotherapy as a first-line treatment for patients with NSCLC. The global Phase 3 portion of the trial is underway following completion of the global Phase 2 portion of the trial. Additional patients are being enrolled in China prior to local initiation of Phase 3.</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trial-in-progress poster was presented at ELCC 2026.</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Data from the Phase 2 part of the trial are expected at the American Society of Clinical Oncology, or ASCO, Annual Meeting 2026 (May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29 - June 2,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ROSETTA Lung-201 Phase 3 Clinical Trial in Unresectable Stage III Non-Small Cell Lung Cancer, or NSCLC</w:t>
      </w:r>
    </w:p>
    <w:p>
      <w:pPr>
        <w:spacing w:after="0" w:line="144"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A global Phase 3 clinical trial (NCT07361497) is being conducted to evaluate pumitamig compared to durvalumab following concurrent chemoradiation therapy in patients with unresectable stage III NSCLC.</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30</w:t>
            </w:r>
          </w:p>
        </w:tc>
      </w:tr>
    </w:tbl>
    <w:p>
      <w:pPr>
        <w:sectPr>
          <w:pgSz w:w="11900" w:h="16838" w:orient="portrait"/>
          <w:cols w:equalWidth="0" w:num="1">
            <w:col w:w="11240"/>
          </w:cols>
          <w:pgMar w:left="320" w:top="388" w:right="339" w:bottom="1440" w:gutter="0" w:footer="0" w:header="0"/>
        </w:sectPr>
      </w:pPr>
    </w:p>
    <w:bookmarkStart w:id="39" w:name="page40"/>
    <w:bookmarkEnd w:id="3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ROSETTA Lung-202 Phase 3 Clinical Trial in First-Line NSCLC</w:t>
      </w:r>
    </w:p>
    <w:p>
      <w:pPr>
        <w:spacing w:after="0" w:line="144"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A global Phase 3 clinical trial (NCT07361510) is being conducted to evaluate pumitamig compared to pembrolizumab as a first-line treatment for patients with advanced PD-L1 ≥ 50% NSCLC.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ROSETTA Lung-107 Phase 2 Clinical Trial in Second-Line NSCLC</w:t>
      </w:r>
    </w:p>
    <w:p>
      <w:pPr>
        <w:spacing w:after="0" w:line="144"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A global Phase 2 clinical trial (NCT06841055) is being conducted to evaluate pumitamig in combination with docetaxel as a second-line treatment for patients with NSCLC.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 Clinical Trial in EGFR-mutant Non-Squamous NSCLC</w:t>
      </w:r>
    </w:p>
    <w:p>
      <w:pPr>
        <w:spacing w:after="0" w:line="144"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A Phase 2 clinical trial (NCT05756972) is being conducted in China to evaluate pumitamig in combination with chemotherapy in patients with EGFR-mutant non-squamous NSCLC who progressed after EGFR-tyrosine kinase inhibitor treatment.</w:t>
      </w:r>
    </w:p>
    <w:p>
      <w:pPr>
        <w:spacing w:after="0" w:line="217" w:lineRule="exact"/>
        <w:rPr>
          <w:sz w:val="20"/>
          <w:szCs w:val="20"/>
          <w:color w:val="auto"/>
        </w:rPr>
      </w:pPr>
    </w:p>
    <w:p>
      <w:pPr>
        <w:ind w:left="220" w:hanging="204"/>
        <w:spacing w:after="0" w:line="32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March 2026, data from this trial were presented at ELCC 2026. Pumitamig in combination with chemotherapy showed encouraging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antitumor activity in patients with EGFR-mutated locally advanced or metastatic non-squamous NSCLC who progressed on or after at least one prior EGFR-TKI treatment. Encouraging clinical activity of pumitamig plus chemotherapy was observed across PD-L1 expression levels, with the highest objective response rate, or ORR, progression-free survival, or PFS, and overall survival, or OS, observed in patients with high (≥50%) PD-L1 expression. Pumitamig demonstrated manageable safety and tolerability, with a low rate of treatment discontinuation.</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ROSETTA Breast-01 Phase 3 Clinical Trial in Locally Advanced or Metastatic First-Line Triple-Negative Breast Cancer, or TNBC</w:t>
      </w:r>
    </w:p>
    <w:p>
      <w:pPr>
        <w:spacing w:after="0" w:line="144" w:lineRule="exact"/>
        <w:rPr>
          <w:sz w:val="20"/>
          <w:szCs w:val="20"/>
          <w:color w:val="auto"/>
        </w:rPr>
      </w:pPr>
    </w:p>
    <w:p>
      <w:pPr>
        <w:spacing w:after="0" w:line="344" w:lineRule="auto"/>
        <w:rPr>
          <w:sz w:val="20"/>
          <w:szCs w:val="20"/>
          <w:color w:val="auto"/>
        </w:rPr>
      </w:pPr>
      <w:r>
        <w:rPr>
          <w:rFonts w:ascii="Times New Roman" w:cs="Times New Roman" w:eastAsia="Times New Roman" w:hAnsi="Times New Roman"/>
          <w:sz w:val="18"/>
          <w:szCs w:val="18"/>
          <w:color w:val="080509"/>
        </w:rPr>
        <w:t>A global Phase 3 clinical trial (NCT07173751) is being conducted to evaluate pumitamig in combination with chemotherapy compared to chemotherapy alone as a first-line treatment for patients with PD-L1 combined positive score, or CPS, ≤ 10 TNBC.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3 Clinical Trial in Locally Advanced or Metastatic First-Line TNBC</w:t>
      </w:r>
    </w:p>
    <w:p>
      <w:pPr>
        <w:spacing w:after="0" w:line="144"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A Phase 3 clinical trial (NCT06419621) is being conducted in China to evaluate pumitamig in combination with chemotherapy compared to chemotherapy alone as a first-line treatment for patients with locally advanced or metastatic TNBC.</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Based on current event accrual projections, we expect first interim data from this trial in 2026.</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 Clinical Trial in Locally Advanced or Metastatic TNBC</w:t>
      </w:r>
    </w:p>
    <w:p>
      <w:pPr>
        <w:spacing w:after="0" w:line="144" w:lineRule="exact"/>
        <w:rPr>
          <w:sz w:val="20"/>
          <w:szCs w:val="20"/>
          <w:color w:val="auto"/>
        </w:rPr>
      </w:pPr>
    </w:p>
    <w:p>
      <w:pPr>
        <w:spacing w:after="0" w:line="344" w:lineRule="auto"/>
        <w:rPr>
          <w:sz w:val="20"/>
          <w:szCs w:val="20"/>
          <w:color w:val="auto"/>
        </w:rPr>
      </w:pPr>
      <w:r>
        <w:rPr>
          <w:rFonts w:ascii="Times New Roman" w:cs="Times New Roman" w:eastAsia="Times New Roman" w:hAnsi="Times New Roman"/>
          <w:sz w:val="18"/>
          <w:szCs w:val="18"/>
          <w:color w:val="080509"/>
        </w:rPr>
        <w:t>A global Phase 2 clinical trial (NCT06449222) is being conducted to evaluate pumitamig in combination with chemotherapy as a first- and second-line treatment for patients with locally advanced or metastatic TNBC.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1/2 Clinical Trial in Locally Advanced or Metastatic TNBC</w:t>
      </w:r>
    </w:p>
    <w:p>
      <w:pPr>
        <w:spacing w:after="0" w:line="144"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A Phase 1/2 clinical trial (NCT05918133) is being conducted in China to evaluate pumitamig in combination with chemotherapy in patients with locally advanced or metastatic TNBC without previous systematic treatment.</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31</w:t>
            </w:r>
          </w:p>
        </w:tc>
      </w:tr>
    </w:tbl>
    <w:p>
      <w:pPr>
        <w:sectPr>
          <w:pgSz w:w="11900" w:h="16838" w:orient="portrait"/>
          <w:cols w:equalWidth="0" w:num="1">
            <w:col w:w="11240"/>
          </w:cols>
          <w:pgMar w:left="320" w:top="388" w:right="339" w:bottom="1440" w:gutter="0" w:footer="0" w:header="0"/>
        </w:sectPr>
      </w:pPr>
    </w:p>
    <w:bookmarkStart w:id="40" w:name="page41"/>
    <w:bookmarkEnd w:id="4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ROSETTA CRC-203 Phase 2/3 Clinical Trial in Metastatic First-Line MSS Colorectal Cancer, or CRC</w:t>
      </w:r>
    </w:p>
    <w:p>
      <w:pPr>
        <w:spacing w:after="0" w:line="144"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A global Phase 2/3 clinical trial (NCT07221357) is being conducted to evaluate pumitamig as a first-line treatment for patients with microsatellite stable, or MSS, in combination with different CT regimens compared to standard of care or microsatellite instability-low and proficient mismatch repair, or MSI-L/pMMR, metastatic colorectal cancer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 Clinical Trial in Metastatic First-Line CRC</w:t>
      </w:r>
    </w:p>
    <w:p>
      <w:pPr>
        <w:spacing w:after="0" w:line="144"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A Phase 2 clinical trial (NCT07133750) is being conducted in China to evaluate pumitamig in combination with chemotherapy as a first-line treatment in patients with MSS or MSI-L/pMMR metastatic colorectal cancer.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expect data from this trial in 2026.</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ROSETTA Gastric-204 Phase 2/3 Clinical Trial in Metastatic First-Line Gastric Cancer</w:t>
      </w:r>
    </w:p>
    <w:p>
      <w:pPr>
        <w:spacing w:after="0" w:line="144"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A global Phase 2/3 clinical trial (NCT07221149) is being conducted to evaluate pumitamig in combination with chemotherapy compared to nivolumab in combination with chemotherapy as a first-line treatment for patients with metastatic gastric cancer.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ROSETTA HNSCC-205 Phase 2/3 Clinical Trial in First-Line Head and Neck Squamous Cell Carcinoma, or HNSCC</w:t>
      </w:r>
    </w:p>
    <w:p>
      <w:pPr>
        <w:spacing w:after="0" w:line="144"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BioNTech and BMS are focused on maximizing and optimizing pumitamig's potential across tumor types. In response to the evolving treatment landscape, we are adapting previously announced development plans for pumitamig in HNSCC and no longer anticipate a Phase 3 HNSCC trial initiation in 2026.</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 Clinical Trial in First-Line Hepatocellular Carcinoma, or HCC</w:t>
      </w:r>
    </w:p>
    <w:p>
      <w:pPr>
        <w:spacing w:after="0" w:line="144"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A Phase 2 clinical trial (NCT05864105) is being conducted in China to evaluate pumitamig in combination with chemotherapy as a first-line treatment for patients with unresectable HCC.</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expect data from this trial in 2026.</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ROSETTA HCC-206 Phase 1/2 Clinical Trial in First-Line HCC</w:t>
      </w:r>
    </w:p>
    <w:p>
      <w:pPr>
        <w:spacing w:after="0" w:line="144" w:lineRule="exact"/>
        <w:rPr>
          <w:sz w:val="20"/>
          <w:szCs w:val="20"/>
          <w:color w:val="auto"/>
        </w:rPr>
      </w:pPr>
    </w:p>
    <w:p>
      <w:pPr>
        <w:spacing w:after="0" w:line="344" w:lineRule="auto"/>
        <w:rPr>
          <w:sz w:val="20"/>
          <w:szCs w:val="20"/>
          <w:color w:val="auto"/>
        </w:rPr>
      </w:pPr>
      <w:r>
        <w:rPr>
          <w:rFonts w:ascii="Times New Roman" w:cs="Times New Roman" w:eastAsia="Times New Roman" w:hAnsi="Times New Roman"/>
          <w:sz w:val="18"/>
          <w:szCs w:val="18"/>
          <w:color w:val="080509"/>
        </w:rPr>
        <w:t>A Phase 1/2 clinical trial (NCT07291076) is being conducted to evaluate pumitamig alone or in combination with ipilimumab as a first-line treatment for patients with advanced or unresectable HCC.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 Clinical Trial in First-Line Malignant Mesothelioma</w:t>
      </w:r>
    </w:p>
    <w:p>
      <w:pPr>
        <w:spacing w:after="0" w:line="144"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A Phase 2 clinical trial (NCT05918107) is being conducted in China to evaluate pumitamig in combination with chemotherapy as a first-line treatment for patients with malignant mesothelioma.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 Clinical Trial in Second-Line Neuroendocrine Neoplasm, or NEN</w:t>
      </w:r>
    </w:p>
    <w:p>
      <w:pPr>
        <w:spacing w:after="0" w:line="144"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A Phase 2 clinical trial (NCT05879055) is being conducted in China to evaluate pumitamig in combination with chemotherapy as a second-line treatment for patients with NEN.</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32</w:t>
            </w:r>
          </w:p>
        </w:tc>
      </w:tr>
    </w:tbl>
    <w:p>
      <w:pPr>
        <w:sectPr>
          <w:pgSz w:w="11900" w:h="16838" w:orient="portrait"/>
          <w:cols w:equalWidth="0" w:num="1">
            <w:col w:w="11240"/>
          </w:cols>
          <w:pgMar w:left="320" w:top="388" w:right="339" w:bottom="1440" w:gutter="0" w:footer="0" w:header="0"/>
        </w:sectPr>
      </w:pPr>
    </w:p>
    <w:bookmarkStart w:id="41" w:name="page42"/>
    <w:bookmarkEnd w:id="4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 Clinical Trial in First-Line Pancreatic Ductal Adenocarcinoma, or PDAC</w:t>
      </w:r>
    </w:p>
    <w:p>
      <w:pPr>
        <w:spacing w:after="0" w:line="144"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A Phase 2 clinical trial (NCT07255404) is being conducted in China to evaluate pumitamig in combination with chemotherapy as a first-line treatment for patients with metastatic PDAC.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 Clinical Trial in Second-Line Glioblastoma</w:t>
      </w:r>
    </w:p>
    <w:p>
      <w:pPr>
        <w:spacing w:after="0" w:line="144" w:lineRule="exact"/>
        <w:rPr>
          <w:sz w:val="20"/>
          <w:szCs w:val="20"/>
          <w:color w:val="auto"/>
        </w:rPr>
      </w:pPr>
    </w:p>
    <w:p>
      <w:pPr>
        <w:spacing w:after="0" w:line="344" w:lineRule="auto"/>
        <w:rPr>
          <w:sz w:val="20"/>
          <w:szCs w:val="20"/>
          <w:color w:val="auto"/>
        </w:rPr>
      </w:pPr>
      <w:r>
        <w:rPr>
          <w:rFonts w:ascii="Times New Roman" w:cs="Times New Roman" w:eastAsia="Times New Roman" w:hAnsi="Times New Roman"/>
          <w:sz w:val="18"/>
          <w:szCs w:val="18"/>
          <w:color w:val="080509"/>
        </w:rPr>
        <w:t>A Phase 2 clinical trial (NCT07297212) is being conducted in China to evaluate pumitamig alone or in combination with temozolomide as a second-line treatment for patients with recurrent glioblastoma.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ROSETTA RCC-208 Phase 1/2 Clinical Trial in Renal Cell Carcinoma, or RCC</w:t>
      </w:r>
    </w:p>
    <w:p>
      <w:pPr>
        <w:spacing w:after="0" w:line="144"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A Phase 1/2 clinical trial (NCT07293351) is being conducted to evaluate pumitamig alone or in combination with ipilimumab or cabozantinib in patients with advanced RCC.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1/2 Clinical Trial in Advanced Solid Tumors</w:t>
      </w:r>
    </w:p>
    <w:p>
      <w:pPr>
        <w:spacing w:after="0" w:line="144"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8"/>
          <w:szCs w:val="18"/>
          <w:color w:val="080509"/>
        </w:rPr>
        <w:t>A Phase 1/2 clinical trial (NCT05918445) is being conducted in China to evaluate pumitamig as a monotherapy in patients with advanced solid tumors.</w:t>
      </w:r>
    </w:p>
    <w:p>
      <w:pPr>
        <w:spacing w:after="0" w:line="200" w:lineRule="exact"/>
        <w:rPr>
          <w:sz w:val="20"/>
          <w:szCs w:val="20"/>
          <w:color w:val="auto"/>
        </w:rPr>
      </w:pPr>
    </w:p>
    <w:p>
      <w:pPr>
        <w:spacing w:after="0" w:line="358"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March 2026, updated data from this trial were presented at ELCC 2026. Pumitamig showed encouraging antitumor activity in patients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with previously untreated advanced NSCLC with PD-L1 expression ≥1%, including those with squamous cell carcinoma. Pumitamig demonstrated manageable safety and tolerability, with a low rate of treatment discontinuation.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We have initiated several signal-seeking clinical trials to evaluate pumitamig with some of our proprietary novel assets in our portfolio:</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Combination with Trastuzumab Pamirtecan (BNT323/DB-1303) Phase 1/2 Clinical Trial in Advanced/Metastatic Breast Cancer</w:t>
      </w:r>
    </w:p>
    <w:p>
      <w:pPr>
        <w:spacing w:after="0" w:line="144"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A Phase 1/2 clinical trial (NCT06827236) is being conducted to evaluate trastuzumab pamirtecan in combination with pumitamig in patients with hormone receptor-positive (HR+) or hormone receptor-negative (HR-), human epidermal growth factor (HER)2-low, ultra-low, or null advanced metastatic breast cancer or TNBC.</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expect data from this trial in 2026.</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Combination with BNT324/DB-1311 Phase 1/2 Clinical Trial in Advanced Lung Cancers</w:t>
      </w:r>
    </w:p>
    <w:p>
      <w:pPr>
        <w:spacing w:after="0" w:line="144"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A Phase 1/2 clinical trial (NCT06892548) is being conducted to evaluate BNT324/DB-1311 in combination with pumitamig in patients with advanced lung cancers.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expect data from this trial in 2026.</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Combination with BNT324/DB-1311 Phase 2 Clinical Trial in Advanced/Metastatic Solid Tumors</w:t>
      </w:r>
    </w:p>
    <w:p>
      <w:pPr>
        <w:spacing w:after="0" w:line="144"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A Phase 2 clinical trial (NCT06953089) is being conducted to evaluate BNT324/DB-1311 in combination with pumitamig or with TROP2 ADC candidate sacituzumab drozuntecan (BNT325/DB-1305) in patients with advanced solid tumors.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expect data from this trial in 2026.</w:t>
      </w:r>
    </w:p>
    <w:p>
      <w:pPr>
        <w:sectPr>
          <w:pgSz w:w="11900" w:h="16838" w:orient="portrait"/>
          <w:cols w:equalWidth="0" w:num="1">
            <w:col w:w="11240"/>
          </w:cols>
          <w:pgMar w:left="320" w:top="3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r>
        <w:rPr>
          <w:sz w:val="20"/>
          <w:szCs w:val="20"/>
          <w:color w:val="auto"/>
        </w:rPr>
        <w:tab/>
      </w:r>
      <w:r>
        <w:rPr>
          <w:rFonts w:ascii="Times New Roman" w:cs="Times New Roman" w:eastAsia="Times New Roman" w:hAnsi="Times New Roman"/>
          <w:sz w:val="22"/>
          <w:szCs w:val="22"/>
          <w:b w:val="1"/>
          <w:bCs w:val="1"/>
          <w:color w:val="C3C3C3"/>
        </w:rPr>
        <w:t>33</w:t>
      </w:r>
    </w:p>
    <w:p>
      <w:pPr>
        <w:sectPr>
          <w:pgSz w:w="11900" w:h="16838" w:orient="portrait"/>
          <w:cols w:equalWidth="0" w:num="1">
            <w:col w:w="11240"/>
          </w:cols>
          <w:pgMar w:left="320" w:top="388" w:right="339" w:bottom="1440" w:gutter="0" w:footer="0" w:header="0"/>
          <w:type w:val="continuous"/>
        </w:sectPr>
      </w:pPr>
    </w:p>
    <w:bookmarkStart w:id="42" w:name="page43"/>
    <w:bookmarkEnd w:id="4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Combination with Sacituzumab Drozuntecan (BNT325/DB-1305) Phase 1/2 Clinical Trial in Advanced Solid Tumors</w:t>
      </w:r>
    </w:p>
    <w:p>
      <w:pPr>
        <w:spacing w:after="0" w:line="144" w:lineRule="exact"/>
        <w:rPr>
          <w:sz w:val="20"/>
          <w:szCs w:val="20"/>
          <w:color w:val="auto"/>
        </w:rPr>
      </w:pPr>
    </w:p>
    <w:p>
      <w:pPr>
        <w:spacing w:after="0" w:line="344" w:lineRule="auto"/>
        <w:rPr>
          <w:sz w:val="20"/>
          <w:szCs w:val="20"/>
          <w:color w:val="auto"/>
        </w:rPr>
      </w:pPr>
      <w:r>
        <w:rPr>
          <w:rFonts w:ascii="Times New Roman" w:cs="Times New Roman" w:eastAsia="Times New Roman" w:hAnsi="Times New Roman"/>
          <w:sz w:val="18"/>
          <w:szCs w:val="18"/>
          <w:color w:val="080509"/>
        </w:rPr>
        <w:t>A Phase 1/2 clinical trial (NCT05438329) is being conducted to evaluate sacituzumab drozuntecan in patients with advanced solid tumors. As part of this clinical trial, pumitamig is being evaluated in combination with sacituzumab drozuntecan in various solid tumor indications.</w:t>
      </w:r>
    </w:p>
    <w:p>
      <w:pPr>
        <w:spacing w:after="0" w:line="217"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expect to present data from the Phase 2 part of this trial in patients with TNBC at the ESMO Breast Cancer Annual Congress 2026 in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Berlin, Germany.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Combination with BNT326/YL202 Phase 1/2 Clinical Trial in Advanced Solid Tumors</w:t>
      </w:r>
    </w:p>
    <w:p>
      <w:pPr>
        <w:spacing w:after="0" w:line="144"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A Phase 1/2 clinical trial (NCT07070232) is being conducted to evaluate BNT326/YL202 as monotherapy and in combination with pumitamig in advanced solid tumors.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Combination with BNT326/YL202 Phase 1/2 Clinical Trial in Advanced NSCLC</w:t>
      </w:r>
    </w:p>
    <w:p>
      <w:pPr>
        <w:spacing w:after="0" w:line="144"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8"/>
          <w:szCs w:val="18"/>
          <w:color w:val="080509"/>
        </w:rPr>
        <w:t>A Phase 1/2 clinical trial (NCT07111520) is being conducted to evaluate BNT326/YL202 in combination with pumitamig in advanced NSCLC.</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trial-in-progress poster was presented at ELCC 2026.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expect data from this trial in patients with NSCLC or 2L+ EGFRm NSCLC in 2026.</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Combination with BNT314/GEN1059 Phase 1/2 Clinical Trial in Advanced/Metastatic CRC</w:t>
      </w:r>
    </w:p>
    <w:p>
      <w:pPr>
        <w:spacing w:after="0" w:line="144"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A Phase 1/2 clinical trial (NCT07079631) is being conducted to evaluate BNT314/GEN1059 in combination with pumitamig and chemotherapy in patients with advanced CRC.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Combination with BNT3212 Phase 1/2 Clinical Trial in Advanced Solid Tumors</w:t>
      </w:r>
    </w:p>
    <w:p>
      <w:pPr>
        <w:spacing w:after="0" w:line="144"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A Phase 1/2 clinical trial (NCT07147348) is being conducted to evaluate BNT3212, a novel bispecific antibody-drug conjugate candidate targeting EGFR and HER3, for use as monotherapy and in combination with pumitamig in patients with advanced solid tumors.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Combination with BNT3213 Phase 1/2 Clinical Trial in First-Line HCC</w:t>
      </w:r>
    </w:p>
    <w:p>
      <w:pPr>
        <w:spacing w:after="0" w:line="144"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A Phase 1/2 clinical trial (NCT06584071) is being conducted in China to evaluate pumitamig in combination with BNT3213, a novel bispecific antibody candidate targeting TIGIT and PVRIG, as a first-line treatment for patients with locally advanced or metastatic HCC.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1b/2 Clinical Trial in ES-SCLC in Collaboration with Boehringer Ingelheim</w:t>
      </w:r>
    </w:p>
    <w:p>
      <w:pPr>
        <w:spacing w:after="0" w:line="144" w:lineRule="exact"/>
        <w:rPr>
          <w:sz w:val="20"/>
          <w:szCs w:val="20"/>
          <w:color w:val="auto"/>
        </w:rPr>
      </w:pPr>
    </w:p>
    <w:p>
      <w:pPr>
        <w:ind w:right="20"/>
        <w:spacing w:after="0" w:line="266" w:lineRule="exact"/>
        <w:rPr>
          <w:sz w:val="20"/>
          <w:szCs w:val="20"/>
          <w:color w:val="auto"/>
        </w:rPr>
      </w:pPr>
      <w:r>
        <w:rPr>
          <w:rFonts w:ascii="Times New Roman" w:cs="Times New Roman" w:eastAsia="Times New Roman" w:hAnsi="Times New Roman"/>
          <w:sz w:val="18"/>
          <w:szCs w:val="18"/>
          <w:color w:val="080509"/>
        </w:rPr>
        <w:t>A Phase 1b/2 clinical trial to evaluate the safety, tolerability and early clinical activity of pumitamig in combination with obrixtamig (BI 764532), Boehringer Ingelheim’s investigational DLL3/CD3 T</w:t>
      </w:r>
      <w:r>
        <w:rPr>
          <w:rFonts w:ascii="MS PGothic" w:cs="MS PGothic" w:eastAsia="MS PGothic" w:hAnsi="MS PGothic"/>
          <w:sz w:val="18"/>
          <w:szCs w:val="18"/>
          <w:color w:val="080509"/>
        </w:rPr>
        <w:t>‑</w:t>
      </w:r>
      <w:r>
        <w:rPr>
          <w:rFonts w:ascii="Times New Roman" w:cs="Times New Roman" w:eastAsia="Times New Roman" w:hAnsi="Times New Roman"/>
          <w:sz w:val="18"/>
          <w:szCs w:val="18"/>
          <w:color w:val="080509"/>
        </w:rPr>
        <w:t>cell engager, in ES-SCLC is planned to start in 2026.</w:t>
      </w:r>
    </w:p>
    <w:p>
      <w:pPr>
        <w:spacing w:after="0" w:line="279"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We, together with our partner BMS, are initiating other Phase 1 signal-seeking, novel-novel trials of pumitamig with internal or BMS proprietary assets, and various Medical Evidence Generation studies with key opinion leaders are being planned.</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34</w:t>
            </w:r>
          </w:p>
        </w:tc>
      </w:tr>
    </w:tbl>
    <w:p>
      <w:pPr>
        <w:sectPr>
          <w:pgSz w:w="11900" w:h="16838" w:orient="portrait"/>
          <w:cols w:equalWidth="0" w:num="1">
            <w:col w:w="11240"/>
          </w:cols>
          <w:pgMar w:left="320" w:top="388" w:right="339" w:bottom="1440" w:gutter="0" w:footer="0" w:header="0"/>
        </w:sectPr>
      </w:pPr>
    </w:p>
    <w:bookmarkStart w:id="43" w:name="page44"/>
    <w:bookmarkEnd w:id="4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2. iNeST and FixVac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a) Autogene Cevumeran (RO7198457/BNT122), an Individualized Neoantigen Specific Immunotherapy, or iNeST</w:t>
      </w:r>
    </w:p>
    <w:p>
      <w:pPr>
        <w:spacing w:after="0" w:line="144"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Autogene cevumeran is an investigational individualized mRNA cancer immunotherapy based on specific neoantigens that are present on a patient’s tumor.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BNT122-01 Phase 2 Clinical Trial in Adjuvant CRC</w:t>
      </w:r>
    </w:p>
    <w:p>
      <w:pPr>
        <w:spacing w:after="0" w:line="144"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8"/>
          <w:szCs w:val="18"/>
          <w:color w:val="080509"/>
        </w:rPr>
        <w:t>A randomized Phase 2 clinical trial (NCT04486378) is being conducted to evaluate autogene cevumeran as an adjuvant treatment of circulating tumor DNA, or ctDNA, positive, surgically resected Stage II (high risk)/Stage III CRC. The trial is expected to enroll about 327 patients to evaluate the efficacy of autogene cevumeran compared to watchful waiting after surgery and chemotherapy, which is the current standard of care for these high-risk patients. The primary endpoint for the trial is disease-free survival, or DFS. Secondary objectives include OS and safety.</w:t>
      </w:r>
    </w:p>
    <w:p>
      <w:pPr>
        <w:spacing w:after="0" w:line="200" w:lineRule="exact"/>
        <w:rPr>
          <w:sz w:val="20"/>
          <w:szCs w:val="20"/>
          <w:color w:val="auto"/>
        </w:rPr>
      </w:pPr>
    </w:p>
    <w:p>
      <w:pPr>
        <w:spacing w:after="0" w:line="295"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 update from the ongoing Phase 2 trial in Stage II (high-risk)/ Stage III ctDNA+ adjuvant CRC is expected in 2026. The data read-out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from the final analysis of this trial is expected in 2027.</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IMCODE003 Phase 2 Clinical Trial in Adjuvant PDAC</w:t>
      </w:r>
    </w:p>
    <w:p>
      <w:pPr>
        <w:spacing w:after="0" w:line="144"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A Phase 2 clinical trial (NCT05968326) is being conducted to evaluate autogene cevumeran in combination with atezolizumab followed by chemotherapy compared to chemotherapy alone as an adjuvant treatment for patients with resected PDAC who have not received prior systemic anti-cancer treatment and showed no evidence of disease after surgery. The trial is expected to enroll 260 patients. The primary endpoint is DFS. Secondary endpoints include OS and safety.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b) FixVac</w:t>
      </w:r>
    </w:p>
    <w:p>
      <w:pPr>
        <w:spacing w:after="0" w:line="142" w:lineRule="exact"/>
        <w:rPr>
          <w:sz w:val="20"/>
          <w:szCs w:val="20"/>
          <w:color w:val="auto"/>
        </w:rPr>
      </w:pPr>
    </w:p>
    <w:p>
      <w:pPr>
        <w:jc w:val="both"/>
        <w:ind w:right="20"/>
        <w:spacing w:after="0" w:line="347" w:lineRule="auto"/>
        <w:rPr>
          <w:sz w:val="20"/>
          <w:szCs w:val="20"/>
          <w:color w:val="auto"/>
        </w:rPr>
      </w:pPr>
      <w:r>
        <w:rPr>
          <w:rFonts w:ascii="Times New Roman" w:cs="Times New Roman" w:eastAsia="Times New Roman" w:hAnsi="Times New Roman"/>
          <w:sz w:val="18"/>
          <w:szCs w:val="18"/>
          <w:i w:val="1"/>
          <w:iCs w:val="1"/>
          <w:color w:val="080509"/>
        </w:rPr>
        <w:t xml:space="preserve">FixVac </w:t>
      </w:r>
      <w:r>
        <w:rPr>
          <w:rFonts w:ascii="Times New Roman" w:cs="Times New Roman" w:eastAsia="Times New Roman" w:hAnsi="Times New Roman"/>
          <w:sz w:val="18"/>
          <w:szCs w:val="18"/>
          <w:color w:val="080509"/>
        </w:rPr>
        <w:t>is our fully owned, systemic, off-the-shelf mRNA-based cancer immunotherapy approach.</w:t>
      </w:r>
      <w:r>
        <w:rPr>
          <w:rFonts w:ascii="Times New Roman" w:cs="Times New Roman" w:eastAsia="Times New Roman" w:hAnsi="Times New Roman"/>
          <w:sz w:val="18"/>
          <w:szCs w:val="18"/>
          <w:i w:val="1"/>
          <w:iCs w:val="1"/>
          <w:color w:val="080509"/>
        </w:rPr>
        <w:t xml:space="preserve"> FixVac </w:t>
      </w:r>
      <w:r>
        <w:rPr>
          <w:rFonts w:ascii="Times New Roman" w:cs="Times New Roman" w:eastAsia="Times New Roman" w:hAnsi="Times New Roman"/>
          <w:sz w:val="18"/>
          <w:szCs w:val="18"/>
          <w:color w:val="080509"/>
        </w:rPr>
        <w:t>candidates are designed to target</w:t>
      </w:r>
      <w:r>
        <w:rPr>
          <w:rFonts w:ascii="Times New Roman" w:cs="Times New Roman" w:eastAsia="Times New Roman" w:hAnsi="Times New Roman"/>
          <w:sz w:val="18"/>
          <w:szCs w:val="18"/>
          <w:i w:val="1"/>
          <w:iCs w:val="1"/>
          <w:color w:val="080509"/>
        </w:rPr>
        <w:t xml:space="preserve"> </w:t>
      </w:r>
      <w:r>
        <w:rPr>
          <w:rFonts w:ascii="Times New Roman" w:cs="Times New Roman" w:eastAsia="Times New Roman" w:hAnsi="Times New Roman"/>
          <w:sz w:val="18"/>
          <w:szCs w:val="18"/>
          <w:color w:val="080509"/>
        </w:rPr>
        <w:t>shared antigens that have been identified to be frequently expressed across patients with a specific cancer type.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BNT113</w:t>
      </w:r>
    </w:p>
    <w:p>
      <w:pPr>
        <w:spacing w:after="0" w:line="144"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BNT113 contains two different RNAs encoding the two HPV16 oncoproteins E6 and E7, which are exclusively expressed in pre-malignant and malignant tissue.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AHEAD-MERIT Phase 2/3 Clinical Trial in Unresectable Recurrent or Metastatic, PD-L1+, HPV16+ HNSCC</w:t>
      </w:r>
    </w:p>
    <w:p>
      <w:pPr>
        <w:spacing w:after="0" w:line="144"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A Phase 2/3 clinical trial (AHEAD-MERIT; NCT04534205) is being conducted to evaluate BNT113 in combination with pembrolizumab versus pembrolizumab monotherapy as a first-line treatment for patients with unresectable recurrent or metastatic, PD-L1+, HPV16+ HNSCC.</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Based on current event accrual projections, we expect data from the first interim analysis from the Phase 3 part of this trial in 2026.</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BNT116</w:t>
      </w:r>
    </w:p>
    <w:p>
      <w:pPr>
        <w:spacing w:after="0" w:line="144"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BNT116 is comprised of six different NSCLC-associated tumor-associated antigens. BNT116 is being evaluated in two clinical trials as monotherapy and in combination with other immunotherapies, ADCs and chemotherapies in patients with advanced or metastasized NSCLC.</w:t>
      </w:r>
    </w:p>
    <w:p>
      <w:pPr>
        <w:sectPr>
          <w:pgSz w:w="11900" w:h="16838" w:orient="portrait"/>
          <w:cols w:equalWidth="0" w:num="1">
            <w:col w:w="11240"/>
          </w:cols>
          <w:pgMar w:left="320" w:top="388"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r>
        <w:rPr>
          <w:sz w:val="20"/>
          <w:szCs w:val="20"/>
          <w:color w:val="auto"/>
        </w:rPr>
        <w:tab/>
      </w:r>
      <w:r>
        <w:rPr>
          <w:rFonts w:ascii="Times New Roman" w:cs="Times New Roman" w:eastAsia="Times New Roman" w:hAnsi="Times New Roman"/>
          <w:sz w:val="22"/>
          <w:szCs w:val="22"/>
          <w:b w:val="1"/>
          <w:bCs w:val="1"/>
          <w:color w:val="C3C3C3"/>
        </w:rPr>
        <w:t>35</w:t>
      </w:r>
    </w:p>
    <w:p>
      <w:pPr>
        <w:sectPr>
          <w:pgSz w:w="11900" w:h="16838" w:orient="portrait"/>
          <w:cols w:equalWidth="0" w:num="1">
            <w:col w:w="11240"/>
          </w:cols>
          <w:pgMar w:left="320" w:top="388" w:right="339" w:bottom="1440" w:gutter="0" w:footer="0" w:header="0"/>
          <w:type w:val="continuous"/>
        </w:sectPr>
      </w:pPr>
    </w:p>
    <w:bookmarkStart w:id="44" w:name="page45"/>
    <w:bookmarkEnd w:id="4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EMPOWERVAX Lung 1 Phase 2 Clinical Trial in PD-L1 ≥ 50% Advanced NSCLC</w:t>
      </w:r>
    </w:p>
    <w:p>
      <w:pPr>
        <w:spacing w:after="0" w:line="144"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A Phase 2 clinical trial (NCT05557591) is being conducted in collaboration with Regeneron to evaluate BNT116 in combination with cemiplimab versus cemiplimab alone as a first-line treatment for patients with advanced NSCLC whose tumors express PD-L1 in ≥ 50% of their tumor cells. The primary objective of the Phase 2 trial is to assess the ORR per blinded-independent review committee.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LuCa-MERIT-1 Phase 1 Clinical Trial in NSCLC</w:t>
      </w:r>
    </w:p>
    <w:p>
      <w:pPr>
        <w:spacing w:after="0" w:line="144"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A Phase 1 clinical trial (NCT05142189) is being conducted to evaluate the safety, tolerability and preliminary efficacy of BNT116 as monotherapy and in several combinations including with chemotherapy, cemiplimab, and some of our proprietary assets across various treatment lines and clinical settings in patients with NSCLC.</w:t>
      </w:r>
    </w:p>
    <w:p>
      <w:pPr>
        <w:spacing w:after="0" w:line="231" w:lineRule="exact"/>
        <w:rPr>
          <w:sz w:val="20"/>
          <w:szCs w:val="20"/>
          <w:color w:val="auto"/>
        </w:rPr>
      </w:pPr>
    </w:p>
    <w:p>
      <w:pPr>
        <w:ind w:left="220" w:right="20" w:hanging="204"/>
        <w:spacing w:after="0" w:line="33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April 2026, at the 2026 Annual Meeting of the American Association for Cancer Research, or AACR, clinical and ctDNA data from</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three cohorts evaluating BNT116 in combination with cemiplimab from the Phase 1 trial described above were presented. BNT116 in combination with cemiplimab demonstrated clinical activity in patients with advanced NSCLC and molecular responses were associated with clinical outcomes.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3. Antibody-Drug Conjugates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i. Trastuzumab Pamirtecan (BNT323/DB-1303), an ADC in Development in Collaboration with DualityBio</w:t>
      </w:r>
    </w:p>
    <w:p>
      <w:pPr>
        <w:spacing w:after="0" w:line="144"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Trastuzumab pamirtecan is a topoisomerase-1 inhibitor-based ADC directed against Human Epidermal Growth Factor Receptor 2, or HER2, a target that is over-expressed in a variety of cancers and contributes to the aggressive growth and spread of cancer cells. The program received Fast Track Designation and Breakthrough Therapy designation from the FDA for advanced endometrial cancer.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DYNASTY-Breast02 Phase 3 Clinical Trial in Advanced or Metastatic HR+, HER2-low Breast Cancer</w:t>
      </w:r>
    </w:p>
    <w:p>
      <w:pPr>
        <w:spacing w:after="0" w:line="144"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A Phase 3 clinical trial (NCT06018337) is being conducted to evaluate trastuzumab pamirtecan compared to investigator’s choice of chemotherapy in advanced or metastatic HR+, HER2-low breast cancer subjects whose disease has progressed on at least two lines of prior endocrine therapy or within six months of first-line endocrine therapy and cyclin-dependent 4/6, or CDK4/6, inhibitor and no prior chemotherapy. The trial has enrolled 541 patients. The primary endpoint is PFS. Secondary endpoints include OS, ORR, DOR and safety, as well as patient-reported outcomes.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February 2026, the trial became fully enrolled.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Based on current event accrual projections, we expect interim data from this trial in 2026.</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1/2 Clinical Trial in Advanced/Unresectable, Recurrent, or Metastatic HER2-Expressing Solid Tumors</w:t>
      </w:r>
    </w:p>
    <w:p>
      <w:pPr>
        <w:spacing w:after="0" w:line="144" w:lineRule="exact"/>
        <w:rPr>
          <w:sz w:val="20"/>
          <w:szCs w:val="20"/>
          <w:color w:val="auto"/>
        </w:rPr>
      </w:pPr>
    </w:p>
    <w:p>
      <w:pPr>
        <w:spacing w:after="0" w:line="344" w:lineRule="auto"/>
        <w:rPr>
          <w:sz w:val="20"/>
          <w:szCs w:val="20"/>
          <w:color w:val="auto"/>
        </w:rPr>
      </w:pPr>
      <w:r>
        <w:rPr>
          <w:rFonts w:ascii="Times New Roman" w:cs="Times New Roman" w:eastAsia="Times New Roman" w:hAnsi="Times New Roman"/>
          <w:sz w:val="18"/>
          <w:szCs w:val="18"/>
          <w:color w:val="080509"/>
        </w:rPr>
        <w:t>A Phase 1/2 clinical trial (NCT05150691) is being conducted to evaluate trastuzumab pamirtecan in patients with advanced/unresectable, recurrent, or metastatic HER2-expressing solid tumors.</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36</w:t>
            </w:r>
          </w:p>
        </w:tc>
      </w:tr>
    </w:tbl>
    <w:p>
      <w:pPr>
        <w:sectPr>
          <w:pgSz w:w="11900" w:h="16838" w:orient="portrait"/>
          <w:cols w:equalWidth="0" w:num="1">
            <w:col w:w="11240"/>
          </w:cols>
          <w:pgMar w:left="320" w:top="388" w:right="339" w:bottom="1440" w:gutter="0" w:footer="0" w:header="0"/>
        </w:sectPr>
      </w:pPr>
    </w:p>
    <w:bookmarkStart w:id="45" w:name="page46"/>
    <w:bookmarkEnd w:id="4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potentially registrational cohort with HER2-expressing (IHC3+, 2+, 1+) patients with advanced/recurrent endometrial cancer has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completed enrollment.</w:t>
      </w:r>
    </w:p>
    <w:p>
      <w:pPr>
        <w:spacing w:after="0" w:line="216" w:lineRule="exact"/>
        <w:rPr>
          <w:sz w:val="20"/>
          <w:szCs w:val="20"/>
          <w:color w:val="auto"/>
        </w:rPr>
      </w:pPr>
    </w:p>
    <w:p>
      <w:pPr>
        <w:ind w:left="220" w:right="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April 2026, updated data from this cohort of patients with pretreated advanced or metastatic endometrial cancer were presented at the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Society of Gynecologic Oncology, or SGO, Annual Meeting 2026. Trastuzumab pamirtecan demonstrated encouraging clinical activity across all HER2 expression levels and regardless of prior immunotherapy treatment. The safety profile was manageable and generally consistent with that of ADCs and HER2-targeted biologics.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and DualityBio plan to file a biologics license application, or BLA, in 2026, subject to regulatory feedback.</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FERN-EC-01 Phase 3 Clinical Trial in Advanced Endometrial Cancer</w:t>
      </w:r>
    </w:p>
    <w:p>
      <w:pPr>
        <w:spacing w:after="0" w:line="144"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A Phase 3 trial (NCT06340568) is being conducted to evaluate trastuzumab pamirtecan compared to investigator’s choice of chemotherapy in patients with advanced and HER2-expessing recurrent endometrial cancer. The trial is expected to enroll approximately 480 patients. The primary endpoints are PFS and ORR. Secondary endpoints include OS, DOR and safety.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ii. BNT324/DB-1311, an ADC in Development in Collaboration with DualityBio</w:t>
      </w:r>
    </w:p>
    <w:p>
      <w:pPr>
        <w:spacing w:after="0" w:line="144"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BNT324/DB-1311 is a topoisomerase-1 inhibitor-based ADC directed against B7H3. It has received Fast Track Designation from the FDA for the treatment of patients with advanced/unresectable, or metastatic castration-resistant prostate cancer, or mCRPC, who have progressed on or after standard systemic regimens. It has also received Orphan Drug Designation from the FDA for the treatment of patients with advanced or metastatic esophageal squamous cell carcinoma and SCLC.</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3 Clinical Trial in mCRPC</w:t>
      </w:r>
    </w:p>
    <w:p>
      <w:pPr>
        <w:spacing w:after="0" w:line="144"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080509"/>
        </w:rPr>
        <w:t>A Phase 3 clinical trial (NCT07365995) to evaluate BNT324/DB-1311 compared to docetaxel in patients with mCRPC, is planned to start in 2026.</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1/2 Clinical Trial in Advanced Solid Tumors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A Phase 1/2 clinical trial (NCT05914116) is being conducted to evaluate BNT324/DB-1311 in patients with advanced solid tumors.</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February 2026, updated data from this trial were presented at the ASCO GU Cancers Symposium. BNT324/DB-1311 showed durable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clinical activity in heavily pretreated mCRPC patients with no new safety signals reported.</w:t>
      </w:r>
    </w:p>
    <w:p>
      <w:pPr>
        <w:spacing w:after="0" w:line="216"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April 2026, updated data from this trial were presented at SGO 2026. BNT324/DB-1311 showed encouraging clinical activity in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previously treated cervical cancer, particularly in the second-line setting as well as in platinum resistant ovarian cancer, or PROC. The safety profile in gynecologic malignancies was consistent with previous reports, and no new safety signals were observed.</w:t>
      </w:r>
    </w:p>
    <w:p>
      <w:pPr>
        <w:spacing w:after="0" w:line="123" w:lineRule="exact"/>
        <w:rPr>
          <w:sz w:val="20"/>
          <w:szCs w:val="20"/>
          <w:color w:val="auto"/>
        </w:rPr>
      </w:pPr>
    </w:p>
    <w:p>
      <w:pPr>
        <w:ind w:right="2560" w:firstLine="8"/>
        <w:spacing w:after="0" w:line="438" w:lineRule="auto"/>
        <w:tabs>
          <w:tab w:leader="none" w:pos="276" w:val="left"/>
        </w:tabs>
        <w:numPr>
          <w:ilvl w:val="0"/>
          <w:numId w:val="28"/>
        </w:numPr>
        <w:rPr>
          <w:rFonts w:ascii="Times New Roman" w:cs="Times New Roman" w:eastAsia="Times New Roman" w:hAnsi="Times New Roman"/>
          <w:sz w:val="18"/>
          <w:szCs w:val="18"/>
          <w:color w:val="005A64"/>
        </w:rPr>
      </w:pPr>
      <w:r>
        <w:rPr>
          <w:rFonts w:ascii="Times New Roman" w:cs="Times New Roman" w:eastAsia="Times New Roman" w:hAnsi="Times New Roman"/>
          <w:sz w:val="18"/>
          <w:szCs w:val="18"/>
          <w:color w:val="005A64"/>
        </w:rPr>
        <w:t xml:space="preserve">Sacituzumab Drozuntecan (BNT325/DB-1305), an ADC in Development in Collaboration with DualityBio </w:t>
      </w:r>
      <w:r>
        <w:rPr>
          <w:rFonts w:ascii="Times New Roman" w:cs="Times New Roman" w:eastAsia="Times New Roman" w:hAnsi="Times New Roman"/>
          <w:sz w:val="18"/>
          <w:szCs w:val="18"/>
          <w:color w:val="080509"/>
        </w:rPr>
        <w:t>Sacituzumab drozuntecan is a topoisomerase-1 inhibitor-based ADC directed against TROP2.</w:t>
      </w:r>
    </w:p>
    <w:p>
      <w:pPr>
        <w:spacing w:after="0" w:line="200" w:lineRule="exact"/>
        <w:rPr>
          <w:sz w:val="20"/>
          <w:szCs w:val="20"/>
          <w:color w:val="auto"/>
        </w:rPr>
      </w:pP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37</w:t>
            </w:r>
          </w:p>
        </w:tc>
      </w:tr>
    </w:tbl>
    <w:p>
      <w:pPr>
        <w:sectPr>
          <w:pgSz w:w="11900" w:h="16838" w:orient="portrait"/>
          <w:cols w:equalWidth="0" w:num="1">
            <w:col w:w="11240"/>
          </w:cols>
          <w:pgMar w:left="320" w:top="388" w:right="339" w:bottom="1440" w:gutter="0" w:footer="0" w:header="0"/>
        </w:sectPr>
      </w:pPr>
    </w:p>
    <w:bookmarkStart w:id="46" w:name="page47"/>
    <w:bookmarkEnd w:id="4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1/2 Clinical Trial in Advanced Solid Tumors</w:t>
      </w:r>
    </w:p>
    <w:p>
      <w:pPr>
        <w:spacing w:after="0" w:line="144" w:lineRule="exact"/>
        <w:rPr>
          <w:sz w:val="20"/>
          <w:szCs w:val="20"/>
          <w:color w:val="auto"/>
        </w:rPr>
      </w:pPr>
    </w:p>
    <w:p>
      <w:pPr>
        <w:spacing w:after="0" w:line="344" w:lineRule="auto"/>
        <w:rPr>
          <w:sz w:val="20"/>
          <w:szCs w:val="20"/>
          <w:color w:val="auto"/>
        </w:rPr>
      </w:pPr>
      <w:r>
        <w:rPr>
          <w:rFonts w:ascii="Times New Roman" w:cs="Times New Roman" w:eastAsia="Times New Roman" w:hAnsi="Times New Roman"/>
          <w:sz w:val="18"/>
          <w:szCs w:val="18"/>
          <w:color w:val="080509"/>
        </w:rPr>
        <w:t>A Phase 1/2 clinical trial (NCT05438329) is being conducted to evaluate sacituzumab drozuntecan in patients with advanced solid tumors. As part of this clinical trial, sacituzumab drozuntecan is being studied in combination with pumitamig in various solid tumor indications.</w:t>
      </w:r>
    </w:p>
    <w:p>
      <w:pPr>
        <w:spacing w:after="0" w:line="190" w:lineRule="exact"/>
        <w:rPr>
          <w:sz w:val="20"/>
          <w:szCs w:val="20"/>
          <w:color w:val="auto"/>
        </w:rPr>
      </w:pPr>
    </w:p>
    <w:p>
      <w:pPr>
        <w:ind w:right="4020" w:firstLine="8"/>
        <w:spacing w:after="0" w:line="438" w:lineRule="auto"/>
        <w:tabs>
          <w:tab w:leader="none" w:pos="247" w:val="left"/>
        </w:tabs>
        <w:numPr>
          <w:ilvl w:val="0"/>
          <w:numId w:val="29"/>
        </w:numPr>
        <w:rPr>
          <w:rFonts w:ascii="Times New Roman" w:cs="Times New Roman" w:eastAsia="Times New Roman" w:hAnsi="Times New Roman"/>
          <w:sz w:val="18"/>
          <w:szCs w:val="18"/>
          <w:color w:val="005A64"/>
        </w:rPr>
      </w:pPr>
      <w:r>
        <w:rPr>
          <w:rFonts w:ascii="Times New Roman" w:cs="Times New Roman" w:eastAsia="Times New Roman" w:hAnsi="Times New Roman"/>
          <w:sz w:val="18"/>
          <w:szCs w:val="18"/>
          <w:color w:val="005A64"/>
        </w:rPr>
        <w:t xml:space="preserve">BNT326/YL202, an ADC in Development in Collaboration with MediLink Therapeutics </w:t>
      </w:r>
      <w:r>
        <w:rPr>
          <w:rFonts w:ascii="Times New Roman" w:cs="Times New Roman" w:eastAsia="Times New Roman" w:hAnsi="Times New Roman"/>
          <w:sz w:val="18"/>
          <w:szCs w:val="18"/>
          <w:color w:val="080509"/>
        </w:rPr>
        <w:t>BNT326/YL202 is a topoisomerase-1 inhibitor-based ADC directed against HER3.</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1 Clinical Trial in Advanced or Metastatic EGFR-Mutated NSCLC or HR+ and HER2-Negative Breast Cancer</w:t>
      </w:r>
    </w:p>
    <w:p>
      <w:pPr>
        <w:spacing w:after="0" w:line="144"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A Phase 1 clinical trial (NCT05653752) is being conducted to evaluate BNT326/YL202 as a later-line treatment in patients with locally advanced or metastatic EGFR-mutated NSCLC or HR+ and HER2-negative breast cancer.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 Clinical Trial in Advanced Solid Tumors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A Phase 2 clinical trial (NCT06107686) is being conducted in China to evaluate BNT326/YL202 in patients with advanced solid tumors.</w:t>
      </w:r>
    </w:p>
    <w:p>
      <w:pPr>
        <w:spacing w:after="0" w:line="333" w:lineRule="exact"/>
        <w:rPr>
          <w:sz w:val="20"/>
          <w:szCs w:val="20"/>
          <w:color w:val="auto"/>
        </w:rPr>
      </w:pPr>
    </w:p>
    <w:p>
      <w:pPr>
        <w:ind w:left="2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March 2026, data from this trial were presented at ELCC 2026. BNT326/YL202 demonstrated encouraging antitumor activity across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multiple NSCLC subgroups and was generally well tolerated at 2.0 mg/kg and 2.5 mg/kg with a favorable safety profile among HER3 ADCs.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 Clinical Trial in Multiple Breast Cancers</w:t>
      </w:r>
    </w:p>
    <w:p>
      <w:pPr>
        <w:spacing w:after="0" w:line="144"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A Phase 2 clinical trial (NCT06439771) is being conducted in China to evaluate BNT326/YL202 in patients with locally advanced or metastatic breast cancer with TNBC, HR+, HER2-zero-expression or HER2-low-expression.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v. BNT329, an ADC for the Treatment of Advanced Solid Tumors</w:t>
      </w:r>
    </w:p>
    <w:p>
      <w:pPr>
        <w:spacing w:after="0" w:line="144" w:lineRule="exact"/>
        <w:rPr>
          <w:sz w:val="20"/>
          <w:szCs w:val="20"/>
          <w:color w:val="auto"/>
        </w:rPr>
      </w:pPr>
    </w:p>
    <w:p>
      <w:pPr>
        <w:spacing w:after="0" w:line="344" w:lineRule="auto"/>
        <w:rPr>
          <w:sz w:val="20"/>
          <w:szCs w:val="20"/>
          <w:color w:val="auto"/>
        </w:rPr>
      </w:pPr>
      <w:r>
        <w:rPr>
          <w:rFonts w:ascii="Times New Roman" w:cs="Times New Roman" w:eastAsia="Times New Roman" w:hAnsi="Times New Roman"/>
          <w:sz w:val="18"/>
          <w:szCs w:val="18"/>
          <w:color w:val="080509"/>
        </w:rPr>
        <w:t>BNT329 is a fully owned carbohydrate antigen 19-9, or CA19-9, targeting ADC. CA19-9 is expressed in pancreatic cancers and other solid tumors, plays a role in tumor adhesion and metastasis formation, and is a marker of an aggressive cancer phenotype.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1/2 Clinical Trial in Advanced Solid Tumors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A Phase 1/2 clinical trial (NCT07186842) is being conducted to evaluate BNT329 in patients with advanced solid tumors.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vi. BNT3214, an ADC for the Treatment of Advanced Solid Tumors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1/2 Clinical Trial in Advanced Solid Tumors</w:t>
      </w:r>
    </w:p>
    <w:p>
      <w:pPr>
        <w:spacing w:after="0" w:line="144"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A Phase 1/2 clinical trial (NCT07455734) is being conducted to evaluate the safety, tolerability, pharmacokinetics, and immunogenicity of BNT3214 in participants with advanced solid tumors.</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38</w:t>
            </w:r>
          </w:p>
        </w:tc>
      </w:tr>
    </w:tbl>
    <w:p>
      <w:pPr>
        <w:sectPr>
          <w:pgSz w:w="11900" w:h="16838" w:orient="portrait"/>
          <w:cols w:equalWidth="0" w:num="1">
            <w:col w:w="11240"/>
          </w:cols>
          <w:pgMar w:left="320" w:top="388" w:right="339" w:bottom="1440" w:gutter="0" w:footer="0" w:header="0"/>
        </w:sectPr>
      </w:pPr>
    </w:p>
    <w:bookmarkStart w:id="47" w:name="page48"/>
    <w:bookmarkEnd w:id="4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4. Other Antibody Product Candidates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i. Gotistobart (BNT316/ONC-392), a Selective Treg Modulator Antibody Candidate in Development in Collaboration with OncoC4</w:t>
      </w:r>
    </w:p>
    <w:p>
      <w:pPr>
        <w:spacing w:after="0" w:line="144"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Gotistobart (BNT316/ONC-392) is an investigational regulatory T cell-depleting antibody that binds to cytotoxic T-lymphocyte associated protein 4, or CTLA-4, on the surface of Tregs, but CTLA-4 and drug are recycled to the cell surface once internalized, preserving and enriching CTLA-4 on the surface of tumor infiltrating Tregs. This results in enhanced Treg depletion in the tumor microenvironment, which drives tumor cell death. Gotistobart (BNT316/ONC-392) is being developed in collaboration with OncoC4.</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PRESERVE-003 Phase 3 Clinical Trial in NSCLC</w:t>
      </w:r>
    </w:p>
    <w:p>
      <w:pPr>
        <w:spacing w:after="0" w:line="144"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A two-stage global Phase 3 trial (NCT05671510) is being conducted to evaluate the efficacy and safety of gotistobart as monotherapy compared to docetaxel in patients with metastatic NSCLC that progressed under previous platinum-based chemotherapy and PD-(L)1-inhibitor treatment.</w:t>
      </w:r>
    </w:p>
    <w:p>
      <w:pPr>
        <w:spacing w:after="0" w:line="200" w:lineRule="exact"/>
        <w:rPr>
          <w:sz w:val="20"/>
          <w:szCs w:val="20"/>
          <w:color w:val="auto"/>
        </w:rPr>
      </w:pPr>
    </w:p>
    <w:p>
      <w:pPr>
        <w:spacing w:after="0" w:line="262" w:lineRule="exact"/>
        <w:rPr>
          <w:sz w:val="20"/>
          <w:szCs w:val="20"/>
          <w:color w:val="auto"/>
        </w:rPr>
      </w:pPr>
    </w:p>
    <w:p>
      <w:pPr>
        <w:ind w:left="220" w:hanging="204"/>
        <w:spacing w:after="0" w:line="33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March 2026, updated data from the Stage 1 of this trial were presented at ELCC 2026. Gotistobart demonstrated a clinically meaningful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OS benefit compared to standard of care chemotherapy and a manageable safety profile in sqNSCLC patients whose disease had progressed following anti-PD-(L)1 therapy and platinum-based chemotherapy. These results were also published in Nature Medicine (Cho et al., 2026).</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Based on current event accrual projections, we expect interim data from the pivotal stage of the two-stage Phase 3 trial in 2026.</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PRESERVE-004 Phase 2 Clinical Trial in PROC</w:t>
      </w:r>
    </w:p>
    <w:p>
      <w:pPr>
        <w:spacing w:after="0" w:line="144"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8"/>
          <w:szCs w:val="18"/>
          <w:color w:val="080509"/>
        </w:rPr>
        <w:t>A Phase 2 clinical trial (NCT05446298) is being conducted to evaluate gotistobart in combination with pembrolizumab in patients with PROC. The clinical trial is designed to evaluate multiple doses of gotistobart in combination with a fixed dose of pembrolizumab in participants with ovarian cancer who are resistant to platinum-based chemotherapy. The primary endpoints are ORR and safety. Secondary endpoints include DOR, DCR, PFS and OS.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Data from the trial are expected at the ASCO Annual Meeting 2026 (May 29 - June 2, 2026).</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PRESERVE-006 Phase 1/2 Clinical Trial in mCRPC</w:t>
      </w:r>
    </w:p>
    <w:p>
      <w:pPr>
        <w:spacing w:after="0" w:line="144"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A Phase 1/2 clinical trial (NCT05682443) is being conducted to evaluate the safety and efficacy of gotistobart in combination with lutetium Lu-177 vipivotide tetraxetan in patients with mCRPC who have disease progressed on androgen receptor pathway inhibition. The primary endpoints are PSA50 and safety.</w:t>
      </w:r>
    </w:p>
    <w:p>
      <w:pPr>
        <w:spacing w:after="0" w:line="231"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February 2026, data from this trial were presented at ASCO-GU 2026. Encouraging clinical activity with a manageable safety profile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was observed for gotistobart in combination with 177Lu.</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PRESERVE-001 Phase 1/2 Clinical Trial in Advanced or Metastatic Solid Tumors</w:t>
      </w:r>
    </w:p>
    <w:p>
      <w:pPr>
        <w:spacing w:after="0" w:line="144"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A Phase 1/2 dose escalation and cohort expansion clinical trial (NCT04140526) is being conducted to evaluate gotistobart as a single agent and in combination with pembrolizumab in patients with advanced or metastatic solid tumors.</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39</w:t>
            </w:r>
          </w:p>
        </w:tc>
      </w:tr>
    </w:tbl>
    <w:p>
      <w:pPr>
        <w:sectPr>
          <w:pgSz w:w="11900" w:h="16838" w:orient="portrait"/>
          <w:cols w:equalWidth="0" w:num="1">
            <w:col w:w="11240"/>
          </w:cols>
          <w:pgMar w:left="320" w:top="388" w:right="339" w:bottom="1440" w:gutter="0" w:footer="0" w:header="0"/>
        </w:sectPr>
      </w:pPr>
    </w:p>
    <w:bookmarkStart w:id="48" w:name="page49"/>
    <w:bookmarkEnd w:id="4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20" w:firstLine="8"/>
        <w:spacing w:after="0" w:line="275" w:lineRule="auto"/>
        <w:tabs>
          <w:tab w:leader="none" w:pos="236" w:val="left"/>
        </w:tabs>
        <w:numPr>
          <w:ilvl w:val="0"/>
          <w:numId w:val="34"/>
        </w:numPr>
        <w:rPr>
          <w:rFonts w:ascii="Times New Roman" w:cs="Times New Roman" w:eastAsia="Times New Roman" w:hAnsi="Times New Roman"/>
          <w:sz w:val="18"/>
          <w:szCs w:val="18"/>
          <w:color w:val="005A64"/>
        </w:rPr>
      </w:pPr>
      <w:r>
        <w:rPr>
          <w:rFonts w:ascii="Times New Roman" w:cs="Times New Roman" w:eastAsia="Times New Roman" w:hAnsi="Times New Roman"/>
          <w:sz w:val="18"/>
          <w:szCs w:val="18"/>
          <w:color w:val="005A64"/>
        </w:rPr>
        <w:t>BNT314/GEN1059 is being developed in collaboration with Genmab. BNT314/GEN1059 is a potential first-in-class bispecific antibody product candidate designed to boost antitumor immune responses through epithelial cell adhesion molecule-, or EpCAM-, dependent 4-1BB agonistic activity.</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1 Clinical Trial in Advanced or Metastatic Solid Tumors</w:t>
      </w:r>
    </w:p>
    <w:p>
      <w:pPr>
        <w:spacing w:after="0" w:line="144"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A Phase 1 clinical trial (NCT06150183) is being conducted to evaluate the safety and preliminary antitumor activity of BNT314/GEN1059 in patients with advanced or metastatic solid tumors.</w:t>
      </w:r>
    </w:p>
    <w:p>
      <w:pPr>
        <w:spacing w:after="0" w:line="190" w:lineRule="exact"/>
        <w:rPr>
          <w:sz w:val="20"/>
          <w:szCs w:val="20"/>
          <w:color w:val="auto"/>
        </w:rPr>
      </w:pPr>
    </w:p>
    <w:p>
      <w:pPr>
        <w:ind w:right="5620"/>
        <w:spacing w:after="0" w:line="430" w:lineRule="auto"/>
        <w:rPr>
          <w:sz w:val="20"/>
          <w:szCs w:val="20"/>
          <w:color w:val="auto"/>
        </w:rPr>
      </w:pPr>
      <w:r>
        <w:rPr>
          <w:rFonts w:ascii="Times New Roman" w:cs="Times New Roman" w:eastAsia="Times New Roman" w:hAnsi="Times New Roman"/>
          <w:sz w:val="18"/>
          <w:szCs w:val="18"/>
          <w:color w:val="005A64"/>
        </w:rPr>
        <w:t>iii. BNT317, an Antibody for the Treatment of Advanced Solid Tumors Phase 1 Clinical Trial in Advanced Solid Tumors</w:t>
      </w:r>
    </w:p>
    <w:p>
      <w:pPr>
        <w:spacing w:after="0" w:line="1"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A Phase 1 clinical trial (NCT06750185) is being conducted to evaluate the safety, tolerability, pharmacokinetics, and immunogenicity of BNT317 in participants with advanced solid tumors.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5. Oncology Cell Therapy Product Candidates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i. BNT211, a chimeric antigen receptor, or CAR, T-cell therapy – CAR-T - in multiple solid tumors</w:t>
      </w:r>
    </w:p>
    <w:p>
      <w:pPr>
        <w:spacing w:after="0" w:line="144"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BNT211 is a novel approach combining an autologous tumor-specific CAR-T cell therapy candidate targeting the oncofetal antigen Claudin-6, or CLDN6, with a CLDN6-encoding CAR-T cell amplifying RNA vaccine, or CARVac, that is based on BioNTech’s FixVac platform in one regimen.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1 Clinical Trial in CLDN6-Positive Relapsed or Refractory Solid Tumors</w:t>
      </w:r>
    </w:p>
    <w:p>
      <w:pPr>
        <w:spacing w:after="0" w:line="144"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A Phase 1 dose escalation clinical trial (NCT04503278) is being conducted to evaluate BNT211 as monotherapy or in combination with CARVac in patients with CLDN6-positive relapsed or refractory solid tumors, including non-small cell lung cancer, gastric cancer, ovarian cancer and testicular germ cell tumors.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B. Infectious Disease Programs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1. Next-Generation COVID-19 Vaccine</w:t>
      </w:r>
    </w:p>
    <w:p>
      <w:pPr>
        <w:spacing w:after="0" w:line="144"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080509"/>
        </w:rPr>
        <w:t>In collaboration with Pfizer, we are aiming to develop a vaccine candidate that enhances and broadens SARS-CoV-2 immunogenicity responses.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 xml:space="preserve">2. COVID-19 </w:t>
      </w:r>
      <w:r>
        <w:rPr>
          <w:rFonts w:ascii="Times New Roman" w:cs="Times New Roman" w:eastAsia="Times New Roman" w:hAnsi="Times New Roman"/>
          <w:sz w:val="18"/>
          <w:szCs w:val="18"/>
          <w:color w:val="3C9673"/>
        </w:rPr>
        <w:t>–</w:t>
      </w:r>
      <w:r>
        <w:rPr>
          <w:rFonts w:ascii="Times New Roman" w:cs="Times New Roman" w:eastAsia="Times New Roman" w:hAnsi="Times New Roman"/>
          <w:sz w:val="18"/>
          <w:szCs w:val="18"/>
          <w:color w:val="005A64"/>
        </w:rPr>
        <w:t xml:space="preserve"> Influenza Combination mRNA Vaccine Program </w:t>
      </w:r>
      <w:r>
        <w:rPr>
          <w:rFonts w:ascii="Times New Roman" w:cs="Times New Roman" w:eastAsia="Times New Roman" w:hAnsi="Times New Roman"/>
          <w:sz w:val="18"/>
          <w:szCs w:val="18"/>
          <w:color w:val="3C9673"/>
        </w:rPr>
        <w:t>–</w:t>
      </w:r>
      <w:r>
        <w:rPr>
          <w:rFonts w:ascii="Times New Roman" w:cs="Times New Roman" w:eastAsia="Times New Roman" w:hAnsi="Times New Roman"/>
          <w:sz w:val="18"/>
          <w:szCs w:val="18"/>
          <w:color w:val="005A64"/>
        </w:rPr>
        <w:t xml:space="preserve"> BNT162 + BNT161</w:t>
      </w:r>
    </w:p>
    <w:p>
      <w:pPr>
        <w:spacing w:after="0" w:line="144"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In collaboration with Pfizer, Phase 1/2 clinical trials are being conducted to evaluate the safety, tolerability and immunogenicity of the combination of the companies’ mRNA vaccine candidates against influenza and COVID-19. We expect to provide updates as the program progresses.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 xml:space="preserve">3. Herpes Simplex Virus Vaccine Program </w:t>
      </w:r>
      <w:r>
        <w:rPr>
          <w:rFonts w:ascii="Times New Roman" w:cs="Times New Roman" w:eastAsia="Times New Roman" w:hAnsi="Times New Roman"/>
          <w:sz w:val="18"/>
          <w:szCs w:val="18"/>
          <w:color w:val="3C9673"/>
        </w:rPr>
        <w:t>–</w:t>
      </w:r>
      <w:r>
        <w:rPr>
          <w:rFonts w:ascii="Times New Roman" w:cs="Times New Roman" w:eastAsia="Times New Roman" w:hAnsi="Times New Roman"/>
          <w:sz w:val="18"/>
          <w:szCs w:val="18"/>
          <w:color w:val="005A64"/>
        </w:rPr>
        <w:t xml:space="preserve"> BNT163</w:t>
      </w:r>
    </w:p>
    <w:p>
      <w:pPr>
        <w:spacing w:after="0" w:line="144"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A Phase 1 clinical trial (NCT05432583) is being conducted to evaluate the safety, tolerability, immunogenicity and preliminary efficacy of BNT163 for the prevention of genital lesions caused by HSV-2 and potentially HSV-1.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 xml:space="preserve">4. Tuberculosis Vaccine Program </w:t>
      </w:r>
      <w:r>
        <w:rPr>
          <w:rFonts w:ascii="Times New Roman" w:cs="Times New Roman" w:eastAsia="Times New Roman" w:hAnsi="Times New Roman"/>
          <w:sz w:val="18"/>
          <w:szCs w:val="18"/>
          <w:color w:val="3C9673"/>
        </w:rPr>
        <w:t>–</w:t>
      </w:r>
      <w:r>
        <w:rPr>
          <w:rFonts w:ascii="Times New Roman" w:cs="Times New Roman" w:eastAsia="Times New Roman" w:hAnsi="Times New Roman"/>
          <w:sz w:val="18"/>
          <w:szCs w:val="18"/>
          <w:color w:val="005A64"/>
        </w:rPr>
        <w:t xml:space="preserve"> BNT164</w:t>
      </w:r>
    </w:p>
    <w:p>
      <w:pPr>
        <w:spacing w:after="0" w:line="144"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A Phase 1b/2a clinical trial (NCT05547464) is being conducted to assess the safety, reactogenicity, and immunogenicity of mRNA vaccine candidates against tuberculosis disease.</w:t>
      </w:r>
    </w:p>
    <w:p>
      <w:pPr>
        <w:sectPr>
          <w:pgSz w:w="11900" w:h="16838" w:orient="portrait"/>
          <w:cols w:equalWidth="0" w:num="1">
            <w:col w:w="11240"/>
          </w:cols>
          <w:pgMar w:left="320" w:top="388"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r>
        <w:rPr>
          <w:sz w:val="20"/>
          <w:szCs w:val="20"/>
          <w:color w:val="auto"/>
        </w:rPr>
        <w:tab/>
      </w:r>
      <w:r>
        <w:rPr>
          <w:rFonts w:ascii="Times New Roman" w:cs="Times New Roman" w:eastAsia="Times New Roman" w:hAnsi="Times New Roman"/>
          <w:sz w:val="22"/>
          <w:szCs w:val="22"/>
          <w:b w:val="1"/>
          <w:bCs w:val="1"/>
          <w:color w:val="C3C3C3"/>
        </w:rPr>
        <w:t>40</w:t>
      </w:r>
    </w:p>
    <w:p>
      <w:pPr>
        <w:sectPr>
          <w:pgSz w:w="11900" w:h="16838" w:orient="portrait"/>
          <w:cols w:equalWidth="0" w:num="1">
            <w:col w:w="11240"/>
          </w:cols>
          <w:pgMar w:left="320" w:top="388" w:right="339" w:bottom="1440" w:gutter="0" w:footer="0" w:header="0"/>
          <w:type w:val="continuous"/>
        </w:sectPr>
      </w:pPr>
    </w:p>
    <w:bookmarkStart w:id="49" w:name="page50"/>
    <w:bookmarkEnd w:id="4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 xml:space="preserve">5. Malaria Vaccine Program </w:t>
      </w:r>
      <w:r>
        <w:rPr>
          <w:rFonts w:ascii="Times New Roman" w:cs="Times New Roman" w:eastAsia="Times New Roman" w:hAnsi="Times New Roman"/>
          <w:sz w:val="18"/>
          <w:szCs w:val="18"/>
          <w:color w:val="3C9673"/>
        </w:rPr>
        <w:t>–</w:t>
      </w:r>
      <w:r>
        <w:rPr>
          <w:rFonts w:ascii="Times New Roman" w:cs="Times New Roman" w:eastAsia="Times New Roman" w:hAnsi="Times New Roman"/>
          <w:sz w:val="18"/>
          <w:szCs w:val="18"/>
          <w:color w:val="005A64"/>
        </w:rPr>
        <w:t xml:space="preserve"> BNT165</w:t>
      </w:r>
    </w:p>
    <w:p>
      <w:pPr>
        <w:spacing w:after="0" w:line="144"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A Phase 1/2 trial (NCT06069544) to evaluate the safety, tolerability, immunogenicity and efficacy of a second investigational RNA-based vaccine candidate is on clinical hold by the FDA, as announced on March 4, 2025. BioNTech has complied with the hold by the FDA and, in accordance with the clinical trial protocol, had proactively paused the study. Follow up of all study participants has been completed. BioNTech is assessing next steps in the development of this vaccine candidate.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 xml:space="preserve">6. Mpox Vaccine Program </w:t>
      </w:r>
      <w:r>
        <w:rPr>
          <w:rFonts w:ascii="Times New Roman" w:cs="Times New Roman" w:eastAsia="Times New Roman" w:hAnsi="Times New Roman"/>
          <w:sz w:val="18"/>
          <w:szCs w:val="18"/>
          <w:color w:val="3C9673"/>
        </w:rPr>
        <w:t>–</w:t>
      </w:r>
      <w:r>
        <w:rPr>
          <w:rFonts w:ascii="Times New Roman" w:cs="Times New Roman" w:eastAsia="Times New Roman" w:hAnsi="Times New Roman"/>
          <w:sz w:val="18"/>
          <w:szCs w:val="18"/>
          <w:color w:val="005A64"/>
        </w:rPr>
        <w:t xml:space="preserve"> BNT166</w:t>
      </w:r>
    </w:p>
    <w:p>
      <w:pPr>
        <w:spacing w:after="0" w:line="144"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A Phase 1/2 clinical trial (NCT05988203) to evaluate the safety, tolerability, reactogenicity and immunogenicity of an mRNA-based multivalent vaccine candidate (BNT166a) has been completed.</w:t>
      </w:r>
    </w:p>
    <w:p>
      <w:pPr>
        <w:spacing w:after="0" w:line="217"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A randomized, placebo-controlled Phase 2 clinical trial (NCT07379580) is being conducted to evaluate the safety, reactogenicity, and immunogenicity of BNT166 in healthy participants.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 xml:space="preserve">7. HIV Antibody Program </w:t>
      </w:r>
      <w:r>
        <w:rPr>
          <w:rFonts w:ascii="Times New Roman" w:cs="Times New Roman" w:eastAsia="Times New Roman" w:hAnsi="Times New Roman"/>
          <w:sz w:val="18"/>
          <w:szCs w:val="18"/>
          <w:color w:val="3C9673"/>
        </w:rPr>
        <w:t>–</w:t>
      </w:r>
      <w:r>
        <w:rPr>
          <w:rFonts w:ascii="Times New Roman" w:cs="Times New Roman" w:eastAsia="Times New Roman" w:hAnsi="Times New Roman"/>
          <w:sz w:val="18"/>
          <w:szCs w:val="18"/>
          <w:color w:val="005A64"/>
        </w:rPr>
        <w:t xml:space="preserve"> BNT351</w:t>
      </w:r>
    </w:p>
    <w:p>
      <w:pPr>
        <w:spacing w:after="0" w:line="144"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A Phase 1 clinical trial (NCT07392372) is being conducted to evaluate the safety, pharmacokinetics, and antiviral activity of BNT351 in adults living with and without HIV.</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Financial Operations Overview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The following table shows our unaudited interim condensed consolidated statements of profit or loss for each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15175"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005A64"/>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119380</wp:posOffset>
            </wp:positionV>
            <wp:extent cx="1122680" cy="289750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122680" cy="289750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005A64"/>
        </w:rPr>
        <w:t>(in millions €,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488632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4886325" cy="8890"/>
                    </a:xfrm>
                    <a:prstGeom prst="rect">
                      <a:avLst/>
                    </a:prstGeom>
                    <a:noFill/>
                  </pic:spPr>
                </pic:pic>
              </a:graphicData>
            </a:graphic>
          </wp:anchor>
        </w:drawing>
      </w:r>
    </w:p>
    <w:p>
      <w:pPr>
        <w:spacing w:after="0" w:line="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88632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4886325" cy="8890"/>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88632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4886325" cy="8890"/>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88632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Sales and marketing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88632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88632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Other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88632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Other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88632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488632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Finance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88632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Finance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88632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Loss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488632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88632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488632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4886325" cy="8890"/>
                    </a:xfrm>
                    <a:prstGeom prst="rect">
                      <a:avLst/>
                    </a:prstGeom>
                    <a:noFill/>
                  </pic:spPr>
                </pic:pic>
              </a:graphicData>
            </a:graphic>
          </wp:anchor>
        </w:drawing>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3C9673"/>
        </w:rPr>
        <w:t>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488632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48863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4"/>
          <w:szCs w:val="14"/>
          <w:b w:val="1"/>
          <w:bCs w:val="1"/>
          <w:color w:val="005A64"/>
        </w:rPr>
        <w:t>2026</w:t>
      </w:r>
    </w:p>
    <w:p>
      <w:pPr>
        <w:spacing w:after="0" w:line="96"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4"/>
          <w:szCs w:val="14"/>
          <w:i w:val="1"/>
          <w:iCs w:val="1"/>
          <w:color w:val="005A64"/>
        </w:rPr>
        <w:t>(unaudited)</w:t>
      </w:r>
    </w:p>
    <w:p>
      <w:pPr>
        <w:spacing w:after="0" w:line="111"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4"/>
          <w:szCs w:val="14"/>
          <w:color w:val="005A64"/>
        </w:rPr>
        <w:t>118.1</w:t>
      </w:r>
    </w:p>
    <w:p>
      <w:pPr>
        <w:spacing w:after="0" w:line="109"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4"/>
          <w:szCs w:val="14"/>
          <w:color w:val="005A64"/>
        </w:rPr>
        <w:t>(71.4)</w:t>
      </w:r>
    </w:p>
    <w:p>
      <w:pPr>
        <w:spacing w:after="0" w:line="109"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4"/>
          <w:szCs w:val="14"/>
          <w:color w:val="005A64"/>
        </w:rPr>
        <w:t>(557.0)</w:t>
      </w:r>
    </w:p>
    <w:p>
      <w:pPr>
        <w:spacing w:after="0" w:line="109"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4"/>
          <w:szCs w:val="14"/>
          <w:color w:val="005A64"/>
        </w:rPr>
        <w:t>(27.9)</w:t>
      </w:r>
    </w:p>
    <w:p>
      <w:pPr>
        <w:spacing w:after="0" w:line="109"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4"/>
          <w:szCs w:val="14"/>
          <w:color w:val="005A64"/>
        </w:rPr>
        <w:t>(122.9)</w:t>
      </w:r>
    </w:p>
    <w:p>
      <w:pPr>
        <w:spacing w:after="0" w:line="109"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4"/>
          <w:szCs w:val="14"/>
          <w:color w:val="005A64"/>
        </w:rPr>
        <w:t>(46.8)</w:t>
      </w:r>
    </w:p>
    <w:p>
      <w:pPr>
        <w:spacing w:after="0" w:line="109"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4"/>
          <w:szCs w:val="14"/>
          <w:color w:val="005A64"/>
        </w:rPr>
        <w:t>30.4</w:t>
      </w:r>
    </w:p>
    <w:p>
      <w:pPr>
        <w:spacing w:after="0" w:line="107"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4"/>
          <w:szCs w:val="14"/>
          <w:b w:val="1"/>
          <w:bCs w:val="1"/>
          <w:color w:val="005A64"/>
        </w:rPr>
        <w:t>(677.5)</w:t>
      </w:r>
    </w:p>
    <w:p>
      <w:pPr>
        <w:spacing w:after="0" w:line="111"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4"/>
          <w:szCs w:val="14"/>
          <w:color w:val="005A64"/>
        </w:rPr>
        <w:t>120.6</w:t>
      </w:r>
    </w:p>
    <w:p>
      <w:pPr>
        <w:spacing w:after="0" w:line="109"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4"/>
          <w:szCs w:val="14"/>
          <w:color w:val="005A64"/>
        </w:rPr>
        <w:t>(11.2)</w:t>
      </w:r>
    </w:p>
    <w:p>
      <w:pPr>
        <w:spacing w:after="0" w:line="107"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4"/>
          <w:szCs w:val="14"/>
          <w:b w:val="1"/>
          <w:bCs w:val="1"/>
          <w:color w:val="005A64"/>
        </w:rPr>
        <w:t>(568.1)</w:t>
      </w:r>
    </w:p>
    <w:p>
      <w:pPr>
        <w:spacing w:after="0" w:line="111"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4"/>
          <w:szCs w:val="14"/>
          <w:color w:val="005A64"/>
        </w:rPr>
        <w:t>36.2</w:t>
      </w:r>
    </w:p>
    <w:p>
      <w:pPr>
        <w:spacing w:after="0" w:line="107"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4"/>
          <w:szCs w:val="14"/>
          <w:b w:val="1"/>
          <w:bCs w:val="1"/>
          <w:color w:val="005A64"/>
        </w:rPr>
        <w:t>(531.9)</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b w:val="1"/>
          <w:bCs w:val="1"/>
          <w:color w:val="005A64"/>
        </w:rPr>
        <w:t>2025</w:t>
      </w:r>
    </w:p>
    <w:p>
      <w:pPr>
        <w:spacing w:after="0" w:line="10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i w:val="1"/>
          <w:iCs w:val="1"/>
          <w:color w:val="005A64"/>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50800</wp:posOffset>
            </wp:positionV>
            <wp:extent cx="97726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9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182.8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49530</wp:posOffset>
            </wp:positionV>
            <wp:extent cx="97726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8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(83.8)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49530</wp:posOffset>
            </wp:positionV>
            <wp:extent cx="97726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8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(525.6)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49530</wp:posOffset>
            </wp:positionV>
            <wp:extent cx="97726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8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49530</wp:posOffset>
            </wp:positionV>
            <wp:extent cx="97726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8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(106.9)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49530</wp:posOffset>
            </wp:positionV>
            <wp:extent cx="97726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8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49530</wp:posOffset>
            </wp:positionV>
            <wp:extent cx="97726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8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49530</wp:posOffset>
            </wp:positionV>
            <wp:extent cx="97726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8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b w:val="1"/>
          <w:bCs w:val="1"/>
          <w:color w:val="005A64"/>
        </w:rPr>
        <w:t>(534.1)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50800</wp:posOffset>
            </wp:positionV>
            <wp:extent cx="97726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9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122.6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49530</wp:posOffset>
            </wp:positionV>
            <wp:extent cx="97726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8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(33.9)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49530</wp:posOffset>
            </wp:positionV>
            <wp:extent cx="97726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8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b w:val="1"/>
          <w:bCs w:val="1"/>
          <w:color w:val="005A64"/>
        </w:rPr>
        <w:t>(445.4)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50800</wp:posOffset>
            </wp:positionV>
            <wp:extent cx="97726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9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29.6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49530</wp:posOffset>
            </wp:positionV>
            <wp:extent cx="97726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8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b w:val="1"/>
          <w:bCs w:val="1"/>
          <w:color w:val="005A64"/>
        </w:rPr>
        <w:t>(415.8)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205105</wp:posOffset>
            </wp:positionV>
            <wp:extent cx="97726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977265" cy="8890"/>
                    </a:xfrm>
                    <a:prstGeom prst="rect">
                      <a:avLst/>
                    </a:prstGeom>
                    <a:noFill/>
                  </pic:spPr>
                </pic:pic>
              </a:graphicData>
            </a:graphic>
          </wp:anchor>
        </w:drawing>
        <w:drawing>
          <wp:anchor simplePos="0" relativeHeight="251657728" behindDoc="1" locked="0" layoutInCell="0" allowOverlap="1">
            <wp:simplePos x="0" y="0"/>
            <wp:positionH relativeFrom="column">
              <wp:posOffset>-498475</wp:posOffset>
            </wp:positionH>
            <wp:positionV relativeFrom="paragraph">
              <wp:posOffset>50800</wp:posOffset>
            </wp:positionV>
            <wp:extent cx="97726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354" w:lineRule="exact"/>
        <w:rPr>
          <w:sz w:val="20"/>
          <w:szCs w:val="20"/>
          <w:color w:val="auto"/>
        </w:rPr>
      </w:pPr>
    </w:p>
    <w:p>
      <w:pPr>
        <w:sectPr>
          <w:pgSz w:w="11900" w:h="16838" w:orient="portrait"/>
          <w:cols w:equalWidth="0" w:num="3">
            <w:col w:w="7980" w:space="720"/>
            <w:col w:w="1040" w:space="720"/>
            <w:col w:w="780"/>
          </w:cols>
          <w:pgMar w:left="320" w:top="388"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005A64"/>
        </w:rPr>
        <w:t>Basic and diluted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88632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48863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740" w:val="left"/>
        </w:tabs>
        <w:rPr>
          <w:sz w:val="20"/>
          <w:szCs w:val="20"/>
          <w:color w:val="auto"/>
        </w:rPr>
      </w:pPr>
      <w:r>
        <w:rPr>
          <w:rFonts w:ascii="Times New Roman" w:cs="Times New Roman" w:eastAsia="Times New Roman" w:hAnsi="Times New Roman"/>
          <w:sz w:val="14"/>
          <w:szCs w:val="14"/>
          <w:color w:val="005A64"/>
        </w:rPr>
        <w:t>(2.10)</w:t>
      </w:r>
      <w:r>
        <w:rPr>
          <w:sz w:val="20"/>
          <w:szCs w:val="20"/>
          <w:color w:val="auto"/>
        </w:rPr>
        <w:tab/>
      </w:r>
      <w:r>
        <w:rPr>
          <w:rFonts w:ascii="Times New Roman" w:cs="Times New Roman" w:eastAsia="Times New Roman" w:hAnsi="Times New Roman"/>
          <w:sz w:val="14"/>
          <w:szCs w:val="14"/>
          <w:color w:val="005A64"/>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49530</wp:posOffset>
            </wp:positionV>
            <wp:extent cx="97726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40" w:space="720"/>
            <w:col w:w="2180"/>
          </w:cols>
          <w:pgMar w:left="320" w:top="388" w:right="339" w:bottom="1440" w:gutter="0" w:footer="0" w:header="0"/>
          <w:type w:val="continuous"/>
        </w:sectPr>
      </w:pPr>
    </w:p>
    <w:p>
      <w:pPr>
        <w:spacing w:after="0" w:line="251"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Important financial and operating terms and concepts are described in Item 5 of our Annual Report on Form 20-F as of and for the year ended December 31, 2025.</w:t>
      </w:r>
    </w:p>
    <w:p>
      <w:pPr>
        <w:sectPr>
          <w:pgSz w:w="11900" w:h="16838" w:orient="portrait"/>
          <w:cols w:equalWidth="0" w:num="1">
            <w:col w:w="11240"/>
          </w:cols>
          <w:pgMar w:left="320" w:top="388" w:right="339"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r>
        <w:rPr>
          <w:sz w:val="20"/>
          <w:szCs w:val="20"/>
          <w:color w:val="auto"/>
        </w:rPr>
        <w:tab/>
      </w:r>
      <w:r>
        <w:rPr>
          <w:rFonts w:ascii="Times New Roman" w:cs="Times New Roman" w:eastAsia="Times New Roman" w:hAnsi="Times New Roman"/>
          <w:sz w:val="22"/>
          <w:szCs w:val="22"/>
          <w:b w:val="1"/>
          <w:bCs w:val="1"/>
          <w:color w:val="C3C3C3"/>
        </w:rPr>
        <w:t>41</w:t>
      </w:r>
    </w:p>
    <w:p>
      <w:pPr>
        <w:sectPr>
          <w:pgSz w:w="11900" w:h="16838" w:orient="portrait"/>
          <w:cols w:equalWidth="0" w:num="1">
            <w:col w:w="11240"/>
          </w:cols>
          <w:pgMar w:left="320" w:top="388" w:right="339" w:bottom="1440" w:gutter="0" w:footer="0" w:header="0"/>
          <w:type w:val="continuous"/>
        </w:sectPr>
      </w:pPr>
    </w:p>
    <w:bookmarkStart w:id="50" w:name="page51"/>
    <w:bookmarkEnd w:id="5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Non-IFRS Measures as Defined by BioNTech</w:t>
      </w:r>
    </w:p>
    <w:p>
      <w:pPr>
        <w:spacing w:after="0" w:line="179"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In addition to our results determined in accordance with IFRS Accounting Standards, or IFRS results, we report certain adjusted, non-IFRS, measures used internally as a supplemental measure of our business performance. We believe that reporting these adjustments, and the non-IFRS measures that result, together with our IFRS results provides helpful complementary information to better understand our business performance and to facilitate comparability of business performance across different periods. These non-IFRS measures are also used by management for financial forecast and internal reporting purposes. Non-IFRS measures are intended to and may also provide useful information in evaluating performance relative to peer companies, many of which use similar non-IFRS measures to supplement their IFRS results.</w:t>
      </w:r>
    </w:p>
    <w:p>
      <w:pPr>
        <w:spacing w:after="0" w:line="200" w:lineRule="exact"/>
        <w:rPr>
          <w:sz w:val="20"/>
          <w:szCs w:val="20"/>
          <w:color w:val="auto"/>
        </w:rPr>
      </w:pPr>
    </w:p>
    <w:p>
      <w:pPr>
        <w:spacing w:after="0" w:line="304"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While non-IFRS measures may offer additional insights, our non-IFRS measures are not, and should not be viewed as, a substitute for their most directly comparable IFRS Accounting Standards measures, and should always be considered alongside our financial statements prepared in accordance with IFRS Accounting Standards.</w:t>
      </w:r>
    </w:p>
    <w:p>
      <w:pPr>
        <w:spacing w:after="0" w:line="231"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Non-IFRS adjustments include certain items that are associated with discrete events or matters and that management does not consider indicative of our performance for the period, and thus are excluded from the measures based on IFRS Accounting Standards. Non-IFRS measures are also aligned with the financial forecast of our management, which do not include these events or matters given their nature.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Our non-IFRS measures exclude the following items in relation to our measures based on IFRS Accounting Standards: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Expenses and income from legal proceedings, defined as:</w:t>
      </w:r>
    </w:p>
    <w:p>
      <w:pPr>
        <w:spacing w:after="0" w:line="171" w:lineRule="exact"/>
        <w:rPr>
          <w:sz w:val="20"/>
          <w:szCs w:val="20"/>
          <w:color w:val="auto"/>
        </w:rPr>
      </w:pPr>
    </w:p>
    <w:p>
      <w:pPr>
        <w:jc w:val="both"/>
        <w:ind w:left="220"/>
        <w:spacing w:after="0" w:line="317" w:lineRule="auto"/>
        <w:rPr>
          <w:sz w:val="20"/>
          <w:szCs w:val="20"/>
          <w:color w:val="auto"/>
        </w:rPr>
      </w:pPr>
      <w:r>
        <w:rPr>
          <w:rFonts w:ascii="Times New Roman" w:cs="Times New Roman" w:eastAsia="Times New Roman" w:hAnsi="Times New Roman"/>
          <w:sz w:val="18"/>
          <w:szCs w:val="18"/>
          <w:color w:val="080509"/>
        </w:rPr>
        <w:t>Expenses (net of insurance recoveries) and income arising from certain legal proceedings (e.g., contractual-disputes, litigations, and government investigations), resulting from past events, that would result generally in a provision in accordance with IAS 37, an accrual, or outflow of resources (such as cash) recorded in our other operating result (other operating income or expense) in the period, which management does not consider indicative of the Company’s performance for the period and exceeds a minimum threshold of €10.0 million per matter. These expenses and income do not include expenses from obligations or income from receivables arising from agreements following the settlements or conclusions for future transactions and operations, or expenses for external legal advisory services or internal legal costs. The Company describes the key facts of the matter such as involved parties, dispute, jurisdiction, terms of a settlement or court-ordered judgment in the respective sections in the Notes to the Consolidated Financial Statements.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Impairment and reversal, defined as:</w:t>
      </w:r>
    </w:p>
    <w:p>
      <w:pPr>
        <w:spacing w:after="0" w:line="171" w:lineRule="exact"/>
        <w:rPr>
          <w:sz w:val="20"/>
          <w:szCs w:val="20"/>
          <w:color w:val="auto"/>
        </w:rPr>
      </w:pPr>
    </w:p>
    <w:p>
      <w:pPr>
        <w:jc w:val="both"/>
        <w:ind w:left="220" w:right="20"/>
        <w:spacing w:after="0" w:line="323" w:lineRule="auto"/>
        <w:rPr>
          <w:sz w:val="20"/>
          <w:szCs w:val="20"/>
          <w:color w:val="auto"/>
        </w:rPr>
      </w:pPr>
      <w:r>
        <w:rPr>
          <w:rFonts w:ascii="Times New Roman" w:cs="Times New Roman" w:eastAsia="Times New Roman" w:hAnsi="Times New Roman"/>
          <w:sz w:val="18"/>
          <w:szCs w:val="18"/>
          <w:color w:val="080509"/>
        </w:rPr>
        <w:t>Expenses in accordance with IAS 36 impairment of goodwill and impairment and reversals of impairments of intangible assets (IAS 38), property, plant and equipment (IAS 16) and right-of-use assets (IFRS 16) that relate to matters which management does not consider indicative of the Company’s performance for the period and that exceed a minimum threshold of €10.0 million per asset or group of assets. Write-downs of inventories (IAS 2) or impairments of other assets not covered by IAS 16, IAS 38 and IFRS 16 are not adjusted.</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42</w:t>
            </w:r>
          </w:p>
        </w:tc>
      </w:tr>
    </w:tbl>
    <w:p>
      <w:pPr>
        <w:sectPr>
          <w:pgSz w:w="11900" w:h="16838" w:orient="portrait"/>
          <w:cols w:equalWidth="0" w:num="1">
            <w:col w:w="11240"/>
          </w:cols>
          <w:pgMar w:left="320" w:top="388" w:right="339" w:bottom="1440" w:gutter="0" w:footer="0" w:header="0"/>
        </w:sectPr>
      </w:pPr>
    </w:p>
    <w:bookmarkStart w:id="51" w:name="page52"/>
    <w:bookmarkEnd w:id="5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Employee-related expenses from restructuring, defined as:</w:t>
      </w:r>
    </w:p>
    <w:p>
      <w:pPr>
        <w:spacing w:after="0" w:line="171" w:lineRule="exact"/>
        <w:rPr>
          <w:sz w:val="20"/>
          <w:szCs w:val="20"/>
          <w:color w:val="auto"/>
        </w:rPr>
      </w:pPr>
    </w:p>
    <w:p>
      <w:pPr>
        <w:jc w:val="both"/>
        <w:ind w:left="220"/>
        <w:spacing w:after="0" w:line="322" w:lineRule="auto"/>
        <w:rPr>
          <w:sz w:val="20"/>
          <w:szCs w:val="20"/>
          <w:color w:val="auto"/>
        </w:rPr>
      </w:pPr>
      <w:r>
        <w:rPr>
          <w:rFonts w:ascii="Times New Roman" w:cs="Times New Roman" w:eastAsia="Times New Roman" w:hAnsi="Times New Roman"/>
          <w:sz w:val="18"/>
          <w:szCs w:val="18"/>
          <w:color w:val="080509"/>
        </w:rPr>
        <w:t>Major restructuring costs recognized in accordance with IAS 37 for streamlining operations and improving overall efficiency under specific Board approved programs that are of a significant scale and result in a structural change but do not relate to matters which management considers indicative of the Company’s performance for the period, where the costs of individual or related projects, including employee-related costs such as severance or outplacement, exceed a minimum threshold of €10.0 million. This does not include training or relocating continuing staff, marketing, investment in new systems and distribution networks, or consulting costs related to the restructuring.</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Income from bargain purchase and income and expenses from divestiture related items, defined as:</w:t>
      </w:r>
    </w:p>
    <w:p>
      <w:pPr>
        <w:spacing w:after="0" w:line="171" w:lineRule="exact"/>
        <w:rPr>
          <w:sz w:val="20"/>
          <w:szCs w:val="20"/>
          <w:color w:val="auto"/>
        </w:rPr>
      </w:pPr>
    </w:p>
    <w:p>
      <w:pPr>
        <w:jc w:val="both"/>
        <w:ind w:left="220"/>
        <w:spacing w:after="0" w:line="328" w:lineRule="auto"/>
        <w:rPr>
          <w:sz w:val="20"/>
          <w:szCs w:val="20"/>
          <w:color w:val="auto"/>
        </w:rPr>
      </w:pPr>
      <w:r>
        <w:rPr>
          <w:rFonts w:ascii="Times New Roman" w:cs="Times New Roman" w:eastAsia="Times New Roman" w:hAnsi="Times New Roman"/>
          <w:sz w:val="18"/>
          <w:szCs w:val="18"/>
          <w:color w:val="080509"/>
        </w:rPr>
        <w:t>Income from a bargain purchase resulting from a business combination according to IFRS 3/IFRS 10 and income and expenses from valuation of non-current assets as held for sale according to IFRS 5, above a minimum threshold of €10.0 million per item are adjusted, where management does not consider such income or expenses to be indicative of the Company’s performance for the period.</w:t>
      </w:r>
    </w:p>
    <w:p>
      <w:pPr>
        <w:spacing w:after="0" w:line="231"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These non-IFRS adjustments result in the following adjusted measures based on IFRS Accounting Standards: adjusted expenses, adjusted operating profit/loss, adjusted profit/loss before tax, adjusted net profit/loss, and adjusted earnings/loss per share on both a basic and diluted basis (each referred to with the prefix “Adjusted” or as a whole “Adjusted Results”). The calculation of these and the adjusted results as a whole is based on the concepts of the applicable IFRS Accounting Standards, but includes the above described adjustments.</w:t>
      </w:r>
    </w:p>
    <w:p>
      <w:pPr>
        <w:spacing w:after="0" w:line="236"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Due to their non-standardized nature, our adjusted results may not be directly comparable to those of other companies, unlike measures based on IFRS Accounting Standards.</w:t>
      </w:r>
    </w:p>
    <w:p>
      <w:pPr>
        <w:spacing w:after="0" w:line="217"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The following tables provide a reconciliation of our adjusted results to our measures based on IFRS Accounting Standards 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15175" cy="171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005A64"/>
        </w:rPr>
        <w:t>Non-IFRS Reconciliation for the three months ended March 31, 2026</w:t>
      </w:r>
    </w:p>
    <w:p>
      <w:pPr>
        <w:sectPr>
          <w:pgSz w:w="11900" w:h="16838" w:orient="portrait"/>
          <w:cols w:equalWidth="0" w:num="1">
            <w:col w:w="11240"/>
          </w:cols>
          <w:pgMar w:left="320" w:top="3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005A64"/>
        </w:rPr>
        <w:t>(in millions €,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184277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005A64"/>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84277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005A64"/>
        </w:rPr>
        <w:t>Other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84277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005A64"/>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184277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005A64"/>
        </w:rPr>
        <w:t>Net loss</w:t>
      </w:r>
      <w:r>
        <w:rPr>
          <w:rFonts w:ascii="Times New Roman" w:cs="Times New Roman" w:eastAsia="Times New Roman" w:hAnsi="Times New Roman"/>
          <w:sz w:val="15"/>
          <w:szCs w:val="15"/>
          <w:b w:val="1"/>
          <w:bCs w:val="1"/>
          <w:color w:val="005A64"/>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184277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3C9673"/>
        </w:rPr>
        <w:t>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84277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005A64"/>
        </w:rPr>
        <w:t>Basic and diluted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84277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37"/>
        </w:trPr>
        <w:tc>
          <w:tcPr>
            <w:tcW w:w="100" w:type="dxa"/>
            <w:vAlign w:val="bottom"/>
            <w:tcBorders>
              <w:top w:val="single" w:sz="8" w:color="BECE33"/>
              <w:left w:val="single" w:sz="8" w:color="BECE33"/>
            </w:tcBorders>
          </w:tcPr>
          <w:p>
            <w:pPr>
              <w:spacing w:after="0"/>
              <w:rPr>
                <w:sz w:val="20"/>
                <w:szCs w:val="20"/>
                <w:color w:val="auto"/>
              </w:rPr>
            </w:pPr>
          </w:p>
        </w:tc>
        <w:tc>
          <w:tcPr>
            <w:tcW w:w="1020" w:type="dxa"/>
            <w:vAlign w:val="bottom"/>
            <w:tcBorders>
              <w:top w:val="single" w:sz="8" w:color="BECE33"/>
            </w:tcBorders>
          </w:tcPr>
          <w:p>
            <w:pPr>
              <w:spacing w:after="0"/>
              <w:rPr>
                <w:sz w:val="20"/>
                <w:szCs w:val="20"/>
                <w:color w:val="auto"/>
              </w:rPr>
            </w:pPr>
          </w:p>
        </w:tc>
        <w:tc>
          <w:tcPr>
            <w:tcW w:w="180" w:type="dxa"/>
            <w:vAlign w:val="bottom"/>
            <w:tcBorders>
              <w:top w:val="single" w:sz="8" w:color="BECE33"/>
            </w:tcBorders>
          </w:tcPr>
          <w:p>
            <w:pPr>
              <w:spacing w:after="0"/>
              <w:rPr>
                <w:sz w:val="20"/>
                <w:szCs w:val="20"/>
                <w:color w:val="auto"/>
              </w:rPr>
            </w:pPr>
          </w:p>
        </w:tc>
        <w:tc>
          <w:tcPr>
            <w:tcW w:w="1240" w:type="dxa"/>
            <w:vAlign w:val="bottom"/>
            <w:tcBorders>
              <w:top w:val="single" w:sz="8" w:color="BECE33"/>
            </w:tcBorders>
          </w:tcPr>
          <w:p>
            <w:pPr>
              <w:spacing w:after="0"/>
              <w:rPr>
                <w:sz w:val="20"/>
                <w:szCs w:val="20"/>
                <w:color w:val="auto"/>
              </w:rPr>
            </w:pPr>
          </w:p>
        </w:tc>
        <w:tc>
          <w:tcPr>
            <w:tcW w:w="180" w:type="dxa"/>
            <w:vAlign w:val="bottom"/>
            <w:tcBorders>
              <w:top w:val="single" w:sz="8" w:color="BECE33"/>
            </w:tcBorders>
          </w:tcPr>
          <w:p>
            <w:pPr>
              <w:spacing w:after="0"/>
              <w:rPr>
                <w:sz w:val="20"/>
                <w:szCs w:val="20"/>
                <w:color w:val="auto"/>
              </w:rPr>
            </w:pPr>
          </w:p>
        </w:tc>
        <w:tc>
          <w:tcPr>
            <w:tcW w:w="2900" w:type="dxa"/>
            <w:vAlign w:val="bottom"/>
            <w:tcBorders>
              <w:top w:val="single" w:sz="8" w:color="BECE33"/>
            </w:tcBorders>
            <w:gridSpan w:val="4"/>
          </w:tcPr>
          <w:p>
            <w:pPr>
              <w:ind w:left="440"/>
              <w:spacing w:after="0"/>
              <w:rPr>
                <w:sz w:val="20"/>
                <w:szCs w:val="20"/>
                <w:color w:val="auto"/>
              </w:rPr>
            </w:pPr>
            <w:r>
              <w:rPr>
                <w:rFonts w:ascii="Times New Roman" w:cs="Times New Roman" w:eastAsia="Times New Roman" w:hAnsi="Times New Roman"/>
                <w:sz w:val="12"/>
                <w:szCs w:val="12"/>
                <w:b w:val="1"/>
                <w:bCs w:val="1"/>
                <w:color w:val="005A64"/>
              </w:rPr>
              <w:t>non-IFRS adjustments (unaudited)</w:t>
            </w:r>
          </w:p>
        </w:tc>
        <w:tc>
          <w:tcPr>
            <w:tcW w:w="1260" w:type="dxa"/>
            <w:vAlign w:val="bottom"/>
            <w:tcBorders>
              <w:top w:val="single" w:sz="8" w:color="BECE33"/>
            </w:tcBorders>
          </w:tcPr>
          <w:p>
            <w:pPr>
              <w:spacing w:after="0"/>
              <w:rPr>
                <w:sz w:val="20"/>
                <w:szCs w:val="20"/>
                <w:color w:val="auto"/>
              </w:rPr>
            </w:pPr>
          </w:p>
        </w:tc>
        <w:tc>
          <w:tcPr>
            <w:tcW w:w="180" w:type="dxa"/>
            <w:vAlign w:val="bottom"/>
            <w:tcBorders>
              <w:top w:val="single" w:sz="8" w:color="BECE33"/>
            </w:tcBorders>
          </w:tcPr>
          <w:p>
            <w:pPr>
              <w:spacing w:after="0"/>
              <w:rPr>
                <w:sz w:val="20"/>
                <w:szCs w:val="20"/>
                <w:color w:val="auto"/>
              </w:rPr>
            </w:pPr>
          </w:p>
        </w:tc>
        <w:tc>
          <w:tcPr>
            <w:tcW w:w="1020" w:type="dxa"/>
            <w:vAlign w:val="bottom"/>
            <w:tcBorders>
              <w:top w:val="single" w:sz="8" w:color="BECE33"/>
            </w:tcBorders>
          </w:tcPr>
          <w:p>
            <w:pPr>
              <w:spacing w:after="0"/>
              <w:rPr>
                <w:sz w:val="20"/>
                <w:szCs w:val="20"/>
                <w:color w:val="auto"/>
              </w:rPr>
            </w:pPr>
          </w:p>
        </w:tc>
        <w:tc>
          <w:tcPr>
            <w:tcW w:w="140" w:type="dxa"/>
            <w:vAlign w:val="bottom"/>
            <w:tcBorders>
              <w:top w:val="single" w:sz="8" w:color="BECE33"/>
              <w:right w:val="single" w:sz="8" w:color="BECE33"/>
            </w:tcBorders>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00" w:type="dxa"/>
            <w:vAlign w:val="bottom"/>
            <w:tcBorders>
              <w:left w:val="single" w:sz="8" w:color="BECE33"/>
            </w:tcBorders>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Borders>
              <w:bottom w:val="single" w:sz="8" w:color="005A64"/>
            </w:tcBorders>
          </w:tcPr>
          <w:p>
            <w:pPr>
              <w:spacing w:after="0"/>
              <w:rPr>
                <w:sz w:val="8"/>
                <w:szCs w:val="8"/>
                <w:color w:val="auto"/>
              </w:rPr>
            </w:pPr>
          </w:p>
        </w:tc>
        <w:tc>
          <w:tcPr>
            <w:tcW w:w="180" w:type="dxa"/>
            <w:vAlign w:val="bottom"/>
            <w:tcBorders>
              <w:bottom w:val="single" w:sz="8" w:color="005A64"/>
            </w:tcBorders>
          </w:tcPr>
          <w:p>
            <w:pPr>
              <w:spacing w:after="0"/>
              <w:rPr>
                <w:sz w:val="8"/>
                <w:szCs w:val="8"/>
                <w:color w:val="auto"/>
              </w:rPr>
            </w:pPr>
          </w:p>
        </w:tc>
        <w:tc>
          <w:tcPr>
            <w:tcW w:w="1280" w:type="dxa"/>
            <w:vAlign w:val="bottom"/>
            <w:tcBorders>
              <w:bottom w:val="single" w:sz="8" w:color="005A64"/>
            </w:tcBorders>
          </w:tcPr>
          <w:p>
            <w:pPr>
              <w:spacing w:after="0"/>
              <w:rPr>
                <w:sz w:val="8"/>
                <w:szCs w:val="8"/>
                <w:color w:val="auto"/>
              </w:rPr>
            </w:pPr>
          </w:p>
        </w:tc>
        <w:tc>
          <w:tcPr>
            <w:tcW w:w="160" w:type="dxa"/>
            <w:vAlign w:val="bottom"/>
            <w:tcBorders>
              <w:bottom w:val="single" w:sz="8" w:color="005A64"/>
            </w:tcBorders>
          </w:tcPr>
          <w:p>
            <w:pPr>
              <w:spacing w:after="0"/>
              <w:rPr>
                <w:sz w:val="8"/>
                <w:szCs w:val="8"/>
                <w:color w:val="auto"/>
              </w:rPr>
            </w:pPr>
          </w:p>
        </w:tc>
        <w:tc>
          <w:tcPr>
            <w:tcW w:w="1280" w:type="dxa"/>
            <w:vAlign w:val="bottom"/>
            <w:tcBorders>
              <w:bottom w:val="single" w:sz="8" w:color="005A64"/>
            </w:tcBorders>
          </w:tcPr>
          <w:p>
            <w:pPr>
              <w:spacing w:after="0"/>
              <w:rPr>
                <w:sz w:val="8"/>
                <w:szCs w:val="8"/>
                <w:color w:val="auto"/>
              </w:rPr>
            </w:pPr>
          </w:p>
        </w:tc>
        <w:tc>
          <w:tcPr>
            <w:tcW w:w="180" w:type="dxa"/>
            <w:vAlign w:val="bottom"/>
            <w:tcBorders>
              <w:bottom w:val="single" w:sz="8" w:color="005A64"/>
            </w:tcBorders>
          </w:tcPr>
          <w:p>
            <w:pPr>
              <w:spacing w:after="0"/>
              <w:rPr>
                <w:sz w:val="8"/>
                <w:szCs w:val="8"/>
                <w:color w:val="auto"/>
              </w:rPr>
            </w:pPr>
          </w:p>
        </w:tc>
        <w:tc>
          <w:tcPr>
            <w:tcW w:w="1260" w:type="dxa"/>
            <w:vAlign w:val="bottom"/>
            <w:tcBorders>
              <w:bottom w:val="single" w:sz="8" w:color="005A64"/>
            </w:tcBorders>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Borders>
              <w:right w:val="single" w:sz="8" w:color="BECE33"/>
            </w:tcBorders>
          </w:tcPr>
          <w:p>
            <w:pPr>
              <w:spacing w:after="0"/>
              <w:rPr>
                <w:sz w:val="8"/>
                <w:szCs w:val="8"/>
                <w:color w:val="auto"/>
              </w:rPr>
            </w:pPr>
          </w:p>
        </w:tc>
        <w:tc>
          <w:tcPr>
            <w:tcW w:w="0" w:type="dxa"/>
            <w:vAlign w:val="bottom"/>
          </w:tcPr>
          <w:p>
            <w:pPr>
              <w:spacing w:after="0"/>
              <w:rPr>
                <w:sz w:val="1"/>
                <w:szCs w:val="1"/>
                <w:color w:val="auto"/>
              </w:rPr>
            </w:pPr>
          </w:p>
        </w:tc>
      </w:tr>
      <w:tr>
        <w:trPr>
          <w:trHeight w:val="541"/>
        </w:trPr>
        <w:tc>
          <w:tcPr>
            <w:tcW w:w="100" w:type="dxa"/>
            <w:vAlign w:val="bottom"/>
            <w:tcBorders>
              <w:left w:val="single" w:sz="8" w:color="BECE33"/>
            </w:tcBorders>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Income from bargain</w:t>
            </w:r>
          </w:p>
        </w:tc>
        <w:tc>
          <w:tcPr>
            <w:tcW w:w="1020" w:type="dxa"/>
            <w:vAlign w:val="bottom"/>
          </w:tcPr>
          <w:p>
            <w:pPr>
              <w:spacing w:after="0"/>
              <w:rPr>
                <w:sz w:val="24"/>
                <w:szCs w:val="24"/>
                <w:color w:val="auto"/>
              </w:rPr>
            </w:pPr>
          </w:p>
        </w:tc>
        <w:tc>
          <w:tcPr>
            <w:tcW w:w="140" w:type="dxa"/>
            <w:vAlign w:val="bottom"/>
            <w:tcBorders>
              <w:right w:val="single" w:sz="8" w:color="BECE33"/>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00" w:type="dxa"/>
            <w:vAlign w:val="bottom"/>
            <w:tcBorders>
              <w:left w:val="single" w:sz="8" w:color="BECE33"/>
            </w:tcBorders>
          </w:tcPr>
          <w:p>
            <w:pPr>
              <w:spacing w:after="0"/>
              <w:rPr>
                <w:sz w:val="15"/>
                <w:szCs w:val="15"/>
                <w:color w:val="auto"/>
              </w:rPr>
            </w:pPr>
          </w:p>
        </w:tc>
        <w:tc>
          <w:tcPr>
            <w:tcW w:w="12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2"/>
                <w:szCs w:val="12"/>
                <w:b w:val="1"/>
                <w:bCs w:val="1"/>
                <w:color w:val="005A64"/>
              </w:rPr>
              <w:t>IFRS</w:t>
            </w: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purchase and income</w:t>
            </w:r>
          </w:p>
        </w:tc>
        <w:tc>
          <w:tcPr>
            <w:tcW w:w="1160" w:type="dxa"/>
            <w:vAlign w:val="bottom"/>
            <w:tcBorders>
              <w:right w:val="single" w:sz="8" w:color="BECE33"/>
            </w:tcBorders>
            <w:gridSpan w:val="2"/>
            <w:vMerge w:val="restart"/>
          </w:tcPr>
          <w:p>
            <w:pPr>
              <w:ind w:left="500"/>
              <w:spacing w:after="0"/>
              <w:rPr>
                <w:sz w:val="20"/>
                <w:szCs w:val="20"/>
                <w:color w:val="auto"/>
              </w:rPr>
            </w:pPr>
            <w:r>
              <w:rPr>
                <w:rFonts w:ascii="Times New Roman" w:cs="Times New Roman" w:eastAsia="Times New Roman" w:hAnsi="Times New Roman"/>
                <w:sz w:val="12"/>
                <w:szCs w:val="12"/>
                <w:b w:val="1"/>
                <w:bCs w:val="1"/>
                <w:color w:val="005A64"/>
              </w:rPr>
              <w:t>Adjusted</w:t>
            </w:r>
          </w:p>
        </w:tc>
        <w:tc>
          <w:tcPr>
            <w:tcW w:w="0" w:type="dxa"/>
            <w:vAlign w:val="bottom"/>
          </w:tcPr>
          <w:p>
            <w:pPr>
              <w:spacing w:after="0"/>
              <w:rPr>
                <w:sz w:val="1"/>
                <w:szCs w:val="1"/>
                <w:color w:val="auto"/>
              </w:rPr>
            </w:pPr>
          </w:p>
        </w:tc>
      </w:tr>
      <w:tr>
        <w:trPr>
          <w:trHeight w:val="40"/>
        </w:trPr>
        <w:tc>
          <w:tcPr>
            <w:tcW w:w="100" w:type="dxa"/>
            <w:vAlign w:val="bottom"/>
            <w:tcBorders>
              <w:left w:val="single" w:sz="8" w:color="BECE33"/>
            </w:tcBorders>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Employee-related</w:t>
            </w:r>
          </w:p>
        </w:tc>
        <w:tc>
          <w:tcPr>
            <w:tcW w:w="1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and expenses from</w:t>
            </w:r>
          </w:p>
        </w:tc>
        <w:tc>
          <w:tcPr>
            <w:tcW w:w="1160" w:type="dxa"/>
            <w:vAlign w:val="bottom"/>
            <w:tcBorders>
              <w:right w:val="single" w:sz="8" w:color="BECE33"/>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00" w:type="dxa"/>
            <w:vAlign w:val="bottom"/>
            <w:tcBorders>
              <w:left w:val="single" w:sz="8" w:color="BECE33"/>
            </w:tcBorders>
          </w:tcPr>
          <w:p>
            <w:pPr>
              <w:spacing w:after="0"/>
              <w:rPr>
                <w:sz w:val="10"/>
                <w:szCs w:val="10"/>
                <w:color w:val="auto"/>
              </w:rPr>
            </w:pP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Results</w:t>
            </w: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160" w:type="dxa"/>
            <w:vAlign w:val="bottom"/>
            <w:tcBorders>
              <w:right w:val="single" w:sz="8" w:color="BECE33"/>
            </w:tcBorders>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b w:val="1"/>
                <w:bCs w:val="1"/>
                <w:color w:val="005A64"/>
              </w:rPr>
              <w:t>Results</w:t>
            </w:r>
          </w:p>
        </w:tc>
        <w:tc>
          <w:tcPr>
            <w:tcW w:w="0" w:type="dxa"/>
            <w:vAlign w:val="bottom"/>
          </w:tcPr>
          <w:p>
            <w:pPr>
              <w:spacing w:after="0"/>
              <w:rPr>
                <w:sz w:val="1"/>
                <w:szCs w:val="1"/>
                <w:color w:val="auto"/>
              </w:rPr>
            </w:pPr>
          </w:p>
        </w:tc>
      </w:tr>
      <w:tr>
        <w:trPr>
          <w:trHeight w:val="54"/>
        </w:trPr>
        <w:tc>
          <w:tcPr>
            <w:tcW w:w="100" w:type="dxa"/>
            <w:vAlign w:val="bottom"/>
            <w:tcBorders>
              <w:left w:val="single" w:sz="8" w:color="BECE33"/>
            </w:tcBorders>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Expenses and income</w:t>
            </w:r>
          </w:p>
        </w:tc>
        <w:tc>
          <w:tcPr>
            <w:tcW w:w="1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b w:val="1"/>
                <w:bCs w:val="1"/>
                <w:color w:val="005A64"/>
              </w:rPr>
              <w:t>Impairment and</w:t>
            </w:r>
          </w:p>
        </w:tc>
        <w:tc>
          <w:tcPr>
            <w:tcW w:w="14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expenses from</w:t>
            </w:r>
          </w:p>
        </w:tc>
        <w:tc>
          <w:tcPr>
            <w:tcW w:w="1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divestiture related</w:t>
            </w:r>
          </w:p>
        </w:tc>
        <w:tc>
          <w:tcPr>
            <w:tcW w:w="1160" w:type="dxa"/>
            <w:vAlign w:val="bottom"/>
            <w:tcBorders>
              <w:right w:val="single" w:sz="8" w:color="BECE33"/>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100" w:type="dxa"/>
            <w:vAlign w:val="bottom"/>
            <w:tcBorders>
              <w:left w:val="single" w:sz="8" w:color="BECE33"/>
            </w:tcBorders>
          </w:tcPr>
          <w:p>
            <w:pPr>
              <w:spacing w:after="0"/>
              <w:rPr>
                <w:sz w:val="10"/>
                <w:szCs w:val="10"/>
                <w:color w:val="auto"/>
              </w:rPr>
            </w:pP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2"/>
                <w:szCs w:val="12"/>
                <w:i w:val="1"/>
                <w:iCs w:val="1"/>
                <w:color w:val="005A64"/>
              </w:rPr>
              <w:t>(unaudited)</w:t>
            </w:r>
          </w:p>
        </w:tc>
        <w:tc>
          <w:tcPr>
            <w:tcW w:w="1420" w:type="dxa"/>
            <w:vAlign w:val="bottom"/>
            <w:gridSpan w:val="2"/>
            <w:vMerge w:val="continue"/>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160" w:type="dxa"/>
            <w:vAlign w:val="bottom"/>
            <w:tcBorders>
              <w:right w:val="single" w:sz="8" w:color="BECE33"/>
            </w:tcBorders>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i w:val="1"/>
                <w:iCs w:val="1"/>
                <w:color w:val="005A64"/>
              </w:rPr>
              <w:t>(unaudited)</w:t>
            </w:r>
          </w:p>
        </w:tc>
        <w:tc>
          <w:tcPr>
            <w:tcW w:w="0" w:type="dxa"/>
            <w:vAlign w:val="bottom"/>
          </w:tcPr>
          <w:p>
            <w:pPr>
              <w:spacing w:after="0"/>
              <w:rPr>
                <w:sz w:val="1"/>
                <w:szCs w:val="1"/>
                <w:color w:val="auto"/>
              </w:rPr>
            </w:pPr>
          </w:p>
        </w:tc>
      </w:tr>
      <w:tr>
        <w:trPr>
          <w:trHeight w:val="85"/>
        </w:trPr>
        <w:tc>
          <w:tcPr>
            <w:tcW w:w="100" w:type="dxa"/>
            <w:vAlign w:val="bottom"/>
            <w:tcBorders>
              <w:left w:val="single" w:sz="8" w:color="BECE33"/>
            </w:tcBorders>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005A64"/>
              </w:rPr>
              <w:t>from legal proceedings</w:t>
            </w:r>
          </w:p>
        </w:tc>
        <w:tc>
          <w:tcPr>
            <w:tcW w:w="180" w:type="dxa"/>
            <w:vAlign w:val="bottom"/>
            <w:vMerge w:val="restart"/>
          </w:tcPr>
          <w:p>
            <w:pPr>
              <w:spacing w:after="0"/>
              <w:rPr>
                <w:sz w:val="7"/>
                <w:szCs w:val="7"/>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005A64"/>
              </w:rPr>
              <w:t>reversal</w:t>
            </w:r>
          </w:p>
        </w:tc>
        <w:tc>
          <w:tcPr>
            <w:tcW w:w="160" w:type="dxa"/>
            <w:vAlign w:val="bottom"/>
            <w:vMerge w:val="restart"/>
          </w:tcPr>
          <w:p>
            <w:pPr>
              <w:spacing w:after="0"/>
              <w:rPr>
                <w:sz w:val="7"/>
                <w:szCs w:val="7"/>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005A64"/>
              </w:rPr>
              <w:t>restructuring</w:t>
            </w:r>
          </w:p>
        </w:tc>
        <w:tc>
          <w:tcPr>
            <w:tcW w:w="180" w:type="dxa"/>
            <w:vAlign w:val="bottom"/>
            <w:vMerge w:val="restart"/>
          </w:tcPr>
          <w:p>
            <w:pPr>
              <w:spacing w:after="0"/>
              <w:rPr>
                <w:sz w:val="7"/>
                <w:szCs w:val="7"/>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005A64"/>
              </w:rPr>
              <w:t>items</w:t>
            </w:r>
          </w:p>
        </w:tc>
        <w:tc>
          <w:tcPr>
            <w:tcW w:w="180" w:type="dxa"/>
            <w:vAlign w:val="bottom"/>
            <w:vMerge w:val="restart"/>
          </w:tcPr>
          <w:p>
            <w:pPr>
              <w:spacing w:after="0"/>
              <w:rPr>
                <w:sz w:val="7"/>
                <w:szCs w:val="7"/>
                <w:color w:val="auto"/>
              </w:rPr>
            </w:pPr>
          </w:p>
        </w:tc>
        <w:tc>
          <w:tcPr>
            <w:tcW w:w="1160" w:type="dxa"/>
            <w:vAlign w:val="bottom"/>
            <w:tcBorders>
              <w:right w:val="single" w:sz="8" w:color="BECE33"/>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00" w:type="dxa"/>
            <w:vAlign w:val="bottom"/>
            <w:tcBorders>
              <w:left w:val="single" w:sz="8" w:color="BECE33"/>
            </w:tcBorders>
          </w:tcPr>
          <w:p>
            <w:pPr>
              <w:spacing w:after="0"/>
              <w:rPr>
                <w:sz w:val="8"/>
                <w:szCs w:val="8"/>
                <w:color w:val="auto"/>
              </w:rPr>
            </w:pPr>
          </w:p>
        </w:tc>
        <w:tc>
          <w:tcPr>
            <w:tcW w:w="1020" w:type="dxa"/>
            <w:vAlign w:val="bottom"/>
            <w:tcBorders>
              <w:bottom w:val="single" w:sz="8" w:color="005A64"/>
            </w:tcBorders>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Borders>
              <w:bottom w:val="single" w:sz="8" w:color="005A64"/>
            </w:tcBorders>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1280" w:type="dxa"/>
            <w:vAlign w:val="bottom"/>
            <w:tcBorders>
              <w:bottom w:val="single" w:sz="8" w:color="005A64"/>
            </w:tcBorders>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280" w:type="dxa"/>
            <w:vAlign w:val="bottom"/>
            <w:tcBorders>
              <w:bottom w:val="single" w:sz="8" w:color="005A64"/>
            </w:tcBorders>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1260" w:type="dxa"/>
            <w:vAlign w:val="bottom"/>
            <w:tcBorders>
              <w:bottom w:val="single" w:sz="8" w:color="005A64"/>
            </w:tcBorders>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1020" w:type="dxa"/>
            <w:vAlign w:val="bottom"/>
            <w:tcBorders>
              <w:bottom w:val="single" w:sz="8" w:color="005A64"/>
            </w:tcBorders>
          </w:tcPr>
          <w:p>
            <w:pPr>
              <w:spacing w:after="0"/>
              <w:rPr>
                <w:sz w:val="8"/>
                <w:szCs w:val="8"/>
                <w:color w:val="auto"/>
              </w:rPr>
            </w:pPr>
          </w:p>
        </w:tc>
        <w:tc>
          <w:tcPr>
            <w:tcW w:w="140" w:type="dxa"/>
            <w:vAlign w:val="bottom"/>
            <w:tcBorders>
              <w:right w:val="single" w:sz="8" w:color="BECE33"/>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12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(557.0)</w:t>
            </w:r>
          </w:p>
        </w:tc>
        <w:tc>
          <w:tcPr>
            <w:tcW w:w="180" w:type="dxa"/>
            <w:vAlign w:val="bottom"/>
          </w:tcPr>
          <w:p>
            <w:pPr>
              <w:spacing w:after="0"/>
              <w:rPr>
                <w:sz w:val="15"/>
                <w:szCs w:val="15"/>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29.9</w:t>
            </w:r>
          </w:p>
        </w:tc>
        <w:tc>
          <w:tcPr>
            <w:tcW w:w="160" w:type="dxa"/>
            <w:vAlign w:val="bottom"/>
          </w:tcPr>
          <w:p>
            <w:pPr>
              <w:spacing w:after="0"/>
              <w:rPr>
                <w:sz w:val="15"/>
                <w:szCs w:val="15"/>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(527.1)</w:t>
            </w:r>
          </w:p>
        </w:tc>
        <w:tc>
          <w:tcPr>
            <w:tcW w:w="140" w:type="dxa"/>
            <w:vAlign w:val="bottom"/>
            <w:tcBorders>
              <w:right w:val="single" w:sz="8" w:color="BECE33"/>
            </w:tcBorders>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100" w:type="dxa"/>
            <w:vAlign w:val="bottom"/>
            <w:tcBorders>
              <w:left w:val="single" w:sz="8" w:color="BECE33"/>
            </w:tcBorders>
          </w:tcPr>
          <w:p>
            <w:pPr>
              <w:spacing w:after="0"/>
              <w:rPr>
                <w:sz w:val="2"/>
                <w:szCs w:val="2"/>
                <w:color w:val="auto"/>
              </w:rPr>
            </w:pPr>
          </w:p>
        </w:tc>
        <w:tc>
          <w:tcPr>
            <w:tcW w:w="102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7FACB1"/>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12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(46.8)</w:t>
            </w:r>
          </w:p>
        </w:tc>
        <w:tc>
          <w:tcPr>
            <w:tcW w:w="180" w:type="dxa"/>
            <w:vAlign w:val="bottom"/>
          </w:tcPr>
          <w:p>
            <w:pPr>
              <w:spacing w:after="0"/>
              <w:rPr>
                <w:sz w:val="15"/>
                <w:szCs w:val="15"/>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7.4</w:t>
            </w:r>
          </w:p>
        </w:tc>
        <w:tc>
          <w:tcPr>
            <w:tcW w:w="180" w:type="dxa"/>
            <w:vAlign w:val="bottom"/>
          </w:tcPr>
          <w:p>
            <w:pPr>
              <w:spacing w:after="0"/>
              <w:rPr>
                <w:sz w:val="15"/>
                <w:szCs w:val="15"/>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(39.4)</w:t>
            </w:r>
          </w:p>
        </w:tc>
        <w:tc>
          <w:tcPr>
            <w:tcW w:w="140" w:type="dxa"/>
            <w:vAlign w:val="bottom"/>
            <w:tcBorders>
              <w:right w:val="single" w:sz="8" w:color="BECE33"/>
            </w:tcBorders>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100" w:type="dxa"/>
            <w:vAlign w:val="bottom"/>
            <w:tcBorders>
              <w:left w:val="single" w:sz="8" w:color="BECE33"/>
            </w:tcBorders>
          </w:tcPr>
          <w:p>
            <w:pPr>
              <w:spacing w:after="0"/>
              <w:rPr>
                <w:sz w:val="2"/>
                <w:szCs w:val="2"/>
                <w:color w:val="auto"/>
              </w:rPr>
            </w:pPr>
          </w:p>
        </w:tc>
        <w:tc>
          <w:tcPr>
            <w:tcW w:w="102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7FACB1"/>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12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(677.5)</w:t>
            </w:r>
          </w:p>
        </w:tc>
        <w:tc>
          <w:tcPr>
            <w:tcW w:w="180" w:type="dxa"/>
            <w:vAlign w:val="bottom"/>
          </w:tcPr>
          <w:p>
            <w:pPr>
              <w:spacing w:after="0"/>
              <w:rPr>
                <w:sz w:val="15"/>
                <w:szCs w:val="15"/>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29.9</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7.4</w:t>
            </w:r>
          </w:p>
        </w:tc>
        <w:tc>
          <w:tcPr>
            <w:tcW w:w="180" w:type="dxa"/>
            <w:vAlign w:val="bottom"/>
          </w:tcPr>
          <w:p>
            <w:pPr>
              <w:spacing w:after="0"/>
              <w:rPr>
                <w:sz w:val="15"/>
                <w:szCs w:val="15"/>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(640.2)</w:t>
            </w:r>
          </w:p>
        </w:tc>
        <w:tc>
          <w:tcPr>
            <w:tcW w:w="140" w:type="dxa"/>
            <w:vAlign w:val="bottom"/>
            <w:tcBorders>
              <w:right w:val="single" w:sz="8" w:color="BECE33"/>
            </w:tcBorders>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100" w:type="dxa"/>
            <w:vAlign w:val="bottom"/>
            <w:tcBorders>
              <w:left w:val="single" w:sz="8" w:color="BECE33"/>
            </w:tcBorders>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12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(531.9)</w:t>
            </w:r>
          </w:p>
        </w:tc>
        <w:tc>
          <w:tcPr>
            <w:tcW w:w="18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29.9</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7.4</w:t>
            </w:r>
          </w:p>
        </w:tc>
        <w:tc>
          <w:tcPr>
            <w:tcW w:w="180" w:type="dxa"/>
            <w:vAlign w:val="bottom"/>
          </w:tcPr>
          <w:p>
            <w:pPr>
              <w:spacing w:after="0"/>
              <w:rPr>
                <w:sz w:val="17"/>
                <w:szCs w:val="17"/>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(494.6)</w:t>
            </w:r>
          </w:p>
        </w:tc>
        <w:tc>
          <w:tcPr>
            <w:tcW w:w="14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100" w:type="dxa"/>
            <w:vAlign w:val="bottom"/>
            <w:tcBorders>
              <w:left w:val="single" w:sz="8" w:color="BECE33"/>
            </w:tcBorders>
          </w:tcPr>
          <w:p>
            <w:pPr>
              <w:spacing w:after="0"/>
              <w:rPr>
                <w:sz w:val="6"/>
                <w:szCs w:val="6"/>
                <w:color w:val="auto"/>
              </w:rPr>
            </w:pPr>
          </w:p>
        </w:tc>
        <w:tc>
          <w:tcPr>
            <w:tcW w:w="1020" w:type="dxa"/>
            <w:vAlign w:val="bottom"/>
            <w:tcBorders>
              <w:bottom w:val="single" w:sz="8" w:color="005A64"/>
            </w:tcBorders>
          </w:tcPr>
          <w:p>
            <w:pPr>
              <w:spacing w:after="0"/>
              <w:rPr>
                <w:sz w:val="6"/>
                <w:szCs w:val="6"/>
                <w:color w:val="auto"/>
              </w:rPr>
            </w:pPr>
          </w:p>
        </w:tc>
        <w:tc>
          <w:tcPr>
            <w:tcW w:w="180" w:type="dxa"/>
            <w:vAlign w:val="bottom"/>
          </w:tcPr>
          <w:p>
            <w:pPr>
              <w:spacing w:after="0"/>
              <w:rPr>
                <w:sz w:val="6"/>
                <w:szCs w:val="6"/>
                <w:color w:val="auto"/>
              </w:rPr>
            </w:pPr>
          </w:p>
        </w:tc>
        <w:tc>
          <w:tcPr>
            <w:tcW w:w="1240" w:type="dxa"/>
            <w:vAlign w:val="bottom"/>
            <w:tcBorders>
              <w:bottom w:val="single" w:sz="8" w:color="005A64"/>
            </w:tcBorders>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tcBorders>
              <w:bottom w:val="single" w:sz="8" w:color="005A64"/>
            </w:tcBorders>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tcBorders>
              <w:bottom w:val="single" w:sz="8" w:color="005A64"/>
            </w:tcBorders>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tcBorders>
              <w:bottom w:val="single" w:sz="8" w:color="005A64"/>
            </w:tcBorders>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Borders>
              <w:bottom w:val="single" w:sz="8" w:color="005A64"/>
            </w:tcBorders>
          </w:tcPr>
          <w:p>
            <w:pPr>
              <w:spacing w:after="0"/>
              <w:rPr>
                <w:sz w:val="6"/>
                <w:szCs w:val="6"/>
                <w:color w:val="auto"/>
              </w:rPr>
            </w:pPr>
          </w:p>
        </w:tc>
        <w:tc>
          <w:tcPr>
            <w:tcW w:w="140" w:type="dxa"/>
            <w:vAlign w:val="bottom"/>
            <w:tcBorders>
              <w:right w:val="single" w:sz="8" w:color="BECE33"/>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100" w:type="dxa"/>
            <w:vAlign w:val="bottom"/>
            <w:tcBorders>
              <w:left w:val="single" w:sz="8" w:color="BECE33"/>
            </w:tcBorders>
          </w:tcPr>
          <w:p>
            <w:pPr>
              <w:spacing w:after="0"/>
              <w:rPr>
                <w:sz w:val="15"/>
                <w:szCs w:val="15"/>
                <w:color w:val="auto"/>
              </w:rPr>
            </w:pPr>
          </w:p>
        </w:tc>
        <w:tc>
          <w:tcPr>
            <w:tcW w:w="102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Borders>
              <w:bottom w:val="single" w:sz="8" w:color="7FACB1"/>
            </w:tcBorders>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Borders>
              <w:bottom w:val="single" w:sz="8" w:color="7FACB1"/>
            </w:tcBorders>
          </w:tcPr>
          <w:p>
            <w:pPr>
              <w:spacing w:after="0"/>
              <w:rPr>
                <w:sz w:val="15"/>
                <w:szCs w:val="15"/>
                <w:color w:val="auto"/>
              </w:rPr>
            </w:pPr>
          </w:p>
        </w:tc>
        <w:tc>
          <w:tcPr>
            <w:tcW w:w="140" w:type="dxa"/>
            <w:vAlign w:val="bottom"/>
            <w:tcBorders>
              <w:right w:val="single" w:sz="8" w:color="BECE33"/>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2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2"/>
                <w:szCs w:val="12"/>
                <w:color w:val="005A64"/>
              </w:rPr>
              <w:t>(2.10)</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(1.95)</w:t>
            </w:r>
          </w:p>
        </w:tc>
        <w:tc>
          <w:tcPr>
            <w:tcW w:w="140" w:type="dxa"/>
            <w:vAlign w:val="bottom"/>
            <w:tcBorders>
              <w:right w:val="single" w:sz="8" w:color="BECE33"/>
            </w:tcBorders>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00" w:type="dxa"/>
            <w:vAlign w:val="bottom"/>
            <w:tcBorders>
              <w:left w:val="single" w:sz="8" w:color="BECE33"/>
              <w:bottom w:val="single" w:sz="8" w:color="BECE33"/>
            </w:tcBorders>
          </w:tcPr>
          <w:p>
            <w:pPr>
              <w:spacing w:after="0"/>
              <w:rPr>
                <w:sz w:val="2"/>
                <w:szCs w:val="2"/>
                <w:color w:val="auto"/>
              </w:rPr>
            </w:pPr>
          </w:p>
        </w:tc>
        <w:tc>
          <w:tcPr>
            <w:tcW w:w="1020" w:type="dxa"/>
            <w:vAlign w:val="bottom"/>
            <w:tcBorders>
              <w:bottom w:val="single" w:sz="8" w:color="BECE33"/>
            </w:tcBorders>
          </w:tcPr>
          <w:p>
            <w:pPr>
              <w:spacing w:after="0"/>
              <w:rPr>
                <w:sz w:val="2"/>
                <w:szCs w:val="2"/>
                <w:color w:val="auto"/>
              </w:rPr>
            </w:pPr>
          </w:p>
        </w:tc>
        <w:tc>
          <w:tcPr>
            <w:tcW w:w="180" w:type="dxa"/>
            <w:vAlign w:val="bottom"/>
            <w:tcBorders>
              <w:bottom w:val="single" w:sz="8" w:color="BECE33"/>
            </w:tcBorders>
          </w:tcPr>
          <w:p>
            <w:pPr>
              <w:spacing w:after="0"/>
              <w:rPr>
                <w:sz w:val="2"/>
                <w:szCs w:val="2"/>
                <w:color w:val="auto"/>
              </w:rPr>
            </w:pPr>
          </w:p>
        </w:tc>
        <w:tc>
          <w:tcPr>
            <w:tcW w:w="1240" w:type="dxa"/>
            <w:vAlign w:val="bottom"/>
            <w:tcBorders>
              <w:bottom w:val="single" w:sz="8" w:color="BECE33"/>
            </w:tcBorders>
          </w:tcPr>
          <w:p>
            <w:pPr>
              <w:spacing w:after="0"/>
              <w:rPr>
                <w:sz w:val="2"/>
                <w:szCs w:val="2"/>
                <w:color w:val="auto"/>
              </w:rPr>
            </w:pPr>
          </w:p>
        </w:tc>
        <w:tc>
          <w:tcPr>
            <w:tcW w:w="180" w:type="dxa"/>
            <w:vAlign w:val="bottom"/>
            <w:tcBorders>
              <w:bottom w:val="single" w:sz="8" w:color="BECE33"/>
            </w:tcBorders>
          </w:tcPr>
          <w:p>
            <w:pPr>
              <w:spacing w:after="0"/>
              <w:rPr>
                <w:sz w:val="2"/>
                <w:szCs w:val="2"/>
                <w:color w:val="auto"/>
              </w:rPr>
            </w:pPr>
          </w:p>
        </w:tc>
        <w:tc>
          <w:tcPr>
            <w:tcW w:w="1280" w:type="dxa"/>
            <w:vAlign w:val="bottom"/>
            <w:tcBorders>
              <w:bottom w:val="single" w:sz="8" w:color="BECE33"/>
            </w:tcBorders>
          </w:tcPr>
          <w:p>
            <w:pPr>
              <w:spacing w:after="0"/>
              <w:rPr>
                <w:sz w:val="2"/>
                <w:szCs w:val="2"/>
                <w:color w:val="auto"/>
              </w:rPr>
            </w:pPr>
          </w:p>
        </w:tc>
        <w:tc>
          <w:tcPr>
            <w:tcW w:w="160" w:type="dxa"/>
            <w:vAlign w:val="bottom"/>
            <w:tcBorders>
              <w:bottom w:val="single" w:sz="8" w:color="BECE33"/>
            </w:tcBorders>
          </w:tcPr>
          <w:p>
            <w:pPr>
              <w:spacing w:after="0"/>
              <w:rPr>
                <w:sz w:val="2"/>
                <w:szCs w:val="2"/>
                <w:color w:val="auto"/>
              </w:rPr>
            </w:pPr>
          </w:p>
        </w:tc>
        <w:tc>
          <w:tcPr>
            <w:tcW w:w="1280" w:type="dxa"/>
            <w:vAlign w:val="bottom"/>
            <w:tcBorders>
              <w:bottom w:val="single" w:sz="8" w:color="BECE33"/>
            </w:tcBorders>
          </w:tcPr>
          <w:p>
            <w:pPr>
              <w:spacing w:after="0"/>
              <w:rPr>
                <w:sz w:val="2"/>
                <w:szCs w:val="2"/>
                <w:color w:val="auto"/>
              </w:rPr>
            </w:pPr>
          </w:p>
        </w:tc>
        <w:tc>
          <w:tcPr>
            <w:tcW w:w="180" w:type="dxa"/>
            <w:vAlign w:val="bottom"/>
            <w:tcBorders>
              <w:bottom w:val="single" w:sz="8" w:color="BECE33"/>
            </w:tcBorders>
          </w:tcPr>
          <w:p>
            <w:pPr>
              <w:spacing w:after="0"/>
              <w:rPr>
                <w:sz w:val="2"/>
                <w:szCs w:val="2"/>
                <w:color w:val="auto"/>
              </w:rPr>
            </w:pPr>
          </w:p>
        </w:tc>
        <w:tc>
          <w:tcPr>
            <w:tcW w:w="1260" w:type="dxa"/>
            <w:vAlign w:val="bottom"/>
            <w:tcBorders>
              <w:bottom w:val="single" w:sz="8" w:color="BECE33"/>
            </w:tcBorders>
          </w:tcPr>
          <w:p>
            <w:pPr>
              <w:spacing w:after="0"/>
              <w:rPr>
                <w:sz w:val="2"/>
                <w:szCs w:val="2"/>
                <w:color w:val="auto"/>
              </w:rPr>
            </w:pPr>
          </w:p>
        </w:tc>
        <w:tc>
          <w:tcPr>
            <w:tcW w:w="180" w:type="dxa"/>
            <w:vAlign w:val="bottom"/>
            <w:tcBorders>
              <w:bottom w:val="single" w:sz="8" w:color="BECE33"/>
            </w:tcBorders>
          </w:tcPr>
          <w:p>
            <w:pPr>
              <w:spacing w:after="0"/>
              <w:rPr>
                <w:sz w:val="2"/>
                <w:szCs w:val="2"/>
                <w:color w:val="auto"/>
              </w:rPr>
            </w:pPr>
          </w:p>
        </w:tc>
        <w:tc>
          <w:tcPr>
            <w:tcW w:w="1020" w:type="dxa"/>
            <w:vAlign w:val="bottom"/>
            <w:tcBorders>
              <w:bottom w:val="single" w:sz="8" w:color="BECE33"/>
            </w:tcBorders>
          </w:tcPr>
          <w:p>
            <w:pPr>
              <w:spacing w:after="0"/>
              <w:rPr>
                <w:sz w:val="2"/>
                <w:szCs w:val="2"/>
                <w:color w:val="auto"/>
              </w:rPr>
            </w:pPr>
          </w:p>
        </w:tc>
        <w:tc>
          <w:tcPr>
            <w:tcW w:w="140" w:type="dxa"/>
            <w:vAlign w:val="bottom"/>
            <w:tcBorders>
              <w:bottom w:val="single" w:sz="8" w:color="BECE33"/>
              <w:right w:val="single" w:sz="8" w:color="BECE33"/>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ectPr>
          <w:pgSz w:w="11900" w:h="16838" w:orient="portrait"/>
          <w:cols w:equalWidth="0" w:num="2">
            <w:col w:w="2300" w:space="720"/>
            <w:col w:w="8220"/>
          </w:cols>
          <w:pgMar w:left="320" w:top="388" w:right="339" w:bottom="1440" w:gutter="0" w:footer="0" w:header="0"/>
          <w:type w:val="continuous"/>
        </w:sectPr>
      </w:pPr>
    </w:p>
    <w:p>
      <w:pPr>
        <w:ind w:left="260" w:hanging="252"/>
        <w:spacing w:after="0"/>
        <w:tabs>
          <w:tab w:leader="none" w:pos="260" w:val="left"/>
        </w:tabs>
        <w:numPr>
          <w:ilvl w:val="0"/>
          <w:numId w:val="37"/>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Tax effects are not considered as part of our non-IFRS adjustments.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43</w:t>
            </w:r>
          </w:p>
        </w:tc>
      </w:tr>
    </w:tbl>
    <w:p>
      <w:pPr>
        <w:sectPr>
          <w:pgSz w:w="11900" w:h="16838" w:orient="portrait"/>
          <w:cols w:equalWidth="0" w:num="1">
            <w:col w:w="11240"/>
          </w:cols>
          <w:pgMar w:left="320" w:top="388" w:right="339" w:bottom="1440" w:gutter="0" w:footer="0" w:header="0"/>
          <w:type w:val="continuous"/>
        </w:sectPr>
      </w:pPr>
    </w:p>
    <w:bookmarkStart w:id="52" w:name="page53"/>
    <w:bookmarkEnd w:id="5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22885" cy="685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749300</wp:posOffset>
            </wp:positionV>
            <wp:extent cx="7115175" cy="171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005A64"/>
        </w:rPr>
        <w:t>Non-IFRS Reconciliation for the three months ended March 31, 2025</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80" w:type="dxa"/>
            <w:vAlign w:val="bottom"/>
            <w:gridSpan w:val="4"/>
          </w:tcPr>
          <w:p>
            <w:pPr>
              <w:ind w:left="420"/>
              <w:spacing w:after="0"/>
              <w:rPr>
                <w:sz w:val="20"/>
                <w:szCs w:val="20"/>
                <w:color w:val="auto"/>
              </w:rPr>
            </w:pPr>
            <w:r>
              <w:rPr>
                <w:rFonts w:ascii="Times New Roman" w:cs="Times New Roman" w:eastAsia="Times New Roman" w:hAnsi="Times New Roman"/>
                <w:sz w:val="12"/>
                <w:szCs w:val="12"/>
                <w:b w:val="1"/>
                <w:bCs w:val="1"/>
                <w:color w:val="005A64"/>
              </w:rPr>
              <w:t>non-IFRS adjustments (unaudited)</w:t>
            </w: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3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Borders>
              <w:bottom w:val="single" w:sz="8" w:color="005A64"/>
            </w:tcBorders>
          </w:tcPr>
          <w:p>
            <w:pPr>
              <w:spacing w:after="0"/>
              <w:rPr>
                <w:sz w:val="8"/>
                <w:szCs w:val="8"/>
                <w:color w:val="auto"/>
              </w:rPr>
            </w:pPr>
          </w:p>
        </w:tc>
        <w:tc>
          <w:tcPr>
            <w:tcW w:w="180" w:type="dxa"/>
            <w:vAlign w:val="bottom"/>
            <w:tcBorders>
              <w:bottom w:val="single" w:sz="8" w:color="005A64"/>
            </w:tcBorders>
          </w:tcPr>
          <w:p>
            <w:pPr>
              <w:spacing w:after="0"/>
              <w:rPr>
                <w:sz w:val="8"/>
                <w:szCs w:val="8"/>
                <w:color w:val="auto"/>
              </w:rPr>
            </w:pPr>
          </w:p>
        </w:tc>
        <w:tc>
          <w:tcPr>
            <w:tcW w:w="1260" w:type="dxa"/>
            <w:vAlign w:val="bottom"/>
            <w:tcBorders>
              <w:bottom w:val="single" w:sz="8" w:color="005A64"/>
            </w:tcBorders>
          </w:tcPr>
          <w:p>
            <w:pPr>
              <w:spacing w:after="0"/>
              <w:rPr>
                <w:sz w:val="8"/>
                <w:szCs w:val="8"/>
                <w:color w:val="auto"/>
              </w:rPr>
            </w:pPr>
          </w:p>
        </w:tc>
        <w:tc>
          <w:tcPr>
            <w:tcW w:w="180" w:type="dxa"/>
            <w:vAlign w:val="bottom"/>
            <w:tcBorders>
              <w:bottom w:val="single" w:sz="8" w:color="005A64"/>
            </w:tcBorders>
          </w:tcPr>
          <w:p>
            <w:pPr>
              <w:spacing w:after="0"/>
              <w:rPr>
                <w:sz w:val="8"/>
                <w:szCs w:val="8"/>
                <w:color w:val="auto"/>
              </w:rPr>
            </w:pPr>
          </w:p>
        </w:tc>
        <w:tc>
          <w:tcPr>
            <w:tcW w:w="1260" w:type="dxa"/>
            <w:vAlign w:val="bottom"/>
            <w:tcBorders>
              <w:bottom w:val="single" w:sz="8" w:color="005A64"/>
            </w:tcBorders>
          </w:tcPr>
          <w:p>
            <w:pPr>
              <w:spacing w:after="0"/>
              <w:rPr>
                <w:sz w:val="8"/>
                <w:szCs w:val="8"/>
                <w:color w:val="auto"/>
              </w:rPr>
            </w:pPr>
          </w:p>
        </w:tc>
        <w:tc>
          <w:tcPr>
            <w:tcW w:w="180" w:type="dxa"/>
            <w:vAlign w:val="bottom"/>
            <w:tcBorders>
              <w:bottom w:val="single" w:sz="8" w:color="005A64"/>
            </w:tcBorders>
          </w:tcPr>
          <w:p>
            <w:pPr>
              <w:spacing w:after="0"/>
              <w:rPr>
                <w:sz w:val="8"/>
                <w:szCs w:val="8"/>
                <w:color w:val="auto"/>
              </w:rPr>
            </w:pPr>
          </w:p>
        </w:tc>
        <w:tc>
          <w:tcPr>
            <w:tcW w:w="1260" w:type="dxa"/>
            <w:vAlign w:val="bottom"/>
            <w:tcBorders>
              <w:bottom w:val="single" w:sz="8" w:color="005A64"/>
            </w:tcBorders>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1"/>
        </w:trPr>
        <w:tc>
          <w:tcPr>
            <w:tcW w:w="3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Income from bargain</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vMerge w:val="restart"/>
          </w:tcPr>
          <w:p>
            <w:pPr>
              <w:ind w:left="680"/>
              <w:spacing w:after="0"/>
              <w:rPr>
                <w:sz w:val="20"/>
                <w:szCs w:val="20"/>
                <w:color w:val="auto"/>
              </w:rPr>
            </w:pPr>
            <w:r>
              <w:rPr>
                <w:rFonts w:ascii="Times New Roman" w:cs="Times New Roman" w:eastAsia="Times New Roman" w:hAnsi="Times New Roman"/>
                <w:sz w:val="12"/>
                <w:szCs w:val="12"/>
                <w:b w:val="1"/>
                <w:bCs w:val="1"/>
                <w:color w:val="005A64"/>
              </w:rPr>
              <w:t>IFRS</w:t>
            </w: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purchase and income</w:t>
            </w:r>
          </w:p>
        </w:tc>
        <w:tc>
          <w:tcPr>
            <w:tcW w:w="102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b w:val="1"/>
                <w:bCs w:val="1"/>
                <w:color w:val="005A64"/>
              </w:rPr>
              <w:t>Adjusted</w:t>
            </w:r>
          </w:p>
        </w:tc>
        <w:tc>
          <w:tcPr>
            <w:tcW w:w="0" w:type="dxa"/>
            <w:vAlign w:val="bottom"/>
          </w:tcPr>
          <w:p>
            <w:pPr>
              <w:spacing w:after="0"/>
              <w:rPr>
                <w:sz w:val="1"/>
                <w:szCs w:val="1"/>
                <w:color w:val="auto"/>
              </w:rPr>
            </w:pPr>
          </w:p>
        </w:tc>
      </w:tr>
      <w:tr>
        <w:trPr>
          <w:trHeight w:val="41"/>
        </w:trPr>
        <w:tc>
          <w:tcPr>
            <w:tcW w:w="3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Employee-related</w:t>
            </w:r>
          </w:p>
        </w:tc>
        <w:tc>
          <w:tcPr>
            <w:tcW w:w="1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and expenses from</w:t>
            </w: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3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2"/>
                <w:szCs w:val="12"/>
                <w:b w:val="1"/>
                <w:bCs w:val="1"/>
                <w:color w:val="005A64"/>
              </w:rPr>
              <w:t>Results</w:t>
            </w:r>
          </w:p>
        </w:tc>
        <w:tc>
          <w:tcPr>
            <w:tcW w:w="1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005A64"/>
              </w:rPr>
              <w:t>Results</w:t>
            </w:r>
          </w:p>
        </w:tc>
        <w:tc>
          <w:tcPr>
            <w:tcW w:w="0" w:type="dxa"/>
            <w:vAlign w:val="bottom"/>
          </w:tcPr>
          <w:p>
            <w:pPr>
              <w:spacing w:after="0"/>
              <w:rPr>
                <w:sz w:val="1"/>
                <w:szCs w:val="1"/>
                <w:color w:val="auto"/>
              </w:rPr>
            </w:pPr>
          </w:p>
        </w:tc>
      </w:tr>
      <w:tr>
        <w:trPr>
          <w:trHeight w:val="54"/>
        </w:trPr>
        <w:tc>
          <w:tcPr>
            <w:tcW w:w="3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Expenses and income</w:t>
            </w:r>
          </w:p>
        </w:tc>
        <w:tc>
          <w:tcPr>
            <w:tcW w:w="1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Impairment and</w:t>
            </w:r>
          </w:p>
        </w:tc>
        <w:tc>
          <w:tcPr>
            <w:tcW w:w="1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expenses from</w:t>
            </w:r>
          </w:p>
        </w:tc>
        <w:tc>
          <w:tcPr>
            <w:tcW w:w="1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divestiture related</w:t>
            </w: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2"/>
                <w:szCs w:val="12"/>
                <w:i w:val="1"/>
                <w:iCs w:val="1"/>
                <w:color w:val="005A64"/>
              </w:rPr>
              <w:t>(unaudited)</w:t>
            </w:r>
          </w:p>
        </w:tc>
        <w:tc>
          <w:tcPr>
            <w:tcW w:w="1440" w:type="dxa"/>
            <w:vAlign w:val="bottom"/>
            <w:gridSpan w:val="2"/>
            <w:vMerge w:val="continue"/>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i w:val="1"/>
                <w:iCs w:val="1"/>
                <w:color w:val="005A64"/>
              </w:rPr>
              <w:t>(unaudited)</w:t>
            </w:r>
          </w:p>
        </w:tc>
        <w:tc>
          <w:tcPr>
            <w:tcW w:w="0" w:type="dxa"/>
            <w:vAlign w:val="bottom"/>
          </w:tcPr>
          <w:p>
            <w:pPr>
              <w:spacing w:after="0"/>
              <w:rPr>
                <w:sz w:val="1"/>
                <w:szCs w:val="1"/>
                <w:color w:val="auto"/>
              </w:rPr>
            </w:pPr>
          </w:p>
        </w:tc>
      </w:tr>
      <w:tr>
        <w:trPr>
          <w:trHeight w:val="85"/>
        </w:trPr>
        <w:tc>
          <w:tcPr>
            <w:tcW w:w="3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i w:val="1"/>
                <w:iCs w:val="1"/>
                <w:color w:val="005A64"/>
              </w:rPr>
              <w:t>(in millions €, except per share data)</w:t>
            </w:r>
          </w:p>
        </w:tc>
        <w:tc>
          <w:tcPr>
            <w:tcW w:w="1240" w:type="dxa"/>
            <w:vAlign w:val="bottom"/>
            <w:gridSpan w:val="2"/>
            <w:vMerge w:val="continue"/>
          </w:tcPr>
          <w:p>
            <w:pPr>
              <w:spacing w:after="0"/>
              <w:rPr>
                <w:sz w:val="7"/>
                <w:szCs w:val="7"/>
                <w:color w:val="auto"/>
              </w:rPr>
            </w:pPr>
          </w:p>
        </w:tc>
        <w:tc>
          <w:tcPr>
            <w:tcW w:w="1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from legal proceedings</w:t>
            </w:r>
          </w:p>
        </w:tc>
        <w:tc>
          <w:tcPr>
            <w:tcW w:w="1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reversal</w:t>
            </w:r>
          </w:p>
        </w:tc>
        <w:tc>
          <w:tcPr>
            <w:tcW w:w="1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restructuring</w:t>
            </w:r>
          </w:p>
        </w:tc>
        <w:tc>
          <w:tcPr>
            <w:tcW w:w="1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items</w:t>
            </w: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3200" w:type="dxa"/>
            <w:vAlign w:val="bottom"/>
            <w:gridSpan w:val="2"/>
            <w:vMerge w:val="continue"/>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3200" w:type="dxa"/>
            <w:vAlign w:val="bottom"/>
            <w:tcBorders>
              <w:top w:val="single" w:sz="8" w:color="005A64"/>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Other operating income</w:t>
            </w:r>
          </w:p>
        </w:tc>
        <w:tc>
          <w:tcPr>
            <w:tcW w:w="1020" w:type="dxa"/>
            <w:vAlign w:val="bottom"/>
            <w:tcBorders>
              <w:top w:val="single" w:sz="8" w:color="005A64"/>
            </w:tcBorders>
          </w:tcPr>
          <w:p>
            <w:pPr>
              <w:jc w:val="right"/>
              <w:spacing w:after="0"/>
              <w:rPr>
                <w:sz w:val="20"/>
                <w:szCs w:val="20"/>
                <w:color w:val="auto"/>
              </w:rPr>
            </w:pPr>
            <w:r>
              <w:rPr>
                <w:rFonts w:ascii="Times New Roman" w:cs="Times New Roman" w:eastAsia="Times New Roman" w:hAnsi="Times New Roman"/>
                <w:sz w:val="12"/>
                <w:szCs w:val="12"/>
                <w:color w:val="005A64"/>
              </w:rPr>
              <w:t>61.6</w:t>
            </w:r>
          </w:p>
        </w:tc>
        <w:tc>
          <w:tcPr>
            <w:tcW w:w="220" w:type="dxa"/>
            <w:vAlign w:val="bottom"/>
          </w:tcPr>
          <w:p>
            <w:pPr>
              <w:spacing w:after="0"/>
              <w:rPr>
                <w:sz w:val="15"/>
                <w:szCs w:val="15"/>
                <w:color w:val="auto"/>
              </w:rPr>
            </w:pPr>
          </w:p>
        </w:tc>
        <w:tc>
          <w:tcPr>
            <w:tcW w:w="1440" w:type="dxa"/>
            <w:vAlign w:val="bottom"/>
            <w:tcBorders>
              <w:top w:val="single" w:sz="8" w:color="005A64"/>
            </w:tcBorders>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440" w:type="dxa"/>
            <w:vAlign w:val="bottom"/>
            <w:tcBorders>
              <w:top w:val="single" w:sz="8" w:color="005A64"/>
            </w:tcBorders>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440" w:type="dxa"/>
            <w:vAlign w:val="bottom"/>
            <w:tcBorders>
              <w:top w:val="single" w:sz="8" w:color="005A64"/>
            </w:tcBorders>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tcBorders>
              <w:top w:val="single" w:sz="8" w:color="005A64"/>
            </w:tcBorders>
          </w:tcPr>
          <w:p>
            <w:pPr>
              <w:jc w:val="right"/>
              <w:spacing w:after="0"/>
              <w:rPr>
                <w:sz w:val="20"/>
                <w:szCs w:val="20"/>
                <w:color w:val="auto"/>
              </w:rPr>
            </w:pPr>
            <w:r>
              <w:rPr>
                <w:rFonts w:ascii="Times New Roman" w:cs="Times New Roman" w:eastAsia="Times New Roman" w:hAnsi="Times New Roman"/>
                <w:sz w:val="12"/>
                <w:szCs w:val="12"/>
                <w:color w:val="005A64"/>
              </w:rPr>
              <w:t>(15.0)</w:t>
            </w:r>
          </w:p>
        </w:tc>
        <w:tc>
          <w:tcPr>
            <w:tcW w:w="180" w:type="dxa"/>
            <w:vAlign w:val="bottom"/>
          </w:tcPr>
          <w:p>
            <w:pPr>
              <w:spacing w:after="0"/>
              <w:rPr>
                <w:sz w:val="15"/>
                <w:szCs w:val="15"/>
                <w:color w:val="auto"/>
              </w:rPr>
            </w:pPr>
          </w:p>
        </w:tc>
        <w:tc>
          <w:tcPr>
            <w:tcW w:w="1020" w:type="dxa"/>
            <w:vAlign w:val="bottom"/>
            <w:tcBorders>
              <w:top w:val="single" w:sz="8" w:color="005A64"/>
            </w:tcBorders>
          </w:tcPr>
          <w:p>
            <w:pPr>
              <w:jc w:val="right"/>
              <w:spacing w:after="0"/>
              <w:rPr>
                <w:sz w:val="20"/>
                <w:szCs w:val="20"/>
                <w:color w:val="auto"/>
              </w:rPr>
            </w:pPr>
            <w:r>
              <w:rPr>
                <w:rFonts w:ascii="Times New Roman" w:cs="Times New Roman" w:eastAsia="Times New Roman" w:hAnsi="Times New Roman"/>
                <w:sz w:val="12"/>
                <w:szCs w:val="12"/>
                <w:color w:val="005A64"/>
              </w:rPr>
              <w:t>46.6</w:t>
            </w:r>
          </w:p>
        </w:tc>
        <w:tc>
          <w:tcPr>
            <w:tcW w:w="0" w:type="dxa"/>
            <w:vAlign w:val="bottom"/>
          </w:tcPr>
          <w:p>
            <w:pPr>
              <w:spacing w:after="0"/>
              <w:rPr>
                <w:sz w:val="1"/>
                <w:szCs w:val="1"/>
                <w:color w:val="auto"/>
              </w:rPr>
            </w:pPr>
          </w:p>
        </w:tc>
      </w:tr>
      <w:tr>
        <w:trPr>
          <w:trHeight w:val="33"/>
        </w:trPr>
        <w:tc>
          <w:tcPr>
            <w:tcW w:w="300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Operating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(534.1)</w:t>
            </w:r>
          </w:p>
        </w:tc>
        <w:tc>
          <w:tcPr>
            <w:tcW w:w="220" w:type="dxa"/>
            <w:vAlign w:val="bottom"/>
          </w:tcPr>
          <w:p>
            <w:pPr>
              <w:spacing w:after="0"/>
              <w:rPr>
                <w:sz w:val="15"/>
                <w:szCs w:val="15"/>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(15.0)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(549.1)</w:t>
            </w:r>
          </w:p>
        </w:tc>
        <w:tc>
          <w:tcPr>
            <w:tcW w:w="0" w:type="dxa"/>
            <w:vAlign w:val="bottom"/>
          </w:tcPr>
          <w:p>
            <w:pPr>
              <w:spacing w:after="0"/>
              <w:rPr>
                <w:sz w:val="1"/>
                <w:szCs w:val="1"/>
                <w:color w:val="auto"/>
              </w:rPr>
            </w:pPr>
          </w:p>
        </w:tc>
      </w:tr>
      <w:tr>
        <w:trPr>
          <w:trHeight w:val="33"/>
        </w:trPr>
        <w:tc>
          <w:tcPr>
            <w:tcW w:w="3000" w:type="dxa"/>
            <w:vAlign w:val="bottom"/>
            <w:tcBorders>
              <w:bottom w:val="single" w:sz="8" w:color="005A64"/>
            </w:tcBorders>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Net loss</w:t>
            </w:r>
            <w:r>
              <w:rPr>
                <w:rFonts w:ascii="Times New Roman" w:cs="Times New Roman" w:eastAsia="Times New Roman" w:hAnsi="Times New Roman"/>
                <w:sz w:val="15"/>
                <w:szCs w:val="15"/>
                <w:b w:val="1"/>
                <w:bCs w:val="1"/>
                <w:color w:val="005A64"/>
                <w:vertAlign w:val="superscript"/>
              </w:rPr>
              <w:t>(1)</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(415.8)</w:t>
            </w:r>
          </w:p>
        </w:tc>
        <w:tc>
          <w:tcPr>
            <w:tcW w:w="2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(15.0)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(430.8)</w:t>
            </w:r>
          </w:p>
        </w:tc>
        <w:tc>
          <w:tcPr>
            <w:tcW w:w="0" w:type="dxa"/>
            <w:vAlign w:val="bottom"/>
          </w:tcPr>
          <w:p>
            <w:pPr>
              <w:spacing w:after="0"/>
              <w:rPr>
                <w:sz w:val="1"/>
                <w:szCs w:val="1"/>
                <w:color w:val="auto"/>
              </w:rPr>
            </w:pPr>
          </w:p>
        </w:tc>
      </w:tr>
      <w:tr>
        <w:trPr>
          <w:trHeight w:val="52"/>
        </w:trPr>
        <w:tc>
          <w:tcPr>
            <w:tcW w:w="3000" w:type="dxa"/>
            <w:vAlign w:val="bottom"/>
            <w:tcBorders>
              <w:bottom w:val="single" w:sz="8" w:color="005A64"/>
            </w:tcBorders>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200" w:type="dxa"/>
            <w:vAlign w:val="bottom"/>
            <w:tcBorders>
              <w:bottom w:val="single" w:sz="8" w:color="7FACB1"/>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Loss per share</w:t>
            </w:r>
          </w:p>
        </w:tc>
        <w:tc>
          <w:tcPr>
            <w:tcW w:w="1020" w:type="dxa"/>
            <w:vAlign w:val="bottom"/>
            <w:tcBorders>
              <w:bottom w:val="single" w:sz="8" w:color="7FACB1"/>
            </w:tcBorders>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Borders>
              <w:bottom w:val="single" w:sz="8" w:color="7FACB1"/>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Basic and diluted loss per share</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(1.73)</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(1.79)</w:t>
            </w:r>
          </w:p>
        </w:tc>
        <w:tc>
          <w:tcPr>
            <w:tcW w:w="0" w:type="dxa"/>
            <w:vAlign w:val="bottom"/>
          </w:tcPr>
          <w:p>
            <w:pPr>
              <w:spacing w:after="0"/>
              <w:rPr>
                <w:sz w:val="1"/>
                <w:szCs w:val="1"/>
                <w:color w:val="auto"/>
              </w:rPr>
            </w:pPr>
          </w:p>
        </w:tc>
      </w:tr>
      <w:tr>
        <w:trPr>
          <w:trHeight w:val="33"/>
        </w:trPr>
        <w:tc>
          <w:tcPr>
            <w:tcW w:w="3000" w:type="dxa"/>
            <w:vAlign w:val="bottom"/>
            <w:tcBorders>
              <w:bottom w:val="single" w:sz="8" w:color="005A64"/>
            </w:tcBorders>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Tax effects are not considered as part of our non-IFRS adjustments.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The following table shows our unaudited interim condensed adjusted results for each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15175" cy="171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388" w:right="339" w:bottom="1130" w:gutter="0" w:footer="0" w:header="0"/>
        </w:sect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Adjusted Results (non-IFRS measures)</w:t>
      </w:r>
      <w:r>
        <w:rPr>
          <w:rFonts w:ascii="Times New Roman" w:cs="Times New Roman" w:eastAsia="Times New Roman" w:hAnsi="Times New Roman"/>
          <w:sz w:val="9"/>
          <w:szCs w:val="9"/>
          <w:b w:val="1"/>
          <w:bCs w:val="1"/>
          <w:color w:val="005A64"/>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5A64"/>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144780</wp:posOffset>
            </wp:positionV>
            <wp:extent cx="1122680" cy="17399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122680" cy="17399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20" w:space="720"/>
            <w:col w:w="2700"/>
          </w:cols>
          <w:pgMar w:left="320" w:top="388" w:right="339" w:bottom="1130" w:gutter="0" w:footer="0" w:header="0"/>
          <w:type w:val="continuous"/>
        </w:sect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005A64"/>
        </w:rPr>
        <w:t>(in millions €,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488632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Adjusted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88632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Adjusted other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88632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Adjusted other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88632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Adjusted 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488632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Adjusted loss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488632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Adjusted net loss</w:t>
      </w:r>
      <w:r>
        <w:rPr>
          <w:rFonts w:ascii="Times New Roman" w:cs="Times New Roman" w:eastAsia="Times New Roman" w:hAnsi="Times New Roman"/>
          <w:sz w:val="9"/>
          <w:szCs w:val="9"/>
          <w:b w:val="1"/>
          <w:bCs w:val="1"/>
          <w:color w:val="005A64"/>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488632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3C9673"/>
        </w:rPr>
        <w:t>Adjusted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488632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4"/>
          <w:szCs w:val="14"/>
          <w:b w:val="1"/>
          <w:bCs w:val="1"/>
          <w:color w:val="005A64"/>
        </w:rPr>
        <w:t>2026</w:t>
      </w:r>
    </w:p>
    <w:p>
      <w:pPr>
        <w:spacing w:after="0" w:line="96"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4"/>
          <w:szCs w:val="14"/>
          <w:i w:val="1"/>
          <w:iCs w:val="1"/>
          <w:color w:val="005A64"/>
        </w:rPr>
        <w:t>(unaudited)</w:t>
      </w:r>
    </w:p>
    <w:p>
      <w:pPr>
        <w:spacing w:after="0" w:line="111"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4"/>
          <w:szCs w:val="14"/>
          <w:color w:val="005A64"/>
        </w:rPr>
        <w:t>(527.1)</w:t>
      </w:r>
    </w:p>
    <w:p>
      <w:pPr>
        <w:spacing w:after="0" w:line="109"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4"/>
          <w:szCs w:val="14"/>
          <w:color w:val="005A64"/>
        </w:rPr>
        <w:t>(39.4)</w:t>
      </w:r>
    </w:p>
    <w:p>
      <w:pPr>
        <w:spacing w:after="0" w:line="109"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4"/>
          <w:szCs w:val="14"/>
          <w:color w:val="005A64"/>
        </w:rPr>
        <w:t>30.4</w:t>
      </w:r>
    </w:p>
    <w:p>
      <w:pPr>
        <w:spacing w:after="0" w:line="107"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4"/>
          <w:szCs w:val="14"/>
          <w:b w:val="1"/>
          <w:bCs w:val="1"/>
          <w:color w:val="005A64"/>
        </w:rPr>
        <w:t>(640.2)</w:t>
      </w:r>
    </w:p>
    <w:p>
      <w:pPr>
        <w:spacing w:after="0" w:line="109"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4"/>
          <w:szCs w:val="14"/>
          <w:b w:val="1"/>
          <w:bCs w:val="1"/>
          <w:color w:val="005A64"/>
        </w:rPr>
        <w:t>(530.8)</w:t>
      </w:r>
    </w:p>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005A64"/>
        </w:rPr>
        <w:t>(494.6)</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b w:val="1"/>
          <w:bCs w:val="1"/>
          <w:color w:val="005A64"/>
        </w:rPr>
        <w:t>2025</w:t>
      </w:r>
    </w:p>
    <w:p>
      <w:pPr>
        <w:spacing w:after="0" w:line="10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i w:val="1"/>
          <w:iCs w:val="1"/>
          <w:color w:val="005A64"/>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50800</wp:posOffset>
            </wp:positionV>
            <wp:extent cx="97726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9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(525.6)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49530</wp:posOffset>
            </wp:positionV>
            <wp:extent cx="97726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8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49530</wp:posOffset>
            </wp:positionV>
            <wp:extent cx="97726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8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46.6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49530</wp:posOffset>
            </wp:positionV>
            <wp:extent cx="97726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8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b w:val="1"/>
          <w:bCs w:val="1"/>
          <w:color w:val="005A64"/>
        </w:rPr>
        <w:t>(549.1)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50800</wp:posOffset>
            </wp:positionV>
            <wp:extent cx="97726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8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b w:val="1"/>
          <w:bCs w:val="1"/>
          <w:color w:val="005A64"/>
        </w:rPr>
        <w:t>(460.4)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50800</wp:posOffset>
            </wp:positionV>
            <wp:extent cx="97726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1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005A64"/>
        </w:rPr>
        <w:t>(430.8)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230505</wp:posOffset>
            </wp:positionV>
            <wp:extent cx="97726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-498475</wp:posOffset>
            </wp:positionH>
            <wp:positionV relativeFrom="paragraph">
              <wp:posOffset>76200</wp:posOffset>
            </wp:positionV>
            <wp:extent cx="97726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394" w:lineRule="exact"/>
        <w:rPr>
          <w:sz w:val="20"/>
          <w:szCs w:val="20"/>
          <w:color w:val="auto"/>
        </w:rPr>
      </w:pPr>
    </w:p>
    <w:p>
      <w:pPr>
        <w:sectPr>
          <w:pgSz w:w="11900" w:h="16838" w:orient="portrait"/>
          <w:cols w:equalWidth="0" w:num="3">
            <w:col w:w="7980" w:space="720"/>
            <w:col w:w="1040" w:space="720"/>
            <w:col w:w="780"/>
          </w:cols>
          <w:pgMar w:left="320" w:top="388" w:right="339" w:bottom="113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005A64"/>
        </w:rPr>
        <w:t>Adjusted basic and diluted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88632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740" w:val="left"/>
        </w:tabs>
        <w:rPr>
          <w:sz w:val="20"/>
          <w:szCs w:val="20"/>
          <w:color w:val="auto"/>
        </w:rPr>
      </w:pPr>
      <w:r>
        <w:rPr>
          <w:rFonts w:ascii="Times New Roman" w:cs="Times New Roman" w:eastAsia="Times New Roman" w:hAnsi="Times New Roman"/>
          <w:sz w:val="14"/>
          <w:szCs w:val="14"/>
          <w:color w:val="005A64"/>
        </w:rPr>
        <w:t>(1.95)</w:t>
      </w:r>
      <w:r>
        <w:rPr>
          <w:sz w:val="20"/>
          <w:szCs w:val="20"/>
          <w:color w:val="auto"/>
        </w:rPr>
        <w:tab/>
      </w:r>
      <w:r>
        <w:rPr>
          <w:rFonts w:ascii="Times New Roman" w:cs="Times New Roman" w:eastAsia="Times New Roman" w:hAnsi="Times New Roman"/>
          <w:sz w:val="14"/>
          <w:szCs w:val="14"/>
          <w:color w:val="005A64"/>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49530</wp:posOffset>
            </wp:positionV>
            <wp:extent cx="97726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40" w:space="720"/>
            <w:col w:w="2180"/>
          </w:cols>
          <w:pgMar w:left="320" w:top="388" w:right="339" w:bottom="1130" w:gutter="0" w:footer="0" w:header="0"/>
          <w:type w:val="continuous"/>
        </w:sectPr>
      </w:pPr>
    </w:p>
    <w:p>
      <w:pPr>
        <w:spacing w:after="0" w:line="67" w:lineRule="exact"/>
        <w:rPr>
          <w:sz w:val="20"/>
          <w:szCs w:val="20"/>
          <w:color w:val="auto"/>
        </w:rPr>
      </w:pPr>
    </w:p>
    <w:p>
      <w:pPr>
        <w:ind w:left="180" w:hanging="172"/>
        <w:spacing w:after="0" w:line="226" w:lineRule="auto"/>
        <w:tabs>
          <w:tab w:leader="none" w:pos="330" w:val="left"/>
        </w:tabs>
        <w:numPr>
          <w:ilvl w:val="0"/>
          <w:numId w:val="39"/>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Certain adjusted results presented in this table are identical to our results under IFRS Accounting Standards. A reconciliation of the adjusted results to our measures based on IFRS Accounting Standards can be found above in this section.</w:t>
      </w:r>
    </w:p>
    <w:p>
      <w:pPr>
        <w:spacing w:after="0" w:line="23" w:lineRule="exact"/>
        <w:rPr>
          <w:rFonts w:ascii="Times New Roman" w:cs="Times New Roman" w:eastAsia="Times New Roman" w:hAnsi="Times New Roman"/>
          <w:sz w:val="18"/>
          <w:szCs w:val="18"/>
          <w:color w:val="107072"/>
          <w:vertAlign w:val="superscript"/>
        </w:rPr>
      </w:pPr>
    </w:p>
    <w:p>
      <w:pPr>
        <w:ind w:left="260" w:hanging="252"/>
        <w:spacing w:after="0"/>
        <w:tabs>
          <w:tab w:leader="none" w:pos="260" w:val="left"/>
        </w:tabs>
        <w:numPr>
          <w:ilvl w:val="0"/>
          <w:numId w:val="39"/>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Tax effects are not considered as part of our non-IFRS adjustments.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Comparison of the three months ended March 31, 2026 and 2025</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15175" cy="171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5"/>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005A64"/>
              </w:rPr>
              <w:t>Three months ended March 31,</w:t>
            </w:r>
          </w:p>
        </w:tc>
        <w:tc>
          <w:tcPr>
            <w:tcW w:w="206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005A64"/>
              </w:rPr>
              <w:t>Change</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5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920" w:type="dxa"/>
            <w:vAlign w:val="bottom"/>
            <w:gridSpan w:val="5"/>
            <w:vMerge w:val="continue"/>
          </w:tcPr>
          <w:p>
            <w:pPr>
              <w:spacing w:after="0"/>
              <w:rPr>
                <w:sz w:val="5"/>
                <w:szCs w:val="5"/>
                <w:color w:val="auto"/>
              </w:rPr>
            </w:pPr>
          </w:p>
        </w:tc>
        <w:tc>
          <w:tcPr>
            <w:tcW w:w="1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5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1340" w:type="dxa"/>
            <w:vAlign w:val="bottom"/>
            <w:tcBorders>
              <w:bottom w:val="single" w:sz="8" w:color="BECD32"/>
            </w:tcBorders>
            <w:gridSpan w:val="2"/>
          </w:tcPr>
          <w:p>
            <w:pPr>
              <w:spacing w:after="0"/>
              <w:rPr>
                <w:sz w:val="13"/>
                <w:szCs w:val="13"/>
                <w:color w:val="auto"/>
              </w:rPr>
            </w:pPr>
          </w:p>
        </w:tc>
        <w:tc>
          <w:tcPr>
            <w:tcW w:w="140" w:type="dxa"/>
            <w:vAlign w:val="bottom"/>
            <w:tcBorders>
              <w:bottom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220" w:type="dxa"/>
            <w:vAlign w:val="bottom"/>
          </w:tcPr>
          <w:p>
            <w:pPr>
              <w:spacing w:after="0"/>
              <w:rPr>
                <w:sz w:val="13"/>
                <w:szCs w:val="13"/>
                <w:color w:val="auto"/>
              </w:rPr>
            </w:pPr>
          </w:p>
        </w:tc>
        <w:tc>
          <w:tcPr>
            <w:tcW w:w="2060" w:type="dxa"/>
            <w:vAlign w:val="bottom"/>
            <w:gridSpan w:val="3"/>
            <w:vMerge w:val="restart"/>
          </w:tcPr>
          <w:p>
            <w:pPr>
              <w:jc w:val="right"/>
              <w:ind w:right="820"/>
              <w:spacing w:after="0"/>
              <w:rPr>
                <w:sz w:val="20"/>
                <w:szCs w:val="20"/>
                <w:color w:val="auto"/>
              </w:rPr>
            </w:pPr>
            <w:r>
              <w:rPr>
                <w:rFonts w:ascii="Times New Roman" w:cs="Times New Roman" w:eastAsia="Times New Roman" w:hAnsi="Times New Roman"/>
                <w:sz w:val="14"/>
                <w:szCs w:val="14"/>
                <w:b w:val="1"/>
                <w:bCs w:val="1"/>
                <w:color w:val="005A64"/>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w:t>
            </w:r>
          </w:p>
        </w:tc>
        <w:tc>
          <w:tcPr>
            <w:tcW w:w="0" w:type="dxa"/>
            <w:vAlign w:val="bottom"/>
          </w:tcPr>
          <w:p>
            <w:pPr>
              <w:spacing w:after="0"/>
              <w:rPr>
                <w:sz w:val="1"/>
                <w:szCs w:val="1"/>
                <w:color w:val="auto"/>
              </w:rPr>
            </w:pPr>
          </w:p>
        </w:tc>
      </w:tr>
      <w:tr>
        <w:trPr>
          <w:trHeight w:val="199"/>
        </w:trPr>
        <w:tc>
          <w:tcPr>
            <w:tcW w:w="5320" w:type="dxa"/>
            <w:vAlign w:val="bottom"/>
            <w:gridSpan w:val="2"/>
            <w:vMerge w:val="continue"/>
          </w:tcPr>
          <w:p>
            <w:pPr>
              <w:spacing w:after="0"/>
              <w:rPr>
                <w:sz w:val="17"/>
                <w:szCs w:val="17"/>
                <w:color w:val="auto"/>
              </w:rPr>
            </w:pPr>
          </w:p>
        </w:tc>
        <w:tc>
          <w:tcPr>
            <w:tcW w:w="13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2026</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3"/>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520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D32"/>
            </w:tcBorders>
          </w:tcPr>
          <w:p>
            <w:pPr>
              <w:spacing w:after="0"/>
              <w:rPr>
                <w:sz w:val="4"/>
                <w:szCs w:val="4"/>
                <w:color w:val="auto"/>
              </w:rPr>
            </w:pPr>
          </w:p>
        </w:tc>
        <w:tc>
          <w:tcPr>
            <w:tcW w:w="124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c>
          <w:tcPr>
            <w:tcW w:w="8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COVID-19 vaccine revenues</w:t>
            </w:r>
          </w:p>
        </w:tc>
        <w:tc>
          <w:tcPr>
            <w:tcW w:w="13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66.9</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133.0</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(66.1)</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(50) %</w:t>
            </w:r>
          </w:p>
        </w:tc>
        <w:tc>
          <w:tcPr>
            <w:tcW w:w="0" w:type="dxa"/>
            <w:vAlign w:val="bottom"/>
          </w:tcPr>
          <w:p>
            <w:pPr>
              <w:spacing w:after="0"/>
              <w:rPr>
                <w:sz w:val="1"/>
                <w:szCs w:val="1"/>
                <w:color w:val="auto"/>
              </w:rPr>
            </w:pPr>
          </w:p>
        </w:tc>
      </w:tr>
      <w:tr>
        <w:trPr>
          <w:trHeight w:val="51"/>
        </w:trPr>
        <w:tc>
          <w:tcPr>
            <w:tcW w:w="52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D32"/>
            </w:tcBorders>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8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revenues</w:t>
            </w:r>
          </w:p>
        </w:tc>
        <w:tc>
          <w:tcPr>
            <w:tcW w:w="13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51.2</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49.8</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1.4</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3 %</w:t>
            </w:r>
          </w:p>
        </w:tc>
        <w:tc>
          <w:tcPr>
            <w:tcW w:w="0" w:type="dxa"/>
            <w:vAlign w:val="bottom"/>
          </w:tcPr>
          <w:p>
            <w:pPr>
              <w:spacing w:after="0"/>
              <w:rPr>
                <w:sz w:val="1"/>
                <w:szCs w:val="1"/>
                <w:color w:val="auto"/>
              </w:rPr>
            </w:pPr>
          </w:p>
        </w:tc>
      </w:tr>
      <w:tr>
        <w:trPr>
          <w:trHeight w:val="50"/>
        </w:trPr>
        <w:tc>
          <w:tcPr>
            <w:tcW w:w="52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D32"/>
            </w:tcBorders>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8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w:t>
            </w:r>
          </w:p>
        </w:tc>
        <w:tc>
          <w:tcPr>
            <w:tcW w:w="13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118.1</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182.8</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(64.7)</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(35)%</w:t>
            </w:r>
          </w:p>
        </w:tc>
        <w:tc>
          <w:tcPr>
            <w:tcW w:w="0" w:type="dxa"/>
            <w:vAlign w:val="bottom"/>
          </w:tcPr>
          <w:p>
            <w:pPr>
              <w:spacing w:after="0"/>
              <w:rPr>
                <w:sz w:val="1"/>
                <w:szCs w:val="1"/>
                <w:color w:val="auto"/>
              </w:rPr>
            </w:pPr>
          </w:p>
        </w:tc>
      </w:tr>
      <w:tr>
        <w:trPr>
          <w:trHeight w:val="50"/>
        </w:trPr>
        <w:tc>
          <w:tcPr>
            <w:tcW w:w="520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D32"/>
              <w:bottom w:val="single" w:sz="8" w:color="BECD32"/>
            </w:tcBorders>
          </w:tcPr>
          <w:p>
            <w:pPr>
              <w:spacing w:after="0"/>
              <w:rPr>
                <w:sz w:val="4"/>
                <w:szCs w:val="4"/>
                <w:color w:val="auto"/>
              </w:rPr>
            </w:pPr>
          </w:p>
        </w:tc>
        <w:tc>
          <w:tcPr>
            <w:tcW w:w="1240" w:type="dxa"/>
            <w:vAlign w:val="bottom"/>
            <w:tcBorders>
              <w:bottom w:val="single" w:sz="8" w:color="BECD32"/>
            </w:tcBorders>
          </w:tcPr>
          <w:p>
            <w:pPr>
              <w:spacing w:after="0"/>
              <w:rPr>
                <w:sz w:val="4"/>
                <w:szCs w:val="4"/>
                <w:color w:val="auto"/>
              </w:rPr>
            </w:pPr>
          </w:p>
        </w:tc>
        <w:tc>
          <w:tcPr>
            <w:tcW w:w="140" w:type="dxa"/>
            <w:vAlign w:val="bottom"/>
            <w:tcBorders>
              <w:bottom w:val="single" w:sz="8" w:color="BECD32"/>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c>
          <w:tcPr>
            <w:tcW w:w="8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COVID-19 Vaccine Revenues</w:t>
      </w:r>
    </w:p>
    <w:p>
      <w:pPr>
        <w:spacing w:after="0" w:line="148"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Our COVID-19 vaccine revenues decreased by €66.1 million, or 50%, from €133.0 million during the three months ended March 31, 2025, to €66.9 million during the three months ended March 31, 2026.</w:t>
      </w:r>
    </w:p>
    <w:p>
      <w:pPr>
        <w:sectPr>
          <w:pgSz w:w="11900" w:h="16838" w:orient="portrait"/>
          <w:cols w:equalWidth="0" w:num="1">
            <w:col w:w="11240"/>
          </w:cols>
          <w:pgMar w:left="320" w:top="388" w:right="339" w:bottom="113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r>
        <w:rPr>
          <w:sz w:val="20"/>
          <w:szCs w:val="20"/>
          <w:color w:val="auto"/>
        </w:rPr>
        <w:tab/>
      </w:r>
      <w:r>
        <w:rPr>
          <w:rFonts w:ascii="Times New Roman" w:cs="Times New Roman" w:eastAsia="Times New Roman" w:hAnsi="Times New Roman"/>
          <w:sz w:val="22"/>
          <w:szCs w:val="22"/>
          <w:b w:val="1"/>
          <w:bCs w:val="1"/>
          <w:color w:val="C3C3C3"/>
        </w:rPr>
        <w:t>44</w:t>
      </w:r>
    </w:p>
    <w:p>
      <w:pPr>
        <w:sectPr>
          <w:pgSz w:w="11900" w:h="16838" w:orient="portrait"/>
          <w:cols w:equalWidth="0" w:num="1">
            <w:col w:w="11240"/>
          </w:cols>
          <w:pgMar w:left="320" w:top="388" w:right="339" w:bottom="1130" w:gutter="0" w:footer="0" w:header="0"/>
          <w:type w:val="continuous"/>
        </w:sectPr>
      </w:pPr>
    </w:p>
    <w:bookmarkStart w:id="53" w:name="page54"/>
    <w:bookmarkEnd w:id="5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The year-to-date change compared to the comparative prior year period was mainly driven by lower revenues derived from our COVID-19 vaccine collaboration during the three months ended March 31, 2026. Our COVID-19 vaccine revenues are subject to seasonal effects in the fall and winter of the northern hemisphere.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Other Revenues</w:t>
      </w:r>
    </w:p>
    <w:p>
      <w:pPr>
        <w:spacing w:after="0" w:line="148"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Our remaining other revenues increased by €1.4 million, or 3%, from €49.8 million during the three months ended March 31, 2025, to €51.2 million during the three months ended March 31, 2026, and primarily comprise revenues resulting from our pandemic preparedness contract with the German government.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Cost of Sales</w:t>
      </w:r>
    </w:p>
    <w:p>
      <w:pPr>
        <w:spacing w:after="0" w:line="166" w:lineRule="exact"/>
        <w:rPr>
          <w:sz w:val="20"/>
          <w:szCs w:val="20"/>
          <w:color w:val="auto"/>
        </w:rPr>
      </w:pPr>
    </w:p>
    <w:p>
      <w:pPr>
        <w:jc w:val="both"/>
        <w:spacing w:after="0" w:line="276" w:lineRule="exact"/>
        <w:rPr>
          <w:sz w:val="20"/>
          <w:szCs w:val="20"/>
          <w:color w:val="auto"/>
        </w:rPr>
      </w:pPr>
      <w:r>
        <w:rPr>
          <w:rFonts w:ascii="Times New Roman" w:cs="Times New Roman" w:eastAsia="Times New Roman" w:hAnsi="Times New Roman"/>
          <w:sz w:val="18"/>
          <w:szCs w:val="18"/>
          <w:color w:val="080509"/>
        </w:rPr>
        <w:t>Our cost of sales decreased by €12.4 million, or 15%, from €83.8 million during the three months ended March 31, 2025, to €71.4 million during the three months ended March 31, 2026, The decrease was mainly driven by decreased COVID</w:t>
      </w:r>
      <w:r>
        <w:rPr>
          <w:rFonts w:ascii="MS PGothic" w:cs="MS PGothic" w:eastAsia="MS PGothic" w:hAnsi="MS PGothic"/>
          <w:sz w:val="18"/>
          <w:szCs w:val="18"/>
          <w:color w:val="080509"/>
        </w:rPr>
        <w:t>‑</w:t>
      </w:r>
      <w:r>
        <w:rPr>
          <w:rFonts w:ascii="Times New Roman" w:cs="Times New Roman" w:eastAsia="Times New Roman" w:hAnsi="Times New Roman"/>
          <w:sz w:val="18"/>
          <w:szCs w:val="18"/>
          <w:color w:val="080509"/>
        </w:rPr>
        <w:t>19 vaccine sales, partly offset by the inclusion of degressive amortization charges related to assets acquired in connection with the CureVac transaction. During both periods, cost of sales was impacted by expenses arising from inventory write-downs to net realizable value due to inventories expected to be unsellable, not fulfilling the specification defined by our quality standards, shelf-life expiry or destruction of inventory amounting to €1.1 million, compared to €37.7 million in the previous period. The inventories valued at net realizable value in our consolidated statement of financial position as of March 31, 2026 reflect contractual compensation payments.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Research and Development Expenses</w:t>
      </w:r>
    </w:p>
    <w:p>
      <w:pPr>
        <w:spacing w:after="0" w:line="166" w:lineRule="exact"/>
        <w:rPr>
          <w:sz w:val="20"/>
          <w:szCs w:val="20"/>
          <w:color w:val="auto"/>
        </w:rPr>
      </w:pPr>
    </w:p>
    <w:p>
      <w:pPr>
        <w:jc w:val="both"/>
        <w:ind w:right="20"/>
        <w:spacing w:after="0" w:line="276" w:lineRule="exact"/>
        <w:rPr>
          <w:sz w:val="20"/>
          <w:szCs w:val="20"/>
          <w:color w:val="auto"/>
        </w:rPr>
      </w:pPr>
      <w:r>
        <w:rPr>
          <w:rFonts w:ascii="Times New Roman" w:cs="Times New Roman" w:eastAsia="Times New Roman" w:hAnsi="Times New Roman"/>
          <w:sz w:val="18"/>
          <w:szCs w:val="18"/>
          <w:color w:val="080509"/>
        </w:rPr>
        <w:t>Our research and development expenses increased by €31.4 million, or 6%, from €525.6 million during the three months ended March 31, 2025, to €557.0 million during the three months ended March 31, 2026. The slight increase was mainly driven by higher expenses for our immuno-oncology, or IO, and antibody-drug conjugate, or ADC, programs, in particular pumitamig and gotistobart, as well as research and development costs from operations of entities acquired during the year ended December 31, 2025 and an impairment related to BNT331 recorded in March 2026 (see Note 6 to the unaudited interim condensed consolidated financial statements included elsewhere in this Quarterly Report). These effects were partly offset by lower research and development expenses related to our COVID</w:t>
      </w:r>
      <w:r>
        <w:rPr>
          <w:rFonts w:ascii="MS PGothic" w:cs="MS PGothic" w:eastAsia="MS PGothic" w:hAnsi="MS PGothic"/>
          <w:sz w:val="18"/>
          <w:szCs w:val="18"/>
          <w:color w:val="080509"/>
        </w:rPr>
        <w:t>‑</w:t>
      </w:r>
      <w:r>
        <w:rPr>
          <w:rFonts w:ascii="Times New Roman" w:cs="Times New Roman" w:eastAsia="Times New Roman" w:hAnsi="Times New Roman"/>
          <w:sz w:val="18"/>
          <w:szCs w:val="18"/>
          <w:color w:val="080509"/>
        </w:rPr>
        <w:t>19 vaccine collaboration with Pfizer.</w:t>
      </w:r>
    </w:p>
    <w:p>
      <w:pPr>
        <w:spacing w:after="0" w:line="200" w:lineRule="exact"/>
        <w:rPr>
          <w:sz w:val="20"/>
          <w:szCs w:val="20"/>
          <w:color w:val="auto"/>
        </w:rPr>
      </w:pPr>
    </w:p>
    <w:p>
      <w:pPr>
        <w:spacing w:after="0" w:line="304"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Our adjusted research and development expenses increased by €1.5 million from €525.6 million during the three months ended March 31, 2026, to €527.1 million during the three months ended March 31, 2026. For the three months ended March 31, 2026, our adjusted research and development expenses exclude an impairment related to our product candidate BNT331 of €29.9 million as a result of management’s decision to pause the program due to strategic considerations.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Sales and Marketing Expenses</w:t>
      </w:r>
    </w:p>
    <w:p>
      <w:pPr>
        <w:spacing w:after="0" w:line="153" w:lineRule="exact"/>
        <w:rPr>
          <w:sz w:val="20"/>
          <w:szCs w:val="20"/>
          <w:color w:val="auto"/>
        </w:rPr>
      </w:pPr>
    </w:p>
    <w:p>
      <w:pPr>
        <w:jc w:val="both"/>
        <w:ind w:right="20"/>
        <w:spacing w:after="0" w:line="268" w:lineRule="exact"/>
        <w:rPr>
          <w:sz w:val="20"/>
          <w:szCs w:val="20"/>
          <w:color w:val="auto"/>
        </w:rPr>
      </w:pPr>
      <w:r>
        <w:rPr>
          <w:rFonts w:ascii="Times New Roman" w:cs="Times New Roman" w:eastAsia="Times New Roman" w:hAnsi="Times New Roman"/>
          <w:sz w:val="18"/>
          <w:szCs w:val="18"/>
          <w:color w:val="080509"/>
        </w:rPr>
        <w:t>Our sales and marketing expenses increased by €14.2 million, or 104%, from €13.7 million during the three months ended March 31, 2025 to €27.9 million during the three months ended March 31, 2026. The increase was mainly driven by pre</w:t>
      </w:r>
      <w:r>
        <w:rPr>
          <w:rFonts w:ascii="MS PGothic" w:cs="MS PGothic" w:eastAsia="MS PGothic" w:hAnsi="MS PGothic"/>
          <w:sz w:val="18"/>
          <w:szCs w:val="18"/>
          <w:color w:val="080509"/>
        </w:rPr>
        <w:t>‑</w:t>
      </w:r>
      <w:r>
        <w:rPr>
          <w:rFonts w:ascii="Times New Roman" w:cs="Times New Roman" w:eastAsia="Times New Roman" w:hAnsi="Times New Roman"/>
          <w:sz w:val="18"/>
          <w:szCs w:val="18"/>
          <w:color w:val="080509"/>
        </w:rPr>
        <w:t>launch activities for pumitamig, gotistobart and trastuzumab pamirtecan as well as our ongoing commercial build</w:t>
      </w:r>
      <w:r>
        <w:rPr>
          <w:rFonts w:ascii="MS PGothic" w:cs="MS PGothic" w:eastAsia="MS PGothic" w:hAnsi="MS PGothic"/>
          <w:sz w:val="18"/>
          <w:szCs w:val="18"/>
          <w:color w:val="080509"/>
        </w:rPr>
        <w:t>‑</w:t>
      </w:r>
      <w:r>
        <w:rPr>
          <w:rFonts w:ascii="Times New Roman" w:cs="Times New Roman" w:eastAsia="Times New Roman" w:hAnsi="Times New Roman"/>
          <w:sz w:val="18"/>
          <w:szCs w:val="18"/>
          <w:color w:val="080509"/>
        </w:rPr>
        <w:t>up, particularly in the United States.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45</w:t>
            </w:r>
          </w:p>
        </w:tc>
      </w:tr>
    </w:tbl>
    <w:p>
      <w:pPr>
        <w:sectPr>
          <w:pgSz w:w="11900" w:h="16838" w:orient="portrait"/>
          <w:cols w:equalWidth="0" w:num="1">
            <w:col w:w="11240"/>
          </w:cols>
          <w:pgMar w:left="320" w:top="388" w:right="339" w:bottom="1440" w:gutter="0" w:footer="0" w:header="0"/>
        </w:sectPr>
      </w:pPr>
    </w:p>
    <w:bookmarkStart w:id="54" w:name="page55"/>
    <w:bookmarkEnd w:id="5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General and Administrative Expenses</w:t>
      </w:r>
    </w:p>
    <w:p>
      <w:pPr>
        <w:spacing w:after="0" w:line="16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Our general and administrative expenses increased by €16.0 million, or 15%, from €106.9 million during the three months ended March 31, 2025, to €122.9 million during the three months ended March 31, 2026. The increase was primarily driven by general and administrative costs from operations of entities acquired during the year ended December 31, 2025, partly offset by a reduction in external services.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Other Operating Result</w:t>
      </w:r>
    </w:p>
    <w:p>
      <w:pPr>
        <w:spacing w:after="0" w:line="166"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Our total other operating result decreased by €29.5 million, or 225%, from a positive operating result of €13.1 million during the three months ended March 31, 2025, to a negative operating result of €16.4 million during the three months ended March 31, 2026. The change was mainly driven by pipeline prioritization costs of €18.7 million, which included employee-related costs of €7.4 million, and by our result from our derivative instruments that changed from a net gain to a net loss, which more than offset higher government and similar grants, lower external legal advice service costs and a net gain from foreign exchange differences in the current period. In addition, the three months ended March 31, 2025 included a bargain purchase of €15.0 million.</w:t>
      </w:r>
    </w:p>
    <w:p>
      <w:pPr>
        <w:spacing w:after="0" w:line="200" w:lineRule="exact"/>
        <w:rPr>
          <w:sz w:val="20"/>
          <w:szCs w:val="20"/>
          <w:color w:val="auto"/>
        </w:rPr>
      </w:pPr>
    </w:p>
    <w:p>
      <w:pPr>
        <w:spacing w:after="0" w:line="301"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Our adjusted total other operating result decreased by €7.1 million from a negative adjusted operating result of €1.9 million during the three months ended March 31, 2025 to a negative adjusted operating result of €9.0 million during the three months ended March 31, 2026. For the three months ended March 31, 2026, our adjusted other operating expenses exclude employee-related expenses of €7.4 million. For the comparative prior-year period, our adjusted other operating result excludes a bargain purchase of €15.0 million.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Finance Result</w:t>
      </w:r>
    </w:p>
    <w:p>
      <w:pPr>
        <w:spacing w:after="0" w:line="166"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Our finance result during the three months ended March 31, 2026 and 2025 was mainly derived from returns, such as interest, resulting from our financial investments as well as fair value adjustments of our money market funds. Our total finance result increased by €20.7 million, or 23%, from a positive finance result of €88.7 million during the three months ended March 31, 2025 to a positive finance result of €109.4 million during the three months ended March 31, 2026. This development was mainly due to positive impacts from foreign exchange differences, primarily derived from our security investments.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Income Taxes</w:t>
      </w:r>
    </w:p>
    <w:p>
      <w:pPr>
        <w:spacing w:after="0" w:line="166"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Our income taxes decreased by €6.6 million from €29.6 million of realized tax income during the three months ended March 31, 2025 to €36.2 million of realized tax income during the three months ended March 31, 2026. The effective income tax rate for the three months ended March 31, 2026 was approximately 6.4% and approximately 6.6% for the three months ended March 31,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Related Party Transactions</w:t>
      </w:r>
    </w:p>
    <w:p>
      <w:pPr>
        <w:spacing w:after="0" w:line="165"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Related party transactions that occurred during the three months ended March 31, 2026 and 2025, are explained in Note 11 to the unaudited interim condensed consolidated financial statements included elsewhere in this Quarterly Report.</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46</w:t>
            </w:r>
          </w:p>
        </w:tc>
      </w:tr>
    </w:tbl>
    <w:p>
      <w:pPr>
        <w:sectPr>
          <w:pgSz w:w="11900" w:h="16838" w:orient="portrait"/>
          <w:cols w:equalWidth="0" w:num="1">
            <w:col w:w="11240"/>
          </w:cols>
          <w:pgMar w:left="320" w:top="388" w:right="339" w:bottom="1440" w:gutter="0" w:footer="0" w:header="0"/>
        </w:sectPr>
      </w:pPr>
    </w:p>
    <w:bookmarkStart w:id="55" w:name="page56"/>
    <w:bookmarkEnd w:id="5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Critical Accounting Policies and Use of Estimates</w:t>
      </w:r>
    </w:p>
    <w:p>
      <w:pPr>
        <w:spacing w:after="0" w:line="179"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Our unaudited interim condensed consolidated financial statements for the three months ended March 31, 2026 have been prepared in accordance with IAS 34 Interim Financial Reporting.</w:t>
      </w:r>
    </w:p>
    <w:p>
      <w:pPr>
        <w:spacing w:after="0" w:line="217"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Our critical accounting policies and the use of estimates are explained in Note 2 to the unaudited interim condensed consolidated financial statements included elsewhere in this Quarterly Report and further discussed in Note 3 to our audited consolidated financial statements of our Annual Report on Form 20-F as of and for the year ended December 31,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Legal Proceedings</w:t>
      </w:r>
    </w:p>
    <w:p>
      <w:pPr>
        <w:spacing w:after="0" w:line="179"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We are and may be involved in various legal proceedings, including patent litigation, product liability and other product-related litigation, as well as other legal proceedings that arise from time to time in the ordinary course of business, including, but not limited to, personal injury, consumer, off-label promotion, securities, antitrust, employment law, tax, environmental, and/or other claims or investigations.</w:t>
      </w:r>
    </w:p>
    <w:p>
      <w:pPr>
        <w:spacing w:after="0" w:line="231"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We currently do not believe that any of these matters will have a material adverse effect on our financial position, and will continue to monitor the status of these and other claims that may arise. However, we could incur judgments, enter into settlements or revise our expectations regarding the outcome of matters, which could have a material adverse effect on our results of operations and/or our cash flows in the period in which the amounts are accrued or paid. Our assessments, which result from a complex series of judgments about future events and uncertainties, are based on estimates and assumptions that have been deemed reasonable by management, but that may prove to be incomplete or inaccurate, and unanticipated events and circumstances may occur that might cause us to change those estimates and assumptions.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Certain pending matters to which we are a party are discussed below.</w:t>
      </w:r>
    </w:p>
    <w:p>
      <w:pPr>
        <w:spacing w:after="0" w:line="33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For a description of the risks relating to these and other legal proceedings we face and may in the future face and our assessments thereof, see “Risk Factors” in this Quarterly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Moderna Proceedings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Germany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Infringement Proceedings – EP’949 and EP’565</w:t>
      </w:r>
    </w:p>
    <w:p>
      <w:pPr>
        <w:spacing w:after="0" w:line="144"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In August 2022, Moderna filed a lawsuit against us and Pfizer and our wholly owned subsidiaries, BioNTech Manufacturing GmbH, BioNTech Europe GmbH and BioNTech Manufacturing Marburg GmbH, Pfizer Manufacturing Belgium NV, Pfizer Ireland Pharmaceuticals and Pfizer Inc. in the Düsseldorf Regional Court alleging Comirnaty’s infringement of two European patents, 3590949B1, or EP’949, and 3718565B1, or EP’565. With respect to EP’565, on November 7, 2023, the Opposition Division of the EPO revoked EP’565 after a one-day oral hearing held in the co-pending opposition proceeding, and on December 7, 2023, it issued the written decision revoking EP’565. On February 7, 2024, Moderna appealed the Opposition Division’s revocation decision on EP’565. An oral hearing on Moderna’s appeal was held on January 27, 2026, and at the conclusion of this hearing, the Technical Boards of Appeal affirmed the revocation of EP’565. With respect to EP’949, on December 8, 2023, the Opposition Division issued a preliminary opinion noting that it believes EP’949 is likely invalid.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47</w:t>
            </w:r>
          </w:p>
        </w:tc>
      </w:tr>
    </w:tbl>
    <w:p>
      <w:pPr>
        <w:sectPr>
          <w:pgSz w:w="11900" w:h="16838" w:orient="portrait"/>
          <w:cols w:equalWidth="0" w:num="1">
            <w:col w:w="11240"/>
          </w:cols>
          <w:pgMar w:left="320" w:top="388" w:right="339" w:bottom="1440" w:gutter="0" w:footer="0" w:header="0"/>
        </w:sectPr>
      </w:pPr>
    </w:p>
    <w:bookmarkStart w:id="56" w:name="page57"/>
    <w:bookmarkEnd w:id="5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result of those developments in the EPO proceedings, the Düsseldorf Regional Court postponed its hearing on infringement with respect to EP’949, originally scheduled for December 12, 2023, to January 21, 2025. On May 16, 2024, the EPO Opposition Division decided that EP’949 is valid, in amended form, and issued its written decision regarding the same on July 8, 2024. We appealed this decision, and the appeal is currently pending, with an oral hearing scheduled for September 2026. The Düsseldorf Regional Court held an infringement hearing on January 21, 2025, and on March 5, 2025, it issued a first-instance decision declining to stay the infringement proceedings and finding infringement of EP’949 by us and Pfizer. We and Pfizer have appealed the Düsseldorf Regional Court’s infringement decision, and the appeal is currently pending. The court has not ruled on the invalidity of EP’949, which will be decided in a next step by the EPO in the opposition appeal proceedings. Moderna has not yet taken steps to enforce the Düsseldorf Regional Court’s first-instance decision on infringement.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United Kingdom</w:t>
      </w:r>
    </w:p>
    <w:p>
      <w:pPr>
        <w:spacing w:after="0" w:line="148"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8"/>
          <w:szCs w:val="18"/>
          <w:color w:val="080509"/>
        </w:rPr>
        <w:t>In August 2022, Moderna filed a lawsuit asserting Comirnaty’s infringement of EP’949 and EP’565 against us and our wholly owned subsidiaries, BioNTech Manufacturing GmbH, BioNTech Europe GmbH and BioNTech Manufacturing Marburg GmbH, and Pfizer Limited, Pfizer Manufacturing Belgium NV and Pfizer Inc. in the Business and Property Courts of England and Wales, in the UK High Court. In September 2022, we and Pfizer filed a revocation action in the Business and Property Courts of England and Wales requesting revocation of EP’949 and EP’565.</w:t>
      </w:r>
    </w:p>
    <w:p>
      <w:pPr>
        <w:spacing w:after="0" w:line="200" w:lineRule="exact"/>
        <w:rPr>
          <w:sz w:val="20"/>
          <w:szCs w:val="20"/>
          <w:color w:val="auto"/>
        </w:rPr>
      </w:pPr>
    </w:p>
    <w:p>
      <w:pPr>
        <w:spacing w:after="0" w:line="295"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The UK High Court held a trial between April 22, 2024, and May 21, 2024. On July 2, 2024, the UK High Court released two judgments. The first judgment concerns the validity of EP’949 and EP’565. In this first judgment, the UK High Court found that EP’565 is invalid and therefore not infringed, while EP’949 is valid and infringed. The second judgment concerns whether Moderna’s October 2020 commitment not to “enforce [its] COVID-19 related patents against those making vaccines intended to combat the pandemic,” or the Patent Pledge, amounted to a consent under UK law to carry out any acts that would otherwise amount to patent infringement. With respect to this judgment, the UK High Court found that Moderna’s Patent Pledge amounted to consent to carry out activities that might otherwise infringe its patents prior to March 2022, but not after March 2022.</w:t>
      </w:r>
    </w:p>
    <w:p>
      <w:pPr>
        <w:spacing w:after="0" w:line="200" w:lineRule="exact"/>
        <w:rPr>
          <w:sz w:val="20"/>
          <w:szCs w:val="20"/>
          <w:color w:val="auto"/>
        </w:rPr>
      </w:pPr>
    </w:p>
    <w:p>
      <w:pPr>
        <w:spacing w:after="0" w:line="304"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The UK High Court held a hearing on September 25, 2024, during which the Court granted Pfizer and BioNTech permission to appeal its judgment regarding the validity of EP’949, and declined Moderna’s permission to appeal its judgment regarding validity of EP’565. On October 16, 2024, Moderna sought permission from the UK Appeals Court to appeal the EP’565 judgment. On November 11, 2024, the UK Appeals Court denied Moderna’s application to appeal; accordingly, the UK designation of EP’565 is finally revoked with no further opportunity to appeal in UK. No party sought permission to appeal the UK High Court’s judgment on the patent pledge.</w:t>
      </w:r>
    </w:p>
    <w:p>
      <w:pPr>
        <w:spacing w:after="0" w:line="240"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The UK Court of Appeal held an oral hearing on the appeal of EP’949 on July 10-11, 2025. On August 1, 2025, the UK Court of Appeal issued a judgment agreeing with the UK High Court that EP‘949 is valid, and dismissed our appeal. We applied for permission to appeal this decision to the UK Supreme Court, and on December 8, 2025, the UK Supreme Court denied permission to appeal. Accordingly, the UK designation of EP‘949 is valid and infringed. However, Moderna has not yet taken steps to enforce this final judgment on infringement. Additionally, EP‘949 is currently subject to opposition proceedings at the EPO. The Opposition Division initially issued a preliminary opinion noting that EP‘949 is invalid, but in May 2024, issued a first-instance decision finding EP‘949 valid. BioNTech and Pfizer appealed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48</w:t>
            </w:r>
          </w:p>
        </w:tc>
      </w:tr>
    </w:tbl>
    <w:p>
      <w:pPr>
        <w:sectPr>
          <w:pgSz w:w="11900" w:h="16838" w:orient="portrait"/>
          <w:cols w:equalWidth="0" w:num="1">
            <w:col w:w="11240"/>
          </w:cols>
          <w:pgMar w:left="320" w:top="388" w:right="339" w:bottom="1440" w:gutter="0" w:footer="0" w:header="0"/>
        </w:sectPr>
      </w:pPr>
    </w:p>
    <w:bookmarkStart w:id="57" w:name="page58"/>
    <w:bookmarkEnd w:id="5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first-instance decision, which is currently pending. The oral hearing in this appeal is scheduled for September 2026.</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United States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U.S. District Court Litigation</w:t>
      </w:r>
    </w:p>
    <w:p>
      <w:pPr>
        <w:spacing w:after="0" w:line="144"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In August 2022, Moderna filed a lawsuit in the U.S. District Court for the District of Massachusetts against us and our wholly owned subsidiaries BioNTech Manufacturing GmbH and BioNTech US Inc. and Pfizer Inc. alleging Comirnaty’s infringement of U.S. Patent Nos. 10,898,574; 10,702,600 and 10,933,127 and seeking monetary relief. On April 12, 2024, the U.S. District Court for the District of Massachusetts stayed the litigation pending resolution of the inter partes review of U.S. Patent Nos. 10,702,600 and 10,933,127.</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Inter Partes Review</w:t>
      </w:r>
    </w:p>
    <w:p>
      <w:pPr>
        <w:spacing w:after="0" w:line="144"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In August 2023, Pfizer and we filed petitions seeking inter partes review of U.S. Patent Nos. 10,702,600 and 10,933,127 before the United States Patent Trial and Appeal Board, or the PTAB. On March 6, 2024, the PTAB issued decisions instituting inter partes review proceedings on all challenged claims of U.S. Patent Nos. 10,702,600 and 10,933,127. An oral hearing on the merits occurred on December 10, 2024. On March 5, 2025, the PTAB found all challenged claims of Moderna’s U.S. Patent Nos. 10,933,127 and 10,702,600 to be unpatentable and thus invalid. Moderna appealed this decision, and the appeal is pending.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Netherlands</w:t>
      </w:r>
    </w:p>
    <w:p>
      <w:pPr>
        <w:spacing w:after="0" w:line="14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In September 2022, Moderna filed a lawsuit against us and our wholly owned subsidiary BioNTech Manufacturing GmbH and Pfizer B.V., Pfizer Export B.V., C.P. Pharmaceuticals International C.V. and Pfizer Inc. in the District Court of The Hague alleging Comirnaty’s infringement of EP’949 and EP’565. The District Court of the Hague held a hearing on October 6, 2023, on infringement and validity with respect to EP’949. On December 6, 2023, the Court found EP’949 to be invalid. On March 5, 2024, Moderna appealed this decision, and the appeal is pending. A hearing on the EP’949 appeal occurred on September 22, 2025, with a decision expected around May 2026. The infringement proceedings with respect to EP’565 have been withdrawn and therefore dismissed, following the EPO’s final revocation of EP’565 in January 2026.</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Ireland</w:t>
      </w:r>
    </w:p>
    <w:p>
      <w:pPr>
        <w:spacing w:after="0" w:line="148"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In May 2023, Moderna filed a lawsuit against us and our wholly owned subsidiary BioNTech Manufacturing GmbH, Pfizer Inc., Pfizer Healthcare Ireland, Pfizer Ireland Pharmaceuticals, and C.P. Pharmaceuticals International C.V. alleging Comirnaty’s infringement of EP’949 and EP’565 in the High Court of Ireland. On February 26, 2024, the High Court of Ireland stayed the lawsuit pending the final determination of the EPO opposition proceedings for EP’949 and EP’565 (in each case including any appeals).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Belgium</w:t>
      </w:r>
    </w:p>
    <w:p>
      <w:pPr>
        <w:spacing w:after="0" w:line="135"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In May 2023, Moderna filed a lawsuit against us, our wholly owned subsidiary BioNTech Manufacturing GmbH, Pfizer Inc. and Pfizer Manufacturing Belgium alleging Comirnaty’s infringement of EP’949 and EP’565 in the Brussels Dutch-speaking Enterprise Court. On May 29, 2024, the parties filed a joint request to stay the proceedings, which was entered by the Court.</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49</w:t>
            </w:r>
          </w:p>
        </w:tc>
      </w:tr>
    </w:tbl>
    <w:p>
      <w:pPr>
        <w:sectPr>
          <w:pgSz w:w="11900" w:h="16838" w:orient="portrait"/>
          <w:cols w:equalWidth="0" w:num="1">
            <w:col w:w="11240"/>
          </w:cols>
          <w:pgMar w:left="320" w:top="388" w:right="339" w:bottom="1440" w:gutter="0" w:footer="0" w:header="0"/>
        </w:sectPr>
      </w:pPr>
    </w:p>
    <w:bookmarkStart w:id="58" w:name="page59"/>
    <w:bookmarkEnd w:id="5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All of the above proceedings are currently pending.</w:t>
      </w:r>
    </w:p>
    <w:p>
      <w:pPr>
        <w:spacing w:after="0" w:line="333"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each of the patents and intend to vigorously defend ourselves in the proceedings mentioned above. However, our analysis of Moderna’s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Arbutus and Genevant Proceedings</w:t>
      </w:r>
    </w:p>
    <w:p>
      <w:pPr>
        <w:spacing w:after="0" w:line="166"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In April 2023, Arbutus Biopharma Corp., or Arbutus, and Genevant Sciences GmbH, or Genevant, filed a lawsuit against Pfizer and us in the U.S. District Court for the District of New Jersey alleging that Pfizer and we have infringed the following patents owned by Arbutus: U.S. Patent Nos. 9,504,651; 8,492,359; 11,141,378; 11,298,320; and 11,318,098, through the use of Genevant’s lipid nanoparticle technology and methods for producing such lipids in Comirnaty, and seeking monetary relief. This proceeding is currently pending.</w:t>
      </w:r>
    </w:p>
    <w:p>
      <w:pPr>
        <w:spacing w:after="0" w:line="236"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each of the patents and intend to vigorously defend ourselves in the lawsuit mentioned above. However, our analysis of Arbutus and Genevant’s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GlaxoSmithKline Proceedings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United States</w:t>
      </w:r>
    </w:p>
    <w:p>
      <w:pPr>
        <w:spacing w:after="0" w:line="135"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In April 2024, GlaxoSmithKline Biologicals SA and GlaxoSmithKline LLC, or GSK, filed a lawsuit against Pfizer and us and our wholly owned subsidiaries BioNTech Manufacturing GmbH and BioNTech US Inc. in the U.S. District Court for the District of Delaware alleging that the cationic lipid used in Comirnaty infringes U.S. Patent Nos. 11,638,693; 11,638,694; 11,666,534; 11,766,401; and 11,786,467; and seeking monetary relief. On August 14, 2024, GSK filed an amended complaint to assert infringement of three additional patents, U.S. Patent Nos. 11,759,422; 11,655,475; and 11,851,660. A trial is scheduled to occur in June 2027. This proceeding is currently pending.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Ireland</w:t>
      </w:r>
    </w:p>
    <w:p>
      <w:pPr>
        <w:spacing w:after="0" w:line="148"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In July 2025, GlaxoSmithKline Biologicals SA filed a lawsuit against our wholly owned subsidiary BioNTech Manufacturing GmbH, Pfizer Ireland Pharmaceuticals Unlimited Company, and Pfizer Healthcare Ireland Unlimited Company, alleging Comirnaty’s infringement of European Patent Nos. 2,590,626, 4,066,856, and 4,226,941 in the High Court of Ireland. This proceeding is currently pending.</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50</w:t>
            </w:r>
          </w:p>
        </w:tc>
      </w:tr>
    </w:tbl>
    <w:p>
      <w:pPr>
        <w:sectPr>
          <w:pgSz w:w="11900" w:h="16838" w:orient="portrait"/>
          <w:cols w:equalWidth="0" w:num="1">
            <w:col w:w="11240"/>
          </w:cols>
          <w:pgMar w:left="320" w:top="388" w:right="339" w:bottom="1440" w:gutter="0" w:footer="0" w:header="0"/>
        </w:sectPr>
      </w:pPr>
    </w:p>
    <w:bookmarkStart w:id="59" w:name="page60"/>
    <w:bookmarkEnd w:id="5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Unified Patent Court</w:t>
      </w:r>
    </w:p>
    <w:p>
      <w:pPr>
        <w:spacing w:after="0" w:line="148"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In July 2025, GlaxoSmithKline Biologicals SA filed two lawsuits against BioNTech SE, BioNTech Europe GmbH, BioNTech Manufacturing GmbH, and BioNTech Manufacturing Marburg GmbH, as well as 26 Pfizer entities, in the Unified Patent Court (Hague Division). In the first lawsuit, GSK alleges Comirnaty’s infringement of European Patent No. 2,590,626, or EP’626, and in the second lawsuit, GSK alleges Comirnaty’s infringement of European Patent Nos. 4,066,856, or EP’856, and 4,226,941, or EP’941. Oral hearings wherein the UPC will hear the parties’ arguments regarding infringement and invalidity of EP’626, EP’856, and EP’941 have been scheduled for September/October 2026. This proceeding is currently pending.</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United Kingdom</w:t>
      </w:r>
    </w:p>
    <w:p>
      <w:pPr>
        <w:spacing w:after="0" w:line="148"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8"/>
          <w:szCs w:val="18"/>
          <w:color w:val="080509"/>
        </w:rPr>
        <w:t>In September 2025, we and Pfizer filed a revocation action against GlaxoSmithKline Biologics S.A. in the Business and Property Courts of England and Wales, in the U.K. High Court, requesting revocation of European Patent Nos. 2,590,626, 4,066,856, and 4,226,941. On October 7, 2025, GSK filed a defense and counterclaim for infringement against BioNTech SE and BioNTech Manufacturing GmbH, alleging Comirnaty’s infringement of European Patent Nos. 2,590,626, 4,066,856, and 4,226,941. A trial has been scheduled for February 2027. This proceeding is currently pending.</w:t>
      </w:r>
    </w:p>
    <w:p>
      <w:pPr>
        <w:spacing w:after="0" w:line="200" w:lineRule="exact"/>
        <w:rPr>
          <w:sz w:val="20"/>
          <w:szCs w:val="20"/>
          <w:color w:val="auto"/>
        </w:rPr>
      </w:pPr>
    </w:p>
    <w:p>
      <w:pPr>
        <w:spacing w:after="0" w:line="295"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each of the patents and intend to vigorously defend ourselves in the lawsuit mentioned above. However, our analysis of GlaxoSmithKline’s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March 31, 2026. However, it is currently impractical for us to estimate with sufficient reliability the respective contingent liabilities.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Promosome Proceedings</w:t>
      </w:r>
    </w:p>
    <w:p>
      <w:pPr>
        <w:spacing w:after="0" w:line="166"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8"/>
          <w:szCs w:val="18"/>
          <w:color w:val="080509"/>
        </w:rPr>
        <w:t>In January 2025, Promosome LLC, or Promosome, filed a lawsuit against us and Pfizer in the Unified Patent Court, or UPC, Munich Division, alleging that Comirnaty infringes European Patent No. 2,401,365 and seeking monetary relief. An oral hearing wherein the UPC will hear the parties’ arguments regarding infringement and invalidity has been scheduled for May 12-13, 2026. This proceeding is currently pending.</w:t>
      </w:r>
    </w:p>
    <w:p>
      <w:pPr>
        <w:spacing w:after="0" w:line="200" w:lineRule="exact"/>
        <w:rPr>
          <w:sz w:val="20"/>
          <w:szCs w:val="20"/>
          <w:color w:val="auto"/>
        </w:rPr>
      </w:pPr>
    </w:p>
    <w:p>
      <w:pPr>
        <w:spacing w:after="0" w:line="286"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the patent and intend to vigorously defend ourselves in the lawsuit mentioned above. However, our analysis of Promosome’s claim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this matter constitutes a contingent liability as of the balance sheet date. However, it is currently impractical for us to estimate with sufficient reliability the contingent liability.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Bayer/Monsanto Proceedings</w:t>
      </w:r>
    </w:p>
    <w:p>
      <w:pPr>
        <w:spacing w:after="0" w:line="153"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In January 2026, Bayer CropScience LLC, Monsanto Company, and Monsanto Technology, LLC, or collectively, Bayer, filed a lawsuit against us and Pfizer in the United States District Court for the District of Delaware, alleging that Comirnaty infringes U.S. Patent No. 7,741,118 and seeking monetary relief. This proceeding is currently pending.</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51</w:t>
            </w:r>
          </w:p>
        </w:tc>
      </w:tr>
    </w:tbl>
    <w:p>
      <w:pPr>
        <w:sectPr>
          <w:pgSz w:w="11900" w:h="16838" w:orient="portrait"/>
          <w:cols w:equalWidth="0" w:num="1">
            <w:col w:w="11240"/>
          </w:cols>
          <w:pgMar w:left="320" w:top="388" w:right="339" w:bottom="1440" w:gutter="0" w:footer="0" w:header="0"/>
        </w:sectPr>
      </w:pPr>
    </w:p>
    <w:bookmarkStart w:id="60" w:name="page61"/>
    <w:bookmarkEnd w:id="6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the patent and intend to vigorously defend ourselves in the lawsuit mentioned above. However, our analysis of Bayer’s claim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this matter constitutes a contingent liability as of March 31, 2026. However, it is currently impractical for us to estimate with sufficient reliability the contingent liability.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Liquidity and Capital Resources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Overview</w:t>
      </w:r>
    </w:p>
    <w:p>
      <w:pPr>
        <w:spacing w:after="0" w:line="179"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Given our strong financial, scientific and operational accomplishments, we believe we have the resources to diligently allocate our current capital to drive a multi-platform strategy and deliver a fully integrated global biotechnology company. We focus our research and development, or R&amp;D, on rapidly advancing our diversified clinical oncology pipeline with synergistic potential and maintaining leadership position in COVID-19 vaccine business. We plan to continue investing in the acceleration of late-stage trial execution for our immuno-oncology, or IO, and antibody-drug-conjugates, or ADCs, programs as well as our mRNA cancer immunotherapies. In addition, we plan to enhance capabilities through complementary acquisitions, technologies, infrastructure and manufacturing. As a science and innovation driven company, we will continue to focus investments on R&amp;D and scaling the business for commercial readiness in oncology in 2026.</w:t>
      </w:r>
    </w:p>
    <w:p>
      <w:pPr>
        <w:spacing w:after="0" w:line="240"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8"/>
          <w:szCs w:val="18"/>
          <w:color w:val="080509"/>
        </w:rPr>
        <w:t>As of March 31, 2026, we had cash and cash equivalents of €9,939.4 million, current security investments disclosed as financial assets of €4,696.9 million and non-current security investments disclosed as financial assets of €2,127.0 million accumulating to €16,763.3 million in cash, cash equivalents and security investments. In general, the aim is to protect and maximize the financial resources available for further research and development projects.</w:t>
      </w:r>
    </w:p>
    <w:p>
      <w:pPr>
        <w:spacing w:after="0" w:line="200" w:lineRule="exact"/>
        <w:rPr>
          <w:sz w:val="20"/>
          <w:szCs w:val="20"/>
          <w:color w:val="auto"/>
        </w:rPr>
      </w:pPr>
    </w:p>
    <w:p>
      <w:pPr>
        <w:spacing w:after="0" w:line="286"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Cash and cash equivalents and financial securities are invested in accordance with our asset management and investment policy, primarily with a focus on liquidity and capital preservation, and consist primarily of cash in bank accounts and on hand as well as long- and short-term financial investments.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Cash Flow</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The following table summarizes the primary sources and uses of cash for each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5057775" cy="114871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057775" cy="114871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3C9673"/>
        </w:rPr>
        <w:t>Net cash flows from /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492061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4920615" cy="8890"/>
                    </a:xfrm>
                    <a:prstGeom prst="rect">
                      <a:avLst/>
                    </a:prstGeom>
                    <a:noFill/>
                  </pic:spPr>
                </pic:pic>
              </a:graphicData>
            </a:graphic>
          </wp:anchor>
        </w:drawing>
      </w:r>
    </w:p>
    <w:p>
      <w:pPr>
        <w:spacing w:after="0" w:line="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92061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92061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92061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pacing w:after="0" w:line="87" w:lineRule="exact"/>
        <w:rPr>
          <w:sz w:val="20"/>
          <w:szCs w:val="20"/>
          <w:color w:val="auto"/>
        </w:rPr>
      </w:pPr>
    </w:p>
    <w:p>
      <w:pPr>
        <w:ind w:left="20" w:right="520"/>
        <w:spacing w:after="0" w:line="345" w:lineRule="auto"/>
        <w:rPr>
          <w:sz w:val="20"/>
          <w:szCs w:val="20"/>
          <w:color w:val="auto"/>
        </w:rPr>
      </w:pPr>
      <w:r>
        <w:rPr>
          <w:rFonts w:ascii="Times New Roman" w:cs="Times New Roman" w:eastAsia="Times New Roman" w:hAnsi="Times New Roman"/>
          <w:sz w:val="14"/>
          <w:szCs w:val="14"/>
          <w:b w:val="1"/>
          <w:bCs w:val="1"/>
          <w:color w:val="005A64"/>
        </w:rPr>
        <w:t>Total cash inflow before change in cash and cash equivalents resulting from exchange rate differences and other valuation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492061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49206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5A64"/>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119380</wp:posOffset>
            </wp:positionV>
            <wp:extent cx="1045845" cy="114871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045845" cy="1148715"/>
                    </a:xfrm>
                    <a:prstGeom prst="rect">
                      <a:avLst/>
                    </a:prstGeom>
                    <a:noFill/>
                  </pic:spPr>
                </pic:pic>
              </a:graphicData>
            </a:graphic>
          </wp:anchor>
        </w:drawing>
      </w:r>
    </w:p>
    <w:p>
      <w:pPr>
        <w:spacing w:after="0" w:line="184" w:lineRule="exact"/>
        <w:rPr>
          <w:sz w:val="20"/>
          <w:szCs w:val="20"/>
          <w:color w:val="auto"/>
        </w:rPr>
      </w:pPr>
    </w:p>
    <w:p>
      <w:pPr>
        <w:jc w:val="both"/>
        <w:ind w:left="600"/>
        <w:spacing w:after="0"/>
        <w:tabs>
          <w:tab w:leader="none" w:pos="2320" w:val="left"/>
        </w:tabs>
        <w:rPr>
          <w:sz w:val="20"/>
          <w:szCs w:val="20"/>
          <w:color w:val="auto"/>
        </w:rPr>
      </w:pPr>
      <w:r>
        <w:rPr>
          <w:rFonts w:ascii="Times New Roman" w:cs="Times New Roman" w:eastAsia="Times New Roman" w:hAnsi="Times New Roman"/>
          <w:sz w:val="14"/>
          <w:szCs w:val="14"/>
          <w:b w:val="1"/>
          <w:bCs w:val="1"/>
          <w:color w:val="005A64"/>
        </w:rPr>
        <w:t>2026</w:t>
      </w:r>
      <w:r>
        <w:rPr>
          <w:sz w:val="20"/>
          <w:szCs w:val="20"/>
          <w:color w:val="auto"/>
        </w:rPr>
        <w:tab/>
      </w:r>
      <w:r>
        <w:rPr>
          <w:rFonts w:ascii="Times New Roman" w:cs="Times New Roman" w:eastAsia="Times New Roman" w:hAnsi="Times New Roman"/>
          <w:sz w:val="14"/>
          <w:szCs w:val="14"/>
          <w:b w:val="1"/>
          <w:bCs w:val="1"/>
          <w:color w:val="005A64"/>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213360</wp:posOffset>
            </wp:positionV>
            <wp:extent cx="207454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074545" cy="889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59055</wp:posOffset>
            </wp:positionV>
            <wp:extent cx="207454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348" w:lineRule="exact"/>
        <w:rPr>
          <w:sz w:val="20"/>
          <w:szCs w:val="20"/>
          <w:color w:val="auto"/>
        </w:rPr>
      </w:pPr>
    </w:p>
    <w:p>
      <w:pPr>
        <w:ind w:left="440"/>
        <w:spacing w:after="0"/>
        <w:tabs>
          <w:tab w:leader="none" w:pos="2160" w:val="left"/>
        </w:tabs>
        <w:rPr>
          <w:sz w:val="20"/>
          <w:szCs w:val="20"/>
          <w:color w:val="auto"/>
        </w:rPr>
      </w:pPr>
      <w:r>
        <w:rPr>
          <w:rFonts w:ascii="Times New Roman" w:cs="Times New Roman" w:eastAsia="Times New Roman" w:hAnsi="Times New Roman"/>
          <w:sz w:val="14"/>
          <w:szCs w:val="14"/>
          <w:color w:val="005A64"/>
        </w:rPr>
        <w:t>(421.0)</w:t>
      </w:r>
      <w:r>
        <w:rPr>
          <w:sz w:val="20"/>
          <w:szCs w:val="20"/>
          <w:color w:val="auto"/>
        </w:rPr>
        <w:tab/>
      </w:r>
      <w:r>
        <w:rPr>
          <w:rFonts w:ascii="Times New Roman" w:cs="Times New Roman" w:eastAsia="Times New Roman" w:hAnsi="Times New Roman"/>
          <w:sz w:val="14"/>
          <w:szCs w:val="14"/>
          <w:color w:val="005A64"/>
        </w:rPr>
        <w:t>(780.7)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49530</wp:posOffset>
            </wp:positionV>
            <wp:extent cx="207454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89" w:lineRule="exact"/>
        <w:rPr>
          <w:sz w:val="20"/>
          <w:szCs w:val="20"/>
          <w:color w:val="auto"/>
        </w:rPr>
      </w:pPr>
    </w:p>
    <w:p>
      <w:pPr>
        <w:ind w:left="420"/>
        <w:spacing w:after="0"/>
        <w:tabs>
          <w:tab w:leader="none" w:pos="2160" w:val="left"/>
        </w:tabs>
        <w:rPr>
          <w:sz w:val="20"/>
          <w:szCs w:val="20"/>
          <w:color w:val="auto"/>
        </w:rPr>
      </w:pPr>
      <w:r>
        <w:rPr>
          <w:rFonts w:ascii="Times New Roman" w:cs="Times New Roman" w:eastAsia="Times New Roman" w:hAnsi="Times New Roman"/>
          <w:sz w:val="14"/>
          <w:szCs w:val="14"/>
          <w:color w:val="005A64"/>
        </w:rPr>
        <w:t>2,650.6</w:t>
      </w:r>
      <w:r>
        <w:rPr>
          <w:sz w:val="20"/>
          <w:szCs w:val="20"/>
          <w:color w:val="auto"/>
        </w:rPr>
        <w:tab/>
      </w:r>
      <w:r>
        <w:rPr>
          <w:rFonts w:ascii="Times New Roman" w:cs="Times New Roman" w:eastAsia="Times New Roman" w:hAnsi="Times New Roman"/>
          <w:sz w:val="14"/>
          <w:szCs w:val="14"/>
          <w:color w:val="005A64"/>
        </w:rPr>
        <w:t>1,246.8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49530</wp:posOffset>
            </wp:positionV>
            <wp:extent cx="207454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89" w:lineRule="exact"/>
        <w:rPr>
          <w:sz w:val="20"/>
          <w:szCs w:val="20"/>
          <w:color w:val="auto"/>
        </w:rPr>
      </w:pPr>
    </w:p>
    <w:p>
      <w:pPr>
        <w:ind w:left="620"/>
        <w:spacing w:after="0"/>
        <w:tabs>
          <w:tab w:leader="none" w:pos="2240" w:val="left"/>
        </w:tabs>
        <w:rPr>
          <w:sz w:val="20"/>
          <w:szCs w:val="20"/>
          <w:color w:val="auto"/>
        </w:rPr>
      </w:pPr>
      <w:r>
        <w:rPr>
          <w:rFonts w:ascii="Times New Roman" w:cs="Times New Roman" w:eastAsia="Times New Roman" w:hAnsi="Times New Roman"/>
          <w:sz w:val="14"/>
          <w:szCs w:val="14"/>
          <w:color w:val="005A64"/>
        </w:rPr>
        <w:t>26.4</w:t>
      </w:r>
      <w:r>
        <w:rPr>
          <w:sz w:val="20"/>
          <w:szCs w:val="20"/>
          <w:color w:val="auto"/>
        </w:rPr>
        <w:tab/>
      </w:r>
      <w:r>
        <w:rPr>
          <w:rFonts w:ascii="Times New Roman" w:cs="Times New Roman" w:eastAsia="Times New Roman" w:hAnsi="Times New Roman"/>
          <w:sz w:val="14"/>
          <w:szCs w:val="14"/>
          <w:color w:val="005A64"/>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49530</wp:posOffset>
            </wp:positionV>
            <wp:extent cx="207454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82" w:lineRule="exact"/>
        <w:rPr>
          <w:sz w:val="20"/>
          <w:szCs w:val="20"/>
          <w:color w:val="auto"/>
        </w:rPr>
      </w:pPr>
    </w:p>
    <w:p>
      <w:pPr>
        <w:jc w:val="right"/>
        <w:ind w:right="20"/>
        <w:spacing w:after="0"/>
        <w:tabs>
          <w:tab w:leader="none" w:pos="320" w:val="left"/>
        </w:tabs>
        <w:rPr>
          <w:sz w:val="20"/>
          <w:szCs w:val="20"/>
          <w:color w:val="auto"/>
        </w:rPr>
      </w:pPr>
      <w:r>
        <w:rPr>
          <w:rFonts w:ascii="Times New Roman" w:cs="Times New Roman" w:eastAsia="Times New Roman" w:hAnsi="Times New Roman"/>
          <w:sz w:val="14"/>
          <w:szCs w:val="14"/>
          <w:b w:val="1"/>
          <w:bCs w:val="1"/>
          <w:color w:val="005A64"/>
        </w:rPr>
        <w:t>2,256.0</w:t>
      </w:r>
      <w:r>
        <w:rPr>
          <w:sz w:val="20"/>
          <w:szCs w:val="20"/>
          <w:color w:val="auto"/>
        </w:rPr>
        <w:tab/>
      </w:r>
      <w:r>
        <w:rPr>
          <w:rFonts w:ascii="Times New Roman" w:cs="Times New Roman" w:eastAsia="Times New Roman" w:hAnsi="Times New Roman"/>
          <w:sz w:val="14"/>
          <w:szCs w:val="14"/>
          <w:b w:val="1"/>
          <w:bCs w:val="1"/>
          <w:color w:val="005A64"/>
        </w:rPr>
        <w:t>452.3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119380</wp:posOffset>
            </wp:positionV>
            <wp:extent cx="207454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407" w:lineRule="exact"/>
        <w:rPr>
          <w:sz w:val="20"/>
          <w:szCs w:val="20"/>
          <w:color w:val="auto"/>
        </w:rPr>
      </w:pPr>
    </w:p>
    <w:p>
      <w:pPr>
        <w:sectPr>
          <w:pgSz w:w="11900" w:h="16838" w:orient="portrait"/>
          <w:cols w:equalWidth="0" w:num="2">
            <w:col w:w="7860" w:space="720"/>
            <w:col w:w="2660"/>
          </w:cols>
          <w:pgMar w:left="320" w:top="388" w:right="339"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52</w:t>
            </w:r>
          </w:p>
        </w:tc>
      </w:tr>
    </w:tbl>
    <w:p>
      <w:pPr>
        <w:sectPr>
          <w:pgSz w:w="11900" w:h="16838" w:orient="portrait"/>
          <w:cols w:equalWidth="0" w:num="1">
            <w:col w:w="11240"/>
          </w:cols>
          <w:pgMar w:left="320" w:top="388" w:right="339" w:bottom="1440" w:gutter="0" w:footer="0" w:header="0"/>
          <w:type w:val="continuous"/>
        </w:sectPr>
      </w:pPr>
    </w:p>
    <w:bookmarkStart w:id="61" w:name="page62"/>
    <w:bookmarkEnd w:id="6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Operating Activities</w:t>
      </w:r>
    </w:p>
    <w:p>
      <w:pPr>
        <w:spacing w:after="0" w:line="16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We derive cash flows from operations primarily from the sale of products and services rendered. Our cash flows from operating activities are significantly influenced by cash we generated as settlement payments of our gross profit as well as our use of cash for operating expenses and working capital to support the business.</w:t>
      </w:r>
    </w:p>
    <w:p>
      <w:pPr>
        <w:spacing w:after="0" w:line="231"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Our net cash flows used in operating activities for the three months ended March 31, 2026 were €421.0 million. Cash payments for our operating activities exceeded our cash received from our revenue streams for the three months ended March 31, 2026, resulting in a cash outflow of €474.9 million. On the other hand, we generated positive cash contributions from interest and other payments related to the security investments of €86.6 million and grants of €14.3 million, which were partly offset by tax payments of €41.6 million.</w:t>
      </w:r>
    </w:p>
    <w:p>
      <w:pPr>
        <w:spacing w:after="0" w:line="236"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Our net cash flows used in operating activities for the three months ended March 31, 2025 were €780.7 million. Cash payments for our operating activities exceeded our cash received from our revenue streams for the three months ended March 31, 2025, resulting in a cash outflow of €903.4 million. On the other hand, we generated positive cash contributions from interest and other payments related to the security investments of €118.6 million and grants of €23.2 million, which were partly offset by tax payments of €12.2 million.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Investing Activities</w:t>
      </w:r>
    </w:p>
    <w:p>
      <w:pPr>
        <w:spacing w:after="0" w:line="16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Our net cash flows from investing activities for the three months ended March 31, 2026 were €2,650.6 million. The amount includes €2,727.9 million mainly repayments from matured security investments. The payments in property, plant and equipment of €56.8 million related to investments in building our laboratory and office facilities in Mainz, Germany and elsewhere.</w:t>
      </w:r>
    </w:p>
    <w:p>
      <w:pPr>
        <w:spacing w:after="0" w:line="231"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Our net cash flows from investing activities for the three months ended March 31, 2025 were €1,246.8 million. The amount includes €1,942.9 million mainly repayments from matured security investments. On the other hand, there was a payment of €565.1 million for the settlement of our preexisting relationship in connection with the License and Collaboration Agreement with Biotheus entered into in November 2023, which is separated from the remaining purchase price to be transferred for the acquired business of Biotheus. The payments in property, plant and equipment of €48.9 million related to investments in building our laboratory and office facilities in Mainz, Germany and elsewhere.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Financing Activities</w:t>
      </w:r>
    </w:p>
    <w:p>
      <w:pPr>
        <w:spacing w:after="0" w:line="166"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Our net cash flows from financing activities for the three months ended March 31, 2026 were €26.4 million and mainly related to the proceeds from loans and borrowings of €38.4 million which were partly offset by our lease payments of €11.9 million.</w:t>
      </w:r>
    </w:p>
    <w:p>
      <w:pPr>
        <w:spacing w:after="0" w:line="217"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Our net cash flows used in financing activities for the three months ended March 31, 2025 were €13.8 million and mainly related to our lease payments of €9.3 million.</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53</w:t>
            </w:r>
          </w:p>
        </w:tc>
      </w:tr>
    </w:tbl>
    <w:p>
      <w:pPr>
        <w:sectPr>
          <w:pgSz w:w="11900" w:h="16838" w:orient="portrait"/>
          <w:cols w:equalWidth="0" w:num="1">
            <w:col w:w="11240"/>
          </w:cols>
          <w:pgMar w:left="320" w:top="388" w:right="339" w:bottom="1440" w:gutter="0" w:footer="0" w:header="0"/>
        </w:sectPr>
      </w:pPr>
    </w:p>
    <w:bookmarkStart w:id="62" w:name="page63"/>
    <w:bookmarkEnd w:id="6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Operation and Funding Requirements</w:t>
      </w:r>
    </w:p>
    <w:p>
      <w:pPr>
        <w:spacing w:after="0" w:line="179" w:lineRule="exact"/>
        <w:rPr>
          <w:sz w:val="20"/>
          <w:szCs w:val="20"/>
          <w:color w:val="auto"/>
        </w:rPr>
      </w:pPr>
    </w:p>
    <w:p>
      <w:pPr>
        <w:spacing w:after="0" w:line="344" w:lineRule="auto"/>
        <w:rPr>
          <w:sz w:val="20"/>
          <w:szCs w:val="20"/>
          <w:color w:val="auto"/>
        </w:rPr>
      </w:pPr>
      <w:r>
        <w:rPr>
          <w:rFonts w:ascii="Times New Roman" w:cs="Times New Roman" w:eastAsia="Times New Roman" w:hAnsi="Times New Roman"/>
          <w:sz w:val="18"/>
          <w:szCs w:val="18"/>
          <w:color w:val="080509"/>
        </w:rPr>
        <w:t>As part of our capital allocation strategy, we expect to continue to incur significant and increasing operating expenses for the foreseeable future. We anticipate that our expenses will increase substantially if and as we and our collaborators: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continue or expand our research or development of our programs in preclinical development;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continue or expand the scope of our clinical trials for our product candidates;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initiate additional preclinical, clinical, or other trials for our product candidates, including under our collaboration agreements;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continue to invest in our immunotherapy platforms to conduct research to identify novel technologies;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change or increase our manufacturing capacity or capability;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change or add additional suppliers;</w:t>
      </w:r>
    </w:p>
    <w:p>
      <w:pPr>
        <w:spacing w:after="0" w:line="279"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add additional infrastructure to our quality control, quality assurance, legal, compliance and other groups to support our operations as a</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public company and our product development and commercialization efforts, including new and expanded sites globally;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attract and retain skilled personnel;</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seek marketing approvals and reimbursement for our product candidates;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enhance our commercial infrastructure for other product candidates for which we are seeking to obtain marketing approval;</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seek to identify and validate additional product candidates;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acquire or in-license other product candidates and technologies;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acquire other companies;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make milestone or other payments under any in-license agreements;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maintain, protect, defend, enforce and expand our intellectual property portfolio; and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experience any delays or encounter issues with any of the above.</w:t>
      </w:r>
    </w:p>
    <w:p>
      <w:pPr>
        <w:spacing w:after="0" w:line="333"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We are a party to license and research and development agreements with universities and other third parties, as well as patent assignment agreements, under which we have obtained rights to patents, patent applications and know-how. We enter into contracts in the normal course of business with CROs for clinical trials and clinical and commercial supply manufacturing, and with vendors for preclinical research studies and for other services and products for operating purposes. We work together with CMOs who manufacture our product candidates and products, and enter into lease agreements to lease laboratory, GMP manufacturing, storage and office spaces. Purchase obligations under our agreements, to the extent that they are quantifiable and not cancellable, have been</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54</w:t>
            </w:r>
          </w:p>
        </w:tc>
      </w:tr>
    </w:tbl>
    <w:p>
      <w:pPr>
        <w:sectPr>
          <w:pgSz w:w="11900" w:h="16838" w:orient="portrait"/>
          <w:cols w:equalWidth="0" w:num="1">
            <w:col w:w="11240"/>
          </w:cols>
          <w:pgMar w:left="320" w:top="388" w:right="339" w:bottom="1440" w:gutter="0" w:footer="0" w:header="0"/>
        </w:sectPr>
      </w:pPr>
    </w:p>
    <w:bookmarkStart w:id="63" w:name="page64"/>
    <w:bookmarkEnd w:id="6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considered when defining our guidance for future cash commitments. The following table shows our significant committed cash outflow within one year and for the years 2027 and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15175" cy="171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March 31, 2026</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58"/>
        </w:trPr>
        <w:tc>
          <w:tcPr>
            <w:tcW w:w="5000" w:type="dxa"/>
            <w:vAlign w:val="bottom"/>
            <w:gridSpan w:val="2"/>
          </w:tcPr>
          <w:p>
            <w:pPr>
              <w:spacing w:after="0"/>
              <w:rPr>
                <w:sz w:val="13"/>
                <w:szCs w:val="13"/>
                <w:color w:val="auto"/>
              </w:rPr>
            </w:pPr>
          </w:p>
        </w:tc>
        <w:tc>
          <w:tcPr>
            <w:tcW w:w="100" w:type="dxa"/>
            <w:vAlign w:val="bottom"/>
            <w:tcBorders>
              <w:bottom w:val="single" w:sz="8" w:color="BECE33"/>
            </w:tcBorders>
          </w:tcPr>
          <w:p>
            <w:pPr>
              <w:spacing w:after="0"/>
              <w:rPr>
                <w:sz w:val="13"/>
                <w:szCs w:val="13"/>
                <w:color w:val="auto"/>
              </w:rPr>
            </w:pPr>
          </w:p>
        </w:tc>
        <w:tc>
          <w:tcPr>
            <w:tcW w:w="1540" w:type="dxa"/>
            <w:vAlign w:val="bottom"/>
            <w:tcBorders>
              <w:bottom w:val="single" w:sz="8" w:color="BECE33"/>
            </w:tcBorders>
            <w:gridSpan w:val="2"/>
          </w:tcPr>
          <w:p>
            <w:pPr>
              <w:spacing w:after="0"/>
              <w:rPr>
                <w:sz w:val="13"/>
                <w:szCs w:val="13"/>
                <w:color w:val="auto"/>
              </w:rPr>
            </w:pPr>
          </w:p>
        </w:tc>
        <w:tc>
          <w:tcPr>
            <w:tcW w:w="1540" w:type="dxa"/>
            <w:vAlign w:val="bottom"/>
            <w:tcBorders>
              <w:bottom w:val="single" w:sz="8" w:color="BECE33"/>
            </w:tcBorders>
            <w:gridSpan w:val="2"/>
          </w:tcPr>
          <w:p>
            <w:pPr>
              <w:spacing w:after="0"/>
              <w:rPr>
                <w:sz w:val="13"/>
                <w:szCs w:val="13"/>
                <w:color w:val="auto"/>
              </w:rPr>
            </w:pPr>
          </w:p>
        </w:tc>
        <w:tc>
          <w:tcPr>
            <w:tcW w:w="1540" w:type="dxa"/>
            <w:vAlign w:val="bottom"/>
            <w:tcBorders>
              <w:bottom w:val="single" w:sz="8" w:color="BECE33"/>
            </w:tcBorders>
            <w:gridSpan w:val="2"/>
          </w:tcPr>
          <w:p>
            <w:pPr>
              <w:spacing w:after="0"/>
              <w:rPr>
                <w:sz w:val="13"/>
                <w:szCs w:val="13"/>
                <w:color w:val="auto"/>
              </w:rPr>
            </w:pPr>
          </w:p>
        </w:tc>
        <w:tc>
          <w:tcPr>
            <w:tcW w:w="1520" w:type="dxa"/>
            <w:vAlign w:val="bottom"/>
            <w:tcBorders>
              <w:bottom w:val="single" w:sz="8" w:color="BECE33"/>
            </w:tcBorders>
            <w:gridSpan w:val="2"/>
          </w:tcPr>
          <w:p>
            <w:pPr>
              <w:spacing w:after="0"/>
              <w:rPr>
                <w:sz w:val="13"/>
                <w:szCs w:val="13"/>
                <w:color w:val="auto"/>
              </w:rPr>
            </w:pPr>
          </w:p>
        </w:tc>
      </w:tr>
      <w:tr>
        <w:trPr>
          <w:trHeight w:val="200"/>
        </w:trPr>
        <w:tc>
          <w:tcPr>
            <w:tcW w:w="500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100" w:type="dxa"/>
            <w:vAlign w:val="bottom"/>
          </w:tcPr>
          <w:p>
            <w:pPr>
              <w:spacing w:after="0"/>
              <w:rPr>
                <w:sz w:val="17"/>
                <w:szCs w:val="17"/>
                <w:color w:val="auto"/>
              </w:rPr>
            </w:pP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005A64"/>
              </w:rPr>
              <w:t>Less than 1 year</w:t>
            </w:r>
          </w:p>
        </w:tc>
        <w:tc>
          <w:tcPr>
            <w:tcW w:w="154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005A64"/>
              </w:rPr>
              <w:t>1 to 5 years</w:t>
            </w: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005A64"/>
              </w:rPr>
              <w:t>More than 5 years</w:t>
            </w:r>
          </w:p>
        </w:tc>
        <w:tc>
          <w:tcPr>
            <w:tcW w:w="1520" w:type="dxa"/>
            <w:vAlign w:val="bottom"/>
            <w:tcBorders>
              <w:right w:val="single" w:sz="8" w:color="BECE33"/>
            </w:tcBorders>
            <w:gridSpan w:val="2"/>
          </w:tcPr>
          <w:p>
            <w:pPr>
              <w:ind w:left="1040"/>
              <w:spacing w:after="0"/>
              <w:rPr>
                <w:sz w:val="20"/>
                <w:szCs w:val="20"/>
                <w:color w:val="auto"/>
              </w:rPr>
            </w:pPr>
            <w:r>
              <w:rPr>
                <w:rFonts w:ascii="Times New Roman" w:cs="Times New Roman" w:eastAsia="Times New Roman" w:hAnsi="Times New Roman"/>
                <w:sz w:val="14"/>
                <w:szCs w:val="14"/>
                <w:b w:val="1"/>
                <w:bCs w:val="1"/>
                <w:color w:val="005A64"/>
              </w:rPr>
              <w:t>Total</w:t>
            </w:r>
          </w:p>
        </w:tc>
      </w:tr>
      <w:tr>
        <w:trPr>
          <w:trHeight w:val="50"/>
        </w:trPr>
        <w:tc>
          <w:tcPr>
            <w:tcW w:w="4880" w:type="dxa"/>
            <w:vAlign w:val="bottom"/>
            <w:tcBorders>
              <w:bottom w:val="single" w:sz="8" w:color="005A64"/>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Borders>
              <w:bottom w:val="single" w:sz="8" w:color="005A64"/>
            </w:tcBorders>
          </w:tcPr>
          <w:p>
            <w:pPr>
              <w:spacing w:after="0"/>
              <w:rPr>
                <w:sz w:val="4"/>
                <w:szCs w:val="4"/>
                <w:color w:val="auto"/>
              </w:rPr>
            </w:pPr>
          </w:p>
        </w:tc>
        <w:tc>
          <w:tcPr>
            <w:tcW w:w="180" w:type="dxa"/>
            <w:vAlign w:val="bottom"/>
          </w:tcPr>
          <w:p>
            <w:pPr>
              <w:spacing w:after="0"/>
              <w:rPr>
                <w:sz w:val="4"/>
                <w:szCs w:val="4"/>
                <w:color w:val="auto"/>
              </w:rPr>
            </w:pPr>
          </w:p>
        </w:tc>
        <w:tc>
          <w:tcPr>
            <w:tcW w:w="1360" w:type="dxa"/>
            <w:vAlign w:val="bottom"/>
            <w:tcBorders>
              <w:bottom w:val="single" w:sz="8" w:color="005A64"/>
            </w:tcBorders>
          </w:tcPr>
          <w:p>
            <w:pPr>
              <w:spacing w:after="0"/>
              <w:rPr>
                <w:sz w:val="4"/>
                <w:szCs w:val="4"/>
                <w:color w:val="auto"/>
              </w:rPr>
            </w:pPr>
          </w:p>
        </w:tc>
        <w:tc>
          <w:tcPr>
            <w:tcW w:w="180" w:type="dxa"/>
            <w:vAlign w:val="bottom"/>
          </w:tcPr>
          <w:p>
            <w:pPr>
              <w:spacing w:after="0"/>
              <w:rPr>
                <w:sz w:val="4"/>
                <w:szCs w:val="4"/>
                <w:color w:val="auto"/>
              </w:rPr>
            </w:pPr>
          </w:p>
        </w:tc>
        <w:tc>
          <w:tcPr>
            <w:tcW w:w="1380" w:type="dxa"/>
            <w:vAlign w:val="bottom"/>
            <w:tcBorders>
              <w:bottom w:val="single" w:sz="8" w:color="005A64"/>
            </w:tcBorders>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tcBorders>
              <w:bottom w:val="single" w:sz="8" w:color="005A64"/>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r>
      <w:tr>
        <w:trPr>
          <w:trHeight w:val="200"/>
        </w:trPr>
        <w:tc>
          <w:tcPr>
            <w:tcW w:w="500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Commitments under purchase agreements for property, plant and equipment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111.6</w:t>
            </w: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6.8</w:t>
            </w:r>
          </w:p>
        </w:tc>
        <w:tc>
          <w:tcPr>
            <w:tcW w:w="18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005A6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118.4</w:t>
            </w:r>
          </w:p>
        </w:tc>
        <w:tc>
          <w:tcPr>
            <w:tcW w:w="140" w:type="dxa"/>
            <w:vAlign w:val="bottom"/>
            <w:tcBorders>
              <w:right w:val="single" w:sz="8" w:color="BECE33"/>
            </w:tcBorders>
          </w:tcPr>
          <w:p>
            <w:pPr>
              <w:spacing w:after="0"/>
              <w:rPr>
                <w:sz w:val="17"/>
                <w:szCs w:val="17"/>
                <w:color w:val="auto"/>
              </w:rPr>
            </w:pPr>
          </w:p>
        </w:tc>
      </w:tr>
      <w:tr>
        <w:trPr>
          <w:trHeight w:val="50"/>
        </w:trPr>
        <w:tc>
          <w:tcPr>
            <w:tcW w:w="488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Borders>
              <w:bottom w:val="single" w:sz="8" w:color="7FACB1"/>
            </w:tcBorders>
          </w:tcPr>
          <w:p>
            <w:pPr>
              <w:spacing w:after="0"/>
              <w:rPr>
                <w:sz w:val="4"/>
                <w:szCs w:val="4"/>
                <w:color w:val="auto"/>
              </w:rPr>
            </w:pPr>
          </w:p>
        </w:tc>
        <w:tc>
          <w:tcPr>
            <w:tcW w:w="180" w:type="dxa"/>
            <w:vAlign w:val="bottom"/>
          </w:tcPr>
          <w:p>
            <w:pPr>
              <w:spacing w:after="0"/>
              <w:rPr>
                <w:sz w:val="4"/>
                <w:szCs w:val="4"/>
                <w:color w:val="auto"/>
              </w:rPr>
            </w:pPr>
          </w:p>
        </w:tc>
        <w:tc>
          <w:tcPr>
            <w:tcW w:w="1360" w:type="dxa"/>
            <w:vAlign w:val="bottom"/>
            <w:tcBorders>
              <w:bottom w:val="single" w:sz="8" w:color="7FACB1"/>
            </w:tcBorders>
          </w:tcPr>
          <w:p>
            <w:pPr>
              <w:spacing w:after="0"/>
              <w:rPr>
                <w:sz w:val="4"/>
                <w:szCs w:val="4"/>
                <w:color w:val="auto"/>
              </w:rPr>
            </w:pPr>
          </w:p>
        </w:tc>
        <w:tc>
          <w:tcPr>
            <w:tcW w:w="180" w:type="dxa"/>
            <w:vAlign w:val="bottom"/>
          </w:tcPr>
          <w:p>
            <w:pPr>
              <w:spacing w:after="0"/>
              <w:rPr>
                <w:sz w:val="4"/>
                <w:szCs w:val="4"/>
                <w:color w:val="auto"/>
              </w:rPr>
            </w:pPr>
          </w:p>
        </w:tc>
        <w:tc>
          <w:tcPr>
            <w:tcW w:w="1380" w:type="dxa"/>
            <w:vAlign w:val="bottom"/>
            <w:tcBorders>
              <w:bottom w:val="single" w:sz="8" w:color="7FACB1"/>
            </w:tcBorders>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r>
      <w:tr>
        <w:trPr>
          <w:trHeight w:val="200"/>
        </w:trPr>
        <w:tc>
          <w:tcPr>
            <w:tcW w:w="500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Contractual obligation to acquire intangible assets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154.4</w:t>
            </w: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371.5</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301.4</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827.3</w:t>
            </w:r>
          </w:p>
        </w:tc>
        <w:tc>
          <w:tcPr>
            <w:tcW w:w="140" w:type="dxa"/>
            <w:vAlign w:val="bottom"/>
            <w:tcBorders>
              <w:right w:val="single" w:sz="8" w:color="BECE33"/>
            </w:tcBorders>
          </w:tcPr>
          <w:p>
            <w:pPr>
              <w:spacing w:after="0"/>
              <w:rPr>
                <w:sz w:val="17"/>
                <w:szCs w:val="17"/>
                <w:color w:val="auto"/>
              </w:rPr>
            </w:pPr>
          </w:p>
        </w:tc>
      </w:tr>
      <w:tr>
        <w:trPr>
          <w:trHeight w:val="50"/>
        </w:trPr>
        <w:tc>
          <w:tcPr>
            <w:tcW w:w="488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Borders>
              <w:bottom w:val="single" w:sz="8" w:color="7FACB1"/>
            </w:tcBorders>
          </w:tcPr>
          <w:p>
            <w:pPr>
              <w:spacing w:after="0"/>
              <w:rPr>
                <w:sz w:val="4"/>
                <w:szCs w:val="4"/>
                <w:color w:val="auto"/>
              </w:rPr>
            </w:pPr>
          </w:p>
        </w:tc>
        <w:tc>
          <w:tcPr>
            <w:tcW w:w="180" w:type="dxa"/>
            <w:vAlign w:val="bottom"/>
          </w:tcPr>
          <w:p>
            <w:pPr>
              <w:spacing w:after="0"/>
              <w:rPr>
                <w:sz w:val="4"/>
                <w:szCs w:val="4"/>
                <w:color w:val="auto"/>
              </w:rPr>
            </w:pPr>
          </w:p>
        </w:tc>
        <w:tc>
          <w:tcPr>
            <w:tcW w:w="1360" w:type="dxa"/>
            <w:vAlign w:val="bottom"/>
            <w:tcBorders>
              <w:bottom w:val="single" w:sz="8" w:color="7FACB1"/>
            </w:tcBorders>
          </w:tcPr>
          <w:p>
            <w:pPr>
              <w:spacing w:after="0"/>
              <w:rPr>
                <w:sz w:val="4"/>
                <w:szCs w:val="4"/>
                <w:color w:val="auto"/>
              </w:rPr>
            </w:pPr>
          </w:p>
        </w:tc>
        <w:tc>
          <w:tcPr>
            <w:tcW w:w="180" w:type="dxa"/>
            <w:vAlign w:val="bottom"/>
          </w:tcPr>
          <w:p>
            <w:pPr>
              <w:spacing w:after="0"/>
              <w:rPr>
                <w:sz w:val="4"/>
                <w:szCs w:val="4"/>
                <w:color w:val="auto"/>
              </w:rPr>
            </w:pPr>
          </w:p>
        </w:tc>
        <w:tc>
          <w:tcPr>
            <w:tcW w:w="1380" w:type="dxa"/>
            <w:vAlign w:val="bottom"/>
            <w:tcBorders>
              <w:bottom w:val="single" w:sz="8" w:color="7FACB1"/>
            </w:tcBorders>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r>
      <w:tr>
        <w:trPr>
          <w:trHeight w:val="200"/>
        </w:trPr>
        <w:tc>
          <w:tcPr>
            <w:tcW w:w="500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266.0</w:t>
            </w: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378.3</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301.4</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945.7</w:t>
            </w:r>
          </w:p>
        </w:tc>
        <w:tc>
          <w:tcPr>
            <w:tcW w:w="140" w:type="dxa"/>
            <w:vAlign w:val="bottom"/>
            <w:tcBorders>
              <w:right w:val="single" w:sz="8" w:color="BECE33"/>
            </w:tcBorders>
          </w:tcPr>
          <w:p>
            <w:pPr>
              <w:spacing w:after="0"/>
              <w:rPr>
                <w:sz w:val="17"/>
                <w:szCs w:val="17"/>
                <w:color w:val="auto"/>
              </w:rPr>
            </w:pPr>
          </w:p>
        </w:tc>
      </w:tr>
      <w:tr>
        <w:trPr>
          <w:trHeight w:val="50"/>
        </w:trPr>
        <w:tc>
          <w:tcPr>
            <w:tcW w:w="4880" w:type="dxa"/>
            <w:vAlign w:val="bottom"/>
            <w:tcBorders>
              <w:bottom w:val="single" w:sz="8" w:color="005A64"/>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Borders>
              <w:bottom w:val="single" w:sz="8" w:color="BECE33"/>
            </w:tcBorders>
          </w:tcPr>
          <w:p>
            <w:pPr>
              <w:spacing w:after="0"/>
              <w:rPr>
                <w:sz w:val="4"/>
                <w:szCs w:val="4"/>
                <w:color w:val="auto"/>
              </w:rPr>
            </w:pPr>
          </w:p>
        </w:tc>
        <w:tc>
          <w:tcPr>
            <w:tcW w:w="1360" w:type="dxa"/>
            <w:vAlign w:val="bottom"/>
            <w:tcBorders>
              <w:bottom w:val="single" w:sz="8" w:color="BECE33"/>
            </w:tcBorders>
          </w:tcPr>
          <w:p>
            <w:pPr>
              <w:spacing w:after="0"/>
              <w:rPr>
                <w:sz w:val="4"/>
                <w:szCs w:val="4"/>
                <w:color w:val="auto"/>
              </w:rPr>
            </w:pPr>
          </w:p>
        </w:tc>
        <w:tc>
          <w:tcPr>
            <w:tcW w:w="180" w:type="dxa"/>
            <w:vAlign w:val="bottom"/>
            <w:tcBorders>
              <w:bottom w:val="single" w:sz="8" w:color="BECE33"/>
            </w:tcBorders>
          </w:tcPr>
          <w:p>
            <w:pPr>
              <w:spacing w:after="0"/>
              <w:rPr>
                <w:sz w:val="4"/>
                <w:szCs w:val="4"/>
                <w:color w:val="auto"/>
              </w:rPr>
            </w:pPr>
          </w:p>
        </w:tc>
        <w:tc>
          <w:tcPr>
            <w:tcW w:w="1360" w:type="dxa"/>
            <w:vAlign w:val="bottom"/>
            <w:tcBorders>
              <w:bottom w:val="single" w:sz="8" w:color="BECE33"/>
            </w:tcBorders>
          </w:tcPr>
          <w:p>
            <w:pPr>
              <w:spacing w:after="0"/>
              <w:rPr>
                <w:sz w:val="4"/>
                <w:szCs w:val="4"/>
                <w:color w:val="auto"/>
              </w:rPr>
            </w:pPr>
          </w:p>
        </w:tc>
        <w:tc>
          <w:tcPr>
            <w:tcW w:w="180" w:type="dxa"/>
            <w:vAlign w:val="bottom"/>
            <w:tcBorders>
              <w:bottom w:val="single" w:sz="8" w:color="BECE33"/>
            </w:tcBorders>
          </w:tcPr>
          <w:p>
            <w:pPr>
              <w:spacing w:after="0"/>
              <w:rPr>
                <w:sz w:val="4"/>
                <w:szCs w:val="4"/>
                <w:color w:val="auto"/>
              </w:rPr>
            </w:pPr>
          </w:p>
        </w:tc>
        <w:tc>
          <w:tcPr>
            <w:tcW w:w="1380" w:type="dxa"/>
            <w:vAlign w:val="bottom"/>
            <w:tcBorders>
              <w:bottom w:val="single" w:sz="8" w:color="BECE33"/>
            </w:tcBorders>
          </w:tcPr>
          <w:p>
            <w:pPr>
              <w:spacing w:after="0"/>
              <w:rPr>
                <w:sz w:val="4"/>
                <w:szCs w:val="4"/>
                <w:color w:val="auto"/>
              </w:rPr>
            </w:pPr>
          </w:p>
        </w:tc>
        <w:tc>
          <w:tcPr>
            <w:tcW w:w="160" w:type="dxa"/>
            <w:vAlign w:val="bottom"/>
            <w:tcBorders>
              <w:bottom w:val="single" w:sz="8" w:color="BECE33"/>
            </w:tcBorders>
          </w:tcPr>
          <w:p>
            <w:pPr>
              <w:spacing w:after="0"/>
              <w:rPr>
                <w:sz w:val="4"/>
                <w:szCs w:val="4"/>
                <w:color w:val="auto"/>
              </w:rPr>
            </w:pPr>
          </w:p>
        </w:tc>
        <w:tc>
          <w:tcPr>
            <w:tcW w:w="1380" w:type="dxa"/>
            <w:vAlign w:val="bottom"/>
            <w:tcBorders>
              <w:bottom w:val="single" w:sz="8" w:color="BECE33"/>
            </w:tcBorders>
          </w:tcPr>
          <w:p>
            <w:pPr>
              <w:spacing w:after="0"/>
              <w:rPr>
                <w:sz w:val="4"/>
                <w:szCs w:val="4"/>
                <w:color w:val="auto"/>
              </w:rPr>
            </w:pPr>
          </w:p>
        </w:tc>
        <w:tc>
          <w:tcPr>
            <w:tcW w:w="140" w:type="dxa"/>
            <w:vAlign w:val="bottom"/>
            <w:tcBorders>
              <w:bottom w:val="single" w:sz="8" w:color="BECE33"/>
              <w:right w:val="single" w:sz="8" w:color="BECE33"/>
            </w:tcBorders>
          </w:tcPr>
          <w:p>
            <w:pPr>
              <w:spacing w:after="0"/>
              <w:rPr>
                <w:sz w:val="4"/>
                <w:szCs w:val="4"/>
                <w:color w:val="auto"/>
              </w:rPr>
            </w:pPr>
          </w:p>
        </w:tc>
      </w:tr>
    </w:tbl>
    <w:p>
      <w:pPr>
        <w:spacing w:after="0" w:line="37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We are subject to all of the risks related to the development and commercialization of pharmaceutical products, and we may encounter unforeseen expenses, difficulties, complications, delays and other unknown factors that may adversely affect our business.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Our future funding requirements, both near and long term, will depend on many factors, including, but not limited to:</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initiation, progress, timing, costs, and results of preclinical or nonclinical studies and clinical trials for our product candidates;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amount and timing of revenues and associated costs from sales of our COVID-19 vaccine;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results of research and our other platform activities;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clinical development plans we establish for our product candidates;</w:t>
      </w:r>
    </w:p>
    <w:p>
      <w:pPr>
        <w:spacing w:after="0" w:line="279"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terms of any agreements with our current or future collaborators, and the achievement of any milestone payments under such</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agreements to be paid to us or our collaborators;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number and characteristics of product candidates that we develop or may in-license;</w:t>
      </w:r>
    </w:p>
    <w:p>
      <w:pPr>
        <w:spacing w:after="0" w:line="279"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outcome, timing and cost of meeting regulatory requirements established by the FDA, the EMA and other comparable regulatory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authorities;</w:t>
      </w:r>
    </w:p>
    <w:p>
      <w:pPr>
        <w:spacing w:after="0" w:line="200" w:lineRule="exact"/>
        <w:rPr>
          <w:sz w:val="20"/>
          <w:szCs w:val="20"/>
          <w:color w:val="auto"/>
        </w:rPr>
      </w:pPr>
    </w:p>
    <w:p>
      <w:pPr>
        <w:spacing w:after="0" w:line="304"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cost of filing, prosecuting, obtaining, maintaining, protecting, defending and enforcing our patent claims and other intellectual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property rights, including actions for patent and other intellectual property infringement, misappropriation and other violations brought by third parties against us regarding our product candidates or actions by us challenging the patent or intellectual property rights of others;</w:t>
      </w:r>
    </w:p>
    <w:p>
      <w:pPr>
        <w:spacing w:after="0" w:line="177" w:lineRule="exact"/>
        <w:rPr>
          <w:sz w:val="20"/>
          <w:szCs w:val="20"/>
          <w:color w:val="auto"/>
        </w:rPr>
      </w:pPr>
    </w:p>
    <w:p>
      <w:pPr>
        <w:ind w:left="2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effect of competing technological and market developments, including other products that may compete with one or more of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 candidates;</w:t>
      </w:r>
    </w:p>
    <w:p>
      <w:pPr>
        <w:spacing w:after="0" w:line="200" w:lineRule="exact"/>
        <w:rPr>
          <w:sz w:val="20"/>
          <w:szCs w:val="20"/>
          <w:color w:val="auto"/>
        </w:rPr>
      </w:pPr>
    </w:p>
    <w:p>
      <w:pPr>
        <w:spacing w:after="0" w:line="304"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cost and timing of completion and further expansion of clinical and commercial scale manufacturing activities sufficient to support all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of our current and future programs;</w:t>
      </w:r>
    </w:p>
    <w:p>
      <w:pPr>
        <w:spacing w:after="0" w:line="200" w:lineRule="exact"/>
        <w:rPr>
          <w:sz w:val="20"/>
          <w:szCs w:val="20"/>
          <w:color w:val="auto"/>
        </w:rPr>
      </w:pP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55</w:t>
            </w:r>
          </w:p>
        </w:tc>
      </w:tr>
    </w:tbl>
    <w:p>
      <w:pPr>
        <w:sectPr>
          <w:pgSz w:w="11900" w:h="16838" w:orient="portrait"/>
          <w:cols w:equalWidth="0" w:num="1">
            <w:col w:w="11240"/>
          </w:cols>
          <w:pgMar w:left="320" w:top="388" w:right="339" w:bottom="1440" w:gutter="0" w:footer="0" w:header="0"/>
        </w:sectPr>
      </w:pPr>
    </w:p>
    <w:bookmarkStart w:id="64" w:name="page65"/>
    <w:bookmarkEnd w:id="6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cost of establishing sales, marketing, and distribution capabilities for any product candidates for which we may receive marketing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approval and reimbursement in regions where we choose to commercialize our products on our own; 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terms of any ADS repurchases we make.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Manufacturing Footprint Consolidation</w:t>
      </w:r>
    </w:p>
    <w:p>
      <w:pPr>
        <w:spacing w:after="0" w:line="203"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As we continue to invest in the execution of our vision, we remain committed to cost-effective value generation and operational excellence. As part of our ongoing group-wide transformation, which was initiated in 2025, we actively manage our pipeline and assess capacities and capabilities of all sites across BioNTech, including newly acquired assets.</w:t>
      </w:r>
    </w:p>
    <w:p>
      <w:pPr>
        <w:spacing w:after="0" w:line="231"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Consequently, BioNTech plans to exit operations at our manufacturing sites in Idar-Oberstein, Marburg and Singapore as well as CureVac’s sites in Germany and abroad, as their capacities will become underutilized or idle in the next 24 months, affecting up to approximately 1,860 positions in total. For each manufacturing site, we are exploring divestment options, including a partial or total sale.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The plans encompass the following operations:</w:t>
      </w:r>
    </w:p>
    <w:p>
      <w:pPr>
        <w:spacing w:after="0" w:line="333" w:lineRule="exact"/>
        <w:rPr>
          <w:sz w:val="20"/>
          <w:szCs w:val="20"/>
          <w:color w:val="auto"/>
        </w:rPr>
      </w:pPr>
    </w:p>
    <w:p>
      <w:pPr>
        <w:ind w:left="2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Operations in Idar-Oberstein, with currently approximately 440 positions: The site has been focusing on early-stage clinical mRNA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Cell &amp; Gene supply as well as analytics and quality control for the Pfizer-BioNTech COVID-19 vaccine supply. The site exit is planned by the end of 2027.</w:t>
      </w:r>
    </w:p>
    <w:p>
      <w:pPr>
        <w:spacing w:after="0" w:line="200" w:lineRule="exact"/>
        <w:rPr>
          <w:sz w:val="20"/>
          <w:szCs w:val="20"/>
          <w:color w:val="auto"/>
        </w:rPr>
      </w:pPr>
    </w:p>
    <w:p>
      <w:pPr>
        <w:spacing w:after="0" w:line="262" w:lineRule="exact"/>
        <w:rPr>
          <w:sz w:val="20"/>
          <w:szCs w:val="20"/>
          <w:color w:val="auto"/>
        </w:rPr>
      </w:pPr>
    </w:p>
    <w:p>
      <w:pPr>
        <w:ind w:left="220" w:right="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Operations in Marburg, with currently approximately 540 positions: The site has been focusing on commercial- and late-stage clinical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mRNA manufacturing, including commercial supply for the Pfizer-BioNTech COVID-19 vaccine. The site exit is planned by the end of 2027.</w:t>
      </w:r>
    </w:p>
    <w:p>
      <w:pPr>
        <w:spacing w:after="0" w:line="200" w:lineRule="exact"/>
        <w:rPr>
          <w:sz w:val="20"/>
          <w:szCs w:val="20"/>
          <w:color w:val="auto"/>
        </w:rPr>
      </w:pPr>
    </w:p>
    <w:p>
      <w:pPr>
        <w:spacing w:after="0" w:line="262"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Operations at CureVac’s German and international sites, with currently approximately 820 positions, encompassing clinical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commercial-scale mRNA manufacturing capacities, as well as R&amp;D and enabling functions. We have decided to exit CureVac’s German and international sites by the end of 2027.</w:t>
      </w:r>
    </w:p>
    <w:p>
      <w:pPr>
        <w:spacing w:after="0" w:line="231"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Operations in Singapore, with currently approximately 60 positions: The site was planned as additional commercial- and late-stage clinical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mRNA manufacturing capacity for medicines for infectious disease and cancer in the APAC region. The site exit is planned in Q1 2027.</w:t>
      </w:r>
    </w:p>
    <w:p>
      <w:pPr>
        <w:spacing w:after="0" w:line="217"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In addition, BioNTech plans to exit operations of its wholly owned subsidiary JPT Peptide Technologies GmbH (“JPT”) by end of 2026, affecting up to approximately 140 positions, given the sharpened focus on our growing late-stage oncology pipeline. JPT is a contract manufacturing company specializing in peptide-based products and services.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Risk Factors</w:t>
      </w:r>
    </w:p>
    <w:p>
      <w:pPr>
        <w:spacing w:after="0" w:line="190"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Our business is subject to various risks, including those described below. You should consider carefully the risks and uncertainties described below and in our future filings. If any such risks are</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56</w:t>
            </w:r>
          </w:p>
        </w:tc>
      </w:tr>
    </w:tbl>
    <w:p>
      <w:pPr>
        <w:sectPr>
          <w:pgSz w:w="11900" w:h="16838" w:orient="portrait"/>
          <w:cols w:equalWidth="0" w:num="1">
            <w:col w:w="11240"/>
          </w:cols>
          <w:pgMar w:left="320" w:top="388" w:right="339" w:bottom="1440" w:gutter="0" w:footer="0" w:header="0"/>
        </w:sectPr>
      </w:pPr>
    </w:p>
    <w:bookmarkStart w:id="65" w:name="page66"/>
    <w:bookmarkEnd w:id="6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realized, our business, financial condition, results of operations and prospects could be materially and adversely affected. Additionally, risks and uncertainties not currently known to us or that we currently deem to be immaterial also may materially adversely affect our business, financial condition, results of operations and/or prospects.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 Factor Summary</w:t>
      </w:r>
    </w:p>
    <w:p>
      <w:pPr>
        <w:spacing w:after="0" w:line="179" w:lineRule="exact"/>
        <w:rPr>
          <w:sz w:val="20"/>
          <w:szCs w:val="20"/>
          <w:color w:val="auto"/>
        </w:rPr>
      </w:pPr>
    </w:p>
    <w:p>
      <w:pPr>
        <w:ind w:left="2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business is dependent on the successful development, regulatory approval and commercialization of new medicinal product candidates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based on our technology platforms, particularly our oncology assets including pumitamig and our antibody-drug conjugate, or ADC, clinical assets. If we and our collaborators are unable to obtain approval for and effectively commercialize our product candidates for the treatment of patients in their intended indications, our business would be significantly harmed.</w:t>
      </w:r>
    </w:p>
    <w:p>
      <w:pPr>
        <w:spacing w:after="0" w:line="235" w:lineRule="exact"/>
        <w:rPr>
          <w:sz w:val="20"/>
          <w:szCs w:val="20"/>
          <w:color w:val="auto"/>
        </w:rPr>
      </w:pPr>
    </w:p>
    <w:p>
      <w:pPr>
        <w:ind w:left="220" w:hanging="204"/>
        <w:spacing w:after="0" w:line="33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are developing product candidates and services, including our oncology pipeline and ADC product candidates, in an environment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rapid technological and scientific change, including evolving standards of care, and our failure to effectively compete would prevent us from achieving significant market penetration. Most of our competitors have significantly greater resources than we do and we may not be able to compete successfully.</w:t>
      </w:r>
    </w:p>
    <w:p>
      <w:pPr>
        <w:spacing w:after="0" w:line="200" w:lineRule="exact"/>
        <w:rPr>
          <w:sz w:val="20"/>
          <w:szCs w:val="20"/>
          <w:color w:val="auto"/>
        </w:rPr>
      </w:pPr>
    </w:p>
    <w:p>
      <w:pPr>
        <w:spacing w:after="0" w:line="285"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product candidates may not work as intended, may cause undesirable effects or may have other properties that could delay or prevent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their regulatory approval, limit the commercial profile of an approved label, or result in significant negative consequences following marketing approval, if any.</w:t>
      </w:r>
    </w:p>
    <w:p>
      <w:pPr>
        <w:spacing w:after="0" w:line="231" w:lineRule="exact"/>
        <w:rPr>
          <w:sz w:val="20"/>
          <w:szCs w:val="20"/>
          <w:color w:val="auto"/>
        </w:rPr>
      </w:pPr>
    </w:p>
    <w:p>
      <w:pPr>
        <w:ind w:left="2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Clinical development involves a lengthy and expensive process with an uncertain outcome, and delays can occur for a variety of reasons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outside of our control. Clinical trials of our product candidates may be delayed, and certain programs may never advance in the clinic or may be more costly to conduct than we anticipate, and we may have difficulty recruiting patients to participate in clinical trials, any of which can affect our ability to fund our company and would have a material adverse impact on our business.</w:t>
      </w:r>
    </w:p>
    <w:p>
      <w:pPr>
        <w:spacing w:after="0" w:line="235"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If we are not successful in discovering, developing and commercializing additional product candidates beyond our current portfolio,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ability to expand our business and achieve our strategic objectives would be impaired.</w:t>
      </w:r>
    </w:p>
    <w:p>
      <w:pPr>
        <w:spacing w:after="0" w:line="216"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Demand for our COVID-19 vaccine, though difficult to predict, is expected to continue to decrease in the near future. Changing market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dynamics, including as a result of government policy and public sentiment, will impact our revenue, which currently depends heavily on sales of our COVID-19 vaccine, and result in challenges relating to production of our COVID-19 vaccine.</w:t>
      </w:r>
    </w:p>
    <w:p>
      <w:pPr>
        <w:spacing w:after="0" w:line="231"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reported revenue is partially based on preliminary estimates of COVID-19 vaccine sales and costs from Pfizer Inc., or Pfizer, that are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likely to change in future periods, which may impact our reported financial results.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 companies or organizations may challenge our intellectual property rights or may assert intellectual property rights that prevent us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from developing and commercializing our COVID-19</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57</w:t>
            </w:r>
          </w:p>
        </w:tc>
      </w:tr>
    </w:tbl>
    <w:p>
      <w:pPr>
        <w:sectPr>
          <w:pgSz w:w="11900" w:h="16838" w:orient="portrait"/>
          <w:cols w:equalWidth="0" w:num="1">
            <w:col w:w="11240"/>
          </w:cols>
          <w:pgMar w:left="320" w:top="388" w:right="339" w:bottom="1440" w:gutter="0" w:footer="0" w:header="0"/>
        </w:sectPr>
      </w:pPr>
    </w:p>
    <w:bookmarkStart w:id="66" w:name="page67"/>
    <w:bookmarkEnd w:id="6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080509"/>
        </w:rPr>
        <w:t>vaccine or our product candidates and other technologies, or that negatively affect our results of operations.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Even if we obtain regulatory approval for our product candidates, the products may not gain the market acceptance among physicians,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patients, hospitals, treatment centers and others in the medical community necessary for commercial success.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operating results may fluctuate significantly, which makes our future operating results difficult to predict. If our operating results fall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below expectations, the price of the ADSs representing our shares could decline.</w:t>
      </w:r>
    </w:p>
    <w:p>
      <w:pPr>
        <w:spacing w:after="0" w:line="216"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If we identify material weaknesses in our internal control over financial reporting and fail to remediate such material weaknesses, we may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not be able to report our financial results accurately or to prevent fraud.</w:t>
      </w:r>
    </w:p>
    <w:p>
      <w:pPr>
        <w:spacing w:after="0" w:line="216"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As a “foreign private issuer,” we are exempt from a number of rules under U.S. securities laws, as well as Nasdaq rules, and we are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permitted to file less information with the Securities and Exchange Commission, or the SEC, than U.S. companies. This may limit the information available to holders of the ADSs and may make our ordinary shares and the ADSs less attractive to investors.</w:t>
      </w:r>
    </w:p>
    <w:p>
      <w:pPr>
        <w:spacing w:after="0" w:line="231" w:lineRule="exact"/>
        <w:rPr>
          <w:sz w:val="20"/>
          <w:szCs w:val="20"/>
          <w:color w:val="auto"/>
        </w:rPr>
      </w:pPr>
    </w:p>
    <w:p>
      <w:pPr>
        <w:ind w:left="220" w:right="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approved product and product candidates are based on novel technologies and they may be complex and difficult to manufacture. We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may encounter difficulties in manufacturing, product release, shelf life, testing, storage, supply chain management or shipping. If we or any of the third-party manufacturers we work with encounter such difficulties, our ability to supply materials for clinical trials or any approved product could be delayed or stopped.</w:t>
      </w:r>
    </w:p>
    <w:p>
      <w:pPr>
        <w:spacing w:after="0" w:line="235"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If our efforts to obtain, maintain, protect, defend and/or enforce the intellectual property related to our COVID-19 vaccine or our product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candidates and technologies are not adequate, we may not be able to compete effectively in our market.</w:t>
      </w:r>
    </w:p>
    <w:p>
      <w:pPr>
        <w:spacing w:after="0" w:line="216"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have experienced and may continue to experience significant volatility in the market price of the ADSs representing our ordinary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shares.</w:t>
      </w:r>
    </w:p>
    <w:p>
      <w:pPr>
        <w:spacing w:after="0" w:line="200" w:lineRule="exact"/>
        <w:rPr>
          <w:sz w:val="20"/>
          <w:szCs w:val="20"/>
          <w:color w:val="auto"/>
        </w:rPr>
      </w:pPr>
    </w:p>
    <w:p>
      <w:pPr>
        <w:spacing w:after="0" w:line="358"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principal shareholders and management own a significant percentage of our ordinary shares and will be able to exert significant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control over matters subject to shareholder approval.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Risks Related to our Business</w:t>
      </w:r>
    </w:p>
    <w:p>
      <w:pPr>
        <w:spacing w:after="0" w:line="175"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8"/>
          <w:szCs w:val="18"/>
          <w:b w:val="1"/>
          <w:bCs w:val="1"/>
          <w:color w:val="005A64"/>
        </w:rPr>
        <w:t>Our business is dependent on the successful development, regulatory approval and commercialization of new medicinal product candidates based on our technology platforms, particularly our oncology assets including pumitamig and our antibody-drug conjugate, or ADC, clinical assets. If we and our collaborators are unable to obtain approval for and effectively commercialize our product candidates for the treatment of patients in their intended indications, our business would be significantly harmed.</w:t>
      </w:r>
    </w:p>
    <w:p>
      <w:pPr>
        <w:spacing w:after="0" w:line="185"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Even if we complete the necessary preclinical studies and clinical trials, the marketing approval process is expensive, time-consuming and uncertain, and we may not be able to obtain full approvals, or may only obtain partial approvals, in the requested indication for the commercialization of product candidates we may develop. Any product candidates we may develop and the activities associated with their development and commercialization, including design, testing, manufacture, recordkeeping,</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58</w:t>
            </w:r>
          </w:p>
        </w:tc>
      </w:tr>
    </w:tbl>
    <w:p>
      <w:pPr>
        <w:sectPr>
          <w:pgSz w:w="11900" w:h="16838" w:orient="portrait"/>
          <w:cols w:equalWidth="0" w:num="1">
            <w:col w:w="11240"/>
          </w:cols>
          <w:pgMar w:left="320" w:top="388" w:right="339" w:bottom="1440" w:gutter="0" w:footer="0" w:header="0"/>
        </w:sectPr>
      </w:pPr>
    </w:p>
    <w:bookmarkStart w:id="67" w:name="page68"/>
    <w:bookmarkEnd w:id="6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labeling, storage, approval, advertising, promotion, sale and distribution, are subject to comprehensive regulation by the FDA and by comparable global health authorities. To obtain the requisite regulatory approvals required to commercialize any of our product candidates, we and our collaborators must demonstrate through extensive preclinical studies and clinical trials that our product candidates are safe and effective for their intended use in the relevant target population. Successful completion of clinical trials is a prerequisite to submitting a biologics license application, or BLA, or a new drug application, or NDA, to the FDA, a Marketing Authorization Application, or MAA, to the EMA, and similar marketing applications to comparable global regulatory authorities, for each product candidate and, consequently, the ultimate approval and commercial marketing of any product candidates.</w:t>
      </w:r>
    </w:p>
    <w:p>
      <w:pPr>
        <w:spacing w:after="0" w:line="200" w:lineRule="exact"/>
        <w:rPr>
          <w:sz w:val="20"/>
          <w:szCs w:val="20"/>
          <w:color w:val="auto"/>
        </w:rPr>
      </w:pPr>
    </w:p>
    <w:p>
      <w:pPr>
        <w:spacing w:after="0" w:line="304"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Failure to obtain marketing approval for a product candidate will prevent us from commercializing the product candidate in a given jurisdiction. Although our COVID-19 vaccine has received emergency use authorization and/or regulatory approvals in certain countries, it is possible that none of our other product candidates, or any product candidates we may seek to develop in the future, will ever obtain regulatory approval. We have limited experience in filing and supporting the applications necessary to gain marketing approvals and may need to rely on third-party contract research organizations, or CROs, regulatory consultants or collaborators to assist us in this process. We expect to submit initial BLAs/MAAs for our product candidates in the United States, the European Union and in other countries globally. In some of these jurisdictions, mRNA-based medicinal products may be classified in different ways and may be subject to specific requirements. Securing regulatory approval requires the submission of extensive quality,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Clinical benefit and risk are regularly assessed during development, and any new medicinal product we develop may turn out to be insufficiently, i.e., not clinically meaningfully, effective, or may prove to have unacceptable adverse effects, or other characteristics that may preclude our obtaining marketing approval or prevent or limit commercial use.</w:t>
      </w:r>
    </w:p>
    <w:p>
      <w:pPr>
        <w:spacing w:after="0" w:line="200" w:lineRule="exact"/>
        <w:rPr>
          <w:sz w:val="20"/>
          <w:szCs w:val="20"/>
          <w:color w:val="auto"/>
        </w:rPr>
      </w:pPr>
    </w:p>
    <w:p>
      <w:pPr>
        <w:spacing w:after="0" w:line="310"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The process of obtaining marketing approvals in the United States, the European Union and elsewhere is expensive, and if additional clinical trials are required, may take many years. Timing can vary substantially based upon a variety of factors, including the type, complexity and novelty of the product candidates involved. Changes in marketing approval policies and standards of care during the development period, changes in or the enactment of additional statutes or regulations, or changes in regulatory review for each submitted product application may cause delays in the approval or rejection of an application. The FDA, EMA and comparable regulatory authorities in other countries have substantial discretion in the approval process and may refuse to accept any application or may decide that the data are insufficient for approval and require additional preclinical, clinical or other trials.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Additional delays or non-approval may result if an FDA panel of experts, referred to as an Advisory Committee, or other regulatory authority recommends non-approval or restrictions on approval. For example, the FDA’s approval of our LP.8.1-adapted monovalent COVID-19 vaccine is in a narrower population than our previous variant-adapted vaccines. In addition, we may experience delays or rejections based upon additional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59</w:t>
            </w:r>
          </w:p>
        </w:tc>
      </w:tr>
    </w:tbl>
    <w:p>
      <w:pPr>
        <w:sectPr>
          <w:pgSz w:w="11900" w:h="16838" w:orient="portrait"/>
          <w:cols w:equalWidth="0" w:num="1">
            <w:col w:w="11240"/>
          </w:cols>
          <w:pgMar w:left="320" w:top="388" w:right="339" w:bottom="1440" w:gutter="0" w:footer="0" w:header="0"/>
        </w:sectPr>
      </w:pPr>
    </w:p>
    <w:bookmarkStart w:id="68" w:name="page69"/>
    <w:bookmarkEnd w:id="6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regulation from future legislation or administrative action, or changes in regulatory agency policy during the period of product development, clinical trials, and the review process. Officials appointed by the U.S. presidential administration to oversee the agencies involved with approval of drugs and biologics may seek to change regulatory requirements for approval or the approach to reviewing applications. Together with changes of regulatory policy priorities and allocated resources, this could cause further delays, expense or non-approvals.</w:t>
      </w:r>
    </w:p>
    <w:p>
      <w:pPr>
        <w:spacing w:after="0" w:line="236"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Regulatory agencies also may approve a product candidate for fewer or more limited indications or patient populations than requested or may grant approval subject to the conduct of post-marketing studies. In addition, regulatory agencies may not approve the labeling claims that are necessary or desirable for the successful commercialization of our product candidates.</w:t>
      </w:r>
    </w:p>
    <w:p>
      <w:pPr>
        <w:spacing w:after="0" w:line="231"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The FDA, EMA and other regulatory agencies review the Quality or Chemistry, Manufacturing and Controls, or CMC, section of regulatory filings. Any aspects found unsatisfactory by regulatory agencies may result in delays in clinical trials and commercialization. In addition, the regulatory agencies typically conduct pre-approval inspections at the time of a BLA, MAA or comparable filing. Any findings by regulatory agencies and failure to comply with requirements may lead to delay in approval and failure to commercialize the potential mRNA product candidate.</w:t>
      </w:r>
    </w:p>
    <w:p>
      <w:pPr>
        <w:spacing w:after="0" w:line="200" w:lineRule="exact"/>
        <w:rPr>
          <w:sz w:val="20"/>
          <w:szCs w:val="20"/>
          <w:color w:val="auto"/>
        </w:rPr>
      </w:pPr>
    </w:p>
    <w:p>
      <w:pPr>
        <w:spacing w:after="0" w:line="295"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8"/>
          <w:szCs w:val="18"/>
          <w:color w:val="080509"/>
        </w:rPr>
        <w:t>If we experience delays in obtaining, or if we fail to obtain, approval of any product candidates we may develop, the commercial prospects for those product candidates will be harmed, and our ability to generate revenues will be materially impaired. Additionally, even if we are successful in obtaining marketing approval for product candidates, because our preclinical studies and clinical trials have not been designed with specific commercialization considerations, the commercial prospects for those product candidates could be harmed, and our ability to generate revenues could be materially impaired.</w:t>
      </w:r>
    </w:p>
    <w:p>
      <w:pPr>
        <w:spacing w:after="0" w:line="200" w:lineRule="exact"/>
        <w:rPr>
          <w:sz w:val="20"/>
          <w:szCs w:val="20"/>
          <w:color w:val="auto"/>
        </w:rPr>
      </w:pPr>
    </w:p>
    <w:p>
      <w:pPr>
        <w:spacing w:after="0" w:line="25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color w:val="005A64"/>
        </w:rPr>
        <w:t>We are developing product candidates and services, including our oncology pipeline and ADC product candidates, in an environment of rapid technological and scientific change, including evolving standards of care, and geopolitical uncertainties, and our failure to effectively compete would prevent us from achieving significant market penetration. Most of our competitors have significantly greater resources than we do and we may not be able to compete successfully.</w:t>
      </w:r>
    </w:p>
    <w:p>
      <w:pPr>
        <w:spacing w:after="0" w:line="185"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The pharmaceutical market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Many of our competitors have:</w:t>
      </w:r>
    </w:p>
    <w:p>
      <w:pPr>
        <w:spacing w:after="0" w:line="231"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greater financial, technical and human resources than we have at every stage of the discovery, development, manufacture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commercialization of products;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more extensive experience in preclinical testing, conducting clinical trials, obtaining regulatory approvals and manufacturing, marketing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and selling drug products;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 candidates that are based on previously tested or accepted technologies;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products that have been approved or are in late stages of development;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collaborative arrangements in our target markets with leading companies and research institutions.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60</w:t>
            </w:r>
          </w:p>
        </w:tc>
      </w:tr>
    </w:tbl>
    <w:p>
      <w:pPr>
        <w:sectPr>
          <w:pgSz w:w="11900" w:h="16838" w:orient="portrait"/>
          <w:cols w:equalWidth="0" w:num="1">
            <w:col w:w="11240"/>
          </w:cols>
          <w:pgMar w:left="320" w:top="388" w:right="339" w:bottom="1440" w:gutter="0" w:footer="0" w:header="0"/>
        </w:sectPr>
      </w:pPr>
    </w:p>
    <w:bookmarkStart w:id="69" w:name="page70"/>
    <w:bookmarkEnd w:id="6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We will continue to face intense competition from products that have already been approved and accepted by the medical community for the treatment of the conditions for which we may develop products in the future. We also expect to face competition from new products that enter the market. There are a number of products currently under development, which may become commercially available in the future, for the treatment of conditions for which we are trying, or may in the future try, to develop drugs. These drugs may be more effective, safer, less expensive, or marketed and sold more effectively than any products we develop.</w:t>
      </w:r>
    </w:p>
    <w:p>
      <w:pPr>
        <w:spacing w:after="0" w:line="240"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anticipate competing with the largest pharmaceutical companies in the world, many of which are currently conducting research in the fields of infectious diseases, immuno-oncology, rare genetic diseases and cancer immunotherapies. Some of these companies have greater financial and human resources than we currently have. In addition to these large pharmaceutical companies, we may directly compete with fully-integrated biopharmaceutical companies and other immunotherapy-focused oncology companies, as well as a number of companies focused on immunotherapies or shared tumor antigen and neoantigen therapeutics, some of which have entered into collaboration and funding agreements with larger pharmaceutical or biotechnology companies. We also face competition from other companies and institutions that continue to invest in innovation in the ADC field.</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080509"/>
        </w:rPr>
        <w:t>If we successfully develop other product candidates, and obtain approval for them, we will face competition based on many different factors, including:</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safety and effectiveness of our products relative to alternative therapies, if any;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ease with which our products can be administered and the extent to which patients accept relatively new routes of administration;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timing and scope of regulatory approvals for these products;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availability and cost of manufacturing and commercialization capabilities;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price of any approved immunotherapy;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reimbursement coverage;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intellectual property position.</w:t>
      </w:r>
    </w:p>
    <w:p>
      <w:pPr>
        <w:spacing w:after="0" w:line="333"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We also face competition in the rapidly growing and developing artificial intelligence, or AI, industry. Our competitors may develop or commercialize products and services with significant advantages over any products we develop based on any of the factors listed above or on other factors. In addition, our competitors may develop collaborations with or receive funding from larger pharmaceutical, biotechnology or technology companies, providing them with an advantage over us. Our competitors therefore may be more successful in commercializing their products and services than we are, which could adversely affect our competitive position and business. Competitive products and services may make any products and services we develop obsolete or non-competitive before we can recover the expenses of developing and commercializing such products, if approved,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61</w:t>
            </w:r>
          </w:p>
        </w:tc>
      </w:tr>
    </w:tbl>
    <w:p>
      <w:pPr>
        <w:sectPr>
          <w:pgSz w:w="11900" w:h="16838" w:orient="portrait"/>
          <w:cols w:equalWidth="0" w:num="1">
            <w:col w:w="11240"/>
          </w:cols>
          <w:pgMar w:left="320" w:top="388" w:right="339" w:bottom="1440" w:gutter="0" w:footer="0" w:header="0"/>
        </w:sectPr>
      </w:pPr>
    </w:p>
    <w:bookmarkStart w:id="70" w:name="page71"/>
    <w:bookmarkEnd w:id="7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Our product candidates may not work as intended, may cause undesirable effects or may have other properties that could delay or prevent their regulatory approval, limit the commercial profile of an approved label, or result in significant negative consequences following marketing approval, if any.</w:t>
      </w:r>
    </w:p>
    <w:p>
      <w:pPr>
        <w:spacing w:after="0" w:line="176"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color w:val="080509"/>
        </w:rPr>
        <w:t>As with most medicinal products, use of our product candidates could be associated with undesirable effects or adverse events which can vary in severity from minor reactions to death and in frequency from infrequent to prevalent. The potential for adverse events is especially acute in the oncology setting, where patients may have advanced disease, impaired organ function, compromised immune and other systems and may be receiving numerous other therapies. Undesirable side effects or unacceptable toxicities caused by our product candidates could cause us or regulatory authorities to interrupt, delay or halt clinical trials and could result in a more restrictive label or the delay or denial of regulatory approval by the FDA, the EMA or comparable regulatory authorities. Results of our trials could reveal a high and unacceptable severity and prevalence of adverse reactions that negatively affect the benefit/risk assessment.</w:t>
      </w:r>
    </w:p>
    <w:p>
      <w:pPr>
        <w:spacing w:after="0" w:line="240"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If unacceptable side effects arise in the development of our product candidates, we, the FDA, competent authorities of EU member states, ethics committees, the institutional review boards, or IRBs, at the institutions in which our studies are conducted, or the Data Safety Monitoring Board, or DSMB, could suspend or terminate our clinical trials. The FDA or comparable regulatory authorities could also order us to cease clinical trials or deny approval of our product candidates for any or all targeted indications. Treatment-related side effects could also affect patient recruitment or the ability of enrolled patients to complete any of our clinical trials or result in product liability claims. In addition, these side effects may not be appropriately recognized or managed by the treating medical staff. We are committed to training medical personnel using our product candidates to understand the side effect profiles for our clinical trials, as well as providing guidance to prescribers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200" w:lineRule="exact"/>
        <w:rPr>
          <w:sz w:val="20"/>
          <w:szCs w:val="20"/>
          <w:color w:val="auto"/>
        </w:rPr>
      </w:pPr>
    </w:p>
    <w:p>
      <w:pPr>
        <w:spacing w:after="0" w:line="2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005A64"/>
        </w:rPr>
        <w:t>Clinical trials are strictly regulated and monitored by sponsors, independent data and safety monitoring boards, ethics committees, and regulatory agencies. Despite adequate risk minimization measures, unexpected events may occur that could adversely impact patients’ safety and/or affect our ability to obtain regulatory approvals and, if approved, commercialize our product candidates.</w:t>
      </w:r>
    </w:p>
    <w:p>
      <w:pPr>
        <w:spacing w:after="0" w:line="180"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In our ongoing and planned clinical trials, we have contracted, and are expected to continue to contract, with academic medical centers and hospitals experienced in the assessment and management of toxicities arising during clinical trials. Nonetheless, these centers and hospitals may have difficulty observing patients and treating toxicities, which may be more challenging due to personnel changes, inexperience, shift changes, house staff coverage or related issues. This could lead to more severe or prolonged toxicities or even patient deaths, which could result in us or the FDA, the EMA or other comparable regulatory authority delaying, suspending or terminating one or more of our clinical trials, and which could jeopardize regulatory approval. The centers using our products, if and when approved, could also have difficulty managing any adverse effects of our products, or use medicines that do not adequately control such undesirable effects or that have a detrimental impact on the efficacy of the treatment.</w:t>
      </w:r>
    </w:p>
    <w:p>
      <w:pPr>
        <w:spacing w:after="0" w:line="200" w:lineRule="exact"/>
        <w:rPr>
          <w:sz w:val="20"/>
          <w:szCs w:val="20"/>
          <w:color w:val="auto"/>
        </w:rPr>
      </w:pPr>
    </w:p>
    <w:p>
      <w:pPr>
        <w:spacing w:after="0" w:line="304"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In addition, even if we successfully advance our product candidates into and through clinical trials, such trials will likely only include a limited number of patients and limited duration of exposure to our product candidates. As a result, we cannot be assured that adverse effects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62</w:t>
            </w:r>
          </w:p>
        </w:tc>
      </w:tr>
    </w:tbl>
    <w:p>
      <w:pPr>
        <w:sectPr>
          <w:pgSz w:w="11900" w:h="16838" w:orient="portrait"/>
          <w:cols w:equalWidth="0" w:num="1">
            <w:col w:w="11240"/>
          </w:cols>
          <w:pgMar w:left="320" w:top="388" w:right="339" w:bottom="1440" w:gutter="0" w:footer="0" w:header="0"/>
        </w:sectPr>
      </w:pPr>
    </w:p>
    <w:bookmarkStart w:id="71" w:name="page72"/>
    <w:bookmarkEnd w:id="7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will not be uncovered when a significantly larger number of patients are exposed to the product candidate. Further, any clinical trials may not be sufficient to determine the effects and safety consequences of taking our product candidates over a multi-year period.</w:t>
      </w:r>
    </w:p>
    <w:p>
      <w:pPr>
        <w:spacing w:after="0" w:line="217" w:lineRule="exact"/>
        <w:rPr>
          <w:sz w:val="20"/>
          <w:szCs w:val="20"/>
          <w:color w:val="auto"/>
        </w:rPr>
      </w:pPr>
    </w:p>
    <w:p>
      <w:pPr>
        <w:spacing w:after="0" w:line="344" w:lineRule="auto"/>
        <w:rPr>
          <w:sz w:val="20"/>
          <w:szCs w:val="20"/>
          <w:color w:val="auto"/>
        </w:rPr>
      </w:pPr>
      <w:r>
        <w:rPr>
          <w:rFonts w:ascii="Times New Roman" w:cs="Times New Roman" w:eastAsia="Times New Roman" w:hAnsi="Times New Roman"/>
          <w:sz w:val="18"/>
          <w:szCs w:val="18"/>
          <w:color w:val="080509"/>
        </w:rPr>
        <w:t>If any of our product candidates receives marketing approval and we or others later identify undesirable effects caused by such products, a number of potentially significant negative consequences could result, including: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regulatory authorities may withdraw their approval of the product;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be required to recall a product or change the way such product is administered to patients;</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additional restrictions may be imposed on the marketing of the particular product or the manufacturing processes for the product or any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component thereof;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regulatory authorities may require the addition of labeling statements, such as a “black box” warning or a contraindication;</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be required to implement a Risk Evaluation and Mitigation Strategy, or REMS, or create a Medication Guide outlining the risks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such side effects for distribution to patients;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could be sued and held liable for harm caused to patients;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product may become less competitive;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reputation may be negatively impacted.</w:t>
      </w:r>
    </w:p>
    <w:p>
      <w:pPr>
        <w:spacing w:after="0" w:line="333"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Any of the foregoing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or our immunotherapy approach generally prove to be unsafe, our technology platforms and pipeline could be affected, which would have a material and adverse effect on our business, financial condition, results of operations and prospects.</w:t>
      </w:r>
    </w:p>
    <w:p>
      <w:pPr>
        <w:spacing w:after="0" w:line="200" w:lineRule="exact"/>
        <w:rPr>
          <w:sz w:val="20"/>
          <w:szCs w:val="20"/>
          <w:color w:val="auto"/>
        </w:rPr>
      </w:pPr>
    </w:p>
    <w:p>
      <w:pPr>
        <w:spacing w:after="0" w:line="2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Preclinical development is uncertain. Our preclinical programs may experience delays or may never advance to clinical trials, which would adversely affect our ability to obtain regulatory approvals or commercialize these programs on a timely basis or at all and would have an adverse effect on our business.</w:t>
      </w:r>
    </w:p>
    <w:p>
      <w:pPr>
        <w:spacing w:after="0" w:line="175"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Much of our pipeline is in preclinical development and these programs could be delayed or not advance into the clinic. Before we can initiate clinical trials for product candidates, we must complete extensive preclinical studies, including IND-enabling Good Laboratory Practice toxicology testing, that support our planned Investigational New Drug applications, or INDs, in the United States or similar applications in other jurisdictions. We must also complete extensive work on CMC activities (including collecting yield, purity and stability data) to be included in the IND filing. CMC activities for a new category of medicines such as mRNA therapies require extensive manufacturing processes and analytical development, which are uncertain and lengthy. For instance, batch failures have occurred as we scale up our manufacturing and may occur in the future. In addition, we have had in the past, and may in the future have, difficulty identifying appropriate buffers and storage conditions to enable</w:t>
      </w:r>
    </w:p>
    <w:p>
      <w:pPr>
        <w:sectPr>
          <w:pgSz w:w="11900" w:h="16838" w:orient="portrait"/>
          <w:cols w:equalWidth="0" w:num="1">
            <w:col w:w="11240"/>
          </w:cols>
          <w:pgMar w:left="320" w:top="3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r>
        <w:rPr>
          <w:sz w:val="20"/>
          <w:szCs w:val="20"/>
          <w:color w:val="auto"/>
        </w:rPr>
        <w:tab/>
      </w:r>
      <w:r>
        <w:rPr>
          <w:rFonts w:ascii="Times New Roman" w:cs="Times New Roman" w:eastAsia="Times New Roman" w:hAnsi="Times New Roman"/>
          <w:sz w:val="22"/>
          <w:szCs w:val="22"/>
          <w:b w:val="1"/>
          <w:bCs w:val="1"/>
          <w:color w:val="C3C3C3"/>
        </w:rPr>
        <w:t>63</w:t>
      </w:r>
    </w:p>
    <w:p>
      <w:pPr>
        <w:sectPr>
          <w:pgSz w:w="11900" w:h="16838" w:orient="portrait"/>
          <w:cols w:equalWidth="0" w:num="1">
            <w:col w:w="11240"/>
          </w:cols>
          <w:pgMar w:left="320" w:top="388" w:right="339" w:bottom="1440" w:gutter="0" w:footer="0" w:header="0"/>
          <w:type w:val="continuous"/>
        </w:sectPr>
      </w:pPr>
    </w:p>
    <w:bookmarkStart w:id="72" w:name="page73"/>
    <w:bookmarkEnd w:id="7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sufficient shelf life of batches of our preclinical or clinical product candidates. If we are required to produce new batches of our product candidates due to insufficient shelf life, it may delay the commencement or completion of preclinical or clinical trials of such product candidates. For example, we cannot be certain of the timely completion or outcome of our preclinical testing and studies and cannot predict if the FDA or other regulatory authorities will accept the results of our preclinical testing or our proposed clinical programs or if the outcome of our preclinical testing, studies and CMC activities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spacing w:after="0" w:line="200" w:lineRule="exact"/>
        <w:rPr>
          <w:sz w:val="20"/>
          <w:szCs w:val="20"/>
          <w:color w:val="auto"/>
        </w:rPr>
      </w:pPr>
    </w:p>
    <w:p>
      <w:pPr>
        <w:spacing w:after="0" w:line="260"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8"/>
          <w:szCs w:val="18"/>
          <w:b w:val="1"/>
          <w:bCs w:val="1"/>
          <w:color w:val="005A64"/>
        </w:rPr>
        <w:t>Clinical development involves a lengthy and expensive process with an uncertain outcome, and delays can occur for a variety of reasons outside of our control. Clinical trials of our product candidates may be delayed, certain programs may never advance in the clinic or may be more costly to conduct than we anticipate, and we may have difficulty recruiting patients to participate in clinical trials, any of which can affect our ability to fund our company and would have a material adverse impact on our business.</w:t>
      </w:r>
    </w:p>
    <w:p>
      <w:pPr>
        <w:spacing w:after="0" w:line="185"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Clinical testing is expensive and complex and can take many years to complete. Its outcome is inherently uncertain. We may not be able to initiate, may experience delays in, or may have to discontinue clinical trials for our product candidates. We and our collaborators also may experience numerous unforeseen events during, or as a result of, any clinical trials that we or our collaborators conduct that could delay or prevent us or our collaborators from successfully developing our product candidates, including:</w:t>
      </w:r>
    </w:p>
    <w:p>
      <w:pPr>
        <w:spacing w:after="0" w:line="236" w:lineRule="exact"/>
        <w:rPr>
          <w:sz w:val="20"/>
          <w:szCs w:val="20"/>
          <w:color w:val="auto"/>
        </w:rPr>
      </w:pPr>
    </w:p>
    <w:p>
      <w:pPr>
        <w:ind w:left="220" w:right="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FDA, other regulators, IRBs or ethics committees may not authorize us or our investigators to commence a clinical trial or conduct a</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clinical trial at a prospective trial site for any number of reasons, including concerns regarding safety and aspects of the clinical trial design;</w:t>
      </w:r>
    </w:p>
    <w:p>
      <w:pPr>
        <w:spacing w:after="0" w:line="200" w:lineRule="exact"/>
        <w:rPr>
          <w:sz w:val="20"/>
          <w:szCs w:val="20"/>
          <w:color w:val="auto"/>
        </w:rPr>
      </w:pPr>
    </w:p>
    <w:p>
      <w:pPr>
        <w:spacing w:after="0" w:line="262"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experience delays in reaching, or fail to reach, agreement on favorable terms with prospective trial sites and prospective CROs,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terms of which can be subject to extensive negotiation and may vary significantly among different CROs and trial sites;</w:t>
      </w:r>
    </w:p>
    <w:p>
      <w:pPr>
        <w:spacing w:after="0" w:line="216" w:lineRule="exact"/>
        <w:rPr>
          <w:sz w:val="20"/>
          <w:szCs w:val="20"/>
          <w:color w:val="auto"/>
        </w:rPr>
      </w:pPr>
    </w:p>
    <w:p>
      <w:pPr>
        <w:ind w:left="220" w:right="20" w:hanging="204"/>
        <w:spacing w:after="0" w:line="33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have optimized in the past and may in the future optimize our manufacturing processes, including through changes to the scale and site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of manufacturing, which may lead to additional studies (including bridging and bioequivalence studies) or potentially significant changes in our clinical trial designs, requiring additional cost and time, and, as a consequence, lead to a delay in plans for progressing one or more product candidates;</w:t>
      </w:r>
    </w:p>
    <w:p>
      <w:pPr>
        <w:spacing w:after="0" w:line="200" w:lineRule="exact"/>
        <w:rPr>
          <w:sz w:val="20"/>
          <w:szCs w:val="20"/>
          <w:color w:val="auto"/>
        </w:rPr>
      </w:pPr>
    </w:p>
    <w:p>
      <w:pPr>
        <w:spacing w:after="0" w:line="285"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outcome of our preclinical studies and our early clinical trials may not be predictive of the success of later clinical trials, and interim</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results of a clinical trial do not necessarily predict final results;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be unable to establish clinical endpoints that applicable regulatory authorities would consider clinically meaningful;</w:t>
      </w:r>
    </w:p>
    <w:p>
      <w:pPr>
        <w:spacing w:after="0" w:line="333" w:lineRule="exact"/>
        <w:rPr>
          <w:sz w:val="20"/>
          <w:szCs w:val="20"/>
          <w:color w:val="auto"/>
        </w:rPr>
      </w:pPr>
    </w:p>
    <w:p>
      <w:pPr>
        <w:ind w:left="220" w:right="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an effort to optimize product features, we have made in the past and may continue to make changes to our product candidates after we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commence clinical trials of a medicine which may require us to repeat earlier stages of clinical testing or delay later-stage testing of the medicine;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64</w:t>
            </w:r>
          </w:p>
        </w:tc>
      </w:tr>
    </w:tbl>
    <w:p>
      <w:pPr>
        <w:sectPr>
          <w:pgSz w:w="11900" w:h="16838" w:orient="portrait"/>
          <w:cols w:equalWidth="0" w:num="1">
            <w:col w:w="11240"/>
          </w:cols>
          <w:pgMar w:left="320" w:top="388" w:right="339" w:bottom="1440" w:gutter="0" w:footer="0" w:header="0"/>
        </w:sectPr>
      </w:pPr>
    </w:p>
    <w:bookmarkStart w:id="73" w:name="page74"/>
    <w:bookmarkEnd w:id="7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clinical trials of any product candidates may fail to show safety or efficacy, or may produce negative or inconclusive results, and we may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decide, or regulators may require us, to conduct additional nonclinical studies or clinical trials, or we may decide to abandon product development programs;</w:t>
      </w:r>
    </w:p>
    <w:p>
      <w:pPr>
        <w:spacing w:after="0" w:line="200" w:lineRule="exact"/>
        <w:rPr>
          <w:sz w:val="20"/>
          <w:szCs w:val="20"/>
          <w:color w:val="auto"/>
        </w:rPr>
      </w:pPr>
    </w:p>
    <w:p>
      <w:pPr>
        <w:spacing w:after="0" w:line="262"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differences in trial design between early-stage clinical trials and later-stage clinical trials may make it difficult to extrapolate the results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earlier clinical trials to later clinical trials;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preclinical and clinical data are often susceptible to varying interpretations and analyses, and many product candidates believed to have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performed satisfactorily in preclinical studies and clinical trials have nonetheless failed to obtain marketing approval;</w:t>
      </w:r>
    </w:p>
    <w:p>
      <w:pPr>
        <w:spacing w:after="0" w:line="216"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product candidates may have undesirable effects or other unexpected characteristics. One or more of such effects or events could cause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regulators to impose a clinical hold on the applicable trial, or cause us or our investigators, IRBs or ethics committees to suspend or terminate the trial of that product candidate or any other of our product candidates for which a clinical trial may be ongoing;</w:t>
      </w:r>
    </w:p>
    <w:p>
      <w:pPr>
        <w:spacing w:after="0" w:line="231" w:lineRule="exact"/>
        <w:rPr>
          <w:sz w:val="20"/>
          <w:szCs w:val="20"/>
          <w:color w:val="auto"/>
        </w:rPr>
      </w:pPr>
    </w:p>
    <w:p>
      <w:pPr>
        <w:ind w:left="2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number of trial participants required for clinical trials of any product candidates may be larger than we anticipate, identification of trial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participants for such trials may be limited, enrollment in these clinical trials may be slower than we anticipate due to perceived adverse effects, limited patient populations, competitive trials, or other reasons, or participants may withdraw from clinical trials or fail to return for post-treatment follow-up at a higher rate than we anticipate;</w:t>
      </w:r>
    </w:p>
    <w:p>
      <w:pPr>
        <w:spacing w:after="0" w:line="235"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despite robust sponsor oversight, our and our collaborators’ third-party contractors may fail to comply with regulatory requirements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meet their contractual obligations in a timely manner, or at all, or may deviate from the clinical trial protocol or withdraw from the trial, which may require the addition of new clinical trial sites;</w:t>
      </w:r>
    </w:p>
    <w:p>
      <w:pPr>
        <w:spacing w:after="0" w:line="231"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regulators may elect to impose a clinical hold, or we, our investigators, IRBs or ethics committees may elect to suspend or terminate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clinical research or trials for various reasons, including noncompliance with regulatory requirements or a finding that the participants are being exposed to an unacceptable benefit-risk ratio;</w:t>
      </w:r>
    </w:p>
    <w:p>
      <w:pPr>
        <w:spacing w:after="0" w:line="231"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with respect to infectious disease vaccine trials in particular, we have to wait for a particular level of infection in the placebo arm in order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to assess protection provided by vaccine, and we cannot control the rate of exposure or infection, which can make timing uncertain;</w:t>
      </w:r>
    </w:p>
    <w:p>
      <w:pPr>
        <w:spacing w:after="0" w:line="216"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patient characteristics, the rate of disease progression, and other external influences beyond our control can make the timing of analysis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uncertain, particularly in the case of later-stage oncology trials;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cost of preclinical or nonclinical testing and studies and clinical trials of any product candidates may be greater than we anticipate;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supply or quality of our product candidates or other materials necessary to conduct clinical trials may be insufficient or inadequate;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65</w:t>
            </w:r>
          </w:p>
        </w:tc>
      </w:tr>
    </w:tbl>
    <w:p>
      <w:pPr>
        <w:sectPr>
          <w:pgSz w:w="11900" w:h="16838" w:orient="portrait"/>
          <w:cols w:equalWidth="0" w:num="1">
            <w:col w:w="11240"/>
          </w:cols>
          <w:pgMar w:left="320" w:top="388" w:right="339" w:bottom="1440" w:gutter="0" w:footer="0" w:header="0"/>
        </w:sectPr>
      </w:pPr>
    </w:p>
    <w:bookmarkStart w:id="74" w:name="page75"/>
    <w:bookmarkEnd w:id="7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safety or efficacy concerns regarding our product candidates may result from any concerns arising from nonclinical or clinical testing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 therapies targeting a similar disease state or other therapies, such as gene therapy, that are perceived as similar to ours; and</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FDA or other regulatory authorities may require us to submit additional data, such as long-term toxicology studies, or impose other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requirements before permitting us to initiate a clinical trial.</w:t>
      </w:r>
    </w:p>
    <w:p>
      <w:pPr>
        <w:spacing w:after="0" w:line="217"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We could also encounter delays if a clinical trial is suspended or placed on hold by us, the FDA, or other regulatory authorities, ethics committees, or the IRBs of the institutions in which such trials are being conducted, or if such trial is recommended for suspension or termination by the DSMB. In the event a trial is suspended or placed on hold, it may, upon further analysis, be terminated altogether. If a pivotal trial is terminated, the relevant program may also be subject to delays or termination. We may in the future be delayed in gaining clearance from the FDA or other regulators to initiate clinical trials through, among other things, the imposition of a clinical hold in order to address comments from such regulators on our clinical trial design or other elements of our clinical trials. A suspension or termination may be imposed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or adequate benefit-risk ratio, from using a product candidate;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We could also experience delays if physicians encounter unresolved ethical issues associated with enrolling patients in clinical trials of our product candidates in lieu of prescribing existing treatments that have established safety and efficacy profiles.</w:t>
      </w:r>
    </w:p>
    <w:p>
      <w:pPr>
        <w:spacing w:after="0" w:line="200" w:lineRule="exact"/>
        <w:rPr>
          <w:sz w:val="20"/>
          <w:szCs w:val="20"/>
          <w:color w:val="auto"/>
        </w:rPr>
      </w:pPr>
    </w:p>
    <w:p>
      <w:pPr>
        <w:spacing w:after="0" w:line="318"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We expect the novel nature of our product candidates to create further challenges in obtaining regulatory approval. For example, the FDA and regulatory authorities in other jurisdictions have limited experience with commercial development of several of our technologies. The FDA may require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as the FDA often adheres to the Advisory Committee’s recommendations. Accordingly, the regulatory approval pathway for our product candidates may be uncertain, complex, expensive and lengthy, and approval may not be certain.</w:t>
      </w:r>
    </w:p>
    <w:p>
      <w:pPr>
        <w:spacing w:after="0" w:line="239"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must also complete extensive work on CMC activities that require extensive manufacturing processes and analytical development, which are uncertain and lengthy. The FDA and other regulatory authorities have indicated that, prior to commencing later stage clinical trials for our mRNA-based product candidates, we will need to scale up and further refine assays to measure and predict the potency of a given dose of these product candidates. Any delay in the scaling and refining of assays that are acceptable to the FDA or other regulatory authorities could delay the start of future clinical trials. Further, the FDA or other regulatory authorities may disagree with our clinical trial design and our interpretation of data for our clinical trials or may change the requirements for approval even after they have reviewed and commented on the design for our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66</w:t>
            </w:r>
          </w:p>
        </w:tc>
      </w:tr>
    </w:tbl>
    <w:p>
      <w:pPr>
        <w:sectPr>
          <w:pgSz w:w="11900" w:h="16838" w:orient="portrait"/>
          <w:cols w:equalWidth="0" w:num="1">
            <w:col w:w="11240"/>
          </w:cols>
          <w:pgMar w:left="320" w:top="388" w:right="339" w:bottom="1440" w:gutter="0" w:footer="0" w:header="0"/>
        </w:sectPr>
      </w:pPr>
    </w:p>
    <w:bookmarkStart w:id="75" w:name="page76"/>
    <w:bookmarkEnd w:id="7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Significant additional preclinical or nonclinical testing and studies or clinical trial delays for our product candidates also could allow our competitors to bring products to market before we do, potentially impairing our ability to successfully commercialize our product candidates and harming our business and results of operations. Any delays in the development, or the suspension of development, of our product candidates may harm our business, financial condition and prospects significantly.</w:t>
      </w:r>
    </w:p>
    <w:p>
      <w:pPr>
        <w:spacing w:after="0" w:line="234"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 xml:space="preserve">In addition, on June 28, 2024, the Supreme Court overturned the </w:t>
      </w:r>
      <w:r>
        <w:rPr>
          <w:rFonts w:ascii="Times New Roman" w:cs="Times New Roman" w:eastAsia="Times New Roman" w:hAnsi="Times New Roman"/>
          <w:sz w:val="18"/>
          <w:szCs w:val="18"/>
          <w:i w:val="1"/>
          <w:iCs w:val="1"/>
          <w:color w:val="080509"/>
        </w:rPr>
        <w:t>Chevron</w:t>
      </w:r>
      <w:r>
        <w:rPr>
          <w:rFonts w:ascii="Times New Roman" w:cs="Times New Roman" w:eastAsia="Times New Roman" w:hAnsi="Times New Roman"/>
          <w:sz w:val="18"/>
          <w:szCs w:val="18"/>
          <w:color w:val="080509"/>
        </w:rPr>
        <w:t xml:space="preserve"> doctrine in the combined cases of </w:t>
      </w:r>
      <w:r>
        <w:rPr>
          <w:rFonts w:ascii="Times New Roman" w:cs="Times New Roman" w:eastAsia="Times New Roman" w:hAnsi="Times New Roman"/>
          <w:sz w:val="18"/>
          <w:szCs w:val="18"/>
          <w:i w:val="1"/>
          <w:iCs w:val="1"/>
          <w:color w:val="080509"/>
        </w:rPr>
        <w:t>Loper Bright Enterprises v.</w:t>
      </w:r>
      <w:r>
        <w:rPr>
          <w:rFonts w:ascii="Times New Roman" w:cs="Times New Roman" w:eastAsia="Times New Roman" w:hAnsi="Times New Roman"/>
          <w:sz w:val="18"/>
          <w:szCs w:val="18"/>
          <w:color w:val="080509"/>
        </w:rPr>
        <w:t xml:space="preserve"> </w:t>
      </w:r>
      <w:r>
        <w:rPr>
          <w:rFonts w:ascii="Times New Roman" w:cs="Times New Roman" w:eastAsia="Times New Roman" w:hAnsi="Times New Roman"/>
          <w:sz w:val="18"/>
          <w:szCs w:val="18"/>
          <w:i w:val="1"/>
          <w:iCs w:val="1"/>
          <w:color w:val="080509"/>
        </w:rPr>
        <w:t xml:space="preserve">Raimondo </w:t>
      </w:r>
      <w:r>
        <w:rPr>
          <w:rFonts w:ascii="Times New Roman" w:cs="Times New Roman" w:eastAsia="Times New Roman" w:hAnsi="Times New Roman"/>
          <w:sz w:val="18"/>
          <w:szCs w:val="18"/>
          <w:color w:val="080509"/>
        </w:rPr>
        <w:t>and</w:t>
      </w:r>
      <w:r>
        <w:rPr>
          <w:rFonts w:ascii="Times New Roman" w:cs="Times New Roman" w:eastAsia="Times New Roman" w:hAnsi="Times New Roman"/>
          <w:sz w:val="18"/>
          <w:szCs w:val="18"/>
          <w:i w:val="1"/>
          <w:iCs w:val="1"/>
          <w:color w:val="080509"/>
        </w:rPr>
        <w:t xml:space="preserve"> Relentless Inc. v. Department of Commerce</w:t>
      </w:r>
      <w:r>
        <w:rPr>
          <w:rFonts w:ascii="Times New Roman" w:cs="Times New Roman" w:eastAsia="Times New Roman" w:hAnsi="Times New Roman"/>
          <w:sz w:val="18"/>
          <w:szCs w:val="18"/>
          <w:color w:val="080509"/>
        </w:rPr>
        <w:t>. The</w:t>
      </w:r>
      <w:r>
        <w:rPr>
          <w:rFonts w:ascii="Times New Roman" w:cs="Times New Roman" w:eastAsia="Times New Roman" w:hAnsi="Times New Roman"/>
          <w:sz w:val="18"/>
          <w:szCs w:val="18"/>
          <w:i w:val="1"/>
          <w:iCs w:val="1"/>
          <w:color w:val="080509"/>
        </w:rPr>
        <w:t xml:space="preserve"> Chevron </w:t>
      </w:r>
      <w:r>
        <w:rPr>
          <w:rFonts w:ascii="Times New Roman" w:cs="Times New Roman" w:eastAsia="Times New Roman" w:hAnsi="Times New Roman"/>
          <w:sz w:val="18"/>
          <w:szCs w:val="18"/>
          <w:color w:val="080509"/>
        </w:rPr>
        <w:t>doctrine gave deference to regulatory agencies in litigation against</w:t>
      </w:r>
      <w:r>
        <w:rPr>
          <w:rFonts w:ascii="Times New Roman" w:cs="Times New Roman" w:eastAsia="Times New Roman" w:hAnsi="Times New Roman"/>
          <w:sz w:val="18"/>
          <w:szCs w:val="18"/>
          <w:i w:val="1"/>
          <w:iCs w:val="1"/>
          <w:color w:val="080509"/>
        </w:rPr>
        <w:t xml:space="preserve"> </w:t>
      </w:r>
      <w:r>
        <w:rPr>
          <w:rFonts w:ascii="Times New Roman" w:cs="Times New Roman" w:eastAsia="Times New Roman" w:hAnsi="Times New Roman"/>
          <w:sz w:val="18"/>
          <w:szCs w:val="18"/>
          <w:color w:val="080509"/>
        </w:rPr>
        <w:t xml:space="preserve">the FDA and other agencies. In addition, the Supreme Court decided </w:t>
      </w:r>
      <w:r>
        <w:rPr>
          <w:rFonts w:ascii="Times New Roman" w:cs="Times New Roman" w:eastAsia="Times New Roman" w:hAnsi="Times New Roman"/>
          <w:sz w:val="18"/>
          <w:szCs w:val="18"/>
          <w:i w:val="1"/>
          <w:iCs w:val="1"/>
          <w:color w:val="080509"/>
        </w:rPr>
        <w:t>Corner Post, Inc. v. Board of Governors of the Federal Reserve System</w:t>
      </w:r>
      <w:r>
        <w:rPr>
          <w:rFonts w:ascii="Times New Roman" w:cs="Times New Roman" w:eastAsia="Times New Roman" w:hAnsi="Times New Roman"/>
          <w:sz w:val="18"/>
          <w:szCs w:val="18"/>
          <w:color w:val="080509"/>
        </w:rPr>
        <w:t>, which lengthened the time in which some challenges to agency rules can be initiated. As a result of these cases, more plaintiffs may bring lawsuits against the FDA to challenge longstanding decisions and policies of the FDA, which could undermine the FDA’s authority, lead to uncertainties in the industry, and disrupt the FDA’s normal operations, which could delay the FDA’s review of our marketing applications.</w:t>
      </w:r>
    </w:p>
    <w:p>
      <w:pPr>
        <w:spacing w:after="0" w:line="19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If we or our collaborators encounter difficulties enrolling participants in our clinical trials, our clinical development activities could be delayed or otherwise adversely affected.</w:t>
      </w:r>
    </w:p>
    <w:p>
      <w:pPr>
        <w:spacing w:after="0" w:line="15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We depend on enrollment of participants in our clinical trials for our product candidates. In the past, our collaborators have found, and we or our collaborators may in the future find, it difficult to enroll trial participants in our clinical studies, which could delay or prevent clinical studies of our product candidates. Identifying and qualifying trial participants to participate in clinical studies of our product candidates is critical to our success. The timing of our clinical studies depends on the speed at which we can recruit trial participants to participate in testing our product candidates. Delays in enrollment may result in increased costs or may affect the timing or outcome of the planned clinical trials, which could prevent completion of these trials and adversely affect our ability to advance the development of our product candidates. If trial participants are unwilling to participate in our studies because of negative publicity from adverse events in our trials or other trials of similar products, or those related to a specific therapeutic area, or for other reasons, including competitive clinical studies for similar patient populations, the timeline for recruiting trial participants, conducting studies, and obtaining regulatory approval of potential products may be delayed. These delays could result in increased costs, delays in advancing our product development, delays in testing the effectiveness of our product, or termination of the clinical studies altogether.</w:t>
      </w:r>
    </w:p>
    <w:p>
      <w:pPr>
        <w:spacing w:after="0" w:line="200" w:lineRule="exact"/>
        <w:rPr>
          <w:sz w:val="20"/>
          <w:szCs w:val="20"/>
          <w:color w:val="auto"/>
        </w:rPr>
      </w:pPr>
    </w:p>
    <w:p>
      <w:pPr>
        <w:spacing w:after="0" w:line="306"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We may not be able to identify, recruit and enroll a sufficient number of trial participants, or those with required or desired characteristics to achieve diversity in a study, to complete our clinical trials in a timely manner. Patient and subject enrollment is affected by factors including: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severity of the disease under investigation;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complexity and design of the study protocol;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size of the patient population;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eligibility criteria for the study in question;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proximity and availability of clinical study sites for prospective trial participants;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67</w:t>
            </w:r>
          </w:p>
        </w:tc>
      </w:tr>
    </w:tbl>
    <w:p>
      <w:pPr>
        <w:sectPr>
          <w:pgSz w:w="11900" w:h="16838" w:orient="portrait"/>
          <w:cols w:equalWidth="0" w:num="1">
            <w:col w:w="11240"/>
          </w:cols>
          <w:pgMar w:left="320" w:top="388" w:right="339" w:bottom="1440" w:gutter="0" w:footer="0" w:header="0"/>
        </w:sectPr>
      </w:pPr>
    </w:p>
    <w:bookmarkStart w:id="76" w:name="page77"/>
    <w:bookmarkEnd w:id="7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availability of competing therapies and clinical trials, including between our own clinical trials;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efforts to facilitate timely enrollment in clinical trials;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patient referral practices of physicians;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ability to monitor trial participants adequately during and after treatment;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ability to recruit clinical trial investigators with the appropriate competencies and experience;</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clinicians’ and trial participants’ perceptions of the potential advantages and side effects of the product candidate being studied in relation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to other available therapies, including any new drugs or treatments that may be approved for the indications we are investigating;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obtain and maintain participant informed consent;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major changes in the approval status of competitor investigational products during the clinical trial period;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risk that trial participants enrolled in clinical trials will not complete a clinical trial.</w:t>
      </w:r>
    </w:p>
    <w:p>
      <w:pPr>
        <w:spacing w:after="0" w:line="33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In addition, our clinical trials may compete with other clinical trials for product candidates that are in the same therapeutic areas as our product candidates, and this competition will reduce the number and types of trial participants available to us because some trial participants who might have opted to enroll in our trials may instead opt to enroll in a trial being conducted by a third party. Since the number of qualified clinical investigators is limited, we expect to conduct some of our clinical trials at the same clinical trial sites that some of our competitors use, which will reduce the number of trial participants who are available for our clinical trials at such clinical trial sites. Moreover, because in some cases our product candidates represent a therapeutic novelty in contrast to more traditional methods for disease treatment and prevention, potential trial participants and their doctors may be inclined to use conventional therapies or other investigational therapies rather than enroll trial participants in any future clinical trial involving more novel product candidates. Additionally, if new product candidates, such as gene editing therapies, show encouraging results, potential trial participants and their doctors may be inclined to enroll trial participants in clinical trials using those product candidates. If such new product candidates show discouraging results or other adverse safety indications, potential trial participants and their doctors may be less inclined to enroll trial participants in our clinical trials.</w:t>
      </w:r>
    </w:p>
    <w:p>
      <w:pPr>
        <w:spacing w:after="0" w:line="200" w:lineRule="exact"/>
        <w:rPr>
          <w:sz w:val="20"/>
          <w:szCs w:val="20"/>
          <w:color w:val="auto"/>
        </w:rPr>
      </w:pPr>
    </w:p>
    <w:p>
      <w:pPr>
        <w:spacing w:after="0" w:line="30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In particular, certain conditions for which we plan to evaluate our current product candidates are rare diseases with limited patient pools from which to draw for clinical trials. The eligibility criteria of our clinical trials will further limit the pool of available trial participants. Additionally, the process of finding and diagnosing patients may prove costly.</w:t>
      </w:r>
    </w:p>
    <w:p>
      <w:pPr>
        <w:spacing w:after="0" w:line="187"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b w:val="1"/>
          <w:bCs w:val="1"/>
          <w:color w:val="005A64"/>
        </w:rPr>
        <w:t>We, our collaborators, and other third parties on whom we rely conduct various activities, including research, clinical trials, manufacturing and, where approved, marketing, in jurisdictions across the globe. Such activities are subject to a variety of risks which could materially and adversely affect our business.</w:t>
      </w:r>
    </w:p>
    <w:p>
      <w:pPr>
        <w:spacing w:after="0" w:line="175"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Our activities increasingly span different jurisdictions. For example, clinical trials of our product candidates are currently being conducted in several countries, and we plan to commercialize our</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68</w:t>
            </w:r>
          </w:p>
        </w:tc>
      </w:tr>
    </w:tbl>
    <w:p>
      <w:pPr>
        <w:sectPr>
          <w:pgSz w:w="11900" w:h="16838" w:orient="portrait"/>
          <w:cols w:equalWidth="0" w:num="1">
            <w:col w:w="11240"/>
          </w:cols>
          <w:pgMar w:left="320" w:top="388" w:right="339" w:bottom="1440" w:gutter="0" w:footer="0" w:header="0"/>
        </w:sectPr>
      </w:pPr>
    </w:p>
    <w:bookmarkStart w:id="77" w:name="page78"/>
    <w:bookmarkEnd w:id="7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product candidates, if approved, globally. Accordingly, we are subject to additional risks related to operating in multiple countries, including: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differing regulatory requirements in such countries;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differences in the standard of care across jurisdictions, which complicates the choice of adequate comparator therapies in global trials;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unexpected changes in tariffs, trade barriers, price and exchange controls and other regulatory requirements;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increased difficulties in managing the logistics and transportation of storing and shipping product candidates produced in Germany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shipping the product candidate to the patient abroad;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import and export requirements and restrictions;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restrictions on transfers of information, including certain technologies and personal data;</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economic weakness, including inflation, or changes to the political climate, public sentiment, and government policy preferences in certain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economies and markets;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compliance with tax, employment, immigration and labor laws for employees living or traveling abroad;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taxes, including withholding of payroll taxes;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currency fluctuations, which could result in increased operating expenses and reduced revenue, and other obligations incident to doing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business in another country;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difficulties staffing and managing operations outside of Germany;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workforce uncertainty in countries where labor unrest is more common;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differing payor reimbursement regimes, governmental payors or patient self-pay systems, and price controls;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potential liability under the U.S. Foreign Corrupt Practices Act of 1977 or comparable regulations in other jurisdictions;</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challenges enforcing our contractual and intellectual property rights, especially in those countries that do not respect and protect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intellectual property rights to the same extent as Germany and the United States;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production shortages resulting from any events affecting raw material supply or manufacturing capabilities abroad; and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69</w:t>
            </w:r>
          </w:p>
        </w:tc>
      </w:tr>
    </w:tbl>
    <w:p>
      <w:pPr>
        <w:sectPr>
          <w:pgSz w:w="11900" w:h="16838" w:orient="portrait"/>
          <w:cols w:equalWidth="0" w:num="1">
            <w:col w:w="11240"/>
          </w:cols>
          <w:pgMar w:left="320" w:top="388" w:right="339" w:bottom="1440" w:gutter="0" w:footer="0" w:header="0"/>
        </w:sectPr>
      </w:pPr>
    </w:p>
    <w:bookmarkStart w:id="78" w:name="page79"/>
    <w:bookmarkEnd w:id="7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business interruptions resulting from geopolitical actions, including war and terrorism, or public health epidemics or pandemics.</w:t>
      </w:r>
    </w:p>
    <w:p>
      <w:pPr>
        <w:spacing w:after="0" w:line="333"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As part of our global operations, we and our collaborators rely on relationships with entities based in various jurisdictions, including for clinical research and manufacturing activities and other regional operational needs. Such relationships may involve the use of our or others’ intellectual property. We expect to continue to rely on such entities, which include locally-based contract manufacturing organizations, or CMOs, and CROs, in the future. For example, we and our collaborators rely on WuXi Biologics Co., Ltd. and its affiliates for outsourcing activities related to manufacturing and the supply chain, research and development, certain IP, and commercialization readiness for certain of our product candidates. Such entities are subject to evolving local regulatory requirements, and may also be subject to U.S. and EU legislation, including the recently enacted U.S. BIOSECURE Act, sanctions, trade restrictions, and/or other regulations. Such requirements could increase the cost or reduce the supply of material available to us, delay or restrict the procurement or supply of such material, or have an adverse affect on our ability to secure significant commitments from governments to purchase our potential therapies.</w:t>
      </w:r>
    </w:p>
    <w:p>
      <w:pPr>
        <w:spacing w:after="0" w:line="200" w:lineRule="exact"/>
        <w:rPr>
          <w:sz w:val="20"/>
          <w:szCs w:val="20"/>
          <w:color w:val="auto"/>
        </w:rPr>
      </w:pPr>
    </w:p>
    <w:p>
      <w:pPr>
        <w:spacing w:after="0" w:line="306"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Further, governments may turn, and have turned, to trade barriers to protect their domestic industries against foreign imports, thereby increasing our cost to operate globally. If significant tariffs or other restrictions are imposed on imports by the United States and related countermeasures are taken by impacted countries, our business, including operating results, cash flows, and financial condition, may be adversely affected. Recently, trade and tariff policies among the United States and other countries have been unsettled and are subject to frequent changes. The U.S. government has imposed tariffs and other trade restrictions on goods across a range of industries, and such actions have at times prompted retaliatory measures by affected countries such as China, Canada and the European Union. While tariffs with certain countries have been temporarily reduced or paused, the imposition of new tariffs will likely be met with further reciprocal tariffs, thus increasing the possibility of a global trade war. If further tariffs are imposed on a broader range of imports, or if retaliatory trade measures are enacted by affected countries, these factors could significantly increase the cost to our global clinical research and manufacturing activities, adversely affect the commercial sale of our COVID-19 vaccines, and harm our competitive position in key markets. Additionally, ongoing trade tensions and uncertainty regarding future trade policies could negatively impact global economic conditions and consumer confidence, further affecting our global operations.</w:t>
      </w:r>
    </w:p>
    <w:p>
      <w:pPr>
        <w:spacing w:after="0" w:line="200" w:lineRule="exact"/>
        <w:rPr>
          <w:sz w:val="20"/>
          <w:szCs w:val="20"/>
          <w:color w:val="auto"/>
        </w:rPr>
      </w:pPr>
    </w:p>
    <w:p>
      <w:pPr>
        <w:spacing w:after="0" w:line="312"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As noted above, we and our partners have conducted and are expecting in the future to conduct clinical trials for our product candidates at clinical sites located outside of the United States. Although the FDA may accept data from clinical trials outside the United States that are not conducted under an IND, acceptance of this data in support of a marketing application or IND requires the clinical trial to have been conducted in accordance with GCPs, and that the FDA is able to validate the data from the clinical trial through an onsite inspection if it deems such inspection necessary. Where data from non-U.S. clinical trials are intended to serve as the sole basis for marketing approval in the United States, the FDA will not approve the application on the basis of non-U.S. data alone unless those data are considered applicable to the U.S. patient population and U.S. medical practice, the clinical trials were performed by clinical investigators of recognized competence, and the data is considered valid without the need for an onsite inspection by the FDA or, if the FDA considers such an inspection to be necessary, the FDA is able to validate the data through an onsite inspection or other appropriate means. There can be no assurance the FDA will accept data from clinical trials conducted outside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70</w:t>
            </w:r>
          </w:p>
        </w:tc>
      </w:tr>
    </w:tbl>
    <w:p>
      <w:pPr>
        <w:sectPr>
          <w:pgSz w:w="11900" w:h="16838" w:orient="portrait"/>
          <w:cols w:equalWidth="0" w:num="1">
            <w:col w:w="11240"/>
          </w:cols>
          <w:pgMar w:left="320" w:top="388" w:right="339" w:bottom="1440" w:gutter="0" w:footer="0" w:header="0"/>
        </w:sectPr>
      </w:pPr>
    </w:p>
    <w:bookmarkStart w:id="79" w:name="page80"/>
    <w:bookmarkEnd w:id="7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the United States in support of a marketing application. If the FDA does not accept data from our clinical trials of our product candidates, it would likely result in the need for additional clinical trials, which would be costly and time-consuming and delay or permanently halt our development of a product candidate.</w:t>
      </w:r>
    </w:p>
    <w:p>
      <w:pPr>
        <w:spacing w:after="0" w:line="231"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These and other risks associated with our international operations and our collaborations with our collaborators may materially adversely affect our ability to attain or maintain profitable operations.</w:t>
      </w:r>
    </w:p>
    <w:p>
      <w:pPr>
        <w:spacing w:after="0" w:line="17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Interim top-line and preliminary data from studies or trials that we announce or publish from time to time may change as more data become available and are subject to audit and verification procedures that could result in material changes in the final data.</w:t>
      </w:r>
    </w:p>
    <w:p>
      <w:pPr>
        <w:spacing w:after="0" w:line="15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From time to time, we may publish interim top-line or preliminary data from preclinical studies or clinical trials. Interim data are subject to the risk that one or more of the outcomes may materially change as more data become available. We also make assumptions, estimations, calculations and conclusions as part of our analyses of data, and we may not have received or had the opportunity to fully evaluate all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Additionally,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w:t>
      </w:r>
    </w:p>
    <w:p>
      <w:pPr>
        <w:spacing w:after="0" w:line="200" w:lineRule="exact"/>
        <w:rPr>
          <w:sz w:val="20"/>
          <w:szCs w:val="20"/>
          <w:color w:val="auto"/>
        </w:rPr>
      </w:pPr>
    </w:p>
    <w:p>
      <w:pPr>
        <w:spacing w:after="0" w:line="309"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disclose publicly regarding a particular study or clinical trial is based on what is typically extensive information, and our securityholders may not agree with what we determine is the material or otherwise appropriate information to include in our disclosure. Any information we determine not to disclose may ultimately be deemed significant by our securityholders or others with respect to future decisions, conclusions, views, activities or otherwise regarding a particular product candidate or our business. If the top-line data that we report differ from actual results, or if others, including regulatory authorities, disagree with the conclusions reached, our ability to obtain approval for, and commercialize, product candidates may be harmed, which could significantly harm our business prospects.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Results of earlier studies and trials of our product candidates may not be predictive of future trial results.</w:t>
      </w:r>
    </w:p>
    <w:p>
      <w:pPr>
        <w:spacing w:after="0" w:line="216"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8"/>
          <w:szCs w:val="18"/>
          <w:color w:val="080509"/>
        </w:rPr>
        <w:t>Success in preclinical studies and early clinical trials does not ensure that later clinical trials will be successful. A number of companies in the biotechnology and pharmaceutical industries have suffered significant setbacks in clinical trials, even after positive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Notwithstanding any potential promising results in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71</w:t>
            </w:r>
          </w:p>
        </w:tc>
      </w:tr>
    </w:tbl>
    <w:p>
      <w:pPr>
        <w:sectPr>
          <w:pgSz w:w="11900" w:h="16838" w:orient="portrait"/>
          <w:cols w:equalWidth="0" w:num="1">
            <w:col w:w="11240"/>
          </w:cols>
          <w:pgMar w:left="320" w:top="388" w:right="339" w:bottom="1440" w:gutter="0" w:footer="0" w:header="0"/>
        </w:sectPr>
      </w:pPr>
    </w:p>
    <w:bookmarkStart w:id="80" w:name="page81"/>
    <w:bookmarkEnd w:id="8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studies and trials, we cannot be certain that we will not face similar setbacks. Even if our clinical trials are completed, the results may not be sufficient to obtain regulatory approval for our product candidates. In addition, the results of our preclinical studies may not be predictive of the results of outcomes in human clinical trials. For example, our tumor-specific cancer immunotherapy candidates and any future product candidates may demonstrate different chemical, biological and pharmacological properties in patients than they do in laboratory studies or may interact with human biological systems in unforeseen or harmful ways. Product candidates in later stages of clinical trials may fail to show the desired pharmacological properties or safety and efficacy traits despite having progressed through preclinical studies and initial clinical trials. Even if we are able to initiate and complete clinical trials, the results may not be sufficient to obtain regulatory approval for our product candidates.</w:t>
      </w:r>
    </w:p>
    <w:p>
      <w:pPr>
        <w:spacing w:after="0" w:line="200" w:lineRule="exact"/>
        <w:rPr>
          <w:sz w:val="20"/>
          <w:szCs w:val="20"/>
          <w:color w:val="auto"/>
        </w:rPr>
      </w:pPr>
    </w:p>
    <w:p>
      <w:pPr>
        <w:spacing w:after="0" w:line="2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Our planned clinical trials or those of our collaborators may be less efficacious or may reveal significant adverse events not seen in our preclinical or nonclinical studies and may result in a safety profile that could delay or terminate clinical trials, or delay or prevent regulatory approval or market acceptance of any of our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There is typically an extremely high rate of attrition for product candidates across categories of medicines proceeding through clinical trials.</w:t>
      </w:r>
    </w:p>
    <w:p>
      <w:pPr>
        <w:spacing w:after="0" w:line="333"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These product candidates may fail to show the desired safety and efficacy profile in later stages of clinical trials despite having progressed through nonclinical studies and initial clinical trials. A number of companies in the biopharmaceutical industry have suffered significant setbacks in later-stage clinical trials due to lack of efficacy or unacceptable safety profiles, notwithstanding promising results in earlier trials. Most product candidates that commence clinical trials are never approved as products and there can be no assurance that any of our current or future clinical trials will ultimately be successful or support further clinical development of any of our product candidates.</w:t>
      </w:r>
    </w:p>
    <w:p>
      <w:pPr>
        <w:spacing w:after="0" w:line="240"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Many of our product candidates are being developed or are intended to be co-administered with other developmental therapies or approved medicines. For example, autogene cevumeran (BNT122/RO7198457) is being developed to be co-administered with checkpoint inhibitors. Such combinations may have additional side effects, which may be difficult to predict in future clinical trials.</w:t>
      </w:r>
    </w:p>
    <w:p>
      <w:pPr>
        <w:spacing w:after="0" w:line="231"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If significant adverse events or other side effects are observed in any of our current or future clinical trials, we may have difficulty recruiting trial participants to any of our clinical trials, trial participants may withdraw from trials, or we may be required to abandon the trials or our development efforts of one or more product candidates altogether. We, the FDA or other regulatory authorities, ethics committees or an IRB may impose a clinical hold on, or suspend or terminate, clinical trials of a product candidate at any time for various reasons, including a belief that participants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drug from obtaining or maintaining marketing approval, an unfavorable benefit-risk ratio may inhibit market acceptance of the approved product due to its tolerability versus other therapies. Any of these developments could materially harm our business,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72</w:t>
            </w:r>
          </w:p>
        </w:tc>
      </w:tr>
    </w:tbl>
    <w:p>
      <w:pPr>
        <w:sectPr>
          <w:pgSz w:w="11900" w:h="16838" w:orient="portrait"/>
          <w:cols w:equalWidth="0" w:num="1">
            <w:col w:w="11240"/>
          </w:cols>
          <w:pgMar w:left="320" w:top="388" w:right="339" w:bottom="1440" w:gutter="0" w:footer="0" w:header="0"/>
        </w:sectPr>
      </w:pPr>
    </w:p>
    <w:bookmarkStart w:id="81" w:name="page82"/>
    <w:bookmarkEnd w:id="8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If we are not successful in discovering, developing and commercializing additional product candidates beyond our current portfolio, our ability to expand our business and achieve our strategic objectives would be impaired.</w:t>
      </w:r>
    </w:p>
    <w:p>
      <w:pPr>
        <w:spacing w:after="0" w:line="15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Although a substantial amount of our efforts focus on the clinical trials and potential approval of our existing product candidates, a key element of our strategy is to discover, develop and potentially commercialize additional products beyond our current portfolio to treat various conditions and in a variety of therapeutic areas. We intend to do so by investing in our own drug and target discovery efforts, exploring potential collaborations for the development of new products, and in-licensing technologies. Identifying new product candidates requires substantial technical, financial and human resources, whether or not any product candidates are ultimately identified. Even if we identify product candidates that initially show promise, we may fail to develop and commercialize such products successfully for many reasons, including the following:</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research methodology used may not be successful in identifying potential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competitors may develop alternatives that render our product candidates obsolete;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 candidates we develop may nevertheless be covered by third parties’ patents or other exclusive rights;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product candidate may, on further study, be shown to have harmful side effects or other characteristics that indicate it is unlikely to be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effective or otherwise does not meet applicable regulatory criteria;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discontinue the development of a product candidate;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product candidate may not be capable of being produced in commercial quantities at an acceptable cost, or at all;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 approved product may not be accepted as safe and effective by trial participants, the medical community or third-party payors.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If we are unsuccessful in identifying and developing additional products, our potential for growth may be impaired.</w:t>
      </w:r>
    </w:p>
    <w:p>
      <w:pPr>
        <w:spacing w:after="0" w:line="2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mRNA drug development carries substantial clinical development and regulatory risks due to limited regulatory experience with mRNA immunotherapies.</w:t>
      </w:r>
    </w:p>
    <w:p>
      <w:pPr>
        <w:spacing w:after="0" w:line="15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To our knowledge, other than our, Moderna, Inc.’s and Arcturus Therapeutics’ vaccines, no mRNA immunotherapies have been approved or received emergency use authorization or conditional marketing authorization to date by the FDA or the EMA. Successful discovery and development of mRNA-based (and other) immunotherapies by either us or our collaborators is highly uncertain and depends on numerous factors, many of which are beyond our or their control. Our product candidates that appear promising in the early phases of development may fail to advance, experience delays in the clinic or clinical holds, or fail to reach the market for many reasons, including:</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discovery efforts aimed at identifying potential immunotherapies may not be successful;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73</w:t>
            </w:r>
          </w:p>
        </w:tc>
      </w:tr>
    </w:tbl>
    <w:p>
      <w:pPr>
        <w:sectPr>
          <w:pgSz w:w="11900" w:h="16838" w:orient="portrait"/>
          <w:cols w:equalWidth="0" w:num="1">
            <w:col w:w="11240"/>
          </w:cols>
          <w:pgMar w:left="320" w:top="388" w:right="339" w:bottom="1440" w:gutter="0" w:footer="0" w:header="0"/>
        </w:sectPr>
      </w:pPr>
    </w:p>
    <w:bookmarkStart w:id="82" w:name="page83"/>
    <w:bookmarkEnd w:id="8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nonclinical or preclinical study results may show product candidates to be less effective than desired or have harmful or problematic side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effects;</w:t>
      </w:r>
    </w:p>
    <w:p>
      <w:pPr>
        <w:spacing w:after="0" w:line="200" w:lineRule="exact"/>
        <w:rPr>
          <w:sz w:val="20"/>
          <w:szCs w:val="20"/>
          <w:color w:val="auto"/>
        </w:rPr>
      </w:pPr>
    </w:p>
    <w:p>
      <w:pPr>
        <w:spacing w:after="0" w:line="358"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clinical trial results may show the product candidates to be less effective than expected, including a failure to meet one or more endpoints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or have unacceptable side effects or toxicities;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manufacturing or distribution failures or insufficient supply of GMP materials for clinical trials or higher than expected cost could delay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or set back clinical trials, or make our product candidates commercially unattractive;</w:t>
      </w:r>
    </w:p>
    <w:p>
      <w:pPr>
        <w:spacing w:after="0" w:line="216"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improvements in the manufacturing processes may not be sufficient to satisfy the clinical or commercial demand of our product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candidates or regulatory requirements for clinical trials;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changes that we make to optimize our manufacturing, testing or formulating of GMP materials could impact the safety, tolerability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efficacy of our product candidates;</w:t>
      </w:r>
    </w:p>
    <w:p>
      <w:pPr>
        <w:spacing w:after="0" w:line="216"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pricing or reimbursement issues or other factors could delay clinical trials or make any immunotherapy uneconomical or noncompetitive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with other therapies;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changing social and political preferences regarding vaccines and mRNA therapies;</w:t>
      </w:r>
    </w:p>
    <w:p>
      <w:pPr>
        <w:spacing w:after="0" w:line="333" w:lineRule="exact"/>
        <w:rPr>
          <w:sz w:val="20"/>
          <w:szCs w:val="20"/>
          <w:color w:val="auto"/>
        </w:rPr>
      </w:pPr>
    </w:p>
    <w:p>
      <w:pPr>
        <w:ind w:left="220" w:hanging="204"/>
        <w:spacing w:after="0" w:line="320"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failure to timely advance our programs or receive the necessary regulatory approvals, or a delay in receiving such approvals, due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among other reasons, slow or failure to complete enrollment in clinical trials, withdrawal by trial participants from trials, failure to achieve trial endpoints, additional time requirements for data analysis, data integrity issues, BLA, MAA or the equivalent application, discussions with the FDA or the EMA, a regulatory request for additional nonclinical or clinical data, or safety formulation or manufacturing issues may lead to our inability to obtain sufficient funding; and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proprietary rights, products and technologies of our competitors may prevent our immunotherapies from being commercialized.</w:t>
      </w:r>
    </w:p>
    <w:p>
      <w:pPr>
        <w:spacing w:after="0" w:line="33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For administrative purposes, some mRNA products may be classified together with gene therapy products by the FDA or other regulatory agencies. Unlike certain gene therapies that irreversibly alter cell DNA and may be subsequently subject to specific safety concerns, mRNA products are not designed to localize to the cell nucleus or interact with the genome. Side effects observed in other gene therapies, however, could negatively impact the perception of immunotherapies despite the differences in mechanism. In addition, unclear or inconsistent regulatory classification of mRNA products may result in uncertainties regarding the regulatory requirements and pathways for marketing approval. On the other hand, mRNA-based vaccines for the prevention of infectious diseases, like our COVID-19 vaccine, are not currently classified as gene therapies in most regions. The regulatory pathway for an individualized therapy, such as our Individualized Neoantigen Specific Immunotherapy, or iNeST, an mRNA-based immunotherapy where each patient receives a different combination of mRNAs, remains undetermined. The number and design of the clinical and preclinical studies required for the approval of these types of medicines have not been established, may be different from those required for advanced medicinal therapy products or therapies that are not individualized or may require safety testing like gene therapy products. Moreover, the length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74</w:t>
            </w:r>
          </w:p>
        </w:tc>
      </w:tr>
    </w:tbl>
    <w:p>
      <w:pPr>
        <w:sectPr>
          <w:pgSz w:w="11900" w:h="16838" w:orient="portrait"/>
          <w:cols w:equalWidth="0" w:num="1">
            <w:col w:w="11240"/>
          </w:cols>
          <w:pgMar w:left="320" w:top="388" w:right="339" w:bottom="1440" w:gutter="0" w:footer="0" w:header="0"/>
        </w:sectPr>
      </w:pPr>
    </w:p>
    <w:bookmarkStart w:id="83" w:name="page84"/>
    <w:bookmarkEnd w:id="8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necessary to complete clinical trials and submit an application for marketing approval by a regulatory authority varies significantly from one pharmaceutical product to the next and may be difficult to predict.</w:t>
      </w:r>
    </w:p>
    <w:p>
      <w:pPr>
        <w:spacing w:after="0" w:line="1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Our future success depends on our ability to retain key employees, consultants and advisors and to attract, retain and motivate qualified senior management and scientific personnel.</w:t>
      </w:r>
    </w:p>
    <w:p>
      <w:pPr>
        <w:spacing w:after="0" w:line="15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Our ability to compete in the highly competitive biotechnology and pharmaceutical industries depends upon our ability to attract and retain highly qualified managerial, scientific and medical personnel. We are highly dependent upon members of our management and scientific teams. We may not be able to retain these persons due to the competitive environment in the biotechnology industry, as well as a current global shortage of these highly qualified individuals. The loss of any of these persons’ services may adversely impact the achievement of our research, development, financing and commercialization objectives. We are also aware of physical threats made against certain of these people. In response to these threats, we have deployed personal protection for such individuals and increased our security generally. We currently do not have “key person” insurance on any of our employees.</w:t>
      </w:r>
    </w:p>
    <w:p>
      <w:pPr>
        <w:spacing w:after="0" w:line="200" w:lineRule="exact"/>
        <w:rPr>
          <w:sz w:val="20"/>
          <w:szCs w:val="20"/>
          <w:color w:val="auto"/>
        </w:rPr>
      </w:pPr>
    </w:p>
    <w:p>
      <w:pPr>
        <w:spacing w:after="0" w:line="304"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In addition, we rely on consultants, contractors and advisors, including scientific and clinical advisors, to assist us in formulating our research and development, regulatory approval and commercialization strategy. Our consultants and advisors may be employed by employers other than us and may have commitments under consulting or advisory contracts with other entities that may limit their availability to us. The loss of the services of one or more of our current employees or advisors might impede the achievement of our research, development, regulatory approval and commercialization objectives. In addition, we have flexibly grown our workforce through the use of contractors and part-time workers. We may not be able to retain the services of such personnel, which might result in delays in the operation of our business.</w:t>
      </w:r>
    </w:p>
    <w:p>
      <w:pPr>
        <w:spacing w:after="0" w:line="239"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Recruiting and retaining other qualified employees, consultants and advisors for our business, including scientific and technical personnel, will be critical to our success as well. Competition for skilled personnel, including in mRNA research, clinical development, clinical operations, regulatory affairs, therapeutic area management, manufacturing, and AI, is intense and the turnover rate can be high. We may not be able to attract and retain personnel on favorable terms given the competition among numerous pharmaceutical and biotechnology companies and academic institutions for individuals with similar skill sets. In addition, adverse publicity, and the failure to succeed in preclinical studies or clinical trials or in applications for marketing approval may make it more challenging to recruit and retain qualified personnel. The inability to recruit or loss of services of certain executives, key employees, consultants or advisors may impede the progress of our research, development and commercialization objectives and have a material adverse impact on our business, financial condition, results of operations and prospects.</w:t>
      </w:r>
    </w:p>
    <w:p>
      <w:pPr>
        <w:spacing w:after="0" w:line="200" w:lineRule="exact"/>
        <w:rPr>
          <w:sz w:val="20"/>
          <w:szCs w:val="20"/>
          <w:color w:val="auto"/>
        </w:rPr>
      </w:pPr>
    </w:p>
    <w:p>
      <w:pPr>
        <w:spacing w:after="0" w:line="2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Our employees, principal investigators and consultants may engage in misconduct or other improper activities, including non-compliance with regulatory standards and requirements and insider trading, which could have an adverse effect on the results of our operations.</w:t>
      </w:r>
    </w:p>
    <w:p>
      <w:pPr>
        <w:spacing w:after="0" w:line="158"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We are exposed to the risk of fraud or other misconduct by our employees, principal investigators and consultants, despite our robust efforts to prevent such misconduct through sponsor oversight. Misconduct by these parties could include intentional failures to comply with FDA regulations or the regulations applicable in the European Union and other jurisdictions, to provide accurate information</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75</w:t>
            </w:r>
          </w:p>
        </w:tc>
      </w:tr>
    </w:tbl>
    <w:p>
      <w:pPr>
        <w:sectPr>
          <w:pgSz w:w="11900" w:h="16838" w:orient="portrait"/>
          <w:cols w:equalWidth="0" w:num="1">
            <w:col w:w="11240"/>
          </w:cols>
          <w:pgMar w:left="320" w:top="388" w:right="339" w:bottom="1440" w:gutter="0" w:footer="0" w:header="0"/>
        </w:sectPr>
      </w:pPr>
    </w:p>
    <w:bookmarkStart w:id="84" w:name="page85"/>
    <w:bookmarkEnd w:id="8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to the FDA, the EMA and other regulatory authorities, to comply with healthcare fraud and abuse laws and regulations in the United States and abroad, to report financial information or data accurately or to disclose unauthorized activities to us.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Employment-related disputes, including employee litigation and unfavorable publicity, could negatively affect our future business.</w:t>
      </w:r>
    </w:p>
    <w:p>
      <w:pPr>
        <w:spacing w:after="0" w:line="216"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From time to time we may be subject to claims by our employees or regulatory authorities with respect to employment and workplace matters, including lawsuits or proceedings against us regarding injury, creating a hostile workplace, discrimination, wage and hour disputes, sexual harassment or other employment issues. In recent years, there has been an increase in the number of discrimination and harassment claims generally. Coupled with the expansion of social media platforms and similar devices that allow individuals access to a broad audience, these claims have had a significant negative impact on some businesses. Certain companies that have faced employment- or harassment-related lawsuits have had to terminate management or other key personnel, and have suffered reputational harm that has negatively impacted their business. If we were to face any employment-related claims, our business could be negatively affected.</w:t>
      </w:r>
    </w:p>
    <w:p>
      <w:pPr>
        <w:spacing w:after="0" w:line="19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The illegal distribution and sale by third parties of counterfeit versions of our COVID-19 vaccine, or, if approved, our other product candidates, could have a negative impact on our financial performance or reputation.</w:t>
      </w:r>
    </w:p>
    <w:p>
      <w:pPr>
        <w:spacing w:after="0" w:line="158"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Third parties have in the past and may continue to illegally distribute and sell counterfeit versions of COVID-19 vaccines. Counterfeit products are frequently unsafe or ineffective, and may even be life-threatening. Counterfeit medicines may contain harmful substances or the wrong dosage. However, to distributors and users, counterfeit products may be visually indistinguishable from the authentic version.</w:t>
      </w:r>
    </w:p>
    <w:p>
      <w:pPr>
        <w:spacing w:after="0" w:line="231"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Reports of adverse reactions to counterfeit products, increased levels of counterfeiting, or unsafe vaccines could materially affect public confidence in our COVID-19 vaccine or other product candidates. It is possible that adverse events caused by unsafe counterfeit vaccines will mistakenly be attributed to our COVID-19 vaccine, or, if approved, our other product candidates. In addition, thefts of inventory at warehouses, plants or while in-transit, which are subsequently improperly stored and which are sold through unauthorized channels, could adversely impact patient safety, our reputation, and our business. Public loss of confidence in the integrity of our COVID-19 vaccine or, if approved, our other product candidates, as a result of counterfeiting or theft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76</w:t>
            </w:r>
          </w:p>
        </w:tc>
      </w:tr>
    </w:tbl>
    <w:p>
      <w:pPr>
        <w:sectPr>
          <w:pgSz w:w="11900" w:h="16838" w:orient="portrait"/>
          <w:cols w:equalWidth="0" w:num="1">
            <w:col w:w="11240"/>
          </w:cols>
          <w:pgMar w:left="320" w:top="388" w:right="339" w:bottom="1440" w:gutter="0" w:footer="0" w:header="0"/>
        </w:sectPr>
      </w:pPr>
    </w:p>
    <w:bookmarkStart w:id="85" w:name="page86"/>
    <w:bookmarkEnd w:id="8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color w:val="005A64"/>
        </w:rPr>
        <w:t>We and our collaborators or other contractors or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185"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Our internal computer systems and those of our current and any future collaborators, vendors, and other contractors or consultants are vulnerable to damage from computer viruses, unauthorized access, natural disasters, terrorism, cybersecurity threats, war, and telecommunication and electrical failures. If any such material system failure, accident or security breach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one or more ongoing or completed or future clinical trials could result in delays in our regulatory approval efforts and significantly increase our costs to recover or reproduce the data. In addition, because of our approach of running multiple clinical trials in parallel, any breach of our computer systems may result in a loss of data or compromised data integrity across many of our programs in many stages of development. Any such breach, loss or compromise of clinical trial participant personal data may also subject us to civil fines and penalties, including under the EU General Data Protection Regulation, or the GDPR, relevant law of an EU member state, HIPAA, and other relevant state and federal privacy laws in the United States or in other jurisdictions. To the extent that any disruption or security breach were to result in a loss of, or damage to,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00" w:lineRule="exact"/>
        <w:rPr>
          <w:sz w:val="20"/>
          <w:szCs w:val="20"/>
          <w:color w:val="auto"/>
        </w:rPr>
      </w:pPr>
    </w:p>
    <w:p>
      <w:pPr>
        <w:spacing w:after="0" w:line="310"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While we have not experienced any material system failures, accidents or security breaches to date, in December 2020, we were informed by the EMA that the agency was subject to a cyberattack and that some documents relating to our regulatory submission for our COVID-19 vaccine candidate, which was stored on an EMA server, had been unlawfully accessed. None of our systems were breached in connection with this incident and we are unaware that any study participants were identified through the data being accessed.</w:t>
      </w:r>
    </w:p>
    <w:p>
      <w:pPr>
        <w:spacing w:after="0" w:line="23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We have put systems and procedures in place to minimize the likelihood of such incidents reoccurring; however, we cannot guarantee that third parties will not be able to gain unauthorized access to or otherwise breach our systems in the future. Any such unauthorized access or breach could adversely affect our business, results of operations and financial condition.</w:t>
      </w:r>
    </w:p>
    <w:p>
      <w:pPr>
        <w:spacing w:after="0" w:line="1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Product liability lawsuits against us could cause us to incur substantial liabilities and could limit commercialization of our current or future product candidates.</w:t>
      </w:r>
    </w:p>
    <w:p>
      <w:pPr>
        <w:spacing w:after="0" w:line="15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face an inherent risk of product liability exposure related to the testing of any of our current or future product candidates in clinical trials, and an even greater risk related to any commercialized products, such as our COVID-19 vaccine. We have received product liability claims against our COVID-19 vaccine, and expect to receive additional product liability claims in the future. If we cannot successfully defend ourselves against claims that our products and/or our product candidates have caused injuries, we could incur substantial liabilities. Regardless of merit or eventual outcome, liability claims may result in: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decreased demand for any product or product candidate that we may develop;</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77</w:t>
            </w:r>
          </w:p>
        </w:tc>
      </w:tr>
    </w:tbl>
    <w:p>
      <w:pPr>
        <w:sectPr>
          <w:pgSz w:w="11900" w:h="16838" w:orient="portrait"/>
          <w:cols w:equalWidth="0" w:num="1">
            <w:col w:w="11240"/>
          </w:cols>
          <w:pgMar w:left="320" w:top="388" w:right="339" w:bottom="1440" w:gutter="0" w:footer="0" w:header="0"/>
        </w:sectPr>
      </w:pPr>
    </w:p>
    <w:bookmarkStart w:id="86" w:name="page87"/>
    <w:bookmarkEnd w:id="8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loss of revenue;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substantial monetary awards to patients, healthy volunteers or their children;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significant time and costs to defend the related litigation;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withdrawal of clinical trial participants;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inability to commercialize any products or product candidates that we may develop;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injury to our reputation and significant negative media attention.</w:t>
      </w:r>
    </w:p>
    <w:p>
      <w:pPr>
        <w:spacing w:after="0" w:line="33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carry clinical trial insurance and product liability insurance, which we believe to be sufficient in light of our current clinical programs and commercial operations. However, the amount of coverage we have obtained may not be adequate, and we may seek to further increase insurance coverage limits as our pipeline moves towards commercialization. As we evolve, we may not be able to maintain insurance coverage at a reasonable cost or in sufficient amounts to protect us against losses due to liability. On occasion, large judgments have been awarded in class action lawsuits based on drugs or medical treatments that had unanticipated adverse effects. A successful product liability claim or series of claims brought against us could cause the price of the ADSs to decline and, if judgments exceed our insurance coverage, could adversely affect our results of operations and business.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If our products become subject to a product recall it could harm our reputation, business and financial results.</w:t>
      </w:r>
    </w:p>
    <w:p>
      <w:pPr>
        <w:spacing w:after="0" w:line="21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The FDA and similar governmental authorities in other jurisdictions have the authority to require the recall of certain commercialized products. In the case of the FDA, the authority to require a recall of a biologic product must be based on an FDA finding that a batch, lot or other quantity of the biologic product presents an imminent or substantial hazard to the public health. In addition, some governmental bodies outside the United States have the authority to require the recall of any product or product candidate in the event of material deficiencies or defects in design or manufacture. Manufacturers may, under their own initiative, recall a product if any material deficiency in a product is found. A government-mandated or voluntary recall by us could occur as a result of manufacturing errors, design or labeling defects or other deficiencies and issues.</w:t>
      </w:r>
    </w:p>
    <w:p>
      <w:pPr>
        <w:spacing w:after="0" w:line="200" w:lineRule="exact"/>
        <w:rPr>
          <w:sz w:val="20"/>
          <w:szCs w:val="20"/>
          <w:color w:val="auto"/>
        </w:rPr>
      </w:pPr>
    </w:p>
    <w:p>
      <w:pPr>
        <w:spacing w:after="0" w:line="304"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Recalls of any of our products or, if approved, our product candidates, would divert managerial and financial resources and have an adverse effect on our financial condition and results of operations. A recall announcement could harm our reputation with customers and negatively affect our sales, if any.</w:t>
      </w:r>
    </w:p>
    <w:p>
      <w:pPr>
        <w:spacing w:after="0" w:line="200" w:lineRule="exact"/>
        <w:rPr>
          <w:sz w:val="20"/>
          <w:szCs w:val="20"/>
          <w:color w:val="auto"/>
        </w:rPr>
      </w:pP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Issues in the development and use of AI, combined with an uncertain regulatory environment, may result in reputational harm, liability or other adverse consequences to our business.</w:t>
      </w:r>
    </w:p>
    <w:p>
      <w:pPr>
        <w:spacing w:after="0" w:line="158"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8"/>
          <w:szCs w:val="18"/>
          <w:color w:val="080509"/>
        </w:rPr>
        <w:t>We are investing in AI technology systems, including through our acquisition of InstaDeep, and such systems are complex and rapidly changing. We face significant competition from other companies with respect to our AI and machine learning services, along with an evolving regulatory landscape. The introduction of AI into the development and manufacturing of our product candidates, or the provision of services relating to AI technologies and applications, may result in new or enhanced governmental or regulatory scrutiny, litigation, intellectual property risks, confidentiality or security</w:t>
      </w:r>
    </w:p>
    <w:p>
      <w:pPr>
        <w:sectPr>
          <w:pgSz w:w="11900" w:h="16838" w:orient="portrait"/>
          <w:cols w:equalWidth="0" w:num="1">
            <w:col w:w="11240"/>
          </w:cols>
          <w:pgMar w:left="320" w:top="3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r>
        <w:rPr>
          <w:sz w:val="20"/>
          <w:szCs w:val="20"/>
          <w:color w:val="auto"/>
        </w:rPr>
        <w:tab/>
      </w:r>
      <w:r>
        <w:rPr>
          <w:rFonts w:ascii="Times New Roman" w:cs="Times New Roman" w:eastAsia="Times New Roman" w:hAnsi="Times New Roman"/>
          <w:sz w:val="22"/>
          <w:szCs w:val="22"/>
          <w:b w:val="1"/>
          <w:bCs w:val="1"/>
          <w:color w:val="C3C3C3"/>
        </w:rPr>
        <w:t>78</w:t>
      </w:r>
    </w:p>
    <w:p>
      <w:pPr>
        <w:sectPr>
          <w:pgSz w:w="11900" w:h="16838" w:orient="portrait"/>
          <w:cols w:equalWidth="0" w:num="1">
            <w:col w:w="11240"/>
          </w:cols>
          <w:pgMar w:left="320" w:top="388" w:right="339" w:bottom="1440" w:gutter="0" w:footer="0" w:header="0"/>
          <w:type w:val="continuous"/>
        </w:sectPr>
      </w:pPr>
    </w:p>
    <w:bookmarkStart w:id="87" w:name="page88"/>
    <w:bookmarkEnd w:id="8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risks, ethical concerns or other complications that could harm our business, reputation or financial condition.</w:t>
      </w:r>
    </w:p>
    <w:p>
      <w:pPr>
        <w:spacing w:after="0" w:line="333"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Uncertainty around AI may require additional investment in the development and maintenance of proprietary datasets and development of appropriate protections and safeguards for handling the use of customer data with AI technologies, which may be costly and could impact our expenses. In addition, AI may create content that appears correct but is inaccurate or flawed, and if created by third parties, may be mistakenly attributed to us. Our customers or others may rely on or use this flawed content to their detriment, which may expose us to brand or reputational harm, competitive harm or legal liability.</w:t>
      </w:r>
    </w:p>
    <w:p>
      <w:pPr>
        <w:spacing w:after="0" w:line="200" w:lineRule="exact"/>
        <w:rPr>
          <w:sz w:val="20"/>
          <w:szCs w:val="20"/>
          <w:color w:val="auto"/>
        </w:rPr>
      </w:pPr>
    </w:p>
    <w:p>
      <w:pPr>
        <w:spacing w:after="0" w:line="251"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8"/>
          <w:szCs w:val="18"/>
          <w:b w:val="1"/>
          <w:bCs w:val="1"/>
          <w:color w:val="005A64"/>
        </w:rPr>
        <w:t>Our ability to effectively monitor and respond to the rapid and ongoing developments and expectations relating to environmental, social and governance, or ESG, matters, including related social expectations and concerns, may impose unexpected costs or result in reputational or other harm that could have a material adverse effect on our business, financial condition, cash flows and results of operations and could cause the price of ADSs representing our ordinary shares to decline.</w:t>
      </w:r>
    </w:p>
    <w:p>
      <w:pPr>
        <w:spacing w:after="0" w:line="185"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There are rapid and ongoing developments and changing, sometimes conflicting, expectations relating to ESG matters and factors such as the environmental impact of our operations, access to our COVID-19 vaccine, corporate governance, our product stewardship practices, management of business ethics, human rights due diligence in our own operations and our supply chain, and workforce development. At the same time, ESG matters, including climate change, are the subject of increased politicization, particularly in the United States. These factors may result in increased regulatory, social or other scrutiny on us.</w:t>
      </w:r>
    </w:p>
    <w:p>
      <w:pPr>
        <w:spacing w:after="0" w:line="240"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We believe we must address climate risks from our own contribution to climate change (inside-out perspective), risks to our own operations due to physical effects of climate change as well as transition risks (outside-in perspective), and interactions between both perspectives. To this end, we have set ourselves near-term scienced-based emissions reduction targets for our own operations (scope 1, 2) and for our supply chain (supplier engagement target for scope 3), validated by the Science Based Targets initiative, or SBTi, in early February 2024.</w:t>
      </w:r>
    </w:p>
    <w:p>
      <w:pPr>
        <w:spacing w:after="0" w:line="23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Additionally, we are addressing increasingly complex regulatory requirements with respect to human rights risks. These requirements include German legislation, such as the Act on Corporate Due Diligence Obligations for the Prevention of Human Rights Violations in Supply Chains (Lieferkettensorgfaltspflichtengesetz – LkSG), potential legislative planning by the European Union, and local or regional regulations. Regulatory frameworks require us to identify, prevent, mitigate and ideally end the extent of any potential adverse impacts or violations throughout our own operations and value chain.</w:t>
      </w:r>
    </w:p>
    <w:p>
      <w:pPr>
        <w:spacing w:after="0" w:line="240"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Finally, we are faced with increasing ESG related transparency and reporting obligations. These requirements arise, for example, from the EU Corporate Sustainability Reporting Directive regulation, the European Sustainability Reporting Standards, and the respective German implementation law and other possible obligations. Should we fail to meet our climate protection targets or if we are unable to adequately recognize and respond to such developments and governmental, societal, investor and NGO expectations relating to such ESG matters, we may have to pay substantial fines, forego corporate opportunities, become subject to additional scrutiny, incur unexpected costs or experience damage to our reputation or our various brands. If any of these events were to occur, there may be a</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79</w:t>
            </w:r>
          </w:p>
        </w:tc>
      </w:tr>
    </w:tbl>
    <w:p>
      <w:pPr>
        <w:sectPr>
          <w:pgSz w:w="11900" w:h="16838" w:orient="portrait"/>
          <w:cols w:equalWidth="0" w:num="1">
            <w:col w:w="11240"/>
          </w:cols>
          <w:pgMar w:left="320" w:top="388" w:right="339" w:bottom="1440" w:gutter="0" w:footer="0" w:header="0"/>
        </w:sectPr>
      </w:pPr>
    </w:p>
    <w:bookmarkStart w:id="88" w:name="page89"/>
    <w:bookmarkEnd w:id="8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material adverse effect on our business, financial condition, cash flows and results of operations, and the price of ADSs representing our ordinary shares may decline.</w:t>
      </w:r>
    </w:p>
    <w:p>
      <w:pPr>
        <w:spacing w:after="0" w:line="217"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have observed that in addition to the importance of their financial performance, companies are increasingly being judged by their performance on ESG matters. A variety of organizations measure the performance of companies on such ESG topics, and the results of these assessments are widely publicized. We may fail to comply with standards or best practices put forth by such organizations or by governmental or regulatory bodies. There can be no certainty that we will manage such issues successfully, or that we will successfully meet society’s expectations as to our proper role. Any failure or perceived failure by us in this regard could have a material adverse effect on our reputation and on our business, the price of ADSs representing our ordinary shares, financial condition, or results of operations, including the sustainability of our business over time.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Risks Related to our COVID-19 Vaccine and the Commercialization of our Pipeline</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005A64"/>
        </w:rPr>
        <w:t>Demand for our COVID-19 vaccine, though difficult to predict, is expected to continue to decrease in the near future. Changing market dynamics, including as a result of government policy and public sentiment, will impact our revenue, which currently depends heavily on sales of our COVID-19 vaccine, and result in challenges relating to production of our COVID-19 vaccine.</w:t>
      </w:r>
    </w:p>
    <w:p>
      <w:pPr>
        <w:spacing w:after="0" w:line="180"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Prior to the commercialization of our COVID-19 vaccine, we had not sold or marketed any products in our pipeline. As a result, a majority of our total revenues to date are attributable to sales of our COVID-19 vaccine. However, we have experienced and we expect to continue to experience increasing reductions in demand for COVID-19 vaccination generally, including for our vaccine, now that the virus has entered an endemic stage and as a growing proportion of the population becomes vaccinated. We expect that future revenues from sales of our COVID-19 vaccine will decrease as demand for vaccination wanes. Such revenues will depend on numerous factors, including:</w:t>
      </w:r>
    </w:p>
    <w:p>
      <w:pPr>
        <w:spacing w:after="0" w:line="240"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extent to which a COVID-19 vaccine, including any booster shot, continues to be necessary while COVID-19 remains an endemic</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virus;</w:t>
      </w:r>
    </w:p>
    <w:p>
      <w:pPr>
        <w:spacing w:after="0" w:line="200" w:lineRule="exact"/>
        <w:rPr>
          <w:sz w:val="20"/>
          <w:szCs w:val="20"/>
          <w:color w:val="auto"/>
        </w:rPr>
      </w:pPr>
    </w:p>
    <w:p>
      <w:pPr>
        <w:spacing w:after="0" w:line="358"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competition from other COVID-19 vaccines, including those with different mechanisms of action and different manufacturing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distribution constraints, on the basis of, among other things, efficacy, cost, convenience of storage and distribution, breadth of approved use, side-effect profile and durability of immune response;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successfully and timely develop effective vaccines targeting new variants and mutations of COVID-19;</w:t>
      </w:r>
    </w:p>
    <w:p>
      <w:pPr>
        <w:spacing w:after="0" w:line="333"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extent to which changes in local, national and state government policy preferences in the United States and other jurisdictions,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including changes in vaccine recommendations, and evolving public sentiment affect demand for COVID-19 vaccines or mRNA therapeutics and our ability to successfully commercialize our product candidates, if approved;</w:t>
      </w:r>
    </w:p>
    <w:p>
      <w:pPr>
        <w:spacing w:after="0" w:line="231"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receive full regulatory approvals where we currently have, or previously have had, emergency use authorizations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equivalents;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expand our geographic customer base;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80</w:t>
            </w:r>
          </w:p>
        </w:tc>
      </w:tr>
    </w:tbl>
    <w:p>
      <w:pPr>
        <w:sectPr>
          <w:pgSz w:w="11900" w:h="16838" w:orient="portrait"/>
          <w:cols w:equalWidth="0" w:num="1">
            <w:col w:w="11240"/>
          </w:cols>
          <w:pgMar w:left="320" w:top="388" w:right="339" w:bottom="1440" w:gutter="0" w:footer="0" w:header="0"/>
        </w:sectPr>
      </w:pPr>
    </w:p>
    <w:bookmarkStart w:id="89" w:name="page90"/>
    <w:bookmarkEnd w:id="8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pricing and reimbursement negotiations with governmental authorities, private health insurers and other third-party payors after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initial sales to national governments, including the transition towards ordinary-course insurance coverage in the public and private sectors;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ability of countries and jurisdictions to store and distribute doses of our COVID-19 vaccine to end users at cold temperatures;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safety profile of our COVID-19 vaccine, including if previously unknown undesirable effects or increased incidence or severity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known undesirable effects are identified with our COVID-19 vaccine;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intellectual property litigation involving our COVID-19 vaccine and COVID-19 vaccines in general;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manufacturing and distribution capabilities for our COVID-19 vaccine.</w:t>
      </w:r>
    </w:p>
    <w:p>
      <w:pPr>
        <w:spacing w:after="0" w:line="333"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color w:val="080509"/>
        </w:rPr>
        <w:t>We cannot accurately predict the revenues our COVID-19 vaccine will generate in future periods or for how long our COVID-19 vaccine will continue to generate material revenues, and we cannot ensure it will maintain its competitive position. Uncertainty in the demand for our COVID-19 vaccine and difficulties in targeting appropriate supply of our COVID-19 vaccines have in the past resulted, and may in the future result, in significant inventory write-downs and cancellations of contract manufacturing orders. Our business and financial condition could be materially affected by lowered COVID-19 vaccine revenues resulting from any of the above factors, or by production and supply chain difficulties. In addition, if our revenues or market share of, or other financial metrics relating to, our COVID-19 vaccine do not meet the expectations of investors or securities analysts, the market price of the ADSs representing our ordinary shares may decline.</w:t>
      </w:r>
    </w:p>
    <w:p>
      <w:pPr>
        <w:spacing w:after="0" w:line="1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Our reported revenue is based in part on preliminary estimates of COVID-19 vaccine sales and costs from Pfizer that are likely to change in future periods, which may impact our reported financial results.</w:t>
      </w:r>
    </w:p>
    <w:p>
      <w:pPr>
        <w:spacing w:after="0" w:line="158"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Our reported revenue is based in part on preliminary estimates from Pfizer and other assumptions and judgments that we have made, which may be subject to significant uncertainties. Our revenue includes preliminary estimates in part due to a difference in Pfizer’s financial quarter for subsidiaries outside the United States, which consequently creates an additional time lag between the recognition of revenues and the receipt of payment. Although our revenue recognition policy is based on facts and circumstances known to us and various other assumptions that we believe to be reasonable under the circumstances, our actual results may deviate from such reported revenue.</w:t>
      </w:r>
    </w:p>
    <w:p>
      <w:pPr>
        <w:spacing w:after="0" w:line="240"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depend on Pfizer to determine and provide estimates of the costs and profits to be shared with us in the countries where it is commercializing our COVID-19 vaccine under our collaboration agreement with Pfizer for our COVID-19 vaccine, which we refer to as the Pfizer Agreement. Because the information supplied by Pfizer is preliminary and subject to change, the revenue we report based on such information is also subject to finalization. This is particularly true for vaccine sales outside of the United States, where Pfizer has a different reporting cycle than ours. As a result, we may not have the complete sales and costs results outside of the United States for months not covered by the reporting period, but we are nonetheless required to report estimated figures.</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81</w:t>
            </w:r>
          </w:p>
        </w:tc>
      </w:tr>
    </w:tbl>
    <w:p>
      <w:pPr>
        <w:sectPr>
          <w:pgSz w:w="11900" w:h="16838" w:orient="portrait"/>
          <w:cols w:equalWidth="0" w:num="1">
            <w:col w:w="11240"/>
          </w:cols>
          <w:pgMar w:left="320" w:top="388" w:right="339" w:bottom="1440" w:gutter="0" w:footer="0" w:header="0"/>
        </w:sectPr>
      </w:pPr>
    </w:p>
    <w:bookmarkStart w:id="90" w:name="page91"/>
    <w:bookmarkEnd w:id="9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8"/>
          <w:szCs w:val="18"/>
          <w:color w:val="080509"/>
        </w:rPr>
        <w:t>Pfizer has historically provided us with profit figures for our COVID-19 vaccine sales in the United States using standard U.S. transfer prices and manufacturing and shipping cost variances (as far as those have been identified) that could be subject to adjustment (e.g., due to changes in manufacturing costs or the price of our COVID-19 vaccine). Pfizer has also provided estimated profits for COVID-19 vaccine sales outside of the United States that were preliminary in nature for the last month of a quarter, as Pfizer’s subsidiaries outside of the United States have a different reporting cycle than ours. These estimated figures have changed, and in the future such estimated figures are likely to change, as we receive final data from Pfizer for the applicable period in accordance with the reporting cycle of Pfizer’s ex-U.S. subsidiaries and as actual costs become known. Further, to the extent that Pfizer does not provide such preliminary information in the future, our provisional sales figures for territories outside of the United States will be subject to an even greater level of estimate and judgment. Any changes to the preliminary data we report herein may have an impact on our reported revenues and expenses, profitability or financial position.</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We may be unsuccessful in adapting our COVID- 19 vaccine or developing future versions of our COVID-19 vaccine to protect against variants of the SARS-CoV-2 virus, and even if we are successful, a market for vaccines against these variants may not develop and our ability to continue to generate income from sales of our COVID-19 vaccine is uncertain.</w:t>
      </w:r>
    </w:p>
    <w:p>
      <w:pPr>
        <w:spacing w:after="0" w:line="176"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The COVID-19 disease itself is unpredictable and each variant comes with varying levels of transmissibility and severity. Consequently, the burden of the disease may wane or dissipate such that our and other COVID-19 vaccines may be considered less essential from individual and public health perspectives.</w:t>
      </w:r>
    </w:p>
    <w:p>
      <w:pPr>
        <w:spacing w:after="0" w:line="200" w:lineRule="exact"/>
        <w:rPr>
          <w:sz w:val="20"/>
          <w:szCs w:val="20"/>
          <w:color w:val="auto"/>
        </w:rPr>
      </w:pPr>
    </w:p>
    <w:p>
      <w:pPr>
        <w:spacing w:after="0" w:line="262"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Our COVID-19 vaccine was initially developed based upon the genetic sequence of the original SARS-CoV-2 virus that was first detected. The SARS-CoV-2 virus continues to evolve, and new strains of the virus or those that are already in circulation may prove more transmissible or cause more severe forms of COVID-19 disease than the predominant strains observed to date. Our vaccine may not be as effective in protecting against existing and future variant strains of the SARS-CoV-2 virus as it is against the original virus or currently known strains of the SARS-CoV-2 virus. We and Pfizer intend to continue to observe our COVID-19 vaccine, including variant-adapted vaccine candidates, in global clinical trials. It is possible that subsequent data from these clinical trials may not be as favorable as data we submitted to regulatory authorities to support our applications for emergency use authorization or marketing or conditional marketing approval or that concerns about the safety of our variant-adapted COVID-19 vaccines will arise from widespread use outside of clinical trials. While we continue to monitor emerging SARS-CoV-2 strains, undertake investigations into the immunogenicity of our COVID-19 vaccine against new variants as they emerge and develop modified versions of our COVID-19 vaccine against new variants, these efforts may be unsuccessful, and failure to timely and successfully adapt our vaccine to variants of the SARS-CoV-2 virus could lead to significant reputational harm and adversely affect our financial results. Furthermore, variant-adapted COVID-19 vaccines may not receive approval or emergency use authorization in all jurisdictions, which could adversely affect our business prospects. It is also possible that we may expend significant resources adapting our COVID-19 vaccine to protect against certain variants of the SARS-CoV-2 virus, but that a market for adapted vaccines does not develop for one or more variants or that demand does not align with our projections or cost expenditures. Moreover, even if we are successful in developing an adapted vaccine and there is a market for the new vaccine, new variants continue to emerge and any adapted vaccine may not be as effective in protecting against such future variant strains.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82</w:t>
            </w:r>
          </w:p>
        </w:tc>
      </w:tr>
    </w:tbl>
    <w:p>
      <w:pPr>
        <w:sectPr>
          <w:pgSz w:w="11900" w:h="16838" w:orient="portrait"/>
          <w:cols w:equalWidth="0" w:num="1">
            <w:col w:w="11240"/>
          </w:cols>
          <w:pgMar w:left="320" w:top="388" w:right="339" w:bottom="1440" w:gutter="0" w:footer="0" w:header="0"/>
        </w:sectPr>
      </w:pPr>
    </w:p>
    <w:bookmarkStart w:id="91" w:name="page92"/>
    <w:bookmarkEnd w:id="9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If we discover safety issues with our products, including our COVID-19 vaccine, that were not known at the time of approval, commercialization efforts for our products could be negatively affected, approved products could lose their approval or sales could be suspended, we could be subject to product liability claims and our business and reputation could be materially harmed.</w:t>
      </w:r>
    </w:p>
    <w:p>
      <w:pPr>
        <w:spacing w:after="0" w:line="176"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Our COVID-19 vaccine and any other product candidates for which we receive approval or emergency use authorization are subject to continuing regulatory oversight, including the review of additional safety information. Billions of doses of our COVID-19 vaccine have been delivered worldwide, and our COVID-19 vaccine is being more widely used by patients as an authorized product than it was used in clinical trials. As a result, undesirable effects and other problems may be observed that were not seen or anticipated, or were not as prevalent or severe, during clinical trials. We cannot provide assurance that newly discovered or developed safety issues will not arise, and we have received, and expect to continue to receive, product liability claims relating to our COVID-19 vaccine. With the use of any vaccine by a wide patient population, serious adverse events may occur from time to time that did not arise in clinical trials or that initially appeared to be unrelated to the vaccine itself and only with the collection of subsequent information were found to be causally related to the product. Safety events that arise outside of a clinical trial setting are difficult to monitor, and given the widespread use of our COVID-19 vaccine, we have experienced difficulty tracking potential treatment-related adverse events on a global basis. Any safety issues could cause us to suspend or cease marketing of our approved products, possibly subject us to substantial liabilities, and adversely affect our ability to generate revenue and our financial condition. The subsequent discovery of previously unknown problems with a product could negatively affect commercial sales of the product, result in restrictions on the product or lead to the withdrawal of the product from the market. The reporting of adverse safety events involving our products or public speculation about such events could cause the price of the ADSs representing our ordinary shares to decline or experience periods of volatility.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Unexpected safety issues, including any that we have not yet observed in our clinical trials or in real world data, could lead to significant reputational damage for us and our product development platforms going forward and other issues, including delays in our other programs, the need for re-design of our clinical trials and the need for significant additional financial resources.</w:t>
      </w:r>
    </w:p>
    <w:p>
      <w:pPr>
        <w:spacing w:after="0" w:line="18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color w:val="005A64"/>
        </w:rPr>
        <w:t>Failure to comply with continuing regulatory requirements by us or our collaboration partners could adversely impact regulatory approvals for our products, result in product recalls or suspensions, and/or subject us to fines and/or other types of liabilities.</w:t>
      </w:r>
    </w:p>
    <w:p>
      <w:pPr>
        <w:spacing w:after="0" w:line="172"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If we or our collaborators fail to comply with applicable continuing regulatory requirements, including good industry practices, such as good manufacturing practices, or GMP, we or our collaborators may be subject to fines, suspension or withdrawal of regulatory approvals for specific drugs, product recalls and seizures, operating restrictions and/or criminal prosecutions. We and the manufacturers we engage to make our products and the manufacturing facilities in which our products are made are subject to periodic review and inspection by the U.S. Food and Drug Administration, or the FDA, and other regulatory authorities. If problems are identified during a review or inspection, we or our collaborators may be the subject of adverse regulatory action, including the issuance of untitled or warning letters, which could result in our inability to use the facility to make our product or a determination that inventories are not safe for commercial sale. Any of these factors could adversely affect our business prospects and our financial position could be materially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83</w:t>
            </w:r>
          </w:p>
        </w:tc>
      </w:tr>
    </w:tbl>
    <w:p>
      <w:pPr>
        <w:sectPr>
          <w:pgSz w:w="11900" w:h="16838" w:orient="portrait"/>
          <w:cols w:equalWidth="0" w:num="1">
            <w:col w:w="11240"/>
          </w:cols>
          <w:pgMar w:left="320" w:top="388" w:right="339" w:bottom="1440" w:gutter="0" w:footer="0" w:header="0"/>
        </w:sectPr>
      </w:pPr>
    </w:p>
    <w:bookmarkStart w:id="92" w:name="page93"/>
    <w:bookmarkEnd w:id="9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color w:val="005A64"/>
        </w:rPr>
        <w:t>The successful commercialization of our product candidates will depend in part on the extent to which governmental authorities, private health insurers and other third-party payors provide coverage and adequate reimbursement levels and implement pricing policies favorable to our product candidates. Failure to obtain or maintain coverage and adequate reimbursement for our product candidates, if approved, and/or delayed payments from government authorities could limit our ability to market those products and decrease our ability to generate revenue.</w:t>
      </w:r>
    </w:p>
    <w:p>
      <w:pPr>
        <w:spacing w:after="0" w:line="391"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The availability and extent of reimbursement by governmental and private payors is essential for most patients to be able to afford certain treatments, including our COVID-19 vaccine and other product candidates we may develop and sell. In addition, because our mRNA product candidates represent an entirely new therapeutic modality, we cannot accurately estimate how future products we may develop and sell would be priced, whether reimbursement could be obtained, or any potential revenue. Sales of our product candidates will depend substantially, both domestically and abroad, on the extent to which the costs of our product candidates will be paid by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in any of our products. Additionally, even if pricing terms with governmental authorities are agreed upon, there may be delayed or denied payments.</w:t>
      </w:r>
    </w:p>
    <w:p>
      <w:pPr>
        <w:spacing w:after="0" w:line="200" w:lineRule="exact"/>
        <w:rPr>
          <w:sz w:val="20"/>
          <w:szCs w:val="20"/>
          <w:color w:val="auto"/>
        </w:rPr>
      </w:pPr>
    </w:p>
    <w:p>
      <w:pPr>
        <w:spacing w:after="0" w:line="309"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color w:val="080509"/>
        </w:rPr>
        <w:t>There is significant uncertainty related to the insurance coverage and reimbursement for newly approved products in particular in the United States, including genetic medicines. In the United States, the principal decisions about reimbursement for new medicines are typically made by the Centers for Medicare &amp; Medicaid Services, or CMS, an agency within the U.S. Department of Health and Human Services, or HHS, as CMS decides whether and to what extent a new medicine will be covered and reimbursed under Medicare. Private payors tend to follow CMS to a substantial degree. It is difficult to predict what CMS will decide with respect to reimbursement for novel products such as ours. Reimbursement agencies in Europe may be more conservative than CMS. For example, a number of cancer drugs have been approved for reimbursement in the United States but have not been approved for reimbursement in certain European countries.</w:t>
      </w:r>
    </w:p>
    <w:p>
      <w:pPr>
        <w:spacing w:after="0" w:line="240"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Outside the United States, certain countries, including a number of member states of the European Union, set prices and reimbursement for pharmaceutical products, with limited participation from the marketing authorization holders. We cannot be sure that such prices and reimbursement will be acceptable to us or our collaborators. If the regulatory authorities in these jurisdictions set prices or reimbursement levels that are not commercially attractive for us or our collaborators, our revenues from sales by us or our collaborators, and the potential profitability of our drug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European Union. Additionally, some countries require approval of the sale price of a product before it can be marketed. In many countries, the pricing review period begins after marketing or product licensing approval is granted. As a result, we might obtain marketing approval for a product in a particular country, but then may experience delays in the reimbursement approval of our product or be subject to price regulations that would delay our commercial launch of the product, possibly for lengthy time periods, which could negatively impact the revenues we are able to generate from the sale of the product in that particular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84</w:t>
            </w:r>
          </w:p>
        </w:tc>
      </w:tr>
    </w:tbl>
    <w:p>
      <w:pPr>
        <w:sectPr>
          <w:pgSz w:w="11900" w:h="16838" w:orient="portrait"/>
          <w:cols w:equalWidth="0" w:num="1">
            <w:col w:w="11240"/>
          </w:cols>
          <w:pgMar w:left="320" w:top="388" w:right="339" w:bottom="1440" w:gutter="0" w:footer="0" w:header="0"/>
        </w:sectPr>
      </w:pPr>
    </w:p>
    <w:bookmarkStart w:id="93" w:name="page94"/>
    <w:bookmarkEnd w:id="9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8"/>
          <w:szCs w:val="18"/>
          <w:color w:val="080509"/>
        </w:rPr>
        <w:t>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The Inflation Reduction Act, or IRA, enacted in August 2022 allows HHS to negotiate the price of certain drugs and biologics that CMS reimburses under Medicare Part B and Part D. The IRA’s negotiation program will apply to high-expenditure single-source drugs that have been approved for at least 7 years (11 years for biologics), among other negotiation selection criteria. The negotiated prices, which became effective in 2026 for the first round of selected drugs, are capped at a statutorily-determined ceiling price. The IRA also penalizes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These IRA provisions have begun to take effect progressively starting in 2023, although the drug negotiation provisions of the IRA are currently the subject of legal challenges. The effects of the IRA on our business and the healthcare industry in general are not yet known. In addition, the Center for Medicare and Medicaid Innovation, or CMMI, has announced two new mandatory models that propose MFN pricing for certain products covered by Medicare and one new voluntary model that proposes MFN pricing for products covered by Medicaid. These models, or other models announced by CMMI, could result in significantly lower prices for our products. These laws and regulations may result in additional reductions in Medicare and other healthcare funding and otherwise affect the prices we may obtain for any of our products for which we may obtain regulatory approval or the frequency with which any such product is prescribed or used.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importing from other countries and bulk purchasing. Officials appointed by the current presidential administration to oversee the implementation of the IRA may take a different approach, and the administration and Congress could also pursue statutory changes to the program, either of which could negatively affect our revenues.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surgical procedures and other treatments, has become very intense. As a result, increasingly high barriers are being erected to the entry of new products in the marketplace.</w:t>
      </w:r>
    </w:p>
    <w:p>
      <w:pPr>
        <w:spacing w:after="0" w:line="1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Government policies, including relating to manufacturing, export controls, or tariffs, and negative public perception regarding vaccines and mRNA-based therapeutics could severely and adversely impact the manufacturing and sales of our COVID-19 vaccine and other product candidates we may develop, if approved.</w:t>
      </w:r>
    </w:p>
    <w:p>
      <w:pPr>
        <w:spacing w:after="0" w:line="176"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There is a heightened risk that vaccines could be subject to export controls, adverse emergency actions or supply requirements by governmental and other authorities. In the past, the European Union and other regions have imposed, or threatened to impose, export controls that would limit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85</w:t>
            </w:r>
          </w:p>
        </w:tc>
      </w:tr>
    </w:tbl>
    <w:p>
      <w:pPr>
        <w:sectPr>
          <w:pgSz w:w="11900" w:h="16838" w:orient="portrait"/>
          <w:cols w:equalWidth="0" w:num="1">
            <w:col w:w="11240"/>
          </w:cols>
          <w:pgMar w:left="320" w:top="388" w:right="339" w:bottom="1440" w:gutter="0" w:footer="0" w:header="0"/>
        </w:sectPr>
      </w:pPr>
    </w:p>
    <w:bookmarkStart w:id="94" w:name="page95"/>
    <w:bookmarkEnd w:id="9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block the delivery of COVID-19 vaccines manufactured in or outside their territories in instances where manufacturers have been delayed or have not fully satisfied their delivery obligations to such governments, which could have prohibited us from delivering our COVID-19 vaccine to other jurisdictions. Recently, trade and tariff policies among the United States and other countries have been unsettled and are subject to frequent changes. The U.S. government has imposed tariffs and other trade restrictions on goods across a range of industries, and such actions have at times prompted retaliatory measures by affected countries such as China, Canada and the European Union. While tariffs with certain countries have been temporarily reduced or paused, the imposition of new tariffs will likely be met with further reciprocal tariffs, thus increasing the possibility of a global trade war. If trade restrictions or tariffs reduce global economic activity, potential impacts could include declining sales; increased costs; volatility in foreign exchange rates; and a decline in the value of our financial assets. Issued or future executive orders or other new or changes in laws, regulations or policy regarding tariffs could have a material adverse effect on our business, earnings and financial guidance. The actual impact of the new tariffs on our business is subject to a number of factors including, but not limited to, restrictions on trade, the effective date and duration of such tariffs, countries included in the scope of tariffs, changes to amounts of tariffs, potential retaliatory tariffs imposed by other countries, and the extent to which tariffs are imposed on finished or unfinished pharmaceutical products. Vaccines are also at risk of being subject to adverse emergency actions taken by governmental entities in certain countries, including intellectual property expropriation, compulsory licenses, strict price controls or other actions, such as the requirement that specific quantities of vaccine doses be set aside for designated purposes or geographic areas. Additional changes in governmental policy preferences and regulatory decision-making may have an adverse effect on our ability to commercialize products or, if approved, product candidates. For example, the FDA’s approval of our LP.8.1-adapted monovalent COVID-19 vaccine is in a narrower population than our previous variant-adapted vaccines.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8"/>
          <w:szCs w:val="18"/>
          <w:color w:val="080509"/>
        </w:rPr>
        <w:t>Furthermore, public sentiment regarding commercialization of vaccines, the safety and efficacy of our COVID-19 vaccine, other COVID-19 vaccines and treatments, and other public perceptions and misinformation relating to COVID-19, mRNA technology, and our and other COVID-19 vaccines may limit our ability to generate income from sales of our COVID-19 vaccine and other product candidates we may develop and sell, including due to changes in local, national and state government policies in the U.S. and other jurisdictions, and cause reputational damage.</w:t>
      </w:r>
    </w:p>
    <w:p>
      <w:pPr>
        <w:spacing w:after="0" w:line="200" w:lineRule="exact"/>
        <w:rPr>
          <w:sz w:val="20"/>
          <w:szCs w:val="20"/>
          <w:color w:val="auto"/>
        </w:rPr>
      </w:pPr>
    </w:p>
    <w:p>
      <w:pPr>
        <w:spacing w:after="0" w:line="2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We face significant competition with other makers of COVID-19 vaccines and may be unable to maintain a competitive market share for our COVID-19 vaccine.</w:t>
      </w:r>
    </w:p>
    <w:p>
      <w:pPr>
        <w:spacing w:after="0" w:line="158"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8"/>
          <w:szCs w:val="18"/>
          <w:color w:val="080509"/>
        </w:rPr>
        <w:t>A number of competitors currently have programs to develop COVID-19 vaccine candidates, including vaccines developed by Moderna, Inc. and Novavax, Inc. Our competitors pursuing vaccine candidates may have greater financial, product candidate development, manufacturing and marketing resources than we do. Larger pharmaceutical and biotechnology companies have extensive experience in clinical testing and obtaining regulatory approval for their products, and may have the resources to invest heavily to accelerate discovery and development of their vaccine candidates.</w:t>
      </w:r>
    </w:p>
    <w:p>
      <w:pPr>
        <w:spacing w:after="0" w:line="200" w:lineRule="exact"/>
        <w:rPr>
          <w:sz w:val="20"/>
          <w:szCs w:val="20"/>
          <w:color w:val="auto"/>
        </w:rPr>
      </w:pPr>
    </w:p>
    <w:p>
      <w:pPr>
        <w:spacing w:after="0" w:line="295"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Our efforts to continue successful commercialization of our COVID-19 vaccine may fail if competitors develop and commercialize COVID-19 vaccines that are safer, more effective, produce longer immunity against COVID-19, require fewer administrations, have fewer or less severe undesirable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86</w:t>
            </w:r>
          </w:p>
        </w:tc>
      </w:tr>
    </w:tbl>
    <w:p>
      <w:pPr>
        <w:sectPr>
          <w:pgSz w:w="11900" w:h="16838" w:orient="portrait"/>
          <w:cols w:equalWidth="0" w:num="1">
            <w:col w:w="11240"/>
          </w:cols>
          <w:pgMar w:left="320" w:top="388" w:right="339" w:bottom="1440" w:gutter="0" w:footer="0" w:header="0"/>
        </w:sectPr>
      </w:pPr>
    </w:p>
    <w:bookmarkStart w:id="95" w:name="page96"/>
    <w:bookmarkEnd w:id="9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effects, have broader market acceptance, are more convenient to administer or distribute or are less expensive than any vaccine candidate that we have developed or we may develop.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Our COVID-19 vaccine is sensitive to temperature, shipping and storage conditions and could be subject to risk of loss or damage.</w:t>
      </w:r>
    </w:p>
    <w:p>
      <w:pPr>
        <w:spacing w:after="0" w:line="21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Our COVID-19 vaccine is, and other product candidates we develop could be, sensitive to temperature, storage and handling conditions. In particular, while we have improved the required shipping and storage conditions of our COVID-19 vaccine, it must be shipped and stored at cold temperatures. Loss in supply of our COVID-19 vaccine and our product candidates could occur if the product or product intermediates are not stored or handled properly. Shelf life for our product candidates may vary by product, and it is possible that supply of our COVID-19 vaccine or our product candidates could be lost due to expiration prior to use. This has in the past led, and could in the future lead, to additional manufacturing costs and delays in our ability to supply required quantities for clinical trials or for commercial purposes. Such distribution challenges may make our COVID-19 vaccine a less attractive product than other COVID-19 vaccines that do not require as cold storage, and our COVID-19 vaccine may become increasingly less competitive as additional other vaccines become authorized for emergency use. If we, our partners and customers are unable to adequately manage these issues, we may be exposed to product liability claims and the market opportunity for our COVID-19 vaccine may be reduced, each of which could adversely affect our business prospects and materially harm our financial condition.</w:t>
      </w:r>
    </w:p>
    <w:p>
      <w:pPr>
        <w:spacing w:after="0" w:line="200" w:lineRule="exact"/>
        <w:rPr>
          <w:sz w:val="20"/>
          <w:szCs w:val="20"/>
          <w:color w:val="auto"/>
        </w:rPr>
      </w:pPr>
    </w:p>
    <w:p>
      <w:pPr>
        <w:spacing w:after="0" w:line="2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The market opportunities for some of our product candidates may be small due to the rarity of the disease, or limited to those patients who are ineligible for or have failed prior treatments. As the target patient populations for some of our programs are small, we may be unable to achieve or maintain profitability in future periods without obtaining regulatory approval for additional indications.</w:t>
      </w:r>
    </w:p>
    <w:p>
      <w:pPr>
        <w:spacing w:after="0" w:line="175"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The FDA often approves new cancer therapies initially only for use by patients with relapsed or refractory advanced cancer. We expect to seek approval initially for some of our product candidates in this context. Subsequently, for those products that prove to be sufficiently beneficial, we would expect to seek approval in earlier lines of treatment and potentially as a first-line therapy, but there is no guarantee that our product candidates, even if approved, would be approved for earlier lines of therapy, and, prior to any such approvals, we may have to conduct additional clinical trials. We are also developing product candidates for the treatment of rare diseases.</w:t>
      </w:r>
    </w:p>
    <w:p>
      <w:pPr>
        <w:spacing w:after="0" w:line="240"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Our projections of the number of people who have or will have the diseases we may be targeting may prove to be incorrect. Further, new studies may change the estimated incidence or prevalence of these diseases. The number of trial participants may turn out to be lower than expected. Additionally, the potentially addressable patient population for our product candidates may be limited or may not be amenable to treatment with our product candidates. Even if we obtain significant market share for our products, if approved, because the potential target populations may be small, we may be unable to achieve or maintain profitability in future periods without obtaining regulatory approval for additional indications.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87</w:t>
            </w:r>
          </w:p>
        </w:tc>
      </w:tr>
    </w:tbl>
    <w:p>
      <w:pPr>
        <w:sectPr>
          <w:pgSz w:w="11900" w:h="16838" w:orient="portrait"/>
          <w:cols w:equalWidth="0" w:num="1">
            <w:col w:w="11240"/>
          </w:cols>
          <w:pgMar w:left="320" w:top="388" w:right="339" w:bottom="1440" w:gutter="0" w:footer="0" w:header="0"/>
        </w:sectPr>
      </w:pPr>
    </w:p>
    <w:bookmarkStart w:id="96" w:name="page97"/>
    <w:bookmarkEnd w:id="9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005A64"/>
        </w:rPr>
        <w:t>If we are unable to continue to increase our marketing and sales capabilities on our own or through third parties, we may not be able to market and sell our product candidates effectively in the United States and other jurisdictions, if approved, or generate sufficient product sales revenue.</w:t>
      </w:r>
    </w:p>
    <w:p>
      <w:pPr>
        <w:spacing w:after="0" w:line="384"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We have only relatively recently developed our sales, distribution or marketing capabilities in Germany and Türkiye. With respect to our COVID-19 vaccine, we rely heavily on the sales, distribution, and marketing capabilities of our partners except in Germany and Türkiye. To successfully commercialize any other products that may result from our development programs, several of which are undergoing pivotal clinical trials, we will need to continue developing sales and marketing capabilities in the United States, Europe and other regions, either on our own or with others. We may enter into collaborations with other entities to utilize their mature marketing and distribution capabilities, but we may be unable to enter into marketing agreements on favorable terms, if at all. If our current and future collaborators do not commit sufficient resources to further commercialize our COVID-19 vaccine and our future products, if any, and we are unable to develop the necessary marketing capabilities on our own, we may be unable to generate sufficient product sales revenue to sustain our business. We compete with many companies that currently have extensive and well-funded marketing and sales operations. Without continuing to grow our internal team or obtaining the support of third parties to perform marketing and sales functions, we may be unable to compete successfully against these more established companies.</w:t>
      </w:r>
    </w:p>
    <w:p>
      <w:pPr>
        <w:spacing w:after="0" w:line="200" w:lineRule="exact"/>
        <w:rPr>
          <w:sz w:val="20"/>
          <w:szCs w:val="20"/>
          <w:color w:val="auto"/>
        </w:rPr>
      </w:pPr>
    </w:p>
    <w:p>
      <w:pPr>
        <w:spacing w:after="0" w:line="262"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b w:val="1"/>
          <w:bCs w:val="1"/>
          <w:color w:val="005A64"/>
        </w:rPr>
        <w:t>Our ability to achieve or maintain profitability in future periods depends in part on our and our collaborators’ ability to penetrate global markets, where we would be subject to additional regulatory burdens and other risks and uncertainties associated with international operations that could materially adversely affect our business.</w:t>
      </w:r>
    </w:p>
    <w:p>
      <w:pPr>
        <w:spacing w:after="0" w:line="180"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Our ability to achieve or maintain profitability in future periods will depend in part on our ability and the ability of our collaborators to commercialize any products that we or our collaborators may develop in markets throughout the world. Commercialization of products in various markets could subject us to risks and uncertainties, including:</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obtaining, on a country-by-country basis, the applicable marketing authorization from the competent regulatory authority;</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burden of complying with complex and changing regulatory, tax, accounting, labor and other legal requirements in each jurisdiction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that we or our collaborators pursue;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reduced protection for intellectual property rights;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differing medical practices and customs affecting acceptance in the marketplace;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import or export licensing requirements;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governmental controls, trade restrictions or changes in tariffs;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economic weakness, including inflation, or political instability;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production shortages resulting from any events affecting raw material supply or manufacturing capabilities abroad;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88</w:t>
            </w:r>
          </w:p>
        </w:tc>
      </w:tr>
    </w:tbl>
    <w:p>
      <w:pPr>
        <w:sectPr>
          <w:pgSz w:w="11900" w:h="16838" w:orient="portrait"/>
          <w:cols w:equalWidth="0" w:num="1">
            <w:col w:w="11240"/>
          </w:cols>
          <w:pgMar w:left="320" w:top="388" w:right="339" w:bottom="1440" w:gutter="0" w:footer="0" w:header="0"/>
        </w:sectPr>
      </w:pPr>
    </w:p>
    <w:bookmarkStart w:id="97" w:name="page98"/>
    <w:bookmarkEnd w:id="9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longer accounts receivable collection times;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longer lead times for shipping;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language barriers;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foreign currency exchange rate fluctuations;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impact of epidemics, pandemics and other public health developments, such as COVID-19, on employees and the global economy;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reimbursement, pricing and insurance regimes;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interpretation of contractual provisions governed by local laws in the event of a contract dispute.</w:t>
      </w:r>
    </w:p>
    <w:p>
      <w:pPr>
        <w:spacing w:after="0" w:line="333"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We do not have prior experience in all of these areas, and the experience we do have in some of these areas is limited. Our collaborators may have limited experience in these areas as well. Failure to successfully navigate these risks and uncertainties may limit or prevent market penetration for any products that we or our collaborators may develop, which would limit their commercial potential and our revenues.</w:t>
      </w:r>
    </w:p>
    <w:p>
      <w:pPr>
        <w:spacing w:after="0" w:line="18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Even if we obtain regulatory approval for our product candidates, the products may not gain the market acceptance among physicians, patients, hospitals, treatment centers and others in the medical community necessary for commercial success.</w:t>
      </w:r>
    </w:p>
    <w:p>
      <w:pPr>
        <w:spacing w:after="0" w:line="158"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Even with the requisite approvals, the commercial success of our products will depend in part on the medical community, patients, and third-party or governmental payors accepting immunotherapies in general, and our products in particular, as medically useful, cost-effective and safe.</w:t>
      </w:r>
    </w:p>
    <w:p>
      <w:pPr>
        <w:spacing w:after="0" w:line="200" w:lineRule="exact"/>
        <w:rPr>
          <w:sz w:val="20"/>
          <w:szCs w:val="20"/>
          <w:color w:val="auto"/>
        </w:rPr>
      </w:pPr>
    </w:p>
    <w:p>
      <w:pPr>
        <w:spacing w:after="0" w:line="262"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Any product that we bring to the market may not gain market acceptance by physicians, trial participants, third-party payors, and others in the medical community. Additionally, ethical and legal concerns and social preferences about research involving mRNA could result in additional regulations restricting or prohibiting the products and processes we may use. If these products do not achieve an adequate level of acceptance, we may not generate significant product sales revenue and may not be able to achieve or maintain profitability in future periods. The degree of market acceptance of our product candidates, if approved for commercial sale, will depend on a number of factors, including:</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potential efficacy and potential advantages over alternative treatments;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ability to offer our products, if approved, at competitive prices;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prevalence and severity of any undesirable effects, including any limitations or warnings contained in a product’s approved labeling;</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prevalence and severity of any undesirable effects resulting from checkpoint inhibitors or other drugs or therapies with which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products are administered;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relative convenience and ease of transportation, storage and administration;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89</w:t>
            </w:r>
          </w:p>
        </w:tc>
      </w:tr>
    </w:tbl>
    <w:p>
      <w:pPr>
        <w:sectPr>
          <w:pgSz w:w="11900" w:h="16838" w:orient="portrait"/>
          <w:cols w:equalWidth="0" w:num="1">
            <w:col w:w="11240"/>
          </w:cols>
          <w:pgMar w:left="320" w:top="388" w:right="339" w:bottom="1440" w:gutter="0" w:footer="0" w:header="0"/>
        </w:sectPr>
      </w:pPr>
    </w:p>
    <w:bookmarkStart w:id="98" w:name="page99"/>
    <w:bookmarkEnd w:id="9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any restrictions on the use of our products, if approved, together with other medications;</w:t>
      </w:r>
    </w:p>
    <w:p>
      <w:pPr>
        <w:spacing w:after="0" w:line="333"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willingness of the target patient population to try new therapies, such as mRNA vaccines and therapies, and of physicians to prescribe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these therapies;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strength of marketing and distribution support and timing of market introduction of competitive products;</w:t>
      </w:r>
    </w:p>
    <w:p>
      <w:pPr>
        <w:spacing w:after="0" w:line="333"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extent to which changes in local, national and state government policy preferences in the United States and other jurisdictions resulting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from new elected leadership and evolving public sentiment affect demand for COVID-19 vaccines or mRNA therapeutics and our ability to successfully commercialize our product candidates, if approved;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publicity concerning our products or competing products and treatments; and</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sufficient third-party insurance coverage or reimbursement, and patients’ willingness to pay out-of-pocket in the absence of third-party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coverage or adequate reimbursement.</w:t>
      </w:r>
    </w:p>
    <w:p>
      <w:pPr>
        <w:spacing w:after="0" w:line="217"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Even if a potential product displays a favorable efficacy and safety profile in preclinical studies and clinical trials, market acceptance of the product will not be known until after it is launched. Our efforts to educate the medical community and third-party payors on the benefits of the products may require significant resources and may never be successful. Our efforts to educate the marketplace may require more resources than are required by the conventional technologies marketed by our competitors due to the complexity and uniqueness of our programs.</w:t>
      </w:r>
    </w:p>
    <w:p>
      <w:pPr>
        <w:spacing w:after="0" w:line="200" w:lineRule="exact"/>
        <w:rPr>
          <w:sz w:val="20"/>
          <w:szCs w:val="20"/>
          <w:color w:val="auto"/>
        </w:rPr>
      </w:pPr>
    </w:p>
    <w:p>
      <w:pPr>
        <w:spacing w:after="0" w:line="295"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In addition, for our products that are approved for marketing, we and/or our collaborator are subject to significant regulatory obligations regarding the submission of safety and other post-marketing information and reports for such product, and will need to continue to comply (or ensure that our third-party providers comply) with current GMP and current good clinical practices, or GCP, for any clinical trials that we or a collaborator conduct post-approval. In addition, there is always the risk that we or a collaborator or regulatory authority might identify previously unknown problems with a product post-approval, such as adverse events of unanticipated severity or frequency. Compliance with these requirements is costly, and any such failure to comply or other issues with our product candidates identified post-approval could have a material adverse impact on our business, financial condition and results of operations.</w:t>
      </w:r>
    </w:p>
    <w:p>
      <w:pPr>
        <w:spacing w:after="0" w:line="1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Coverage and reimbursement may be limited or unavailable in certain market segments for our product candidates, which could make it difficult for us to sell our product candidates, if approved, profitably.</w:t>
      </w:r>
    </w:p>
    <w:p>
      <w:pPr>
        <w:spacing w:after="0" w:line="15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Successful sales of our product candidates, if approved, depend on the availability of coverage and adequate reimbursement from third-party payors including governmental healthcare programs, such as Medicare and Medicaid in the United States, managed care organizations and commercial payors, among others. Significant uncertainty exists as to the coverage and reimbursement status of any product candidates for which we obtain regulatory approval. In addition, because certain of our product candidates represent new approaches to the treatment of cancer, we cannot accurately estimate the potential revenue from our product candidates.</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90</w:t>
            </w:r>
          </w:p>
        </w:tc>
      </w:tr>
    </w:tbl>
    <w:p>
      <w:pPr>
        <w:sectPr>
          <w:pgSz w:w="11900" w:h="16838" w:orient="portrait"/>
          <w:cols w:equalWidth="0" w:num="1">
            <w:col w:w="11240"/>
          </w:cols>
          <w:pgMar w:left="320" w:top="388" w:right="339" w:bottom="1440" w:gutter="0" w:footer="0" w:header="0"/>
        </w:sectPr>
      </w:pPr>
    </w:p>
    <w:bookmarkStart w:id="99" w:name="page100"/>
    <w:bookmarkEnd w:id="9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Patients who are provided medical treatment for their conditions generally rely on third-party payors to reimburse all or part of the costs associated with their treatment. Obtaining coverage and adequate reimbursement from third-party payors is critical to new product acceptance.</w:t>
      </w:r>
    </w:p>
    <w:p>
      <w:pPr>
        <w:spacing w:after="0" w:line="200" w:lineRule="exact"/>
        <w:rPr>
          <w:sz w:val="20"/>
          <w:szCs w:val="20"/>
          <w:color w:val="auto"/>
        </w:rPr>
      </w:pPr>
    </w:p>
    <w:p>
      <w:pPr>
        <w:spacing w:after="0" w:line="262"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Third-party payors decide which drugs and treatments they will cover and the amount of reimbursement. Reimbursement by a third-party payor may depend upon a number of factors, including, but not limited to, the third-party payor’s determination that use of a product is: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covered benefit under its health plan;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safe, effective and medically necessary;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appropriate for the specific patient;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cost-effective;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neither experimental nor investigational.</w:t>
      </w:r>
    </w:p>
    <w:p>
      <w:pPr>
        <w:spacing w:after="0" w:line="333"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Obtaining coverage and reimbursement of a product from a government or other third-party payor is a time-consuming and costly process that could require us to provide to the payor supporting scientific, clinical and cost-effectiveness data for the use of our products. Third-party payors could require us to conduct additional studies, including post-marketing studies related to the cost effectiveness of a product, to qualify for reimbursement, which could be costly and divert our resources. Even if we obtain coverage for a given product, if the resulting reimbursement rates are insufficient, hospitals may not approve our product for use in their facility or third-party payors may require co-payments that patients find unacceptably high. Patients are unlikely to use our product candidates unless coverage is provided and reimbursement is adequate to cover a significant portion of the cost of our product candidates. Separate reimbursement for the product itself may or may not be available. Instead, the hospital or administering physician may be reimbursed only for providing the treatment or procedure in which our product is used. Further, from time to time, CMS revises the reimbursement systems used to reimburse healthcare providers, including the Medicare Physician Fee Schedule and Outpatient Prospective Payment System, which may result in reduced Medicare payments. In some cases, private third-party payors rely on all or portions of Medicare payment systems to determine payment rates. Changes to government healthcare programs that reduce payments under these programs may negatively impact payments from private third-party payors, and reduce the willingness of physicians to use our product candidates.</w:t>
      </w:r>
    </w:p>
    <w:p>
      <w:pPr>
        <w:spacing w:after="0" w:line="200" w:lineRule="exact"/>
        <w:rPr>
          <w:sz w:val="20"/>
          <w:szCs w:val="20"/>
          <w:color w:val="auto"/>
        </w:rPr>
      </w:pPr>
    </w:p>
    <w:p>
      <w:pPr>
        <w:spacing w:after="0" w:line="310"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In the United States, no uniform policy of coverage and reimbursement for products exists among third-party payors. Therefore, coverage and reimbursement for products can differ significantly from payor to payor.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236"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We intend to seek approval to market our product candidates in the United States, the European Union and other selected jurisdictions. If we obtain approval for our product candidates in any particular jurisdiction, we will be subject to rules and regulations in that jurisdiction. In some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91</w:t>
            </w:r>
          </w:p>
        </w:tc>
      </w:tr>
    </w:tbl>
    <w:p>
      <w:pPr>
        <w:sectPr>
          <w:pgSz w:w="11900" w:h="16838" w:orient="portrait"/>
          <w:cols w:equalWidth="0" w:num="1">
            <w:col w:w="11240"/>
          </w:cols>
          <w:pgMar w:left="320" w:top="388" w:right="339" w:bottom="1440" w:gutter="0" w:footer="0" w:header="0"/>
        </w:sectPr>
      </w:pPr>
    </w:p>
    <w:bookmarkStart w:id="100" w:name="page101"/>
    <w:bookmarkEnd w:id="10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particularly those in Europe, the pricing of biologics is subject to governmental control. In these countries, pricing negotiations with governmental authorities can take considerable time after obtaining marketing approval of a product candidate.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has become very intense. As a result, increasingly high barriers are being erected to the entry of new products into the marketplace. In addition, in some countries, cross-border imports from low-priced markets exert a commercial pressure on pricing within a country.</w:t>
      </w:r>
    </w:p>
    <w:p>
      <w:pPr>
        <w:spacing w:after="0" w:line="200" w:lineRule="exact"/>
        <w:rPr>
          <w:sz w:val="20"/>
          <w:szCs w:val="20"/>
          <w:color w:val="auto"/>
        </w:rPr>
      </w:pPr>
    </w:p>
    <w:p>
      <w:pPr>
        <w:spacing w:after="0" w:line="304"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The marketability of any product candidates for which we receive regulatory approval for commercial sale may suffer if government and other third-party payors fail to provide coverage and adequate reimbursement. We expect downward pressure on pharmaceutical pricing to continue. Further,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00" w:lineRule="exact"/>
        <w:rPr>
          <w:sz w:val="20"/>
          <w:szCs w:val="20"/>
          <w:color w:val="auto"/>
        </w:rPr>
      </w:pPr>
    </w:p>
    <w:p>
      <w:pPr>
        <w:spacing w:after="0" w:line="2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The advancement of healthcare reform legislation and changes to the regulatory environment in the United States, the European Union and elsewhere may increase the difficulty and cost for us to obtain marketing approval of and commercialize any product candidates we or our collaborators develop and may adversely affect the prices for such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In the United States, there have been and continue to be a number of legislative initiatives to contain healthcare costs.</w:t>
      </w:r>
    </w:p>
    <w:p>
      <w:pPr>
        <w:spacing w:after="0" w:line="33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In August 2022, the IRA was enacted, which sets forth meaningful changes to drug product reimbursement by Medicare. The IRA is anticipated to have significant effects on the pharmaceutical industry and may reduce the prices we can charge and reimbursement we can receive for our products in the United States, among other effects. Any reduction in reimbursement from Medicare resulting from the IRA or other legislative or policy changes or from other government programs may result in a similar reduction in payments from private payers. On August 16, 2024, CMS announced the results of a first round of discounted prices effectively set by CMS under the IRA, applicable to ten products of other manufacturers; those discounted prices, set to take effect for calendar year 2026, were as high as 79% from 2023 list prices. Additional products will be discounted in future years. We cannot be sure whether additional legislative changes will be enacted, or the effect of forthcoming guidance implementing the IRA, or what the impact of such changes on our products and product candidates may be. Officials appointed by the current presidential administration to oversee the implementation of the IRA or other statutes may take a different approach, and the administration and Congress could also pursue statutory changes to this or other programs, either of which could negatively affect our revenues.</w:t>
      </w:r>
    </w:p>
    <w:p>
      <w:pPr>
        <w:spacing w:after="0" w:line="200" w:lineRule="exact"/>
        <w:rPr>
          <w:sz w:val="20"/>
          <w:szCs w:val="20"/>
          <w:color w:val="auto"/>
        </w:rPr>
      </w:pPr>
    </w:p>
    <w:p>
      <w:pPr>
        <w:spacing w:after="0" w:line="30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European Union and national</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92</w:t>
            </w:r>
          </w:p>
        </w:tc>
      </w:tr>
    </w:tbl>
    <w:p>
      <w:pPr>
        <w:sectPr>
          <w:pgSz w:w="11900" w:h="16838" w:orient="portrait"/>
          <w:cols w:equalWidth="0" w:num="1">
            <w:col w:w="11240"/>
          </w:cols>
          <w:pgMar w:left="320" w:top="388" w:right="339" w:bottom="1440" w:gutter="0" w:footer="0" w:header="0"/>
        </w:sectPr>
      </w:pPr>
    </w:p>
    <w:bookmarkStart w:id="101" w:name="page102"/>
    <w:bookmarkEnd w:id="10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200" w:lineRule="exact"/>
        <w:rPr>
          <w:sz w:val="20"/>
          <w:szCs w:val="20"/>
          <w:color w:val="auto"/>
        </w:rPr>
      </w:pPr>
    </w:p>
    <w:p>
      <w:pPr>
        <w:spacing w:after="0" w:line="262"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We expect that additional healthcare reform measures or proposals will be adopted in the future, any of which could limit the amounts that governments will pay for healthcare products and services, including public health measures, which could result in reduced demand for our products and product candidates or additional pricing pressures. In the event that the pricing structures for healthcare products, such as the product candidates we are developing, change materially and limit payments for such product candidates, our business will be adversely impacted as our products may no longer be commercially viable based on their expected net present value; we may have invested significant resources in product candidates that cannot be commercially developed; or we may determine that assets that have reached an early phase of development cannot or will not be taken into further development, notwithstanding their clinical viability. In addition, development assets or clinical programs that are part of our collaborations may no longer be deemed commercially viable to pursue based on our collaborators’ assessments of the impact of any proposed, announced, or legislated pricing reforms.</w:t>
      </w:r>
    </w:p>
    <w:p>
      <w:pPr>
        <w:spacing w:after="0" w:line="200" w:lineRule="exact"/>
        <w:rPr>
          <w:sz w:val="20"/>
          <w:szCs w:val="20"/>
          <w:color w:val="auto"/>
        </w:rPr>
      </w:pPr>
    </w:p>
    <w:p>
      <w:pPr>
        <w:spacing w:after="0" w:line="306"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We cannot predict what healthcare reform initiatives may be adopted in the future. Further legislative and regulatory developments are likely, and we expect ongoing initiatives to increase pressure on drug pricing. Such reforms could have an adverse effect on anticipated revenues from our approved products and from product candidates that we may successfully develop and for which we may obtain regulatory approval, and may affect our overall financial condition and ability to develop product candidates.</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Drug marketing and reimbursement regulations in the European Union and elsewhere may materially affect our ability to market and receive coverage for our products in the member states of the European Union and elsewhere.</w:t>
      </w:r>
    </w:p>
    <w:p>
      <w:pPr>
        <w:spacing w:after="0" w:line="158"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Our COVID-19 vaccine is currently approved in the United States, the European Union, and other jurisdictions, and we intend to seek approval to market other product candidates in the United States, the European Union and other selected jurisdictions. If we obtain approval for our products or product candidates in a particular jurisdiction, we will be subject to rules and regulations in that jurisdiction. In some countries, particularly those in the European Union, the pricing of biologics is subject to governmental control and other market regulations that could put pressure on the pricing and usage of our products or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healthcare reform measures.</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In addition, in most countries outside the United States,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member states and parallel distribution, or arbitrage between low-priced and high-priced member states, can further reduce prices. A member state may approve a specific price for the medicinal product or it may instead adopt a system of direct or indirect controls</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93</w:t>
            </w:r>
          </w:p>
        </w:tc>
      </w:tr>
    </w:tbl>
    <w:p>
      <w:pPr>
        <w:sectPr>
          <w:pgSz w:w="11900" w:h="16838" w:orient="portrait"/>
          <w:cols w:equalWidth="0" w:num="1">
            <w:col w:w="11240"/>
          </w:cols>
          <w:pgMar w:left="320" w:top="388" w:right="339" w:bottom="1440" w:gutter="0" w:footer="0" w:header="0"/>
        </w:sectPr>
      </w:pPr>
    </w:p>
    <w:bookmarkStart w:id="102" w:name="page103"/>
    <w:bookmarkEnd w:id="10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on the profitability of the company placing the medicinal product on the market. In some countries, we may be required to conduct a clinical trial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 in the European Union.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by us or our collaborators and the potential profitability of any of our product candidates in those countries would be negatively affected.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Risks Related to our Financial Condition and Capital Requirements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Long-term sustainable profitability is difficult to achieve and maintain over time and is highly dependent on various factors.</w:t>
      </w:r>
    </w:p>
    <w:p>
      <w:pPr>
        <w:spacing w:after="0" w:line="216"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Our ability to continue to generate revenues and achieve and maintain long-term sustainable profitability depends on our ability, alone or with collaborators, to successfully complete the development of, and obtain the regulatory approvals necessary to commercialize, our product candidates. We continue to generate revenues from sales of our COVID-19 vaccine and additional limited revenues from other transactions. While we expect to maintain revenue from ongoing COVID-19 vaccine sales, future demand for COVID-19 vaccination is subject to uncertainty. Variations driven by factors such as new virus variants, legal developments, policy changes, public health measures and public sentiment may impact long-term demand of our COVID-19 vaccine. Consequently, our revenue projections are influenced by this inherent unpredictability. The amount of long-term revenue from such sales, including the sales of our COVID-19 vaccine, is uncertain at this time. Our ability to generate future revenues from pharmaceutical product sales and sales of our other products and services depends heavily on our and our collaborators’ success in:</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completing research and preclinical and clinical development of our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seeking and obtaining U.S. and non-U.S. marketing approvals for product candidates for which we complete clinical trials;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seeking and obtaining market access and favorable pricing terms in the United States, the European Union, and other key geographies;</w:t>
      </w:r>
    </w:p>
    <w:p>
      <w:pPr>
        <w:spacing w:after="0" w:line="333"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furthering the development of our own manufacturing capabilities and manufacturing relationships with third parties in order to provide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adequate (in amount and quality) products and services to support clinical development and the market demand for our approved products and product candidates, if approved;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obtaining market acceptance of our approved products and product candidates as a treatment option;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94</w:t>
            </w:r>
          </w:p>
        </w:tc>
      </w:tr>
    </w:tbl>
    <w:p>
      <w:pPr>
        <w:sectPr>
          <w:pgSz w:w="11900" w:h="16838" w:orient="portrait"/>
          <w:cols w:equalWidth="0" w:num="1">
            <w:col w:w="11240"/>
          </w:cols>
          <w:pgMar w:left="320" w:top="388" w:right="339" w:bottom="1440" w:gutter="0" w:footer="0" w:header="0"/>
        </w:sectPr>
      </w:pPr>
    </w:p>
    <w:bookmarkStart w:id="103" w:name="page104"/>
    <w:bookmarkEnd w:id="10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launching and commercializing products for which we obtain marketing approval and reimbursement, either through collaborations or, if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launched independently, by establishing a sales force, marketing and distribution infrastructure;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addressing any competing technological and market developments, in particular, declining demand for any of our approved products;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implementing additional internal systems and infrastructure;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negotiating favorable terms in any collaboration, licensing or other arrangements into which we may enter;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managing our expenses;</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maintaining, defending, protecting, enforcing and expanding our portfolio of intellectual property rights, including patents, trade secrets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and know-how; 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attracting, hiring and retaining qualified personnel.</w:t>
      </w:r>
    </w:p>
    <w:p>
      <w:pPr>
        <w:spacing w:after="0" w:line="333"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Additionally, we have incurred significant costs associated with the commercialization of our COVID-19 vaccine. Our expenses could increase beyond our expectations if we are required by the FDA, the European Medicines Agency, or EMA, or other regulatory agencies to perform clinical and other trials or make changes to our manufacturing or quality systems in addition to those that we currently anticipate. Accordingly, such costs could adversely affect our future ability to achieve and maintain profitability.</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Our operating results may fluctuate significantly, which makes our future operating results difficult to predict. If our operating results fall below expectations, the price of the ADSs representing our ordinary shares could decline.</w:t>
      </w:r>
    </w:p>
    <w:p>
      <w:pPr>
        <w:spacing w:after="0" w:line="158"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Our financial condition and operating results have varied in the past and will continue to fluctuate from one financial period to the next due to a variety of factors, many of which are beyond our control.</w:t>
      </w:r>
    </w:p>
    <w:p>
      <w:pPr>
        <w:spacing w:after="0" w:line="217"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080509"/>
        </w:rPr>
        <w:t>Factors relating to our business that may contribute to these fluctuations include the following, as well as other factors described elsewhere in this report: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size and timing of orders for our COVID-19 vaccine;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delays or failures in advancement of existing or future product candidates into the clinic or in clinical trials;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occurrence of adverse events during our clinical trials or post marketing authorization;</w:t>
      </w:r>
    </w:p>
    <w:p>
      <w:pPr>
        <w:spacing w:after="0" w:line="333"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develop and manufacture our product candidates and commercialize and manufacture our COVID-19 vaccine and, if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approved, our product candidates, at commercial scale, including risks associated with quality compliance, such as product design, manufacturing processes, supply chain management, and compliance with regulatory requirements;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manage our growth and spending;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95</w:t>
            </w:r>
          </w:p>
        </w:tc>
      </w:tr>
    </w:tbl>
    <w:p>
      <w:pPr>
        <w:sectPr>
          <w:pgSz w:w="11900" w:h="16838" w:orient="portrait"/>
          <w:cols w:equalWidth="0" w:num="1">
            <w:col w:w="11240"/>
          </w:cols>
          <w:pgMar w:left="320" w:top="388" w:right="339" w:bottom="1440" w:gutter="0" w:footer="0" w:header="0"/>
        </w:sectPr>
      </w:pPr>
    </w:p>
    <w:bookmarkStart w:id="104" w:name="page105"/>
    <w:bookmarkEnd w:id="10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execute our corporate objectives;</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strategic decisions related to portfolio prioritization, which may result in certain potential one-time effects and charges and other material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adverse effects on our financial condition and results of operations;</w:t>
      </w:r>
    </w:p>
    <w:p>
      <w:pPr>
        <w:spacing w:after="0" w:line="216" w:lineRule="exact"/>
        <w:rPr>
          <w:sz w:val="20"/>
          <w:szCs w:val="20"/>
          <w:color w:val="auto"/>
        </w:rPr>
      </w:pPr>
    </w:p>
    <w:p>
      <w:pPr>
        <w:ind w:left="2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outcomes of research programs, clinical trials, or other product development or approval processes conducted by us and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collaborators;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ability of our collaborators to develop and successfully commercialize products developed from our suite of therapeutic classes;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relationships, and any associated exclusivity terms, with collaborators;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contractual or other obligations to provide resources to fund our product candidates, and to provide resources to our collaborators or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collaborations themselves, including take-or-pay or similar obligations;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extent to which we repurchase outstanding ADSs under any share repurchase plans we may enter into in the future;</w:t>
      </w:r>
    </w:p>
    <w:p>
      <w:pPr>
        <w:spacing w:after="0" w:line="333" w:lineRule="exact"/>
        <w:rPr>
          <w:sz w:val="20"/>
          <w:szCs w:val="20"/>
          <w:color w:val="auto"/>
        </w:rPr>
      </w:pPr>
    </w:p>
    <w:p>
      <w:pPr>
        <w:ind w:left="220" w:hanging="204"/>
        <w:spacing w:after="0" w:line="33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risks associated with the international aspects of our business, including the conduct of clinical trials in multiple locations, and the risks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associated with potential international commercialization, including regulatory approval, market competition, public sentiment and consumer demand, supply chain disruptions, and changes to the law and regulatory policy, such as increases in tariffs, in different jurisdictions, such as the United States;</w:t>
      </w:r>
    </w:p>
    <w:p>
      <w:pPr>
        <w:spacing w:after="0" w:line="200" w:lineRule="exact"/>
        <w:rPr>
          <w:sz w:val="20"/>
          <w:szCs w:val="20"/>
          <w:color w:val="auto"/>
        </w:rPr>
      </w:pPr>
    </w:p>
    <w:p>
      <w:pPr>
        <w:spacing w:after="0" w:line="285"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minimize and manage product recalls or inventory losses caused by unforeseen events, cold chain interruption, testing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difficulties or decreased demand, and our ability to write down certain inventory;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report our financial results accurately and in a timely manner;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dependence on, and the need to attract and retain, key management and other personnel;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obtain, protect, maintain, defend and enforce our intellectual property rights;</w:t>
      </w:r>
    </w:p>
    <w:p>
      <w:pPr>
        <w:spacing w:after="0" w:line="333"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prevent the theft or infringement, misappropriation or other violation of our intellectual property, trade secrets, know-how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technologies;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and our collaborators’ ability to defend against claims of infringement of the intellectual property rights of third parties;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potential advantages that our competitors and potential competitors may have in securing funding, obtaining the rights to critical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intellectual property or developing competing technologies or products;</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96</w:t>
            </w:r>
          </w:p>
        </w:tc>
      </w:tr>
    </w:tbl>
    <w:p>
      <w:pPr>
        <w:sectPr>
          <w:pgSz w:w="11900" w:h="16838" w:orient="portrait"/>
          <w:cols w:equalWidth="0" w:num="1">
            <w:col w:w="11240"/>
          </w:cols>
          <w:pgMar w:left="320" w:top="388" w:right="339" w:bottom="1440" w:gutter="0" w:footer="0" w:header="0"/>
        </w:sectPr>
      </w:pPr>
    </w:p>
    <w:bookmarkStart w:id="105" w:name="page106"/>
    <w:bookmarkEnd w:id="10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obtain additional capital that may be necessary to expand our business;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collaborators’ ability to obtain and devote additional capital that may be necessary to develop and commercialize products under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collaboration agreements, including our COVID-19 vaccine;</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minimize and manage product liability claims arising from the use of our COVID-19 vaccine and our product candidates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 future products, if approved;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business interruptions such as power outages, strikes, acts of terrorism or natural disasters;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use our net operating loss carryforwards to offset future taxable income;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risks of counterparty defaults within our asset management portfolio;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increased or unpredictable pricing for the commodities we rely on, including as a result of inflation.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Each of the factors listed above may be affected by the changing impact of COVID-19 on the global community and the global economy.</w:t>
      </w:r>
    </w:p>
    <w:p>
      <w:pPr>
        <w:spacing w:after="0" w:line="333"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Due to the various factors mentioned above, and others, the results of any of our periods should not be relied upon as indications of our future operating performance. Our operating results may fluctuate significantly from one reporting period to the next, such that a period-to-period comparison of our results of operations may not be a good indication of our future performance.</w:t>
      </w:r>
    </w:p>
    <w:p>
      <w:pPr>
        <w:spacing w:after="0" w:line="231"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In any particular period, our operating results could be below the expectations of securities analysts or investors, which could cause the price of the ADSs to decline. While as a general matter we intend to periodically report on the status of our product candidate pipeline, including articulating anticipated next steps in the form of development plans or potential data readouts, we may not always be able to provide forward-looking guidance on the timing of those next steps. In addition, we do not control the timing of disclosures of any milestones related to any of our programs that are managed by our collaborators. Any disclosure by a collaborator of data that are perceived as negative, whether or not such data are related to other data that we or others release, may have a material adverse impact on the price of the ADSs or our overall valuation. The price of the ADSs may decline as a result of unexpected clinical trial results in one or more of our programs, including adverse safety events reported for any of our programs.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We have incurred significant losses in the past and we may incur significant losses in the future.</w:t>
      </w:r>
    </w:p>
    <w:p>
      <w:pPr>
        <w:spacing w:after="0" w:line="21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Prior to the first full year of commercialization of our COVID-19 vaccine, and for the years ended December 31, 2024 and December 31, 2025, and for the three months ended March 31, 2026, we incurred significant losses from operations due to our significant research and development expenses and our investment in our manufacturing capabilities. Prior to commercialization of our COVID-19 vaccine, we funded our operations primarily from private placements or issuances of ordinary shares (including in the form of ADSs) in connection with our public offerings, generation of proceeds under our collaboration agreements, secured bank loans and issuance of a convertible note.</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97</w:t>
            </w:r>
          </w:p>
        </w:tc>
      </w:tr>
    </w:tbl>
    <w:p>
      <w:pPr>
        <w:sectPr>
          <w:pgSz w:w="11900" w:h="16838" w:orient="portrait"/>
          <w:cols w:equalWidth="0" w:num="1">
            <w:col w:w="11240"/>
          </w:cols>
          <w:pgMar w:left="320" w:top="388" w:right="339" w:bottom="1440" w:gutter="0" w:footer="0" w:header="0"/>
        </w:sectPr>
      </w:pPr>
    </w:p>
    <w:bookmarkStart w:id="106" w:name="page107"/>
    <w:bookmarkEnd w:id="10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have experienced, and we expect to continue to experience, increasing reductions in demand for COVID-19 vaccination generally, including for our vaccine. We expect that future revenues from sales of our COVID-19 vaccine will decrease as demand for vaccination wanes. We plan to continue to invest heavily in research and development as we make a strong drive to build out our global development organization and diversify our therapeutic area footprint. Additionally, we plan to enhance capabilities through complementary acquisitions, technologies, infrastructure and manufacturing. Even for those products for which we have obtained or may obtain regulatory approval or emergency use authorization, our future revenues will depend upon the size of any markets in which such products have received approval or authorization to market, our ability to achieve sufficient market acceptance, reimbursement from third-party payors, and adequate market share in those markets.</w:t>
      </w:r>
    </w:p>
    <w:p>
      <w:pPr>
        <w:spacing w:after="0" w:line="200" w:lineRule="exact"/>
        <w:rPr>
          <w:sz w:val="20"/>
          <w:szCs w:val="20"/>
          <w:color w:val="auto"/>
        </w:rPr>
      </w:pPr>
    </w:p>
    <w:p>
      <w:pPr>
        <w:spacing w:after="0" w:line="304"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If achieved, profitability is difficult to maintain over time and is highly dependent on various factors. Our future financial results will depend, in part, on the rate of our future expenditures, the extent to which we experience long-term success of our commercial products and our ability to obtain funding through revenue from commercial sales, equity or debt financings, sales of assets, collaborations or grants.</w:t>
      </w:r>
    </w:p>
    <w:p>
      <w:pPr>
        <w:spacing w:after="0" w:line="231"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As part of our capital allocation strategy, we expect to continue to incur significant and increasing operating expenses for the foreseeable future. We anticipate that our expenses will increase substantially if and as we and our collaborators: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continue, expand, or modify the research or development of our programs in preclinical development;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continue, expand, or modify the scope of our clinical trials for our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initiate additional preclinical, clinical, or other trials for our product candidates, including under our collaboration agreements;</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execute on our strategic decisions related to portfolio prioritization, which may result in certain potential one-time effects and charges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 material adverse effects on our financial condition and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continue to invest in our immunotherapy platforms to conduct research to identify novel technologies;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change our manufacturing capacity or capability;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change or add additional suppliers;</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make changes to our infrastructure in connection with our quality control, quality assurance, legal, compliance and other groups to support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operations as a public company and our product development and commercialization efforts, including changes to our sites globally;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attract and retain skilled personnel;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98</w:t>
            </w:r>
          </w:p>
        </w:tc>
      </w:tr>
    </w:tbl>
    <w:p>
      <w:pPr>
        <w:sectPr>
          <w:pgSz w:w="11900" w:h="16838" w:orient="portrait"/>
          <w:cols w:equalWidth="0" w:num="1">
            <w:col w:w="11240"/>
          </w:cols>
          <w:pgMar w:left="320" w:top="388" w:right="339" w:bottom="1440" w:gutter="0" w:footer="0" w:header="0"/>
        </w:sectPr>
      </w:pPr>
    </w:p>
    <w:bookmarkStart w:id="107" w:name="page108"/>
    <w:bookmarkEnd w:id="10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seek marketing approvals and reimbursement for our product candidates;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develop our sales, marketing, and distribution infrastructure for our COVID-19 vaccine and any other products for which we may obtain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marketing approval or emergency use authorization;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seek to identify and validate additional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acquire or in-license other product candidates and technologies;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acquire other companies;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make milestone or other payments under any in-license agreements;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maintain, protect, defend, enforce and expand our intellectual property portfolio;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experience any delays or encounter issues with any of the above.</w:t>
      </w:r>
    </w:p>
    <w:p>
      <w:pPr>
        <w:spacing w:after="0" w:line="2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color w:val="005A64"/>
        </w:rPr>
        <w:t>The amount of, and our ability to use, net operating losses and research and development credits to offset future taxable income may be subject to certain limitations and uncertainty. In addition, pending and future tax audits within our Group, disputes with tax authorities and changes in tax law or fiscal regulations could lead to additional tax liabilities. We are subject to routine tax audits by the respective local tax authorities. Any additional tax liability could have an adverse effect on our business, financial conditions, results of operations or prospects.</w:t>
      </w:r>
    </w:p>
    <w:p>
      <w:pPr>
        <w:spacing w:after="0" w:line="391"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In Germany, we have unused German tax loss carryforwards for corporate taxes for German group entities with pre tax group losses, though we generally have not recognized deferred tax assets related to such loss carryforwards for International Financial Reporting Standards, or IFRS, reporting purposes as of December 31, 2025. Deferred tax assets are recognized for unused tax losses only to the extent that it is probable that taxable profit will be available against which the losses can be utilized. In general, net operating loss, or NOL, carryforwards in Germany do not expire. Furthermore, under current German tax laws, certain substantial changes in the Company’s ownership and business may further limit the amount of NOL carryforwards that can be used annually to offset future taxable income.</w:t>
      </w:r>
    </w:p>
    <w:p>
      <w:pPr>
        <w:spacing w:after="0" w:line="239"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8"/>
          <w:szCs w:val="18"/>
          <w:color w:val="080509"/>
        </w:rPr>
        <w:t>For the German tax group, we incurred tax losses up to and including December 31, 2020. Even though we recognized deferred tax assets on a majority of German tax loss carry forwards in 2020 which were fully utilized in 2021, they are, however, subject to review and possible adjustment by the German tax authorities. In addition, the incurred tax losses up to and including December 31, 2024 also remain subject to review.</w:t>
      </w:r>
    </w:p>
    <w:p>
      <w:pPr>
        <w:spacing w:after="0" w:line="200" w:lineRule="exact"/>
        <w:rPr>
          <w:sz w:val="20"/>
          <w:szCs w:val="20"/>
          <w:color w:val="auto"/>
        </w:rPr>
      </w:pPr>
    </w:p>
    <w:p>
      <w:pPr>
        <w:spacing w:after="0" w:line="286"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In addition, we have U.S. federal and state NOL carryforwards due to our subsidiaries in the United States, which may be subject to limitations on use after an ownership change.</w:t>
      </w:r>
    </w:p>
    <w:p>
      <w:pPr>
        <w:spacing w:after="0" w:line="217"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We may not be able to utilize a material portion of our historic or current NOLs or credits in either Germany (resulting from our German tax group or non-tax group entities in Germany) or the United States until these have been finally assessed by the tax authorities or when the limitation period has passed. In addition, the rules regarding the timing of revenue and expense recognition for tax purposes in connection with various transactions are complex and uncertain in many respects, and, if challenged, our recognition may be subject to a revised assessment. In the event any such challenge</w:t>
      </w:r>
    </w:p>
    <w:p>
      <w:pPr>
        <w:sectPr>
          <w:pgSz w:w="11900" w:h="16838" w:orient="portrait"/>
          <w:cols w:equalWidth="0" w:num="1">
            <w:col w:w="11240"/>
          </w:cols>
          <w:pgMar w:left="320" w:top="3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r>
        <w:rPr>
          <w:sz w:val="20"/>
          <w:szCs w:val="20"/>
          <w:color w:val="auto"/>
        </w:rPr>
        <w:tab/>
      </w:r>
      <w:r>
        <w:rPr>
          <w:rFonts w:ascii="Times New Roman" w:cs="Times New Roman" w:eastAsia="Times New Roman" w:hAnsi="Times New Roman"/>
          <w:sz w:val="22"/>
          <w:szCs w:val="22"/>
          <w:b w:val="1"/>
          <w:bCs w:val="1"/>
          <w:color w:val="C3C3C3"/>
        </w:rPr>
        <w:t>99</w:t>
      </w:r>
    </w:p>
    <w:p>
      <w:pPr>
        <w:sectPr>
          <w:pgSz w:w="11900" w:h="16838" w:orient="portrait"/>
          <w:cols w:equalWidth="0" w:num="1">
            <w:col w:w="11240"/>
          </w:cols>
          <w:pgMar w:left="320" w:top="388" w:right="339" w:bottom="1440" w:gutter="0" w:footer="0" w:header="0"/>
          <w:type w:val="continuous"/>
        </w:sectPr>
      </w:pPr>
    </w:p>
    <w:bookmarkStart w:id="108" w:name="page109"/>
    <w:bookmarkEnd w:id="10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is sustained, our NOLs could be materially reduced or we could be determined to be a material cash taxpayer for one or more years, which could have an adverse effect on our business, financial conditions, results of operations or prospects.</w:t>
      </w:r>
    </w:p>
    <w:p>
      <w:pPr>
        <w:spacing w:after="0" w:line="217"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Furthermore, our ability to use our NOLs or credits is conditioned upon our attaining profitability and generating taxable income. Taxable income exceeding NOLs will be subject to taxation resulting in tax liabilities. As described above, we incurred significant net losses in every year since our inception other than 2018, 2021, 2022 and 2023 and anticipate that in the future, we may incur losses for the majority of the group entities. Our ability to utilize our NOL or credit carryforwards in the United States and for some other group entities is uncertain. Therefore, we do not recognize deferred tax assets on NOLs and tax credit carryforwards in the United States, as the requirements of IAS 12 are not fulfilled.</w:t>
      </w:r>
    </w:p>
    <w:p>
      <w:pPr>
        <w:spacing w:after="0" w:line="200" w:lineRule="exact"/>
        <w:rPr>
          <w:sz w:val="20"/>
          <w:szCs w:val="20"/>
          <w:color w:val="auto"/>
        </w:rPr>
      </w:pPr>
    </w:p>
    <w:p>
      <w:pPr>
        <w:spacing w:after="0" w:line="2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Under German tax laws, we are obligated to withhold a percentage of wage tax and social security contributions on personnel expenses if contract services providers are considered to be our internal employees and remit those withholdings to German tax authorities and social security institutions. Late payments may subject us to penalties and fees.</w:t>
      </w:r>
    </w:p>
    <w:p>
      <w:pPr>
        <w:spacing w:after="0" w:line="176"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Under German tax and social security laws, we are obligated to withhold a percentage of payments we make to third parties in consideration of the services provided, in case these are considered employment payments, and remit those withholdings to German tax authorities and social security institutions. After a significant volume of service providers were engaged to assist with research, development, manufacturing and supply of our COVID-19 vaccine, we discovered after internal review that we and certain of our subsidiaries did not withhold, report and remit certain German wage taxes and social security contributions in connection with certain contract service providers engaged in a manner comparable to internal employees, which we notified tax authorities about. If we do not properly and timely make required payments in the future, we could be subjected to fees, administrative offenses or other proceedings or penalties.</w:t>
      </w:r>
    </w:p>
    <w:p>
      <w:pPr>
        <w:spacing w:after="0" w:line="240"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It is not possible to seek the refund of these wage taxes or social security contributions from either the German tax authorities or social security institutions after filing returns. In Germany, employers are considered secondarily liable for wage taxes.</w:t>
      </w:r>
    </w:p>
    <w:p>
      <w:pPr>
        <w:spacing w:after="0" w:line="217"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In addition, value added taxes, or VAT, on invoices received by contract services providers who are considered internal employees are considered non-deductible and must be repaid to the German tax authorities. It is possible to reclaim the VAT repaid to the German tax authorities from the service provider. There is a possibility that the relevant input VAT claims against the contract service providers may, in some instances, not be enforceable as a result of a contract service provider no longer existing, the lapse of time or any other facts preventing the enforcement of such claims.</w:t>
      </w:r>
    </w:p>
    <w:p>
      <w:pPr>
        <w:spacing w:after="0" w:line="200" w:lineRule="exact"/>
        <w:rPr>
          <w:sz w:val="20"/>
          <w:szCs w:val="20"/>
          <w:color w:val="auto"/>
        </w:rPr>
      </w:pPr>
    </w:p>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005A64"/>
        </w:rPr>
        <w:t>We may require substantial additional financing to achieve our goals, and a failure to obtain this capital on acceptable terms, or at all, could force us to delay, limit, reduce or terminate our product development programs, commercialization efforts or other operations.</w:t>
      </w:r>
    </w:p>
    <w:p>
      <w:pPr>
        <w:spacing w:after="0" w:line="172"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Our operating plans may change as a result of many factors currently unknown to us, and we may need to seek additional funds sooner than planned, through public or private equity or debt financings, government or other third-party funding, sales of assets, marketing and distribution arrangements, other collaborations and licensing arrangements, or a combination of these approaches. We may require additional capital to obtain regulatory approval for, and to commercialize, future product candidates. Even if we believe we have sufficient funds for our current or future operating plans, we may seek additional capital if market conditions are favorable or if we have specific strategic</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100</w:t>
            </w:r>
          </w:p>
        </w:tc>
      </w:tr>
    </w:tbl>
    <w:p>
      <w:pPr>
        <w:sectPr>
          <w:pgSz w:w="11900" w:h="16838" w:orient="portrait"/>
          <w:cols w:equalWidth="0" w:num="1">
            <w:col w:w="11240"/>
          </w:cols>
          <w:pgMar w:left="320" w:top="388" w:right="339" w:bottom="1440" w:gutter="0" w:footer="0" w:header="0"/>
        </w:sectPr>
      </w:pPr>
    </w:p>
    <w:bookmarkStart w:id="109" w:name="page110"/>
    <w:bookmarkEnd w:id="10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considerations. Our spending will vary based on new and ongoing development and corporate activities. Due to the high uncertainty of the length of time and activities associated with discovery and development of our product candidates, we are unable to estimate the actual funds we will require for development, marketing and commercialization activities.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Our future funding requirements, both near and long term, will depend on many factors, including, but not limited to:</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initiation, progress, timing, costs, and results of preclinical or nonclinical studies and clinical trials for our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amount and timing of revenues and associated costs from sales of our COVID-19 vaccine;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results of research and our other platform activities;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clinical development plans we establish for our product candidates;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terms of any agreements with our current or future collaborators, and the achievement of any milestone payments under such</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agreements to be paid to us or our collaborators;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terms of any other strategic transactions, including relating to any acquisitions, into which we enter;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number and characteristics of product candidates that we develop or may in-license;</w:t>
      </w:r>
    </w:p>
    <w:p>
      <w:pPr>
        <w:spacing w:after="0" w:line="333"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outcome, timing and cost of meeting regulatory requirements established by the FDA, the EMA and other comparable regulatory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authorities;</w:t>
      </w:r>
    </w:p>
    <w:p>
      <w:pPr>
        <w:spacing w:after="0" w:line="200" w:lineRule="exact"/>
        <w:rPr>
          <w:sz w:val="20"/>
          <w:szCs w:val="20"/>
          <w:color w:val="auto"/>
        </w:rPr>
      </w:pPr>
    </w:p>
    <w:p>
      <w:pPr>
        <w:spacing w:after="0" w:line="358" w:lineRule="exact"/>
        <w:rPr>
          <w:sz w:val="20"/>
          <w:szCs w:val="20"/>
          <w:color w:val="auto"/>
        </w:rPr>
      </w:pPr>
    </w:p>
    <w:p>
      <w:pPr>
        <w:ind w:left="220" w:hanging="204"/>
        <w:spacing w:after="0" w:line="33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cost of filing, prosecuting, obtaining, maintaining, protecting, defending and enforcing our patent claims and other intellectual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property rights, including actions for patent and other intellectual property infringement, misappropriation and other violations brought by third parties against us regarding our products or product candidates or actions by us challenging the patent or intellectual property rights of others;</w:t>
      </w:r>
    </w:p>
    <w:p>
      <w:pPr>
        <w:spacing w:after="0" w:line="200" w:lineRule="exact"/>
        <w:rPr>
          <w:sz w:val="20"/>
          <w:szCs w:val="20"/>
          <w:color w:val="auto"/>
        </w:rPr>
      </w:pPr>
    </w:p>
    <w:p>
      <w:pPr>
        <w:spacing w:after="0" w:line="285" w:lineRule="exact"/>
        <w:rPr>
          <w:sz w:val="20"/>
          <w:szCs w:val="20"/>
          <w:color w:val="auto"/>
        </w:rPr>
      </w:pPr>
    </w:p>
    <w:p>
      <w:pPr>
        <w:ind w:left="2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effect of competing technological and market developments, including other products that may compete with one or more of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 candidates;</w:t>
      </w:r>
    </w:p>
    <w:p>
      <w:pPr>
        <w:spacing w:after="0" w:line="200" w:lineRule="exact"/>
        <w:rPr>
          <w:sz w:val="20"/>
          <w:szCs w:val="20"/>
          <w:color w:val="auto"/>
        </w:rPr>
      </w:pPr>
    </w:p>
    <w:p>
      <w:pPr>
        <w:spacing w:after="0" w:line="358" w:lineRule="exact"/>
        <w:rPr>
          <w:sz w:val="20"/>
          <w:szCs w:val="20"/>
          <w:color w:val="auto"/>
        </w:rPr>
      </w:pPr>
    </w:p>
    <w:p>
      <w:pPr>
        <w:ind w:left="220" w:right="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cost and timing of completion and further expansion of clinical and commercial scale manufacturing activities sufficient to support all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 xml:space="preserve">of our current and future programs, including the development of modular production and clinical facilities in various markets via our </w:t>
      </w:r>
      <w:r>
        <w:rPr>
          <w:rFonts w:ascii="Times New Roman" w:cs="Times New Roman" w:eastAsia="Times New Roman" w:hAnsi="Times New Roman"/>
          <w:sz w:val="18"/>
          <w:szCs w:val="18"/>
          <w:i w:val="1"/>
          <w:iCs w:val="1"/>
          <w:color w:val="080509"/>
        </w:rPr>
        <w:t xml:space="preserve">BioNTainer </w:t>
      </w:r>
      <w:r>
        <w:rPr>
          <w:rFonts w:ascii="Times New Roman" w:cs="Times New Roman" w:eastAsia="Times New Roman" w:hAnsi="Times New Roman"/>
          <w:sz w:val="18"/>
          <w:szCs w:val="18"/>
          <w:color w:val="080509"/>
        </w:rPr>
        <w:t>network; and</w:t>
      </w:r>
    </w:p>
    <w:p>
      <w:pPr>
        <w:spacing w:after="0" w:line="200" w:lineRule="exact"/>
        <w:rPr>
          <w:sz w:val="20"/>
          <w:szCs w:val="20"/>
          <w:color w:val="auto"/>
        </w:rPr>
      </w:pPr>
    </w:p>
    <w:p>
      <w:pPr>
        <w:spacing w:after="0" w:line="262"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cost of establishing sales, marketing, and distribution capabilities for any product candidates for which we may receive marketing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approval and reimbursement in regions where we choose to commercialize our products on our own.</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101</w:t>
            </w:r>
          </w:p>
        </w:tc>
      </w:tr>
    </w:tbl>
    <w:p>
      <w:pPr>
        <w:sectPr>
          <w:pgSz w:w="11900" w:h="16838" w:orient="portrait"/>
          <w:cols w:equalWidth="0" w:num="1">
            <w:col w:w="11240"/>
          </w:cols>
          <w:pgMar w:left="320" w:top="388" w:right="339" w:bottom="1440" w:gutter="0" w:footer="0" w:header="0"/>
        </w:sectPr>
      </w:pPr>
    </w:p>
    <w:bookmarkStart w:id="110" w:name="page111"/>
    <w:bookmarkEnd w:id="11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To date, we have financed our operations primarily through the sale of equity securities, revenue from collaborations, and revenue from sales of our COVID-19 vaccine. While we are currently generating product sales and royalty revenue to finance our operations, we cannot be certain that we will continue to generate sufficient revenue from product sales and royalties to finance our operations. If we were to seek financing from outside sources, that additional funding may not be available on favorable terms, or at all. Should our revenues sufficiently decrease in the future, we expect to finance our future cash needs through a combination of product sales, public or private equity offerings, debt financings, collaborations, licensing arrangements, and other marketing or distribution arrangements. Any fundraising efforts may divert our management from their day-to-day activities, which may adversely affect our ability to develop and commercialize our product candidates. In addition, we cannot guarantee that future financing will be available in sufficient amounts, at the right time, on favorable terms, or at all, including as a result of the impact that the shift of COVID-19 towards an endemic phase and other global events, such as political upheavals and economic downturns, may have on the capital markets.</w:t>
      </w:r>
    </w:p>
    <w:p>
      <w:pPr>
        <w:spacing w:after="0" w:line="200" w:lineRule="exact"/>
        <w:rPr>
          <w:sz w:val="20"/>
          <w:szCs w:val="20"/>
          <w:color w:val="auto"/>
        </w:rPr>
      </w:pPr>
    </w:p>
    <w:p>
      <w:pPr>
        <w:spacing w:after="0" w:line="309"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Negative clinical trial data or setbacks, or perceived setbacks, in our programs or with respect to our technology could impair our ability to raise additional financing on favorable terms, or at all. Moreover, the terms of any financing may adversely affect the holdings or the rights of our shareholders, and the issuance of additional securities, whether equity or debt, by us, or the possibility of such issuance, may cause the market price of the ADSs representing our ordinary shares to decline. If we raise additional funds through public or private equity offerings, the terms of these securities may include liquidation or other preferences that may adversely affect our shareholders’ rights.</w:t>
      </w:r>
    </w:p>
    <w:p>
      <w:pPr>
        <w:spacing w:after="0" w:line="240"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Further, to the extent that we raise additional capital through the sale of ADSs, ordinary shares or securities convertible or exchangeable into ordinary shares or ADSs, share ownership interests will be diluted. If we raise additional capital through debt financing, we would be subject to fixed payment obligations and may be subject to security interests in our assets and covenants limiting or restricting our ability to take specific actions, such as incurring additional debt, making capital expenditures or declaring dividends. If we raise additional capital through marketing and distribution arrangements, sales of assets, collaborations, or licensing arrangements with third parties, we may have to relinquish certain valuable rights to our product candidates, technologies, future revenue streams or research programs. We also could be required to seek collaborators for one or more of our current or future product candidates at an earlier stage than otherwise would be desirable or relinquish our rights to product candidates or intellectual property that we otherwise would seek to develop or commercialize ourselves. If we are unable to raise additional capital in sufficient amounts, at the right time, on favorable terms, or at all, we may have to significantly delay, scale back or discontinue the development or commercialization of one or more of our products or product candidates, or one or more of our other research and development initiatives. Any of the above events could significantly harm our business, prospects, financial condition and results of operations, cause the price of the ADSs to decline, and negatively impact our ability to fund operations.</w:t>
      </w:r>
    </w:p>
    <w:p>
      <w:pPr>
        <w:spacing w:after="0" w:line="200" w:lineRule="exact"/>
        <w:rPr>
          <w:sz w:val="20"/>
          <w:szCs w:val="20"/>
          <w:color w:val="auto"/>
        </w:rPr>
      </w:pPr>
    </w:p>
    <w:p>
      <w:pPr>
        <w:spacing w:after="0" w:line="2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We may encounter difficulties in developing and expanding our company and managing such development and expansion, which could disrupt our operations.</w:t>
      </w:r>
    </w:p>
    <w:p>
      <w:pPr>
        <w:spacing w:after="0" w:line="158"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To manage our anticipated development and expansion, we must continue to implement and improve our managerial, operational, legal, compliance and financial systems, expand our facilities, and continue to recruit and train additional qualified personnel. This includes our acquisitions of Biotheus in January 2025 and CureVac in December 2025, as well as strategic initiatives more generally. In</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102</w:t>
            </w:r>
          </w:p>
        </w:tc>
      </w:tr>
    </w:tbl>
    <w:p>
      <w:pPr>
        <w:sectPr>
          <w:pgSz w:w="11900" w:h="16838" w:orient="portrait"/>
          <w:cols w:equalWidth="0" w:num="1">
            <w:col w:w="11240"/>
          </w:cols>
          <w:pgMar w:left="320" w:top="388" w:right="339" w:bottom="1440" w:gutter="0" w:footer="0" w:header="0"/>
        </w:sectPr>
      </w:pPr>
    </w:p>
    <w:bookmarkStart w:id="111" w:name="page112"/>
    <w:bookmarkEnd w:id="11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addition, our management may need to divert a disproportionate amount of its attention away from its day-to-day activities and devote a substantial amount of time to managing these development activities.</w:t>
      </w:r>
    </w:p>
    <w:p>
      <w:pPr>
        <w:spacing w:after="0" w:line="217"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As an evolving biotechnology company, we are actively pursuing drug classes, platforms and product candidates in many therapeutic areas and across a wide range of diseases. Successfully developing products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certain operations or recruit and train additional qualified personnel. This may result in weaknesses in our infrastructure and/or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our expected development, our expenses may increase more than expected, our ability to generate or increase our revenue could be reduced and we may not be able to effectively implement our business strategy. Our future financial performance and our ability to compete effectively and commercialize our COVID-19 vaccine and our product candidates, if approved, will depend in part on our ability to effectively manage the current and future development of our company.</w:t>
      </w:r>
    </w:p>
    <w:p>
      <w:pPr>
        <w:spacing w:after="0" w:line="200" w:lineRule="exact"/>
        <w:rPr>
          <w:sz w:val="20"/>
          <w:szCs w:val="20"/>
          <w:color w:val="auto"/>
        </w:rPr>
      </w:pPr>
    </w:p>
    <w:p>
      <w:pPr>
        <w:spacing w:after="0" w:line="26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color w:val="005A64"/>
        </w:rPr>
        <w:t>We incur significant costs as a result of operating as a public company, and our management is required to devote substantial time to compliance initiatives. We are subject to financial reporting and other requirements for which our accounting and other management systems and resources may not be adequately prepared. We may fail to comply with the rules that apply to public companies, including Section 404 of the Sarbanes-Oxley Act of 2002, which could result in sanctions or other penalties that would harm the business.</w:t>
      </w:r>
    </w:p>
    <w:p>
      <w:pPr>
        <w:spacing w:after="0" w:line="185"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color w:val="080509"/>
        </w:rPr>
        <w:t>As a public company, we incur significant legal, accounting and other expenses. The U.S. federal securities laws, including the Sarbanes-Oxley Act of 2002, or the Sarbanes-Oxley Act, and rules subsequently implemented by the SEC and the Nasdaq Stock Market LLC, or Nasdaq, have imposed various requirements on public companies, including requirements to file annual and event-driven reports with respect to our business and financial condition, and to establish and maintain effective disclosure and financial controls and corporate governance practices. Our management and other personnel need to devote a substantial amount of time to these compliance initiatives. Moreover, these rules and regulations result in substantial legal and financial compliance costs and have made some activities time-consuming and costly. We may not be able to produce reliable financial statements or file these financial statements as part of a periodic report in a timely manner with the SEC or comply with Nasdaq listing requirements. In addition, we could make errors in our financial statements that could require us to restate our financial statements.</w:t>
      </w:r>
    </w:p>
    <w:p>
      <w:pPr>
        <w:spacing w:after="0" w:line="200" w:lineRule="exact"/>
        <w:rPr>
          <w:sz w:val="20"/>
          <w:szCs w:val="20"/>
          <w:color w:val="auto"/>
        </w:rPr>
      </w:pPr>
    </w:p>
    <w:p>
      <w:pPr>
        <w:spacing w:after="0" w:line="306"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Pursuant to Section 404 of the Sarbanes-Oxley Act, or Section 404, we are required to furnish a report by our management on our internal control over financial reporting, including the attestation report on internal control over financial reporting issued by our independent registered public accounting firm. To maintain compliance with Section 404, we document and evaluate our internal control over financial reporting, which is both costly and challenging. In this regard, we have needed to continue to dedicate internal resources, have engaged outside consultants, and have adopted a detailed work plan to assess and document the adequacy of internal control over financial reporting.</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103</w:t>
            </w:r>
          </w:p>
        </w:tc>
      </w:tr>
    </w:tbl>
    <w:p>
      <w:pPr>
        <w:sectPr>
          <w:pgSz w:w="11900" w:h="16838" w:orient="portrait"/>
          <w:cols w:equalWidth="0" w:num="1">
            <w:col w:w="11240"/>
          </w:cols>
          <w:pgMar w:left="320" w:top="388" w:right="339" w:bottom="1440" w:gutter="0" w:footer="0" w:header="0"/>
        </w:sectPr>
      </w:pPr>
    </w:p>
    <w:bookmarkStart w:id="112" w:name="page113"/>
    <w:bookmarkEnd w:id="11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We will continue to implement steps to improve control processes as appropriate, validate through testing that controls are functioning as documented, and implement a continuous reporting and improvement process for internal control over financial reporting. Despite our efforts, there is a risk that in the future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240"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Shareholder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For example, effective March 18, 2026, pursuant to the Holding Foreign Insiders Accountable Act, directors and officers of foreign private issuers, including us, are required to comply with the beneficial ownership reporting requirements of Section 16(a) of the Exchange Act. In addition, the SEC issued a concept release in June 2025 soliciting comment on potential changes to the regulatory framework applicable to foreign private issuers, including potential modification or elimination of certain accommodations currently available to foreign private issuers. Our management and other personnel need to devote a substantial amount of time to these compliance initiatives.</w:t>
      </w:r>
    </w:p>
    <w:p>
      <w:pPr>
        <w:spacing w:after="0" w:line="200" w:lineRule="exact"/>
        <w:rPr>
          <w:sz w:val="20"/>
          <w:szCs w:val="20"/>
          <w:color w:val="auto"/>
        </w:rPr>
      </w:pPr>
    </w:p>
    <w:p>
      <w:pPr>
        <w:spacing w:after="0" w:line="2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If we identify material weaknesses in our internal control over financial reporting and fail to remediate such material weaknesses, we may not be able to report our financial results accurately or to prevent fraud.</w:t>
      </w:r>
    </w:p>
    <w:p>
      <w:pPr>
        <w:spacing w:after="0" w:line="158"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Our management is responsible for establishing and maintaining internal control over financial reporting, disclosure controls, and compliance with the other requirements of the Sarbanes-Oxley Act and the rules promulgated by the SEC thereunder. Internal control over financial reporting is a process designed to provide reasonable assurance regarding the reliability of financial reporting and the preparation of financial statements in accordance with international financial reporting standards. A material weakness is defined as a deficiency, or a combination of deficiencies, in internal control over financial reporting, such that there is a reasonable possibility that a material misstatement of a company’s annual or interim financial statements will not be prevented or detected by the company’s internal controls on a timely basis.</w:t>
      </w:r>
    </w:p>
    <w:p>
      <w:pPr>
        <w:spacing w:after="0" w:line="239"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If we fail to comply with the relevant rules and regulations or otherwise fail to prepare our financial statements in accordance with international financial reporting standards, a material weakness may arise. If we are unable to successfully remediate any material weaknesses, our financial statements could contain material misstatements discovered in the future that could cause us to fail to meet our future reporting obligations and cause the price of the ADSs to decline.</w:t>
      </w:r>
    </w:p>
    <w:p>
      <w:pPr>
        <w:spacing w:after="0" w:line="19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If we fail to appropriately account for complex terms in our collaboration and licensing agreements, we could be required to restate our financial statements.</w:t>
      </w:r>
    </w:p>
    <w:p>
      <w:pPr>
        <w:spacing w:after="0" w:line="158"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Our collaboration and licensing agreements involve complex terms and significant judgment in determining the appropriate accounting treatment. The accounting for such agreements is often subject to interpretation and evolving guidance. If our accounting assessments are later determined to be incorrect, we may be required to restate previously issued financial statements, which could have a material adverse effect on our financial condition and results of operations.</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104</w:t>
            </w:r>
          </w:p>
        </w:tc>
      </w:tr>
    </w:tbl>
    <w:p>
      <w:pPr>
        <w:sectPr>
          <w:pgSz w:w="11900" w:h="16838" w:orient="portrait"/>
          <w:cols w:equalWidth="0" w:num="1">
            <w:col w:w="11240"/>
          </w:cols>
          <w:pgMar w:left="320" w:top="388" w:right="339" w:bottom="1440" w:gutter="0" w:footer="0" w:header="0"/>
        </w:sectPr>
      </w:pPr>
    </w:p>
    <w:bookmarkStart w:id="113" w:name="page114"/>
    <w:bookmarkEnd w:id="11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We have various international trade obligations, including customs value calculation, customs tariff number classification and other related securities requirements. Late payments to customs authorities may subject us to penalties and fees.</w:t>
      </w:r>
    </w:p>
    <w:p>
      <w:pPr>
        <w:spacing w:after="0" w:line="15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Our supply chain, production and distribution network across the globe creates an increasing level of complexity in customs and foreign trade processes. The requirements for internal control systems are increasing and must be developed simultaneously. The risk management system for customs and foreign trade, which we are continuously improving, determines which stakeholders, goods, and means of transport should be examined and to what extent. These risks include the potential for non-compliance with customs value calculation, customs tariff number classification, trade restrictions, security regulations as well as the potential failure to facilitate international trade. We have in the past discovered that certain of our and our subsidiaries’ customs value calculations were not applied correctly, following which we notified the customs authorities of potential late payments.</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We are, and will likely continue to be, subject to various audits that arise from time to time, including customs and potential future foreign trade audits. If we do not properly address our international trade and customs requirements, we could be subjected to penalties and fees.</w:t>
      </w:r>
    </w:p>
    <w:p>
      <w:pPr>
        <w:spacing w:after="0" w:line="1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005A64"/>
        </w:rPr>
        <w:t>As a “foreign private issuer,” we are exempt from a number of rules under the U.S. securities laws, as well as Nasdaq rules, and we are permitted to file less information with the SEC than U.S. companies. This may limit the information available to holders of the ADSs and may make our ordinary shares and the ADSs less attractive to investors.</w:t>
      </w:r>
    </w:p>
    <w:p>
      <w:pPr>
        <w:spacing w:after="0" w:line="180"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We are a “foreign private issuer,” as defined in the rules and regulations of the SEC, and, consequently, we are not subject to all of the disclosure requirements applicable to companies organized within the United States. Although the SEC in June 2025 issued a concept release soliciting public comment on the definition of “foreign private issuer” and has signaled interest in exploring other rules relating to foreign private status, we currently remain exempt from certain rules under the U.S. Securities Exchange Act of 1934, as amended, or the Exchange Act, that regulate disclosure obligations and procedural requirements related to the solicitation of proxies, consents or authorizations applicable to a security registered under the Exchange Act. Effective March 18, 2026, pursuant to the Holding Foreign Insiders Accountable Act, directors and officers of foreign private issuers, including us, are required to comply with the beneficial ownership reporting requirements of Section 16(a) of the Exchange Act. However, our officers and directors are exempt from the “short-swing” profit recovery and short sale prohibition provisions of Section 16 of the Exchange Act. Moreover, we are not required to file periodic reports and financial statements with the SEC as frequently or as promptly as U.S. public companies. Accordingly, there may be less publicly available information concerning our company than there is for U.S. public companies.</w:t>
      </w:r>
    </w:p>
    <w:p>
      <w:pPr>
        <w:spacing w:after="0" w:line="200" w:lineRule="exact"/>
        <w:rPr>
          <w:sz w:val="20"/>
          <w:szCs w:val="20"/>
          <w:color w:val="auto"/>
        </w:rPr>
      </w:pPr>
    </w:p>
    <w:p>
      <w:pPr>
        <w:spacing w:after="0" w:line="306"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8"/>
          <w:szCs w:val="18"/>
          <w:color w:val="080509"/>
        </w:rPr>
        <w:t>As a foreign private issuer, we file an Annual Report on Form 20-F within four months of the close of each financial year ending December 31 and reports on Form 6-K relating to certain material events promptly after we publicly announce these events. Additionally, we rely on a provision in Nasdaq’s Listed Company Manual that allows us to follow German company law and European law applicable to European stock corporations in general, the German Stock Corporation Act (Aktiengesetz), the Council Regulation (EC) No 2157/2001 of October 8, 2001 on the Statute for a European company (SE), or the SE Regulation, and the German Act on the Implementation of Council Regulation (EC) No 2157/2001 of October 8, 2001 on the Statute for a European company (SE) (Gesetz zur Ausführung der Verordnung (EG) NR. 2157/2001 des Rates vom 8. Oktober 2001 über das Statut der Europäischen Gesellschaft (SE)) (SE-Ausführungsgesetz-SEAG), in particular with regard to certain aspects of corporate governance. This allows us to follow certain corporate governance practices</w:t>
      </w:r>
    </w:p>
    <w:p>
      <w:pPr>
        <w:spacing w:after="0" w:line="200" w:lineRule="exact"/>
        <w:rPr>
          <w:sz w:val="20"/>
          <w:szCs w:val="20"/>
          <w:color w:val="auto"/>
        </w:rPr>
      </w:pP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105</w:t>
            </w:r>
          </w:p>
        </w:tc>
      </w:tr>
    </w:tbl>
    <w:p>
      <w:pPr>
        <w:sectPr>
          <w:pgSz w:w="11900" w:h="16838" w:orient="portrait"/>
          <w:cols w:equalWidth="0" w:num="1">
            <w:col w:w="11240"/>
          </w:cols>
          <w:pgMar w:left="320" w:top="388" w:right="339" w:bottom="1440" w:gutter="0" w:footer="0" w:header="0"/>
        </w:sectPr>
      </w:pPr>
    </w:p>
    <w:bookmarkStart w:id="114" w:name="page115"/>
    <w:bookmarkEnd w:id="11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that differ in significant respects from the corporate governance requirements applicable to U.S. companies listed on Nasdaq.</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For example, we are exempt from regulations of Nasdaq that require a listed U.S. company to:</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have a majority of the board of directors consist of independent directors;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require non-management directors to meet on a regular basis without management present;</w:t>
      </w:r>
    </w:p>
    <w:p>
      <w:pPr>
        <w:spacing w:after="0" w:line="333" w:lineRule="exact"/>
        <w:rPr>
          <w:sz w:val="20"/>
          <w:szCs w:val="20"/>
          <w:color w:val="auto"/>
        </w:rPr>
      </w:pPr>
    </w:p>
    <w:p>
      <w:pPr>
        <w:ind w:left="2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adopt a code of conduct and promptly disclose any waivers of the code for directors or executive officers that should address certain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specified items;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have an independent compensation committee;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have an independent nominating committee;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solicit proxies and provide proxy statements for all shareholder meetings;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review related party transactions;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seek shareholder approval for the implementation of certain equity compensation plans and issuances of ordinary shares.</w:t>
      </w:r>
    </w:p>
    <w:p>
      <w:pPr>
        <w:spacing w:after="0" w:line="333"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As a foreign private issuer, we are permitted to follow home country practice in lieu of the above requirements. We therefore continue to follow German corporate governance practices in lieu of the corporate governance requirements of Nasdaq in certain respects. In particular, we follow German corporate governance practices in connection with the distribution of annual and interim reports to shareholders, the application of our code of conduct to our employees and the Supervisory Board, executive remuneration disclosure, proxy solicitation in connection with shareholders’ meetings, and obtaining shareholder approval in connection with the establishment of, or material amendment to, certain equity-based compensation plans.</w:t>
      </w:r>
    </w:p>
    <w:p>
      <w:pPr>
        <w:spacing w:after="0" w:line="200" w:lineRule="exact"/>
        <w:rPr>
          <w:sz w:val="20"/>
          <w:szCs w:val="20"/>
          <w:color w:val="auto"/>
        </w:rPr>
      </w:pPr>
    </w:p>
    <w:p>
      <w:pPr>
        <w:spacing w:after="0" w:line="301"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Our audit committee is required to comply with the provisions of Section 301 of the Sarbanes-Oxley Act and Rule 10A-3 of the Exchange Act, both of which are also applicable to U.S. companies listed on Nasdaq. As we are a foreign private issuer, however, our audit committee is not subject to additional requirements of Nasdaq applicable to listed U.S. companies, including an affirmative determination that all members of the audit committee are “independent,” using more stringent criteria than those applicable to us as a foreign private issuer.</w:t>
      </w:r>
    </w:p>
    <w:p>
      <w:pPr>
        <w:spacing w:after="0" w:line="23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Due to the above exemptions for foreign private issuers, our shareholders will not be afforded the same protections or information generally available to investors holding shares in public companies organized in the United States, some investors may find the ADSs less attractive as a result, and there may be a less active trading market for the ADSs.</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106</w:t>
            </w:r>
          </w:p>
        </w:tc>
      </w:tr>
    </w:tbl>
    <w:p>
      <w:pPr>
        <w:sectPr>
          <w:pgSz w:w="11900" w:h="16838" w:orient="portrait"/>
          <w:cols w:equalWidth="0" w:num="1">
            <w:col w:w="11240"/>
          </w:cols>
          <w:pgMar w:left="320" w:top="388" w:right="339" w:bottom="1440" w:gutter="0" w:footer="0" w:header="0"/>
        </w:sectPr>
      </w:pPr>
    </w:p>
    <w:bookmarkStart w:id="115" w:name="page116"/>
    <w:bookmarkEnd w:id="11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We face risks related to catastrophic global events including natural disasters, political crises, or public health epidemics and pandemics and other public health developments, that could adversely affect our operations.</w:t>
      </w:r>
    </w:p>
    <w:p>
      <w:pPr>
        <w:spacing w:after="0" w:line="158"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Our business could be adversely impacted by the effects of catastrophic global events, including natural disasters such as an earthquake, fire, hurricane, tornado, flood or significant power outage; public health crises such as the COVID-19 pandemic; political crises, such as terrorist attacks, war and other political instability, including the ongoing geopolitical conflicts in the Middle East and Ukraine, and resulting sanctions imposed and retaliatory actions taken in response to such sanctions; or other catastrophic events.</w:t>
      </w:r>
    </w:p>
    <w:p>
      <w:pPr>
        <w:spacing w:after="0" w:line="236"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For example, prolonged or expanded conflicts, and political responses to global actions, could destabilize oil and gas supply and demand patterns, increase energy volatility and have severe adverse effects on regional and global supply chains and economies and our business. We also continue to evaluate the impacts that energy shortages may have on our partners, suppliers and service providers. Were any of these parties to experience significant impacts from any energy shortage, our business could be materially harmed. We cannot predict with certainty the impact that volatility in energy prices could have on our or their operations, including on the manufacturing of our COVID-19 vaccine and the manufacturing and testing of our product candidates.</w:t>
      </w:r>
    </w:p>
    <w:p>
      <w:pPr>
        <w:spacing w:after="0" w:line="200" w:lineRule="exact"/>
        <w:rPr>
          <w:sz w:val="20"/>
          <w:szCs w:val="20"/>
          <w:color w:val="auto"/>
        </w:rPr>
      </w:pPr>
    </w:p>
    <w:p>
      <w:pPr>
        <w:spacing w:after="0" w:line="301"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Although we have generated revenues from sales of our COVID-19 vaccine, there remains uncertainty regarding other potential effects of COVID-19 on our business. For example, if a new variant of COVID-19 emerges for which existing vaccines, including our COVID-19 vaccine, are ineffective, infections may become even more widespread, negatively impact our ability to enroll patients in clinical studies and complete clinical trials on the timelines we currently anticipate, or result in an economic downturn that could affect demand for our products and services or our ability to raise capital, which could have a material adverse effect on our business, operating results and financial condition. Our suppliers, licensors or collaborators could also be disrupted by conditions related to COVID-19 or other pandemics and epidemics, possibly resulting in disruption to our supply chain, clinical trials, partnerships or operations.</w:t>
      </w:r>
    </w:p>
    <w:p>
      <w:pPr>
        <w:spacing w:after="0" w:line="19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color w:val="005A64"/>
        </w:rPr>
        <w:t>Our insurance policies are expensive and protect us only from some business risks, which leaves us exposed to significant uninsured liabilities.</w:t>
      </w:r>
    </w:p>
    <w:p>
      <w:pPr>
        <w:spacing w:after="0" w:line="200" w:lineRule="exact"/>
        <w:rPr>
          <w:sz w:val="20"/>
          <w:szCs w:val="20"/>
          <w:color w:val="auto"/>
        </w:rPr>
      </w:pPr>
    </w:p>
    <w:p>
      <w:pPr>
        <w:spacing w:after="0" w:line="205"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We maintain insurance coverage that we believe is appropriate for our business; however, such coverage involves significant costs, is increasingly expensive, and does not cover all potential risks, which may expose us to uninsured or underinsured liabilities. We do not carry insurance for all categories of risk that our business may encounter and insurance coverage is becoming increasingly expensive. We do not know if we will be able to maintain existing insurance with adequate levels of coverage, and any liability insurance coverage we acquire in the future may not be sufficient to reimburse us for any expenses or losses we may suffer. We currently maintain insurance coverage for losses relating to property damage, business interruption, transportation, product liability, cyber matters, clinical trials, and several other areas of coverage. For example, attracting and retaining qualified individuals to serve on our Supervisory Board and our Management Board requires that we obtain and maintain adequate director and officer liability insurance, which has increased in cost as our operations have evolved. We are dedicating resources to exploring additional avenues for more adequate coverage as our business evolves. However, the coverage or coverage limits of our insurance policies may not be adequate. If our losses exceed our insurance coverage, our financial condition would be adversely affected. In the event of contamination or injury, we could be held liable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107</w:t>
            </w:r>
          </w:p>
        </w:tc>
      </w:tr>
    </w:tbl>
    <w:p>
      <w:pPr>
        <w:sectPr>
          <w:pgSz w:w="11900" w:h="16838" w:orient="portrait"/>
          <w:cols w:equalWidth="0" w:num="1">
            <w:col w:w="11240"/>
          </w:cols>
          <w:pgMar w:left="320" w:top="388" w:right="339" w:bottom="1440" w:gutter="0" w:footer="0" w:header="0"/>
        </w:sectPr>
      </w:pPr>
    </w:p>
    <w:bookmarkStart w:id="116" w:name="page117"/>
    <w:bookmarkEnd w:id="11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for damages or be penalized with fines in an amount exceeding our resources. Clinical trials or regulatory approvals for any of our product candidates could be suspended, which could adversely affect our results of operations and business, including by preventing or limiting the development and commercialization of any product candidates that we or our collaborators may develop.</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005A64"/>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spacing w:after="0" w:line="384"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There is no guarantee that the U.S. Department of Treasury, the Federal Deposit Insurance Corporation, and Federal Reserve Board will provide access to uninsured funds in a timely fashion, or at all, in the event of the closure of banks or financial institutions.</w:t>
      </w:r>
    </w:p>
    <w:p>
      <w:pPr>
        <w:spacing w:after="0" w:line="240"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While we maintain our cash and cash equivalents in multiple financial institutions worldwide, our access to our cash and cash equivalents in amounts adequate to finance our operations could be significantly impaired by the financial institutions with which we have arrangements directly facing liquidity constraints or failures. 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Risks Related to the Manufacturing of our COVID-19 Vaccine, our Product Candidates and Future Pipeline</w:t>
      </w:r>
    </w:p>
    <w:p>
      <w:pPr>
        <w:spacing w:after="0" w:line="16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color w:val="005A64"/>
        </w:rPr>
        <w:t>Our COVID-19 vaccine and product candidates are based on novel technologies and they may be complex and difficult to manufacture. We may encounter difficulties in manufacturing, product release, shelf life, testing, storage, supply chain management or shipping. If we or any of the third-party manufacturers we work with encounter such difficulties, our ability to supply materials for clinical trials or any approved product could be delayed or stopped.</w:t>
      </w:r>
    </w:p>
    <w:p>
      <w:pPr>
        <w:spacing w:after="0" w:line="185"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The manufacturing processes for our COVID-19 vaccine and our product candidates are novel and complex. Due to the novel nature of this technology and the recency of our experience at larger scale production, we may encounter difficulties in manufacturing, product release, shelf life, testing, storage and supply chain management, or shipping. These difficulties could be due to any number of reasons, including, but not limited to, complexities of producing batches at larger scale, equipment failure, choice and quality of raw materials and excipients, analytical testing technology, and product instability. In an effort to optimize product features, we have in the past and may in the future make changes to our product candidates in their manufacturing and stability formulation and conditions. This has resulted in the past, and may in the future result, in our having to resupply batches for preclinical, clinical, or commercial activities when there is insufficient product stability during storage and insufficient supply. Insufficient stability or shelf life of our products or product candidates could materially delay our or our collaborators’ ability to continue the clinical trial for that product candidate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108</w:t>
            </w:r>
          </w:p>
        </w:tc>
      </w:tr>
    </w:tbl>
    <w:p>
      <w:pPr>
        <w:sectPr>
          <w:pgSz w:w="11900" w:h="16838" w:orient="portrait"/>
          <w:cols w:equalWidth="0" w:num="1">
            <w:col w:w="11240"/>
          </w:cols>
          <w:pgMar w:left="320" w:top="388" w:right="339" w:bottom="1440" w:gutter="0" w:footer="0" w:header="0"/>
        </w:sectPr>
      </w:pPr>
    </w:p>
    <w:bookmarkStart w:id="117" w:name="page118"/>
    <w:bookmarkEnd w:id="11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or require us to begin a new clinical trial with a newly formulated drug product, due to the need to manufacture additional preclinical, clinical or commercial supply.</w:t>
      </w:r>
    </w:p>
    <w:p>
      <w:pPr>
        <w:spacing w:after="0" w:line="217"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Our rate of innovation is high, which has resulted in, and will continue to cause a high degree of, technology change that can negatively impact product comparability during and after clinical development. Furthermore, technology changes may drive the need for changes in, modification to, or the sourcing of, new manufacturing infrastructure or may adversely affect third-party relationships.</w:t>
      </w:r>
    </w:p>
    <w:p>
      <w:pPr>
        <w:spacing w:after="0" w:line="231"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The process to generate mRNA medicines is complex and, if not developed and manufactured under well-controlled conditions, can adversely impact pharmacological activity. We may encounter difficulties in scaling up our manufacturing process, thereby potentially impacting clinical and commercial supply. Additionally, for individualized therapies, we may encounter issues with our ability to timely and efficiently manufacture product given the on-demand requirements of such therapies, thereby potentially impacting clinical and commercial supply.</w:t>
      </w:r>
    </w:p>
    <w:p>
      <w:pPr>
        <w:spacing w:after="0" w:line="236"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As we continue developing new manufacturing processes for our drug substance and drug product, the changes we implement to the manufacturing process may impact, in turn, specification and stability of the drug product. Changes in our manufacturing processes may lead to failure of lots and this could lead to a substantial delay in our clinical trials or an inability to supply sufficient commercial quantities of drug product. Our mRNA product candidates may prove to have a stability profile that leads to an unfavorable shelf life. This poses risk in supply requirements, wasted stock and higher cost of goods.</w:t>
      </w:r>
    </w:p>
    <w:p>
      <w:pPr>
        <w:spacing w:after="0" w:line="200" w:lineRule="exact"/>
        <w:rPr>
          <w:sz w:val="20"/>
          <w:szCs w:val="20"/>
          <w:color w:val="auto"/>
        </w:rPr>
      </w:pPr>
    </w:p>
    <w:p>
      <w:pPr>
        <w:spacing w:after="0" w:line="2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We are dependent on a number of equipment providers who are also implementing novel technology. Further, we have developed our own custom manufacturing equipment for certain of our product candidates. If such equipment malfunctions or we encounter unexpected performance issues, we could encounter delays or interruptions to clinical and commercial supply.</w:t>
      </w:r>
    </w:p>
    <w:p>
      <w:pPr>
        <w:spacing w:after="0" w:line="175"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8"/>
          <w:szCs w:val="18"/>
          <w:color w:val="080509"/>
        </w:rPr>
        <w:t>Due to the number of different programs, we may in the future have cross contamination of products inside of our factories, CROs, external CMOs, suppliers or in the clinic that affect the integrity of our products. Additionally, for some programs the manufacturing scale is extremely small compared to the standard volumes of supply, such that we run the risk of contaminating the process each time we reopen a container to use remaining supplies.</w:t>
      </w:r>
    </w:p>
    <w:p>
      <w:pPr>
        <w:spacing w:after="0" w:line="200" w:lineRule="exact"/>
        <w:rPr>
          <w:sz w:val="20"/>
          <w:szCs w:val="20"/>
          <w:color w:val="auto"/>
        </w:rPr>
      </w:pPr>
    </w:p>
    <w:p>
      <w:pPr>
        <w:spacing w:after="0" w:line="286"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As we scale the manufacturing output for particular programs, we plan to continuously improve yield, purity and the pharmaceutical properties of our product candidates from IND-enabling studies through commercial launch, including shelf life stability and solubility properties of drug product and drug substance. Due to continuous improvement in manufacturing processes, we may switch processes for a particular program during development. However, after the change in process, more time is required for pharmaceutical property testing, such as six- or 12- month stability testing. That may require resupplying clinical or commercial material, or making additional GMP batches to keep up with clinical trial demand before such pharmaceutical property testing is completed.</w:t>
      </w:r>
    </w:p>
    <w:p>
      <w:pPr>
        <w:spacing w:after="0" w:line="239"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We are utilizing a number of raw materials and excipients that are either new to the pharmaceutical industry or are being employed in a novel manner. Some of these raw materials and excipients have not been scaled to a level to support commercial supply and could experience unexpected manufacturing or testing failures, or supply shortages. Such issues with raw materials and excipients could cause delays or interruptions to clinical and commercial supply of our COVID-19 vaccine and</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109</w:t>
            </w:r>
          </w:p>
        </w:tc>
      </w:tr>
    </w:tbl>
    <w:p>
      <w:pPr>
        <w:sectPr>
          <w:pgSz w:w="11900" w:h="16838" w:orient="portrait"/>
          <w:cols w:equalWidth="0" w:num="1">
            <w:col w:w="11240"/>
          </w:cols>
          <w:pgMar w:left="320" w:top="388" w:right="339" w:bottom="1440" w:gutter="0" w:footer="0" w:header="0"/>
        </w:sectPr>
      </w:pPr>
    </w:p>
    <w:bookmarkStart w:id="118" w:name="page119"/>
    <w:bookmarkEnd w:id="11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our product candidates. Further, now and in the future, one or more of our programs may have a single source of supply for raw materials and excipients. Some of our suppliers are located in countries different from our manufacturing sites. Export restrictions could lead to unplanned interruptions in manufacturing, thus impacting supply of both clinical and commercial material.</w:t>
      </w:r>
    </w:p>
    <w:p>
      <w:pPr>
        <w:spacing w:after="0" w:line="231"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We have established a number of analytical assays, and may have to establish several more, to assess the quality of our mRNA products and product candidates. We may identify gaps in our analytical testing strategy that might prevent release of product or could require product withdrawal or recall. For example, we may discover new impurities that have an impact on product safety, efficacy or stability. This may lead to an inability to release mRNA products or product candidates until the manufacturing or testing process is rectified.</w:t>
      </w:r>
    </w:p>
    <w:p>
      <w:pPr>
        <w:spacing w:after="0" w:line="23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Our product and product intermediates are extremely temperature sensitive, and we may learn that any or all of our products are less stable than desired. We may also find that transportation conditions negatively impact product quality. This may require changes to the formulation or manufacturing process for one or more of our products or product candidates and result in delays or interruptions to clinical or commercial supply. In addition, the cost associated with such transportation services and the limited pool of vendors may also add additional risks of supply disruptions. As we transport intermediate products with holding times in refrigeration (TIR) and allowed times out of refrigeration (TOR) across long distances and crossing borders, traffic issues and customs delays could lead to the loss of batches which would need to be replaced.</w:t>
      </w:r>
    </w:p>
    <w:p>
      <w:pPr>
        <w:spacing w:after="0" w:line="200" w:lineRule="exact"/>
        <w:rPr>
          <w:sz w:val="20"/>
          <w:szCs w:val="20"/>
          <w:color w:val="auto"/>
        </w:rPr>
      </w:pPr>
    </w:p>
    <w:p>
      <w:pPr>
        <w:spacing w:after="0" w:line="26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color w:val="005A64"/>
        </w:rPr>
        <w:t>Certain of our product candidates are uniquely manufactured for each patient and we may encounter difficulties in production, particularly with respect to scaling our manufacturing capabilities. If we or any of the third-party manufacturers with whom we contract encounter these types of difficulties, our ability to provide such product candidates for clinical trials or, if approved, products for patients could be delayed or stopped, or we may be unable to maintain a commercially viable cost structure.</w:t>
      </w:r>
    </w:p>
    <w:p>
      <w:pPr>
        <w:spacing w:after="0" w:line="185"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We custom design and manufacture certain product candidates that are unique and tailored specifically for each patient. Manufacturing unique lots of these product candidates is susceptible to product loss or failure due to issues with:</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logistics associated with the collection of a patient’s tumor, blood or other tissue sample;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shipping such samples to a facility for genetic sequencing;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next-generation sequencing of the tumor mRNA;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biopsy of a sufficient quantity of cancerous tissue to allow for proper sequencing and identification of tumor-specific mutations;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identification of appropriate tumor-specific mutations;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use of a software program, including proprietary and open source components, which is hosted in the cloud and a part of our product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candidate, to assist with the design of the patient-specific mRNA, which software must be maintained and secured;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effective design of the patient-specific mRNA that encodes for the required neoantigens;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110</w:t>
            </w:r>
          </w:p>
        </w:tc>
      </w:tr>
    </w:tbl>
    <w:p>
      <w:pPr>
        <w:sectPr>
          <w:pgSz w:w="11900" w:h="16838" w:orient="portrait"/>
          <w:cols w:equalWidth="0" w:num="1">
            <w:col w:w="11240"/>
          </w:cols>
          <w:pgMar w:left="320" w:top="388" w:right="339" w:bottom="1440" w:gutter="0" w:footer="0" w:header="0"/>
        </w:sectPr>
      </w:pPr>
    </w:p>
    <w:bookmarkStart w:id="119" w:name="page120"/>
    <w:bookmarkEnd w:id="11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batch-specific manufacturing failures or issues that arise due to the uniqueness of each patient-specific batch that may not have been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foreseen;</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quality control testing failures;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unexpected failures of batches placed on stability;</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shortages or quality control issues with single-use assemblies, consumables or critical parts sourced from third-party vendors that must be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changed out for each patient-specific batch;</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significant costs associated with individualized manufacturing that may adversely affect our ability to continue development;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successful and timely manufacture and release of the patient-specific batch;</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shipment issues encountered during transport of the batch to the site of patient care;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ability to define a consistent safety profile at a given dose when each participant receives a unique treatment;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reliance on single source suppliers.</w:t>
      </w:r>
    </w:p>
    <w:p>
      <w:pPr>
        <w:spacing w:after="0" w:line="33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also continue to evolve our own custom manufacturing equipment. This equipment may not function as designed, which may lead to deviations in the drug product being produced. This can lead to increased batch failure and the inability to supply patients enrolled in the clinical trial. If our clinical development plans are expanded, we may not be able to supply this expanded need reliably without significant investments due to the custom nature of the equipment and single-use assemblies. In addition, there will be considerable time to scale up our facilities or build new facilities before we can begin to meet any commercial demand if one or more of our individualized product candidates are approved. This expansion or addition of new facilities could also lead to product comparability issues, which can further delay introduction of new capacity.</w:t>
      </w:r>
    </w:p>
    <w:p>
      <w:pPr>
        <w:spacing w:after="0" w:line="200" w:lineRule="exact"/>
        <w:rPr>
          <w:sz w:val="20"/>
          <w:szCs w:val="20"/>
          <w:color w:val="auto"/>
        </w:rPr>
      </w:pPr>
    </w:p>
    <w:p>
      <w:pPr>
        <w:spacing w:after="0" w:line="304"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For those of our product candidates that are manufactured for each individual patient, we are required to maintain a chain of identity with respect to each patient’s tissue sample, the sequenced data derived from such tissue sample, the results of such patient’s genomic analysis and the custom manufactured product for such patient. Maintaining such a chain of identity is difficult and complex, and failure to do so could result in product mix-up, adverse patient outcomes, loss of product, or regulatory action, including withdrawal of any approved products from the market. Further, as our product candidates are developed through early-stage clinical studies to later-stage clinical trials towards approval and commercialization, we expect that multiple aspects of the complicated collection, analysis, manufacture and delivery processes will be modified in an effort to optimize processes and results. These changes may not achieve the intended objectives, and any of these changes could cause our product candidates to perform differently than we expect, potentially affecting the results of clinical trials.</w:t>
      </w:r>
    </w:p>
    <w:p>
      <w:pPr>
        <w:spacing w:after="0" w:line="200" w:lineRule="exact"/>
        <w:rPr>
          <w:sz w:val="20"/>
          <w:szCs w:val="20"/>
          <w:color w:val="auto"/>
        </w:rPr>
      </w:pP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111</w:t>
            </w:r>
          </w:p>
        </w:tc>
      </w:tr>
    </w:tbl>
    <w:p>
      <w:pPr>
        <w:sectPr>
          <w:pgSz w:w="11900" w:h="16838" w:orient="portrait"/>
          <w:cols w:equalWidth="0" w:num="1">
            <w:col w:w="11240"/>
          </w:cols>
          <w:pgMar w:left="320" w:top="388" w:right="339" w:bottom="1440" w:gutter="0" w:footer="0" w:header="0"/>
        </w:sectPr>
      </w:pPr>
    </w:p>
    <w:bookmarkStart w:id="120" w:name="page121"/>
    <w:bookmarkEnd w:id="12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Our inability to manufacture sufficient or appropriate quantities of our COVID-19 vaccine or any of our product candidates, or our failure to comply with applicable regulatory requirements, could materially and adversely affect our business.</w:t>
      </w:r>
    </w:p>
    <w:p>
      <w:pPr>
        <w:spacing w:after="0" w:line="15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Manufacturing is a vital component of our individualized immunotherapy approach, and we have invested significantly in our manufacturing facilities, including the acquisition of a manufacturing site in Marburg, Germany, the construction of a novel modular manufacturing facility that we refer to as a “</w:t>
      </w:r>
      <w:r>
        <w:rPr>
          <w:rFonts w:ascii="Times New Roman" w:cs="Times New Roman" w:eastAsia="Times New Roman" w:hAnsi="Times New Roman"/>
          <w:sz w:val="18"/>
          <w:szCs w:val="18"/>
          <w:i w:val="1"/>
          <w:iCs w:val="1"/>
          <w:color w:val="080509"/>
        </w:rPr>
        <w:t>BioNTainer</w:t>
      </w:r>
      <w:r>
        <w:rPr>
          <w:rFonts w:ascii="Times New Roman" w:cs="Times New Roman" w:eastAsia="Times New Roman" w:hAnsi="Times New Roman"/>
          <w:sz w:val="18"/>
          <w:szCs w:val="18"/>
          <w:color w:val="080509"/>
        </w:rPr>
        <w:t xml:space="preserve">,” and the construction of a facility to support manufacturing of our Individualized Vaccines Against Cancer candidates. All internal manufacturing is performed under GMP guidelines. We also rely on a network of CMOs for the manufacture of our COVID-19 vaccine. We do not rely on any external CMOs for the manufacture of our individualized product candidates and at this time, we have limited redundancy among our facilities. Due to the individualized nature of our product candidates, we do not maintain product reserves. If any of our or our external CMOs’ manufacturing facilities, including our </w:t>
      </w:r>
      <w:r>
        <w:rPr>
          <w:rFonts w:ascii="Times New Roman" w:cs="Times New Roman" w:eastAsia="Times New Roman" w:hAnsi="Times New Roman"/>
          <w:sz w:val="18"/>
          <w:szCs w:val="18"/>
          <w:i w:val="1"/>
          <w:iCs w:val="1"/>
          <w:color w:val="080509"/>
        </w:rPr>
        <w:t>BioNTainer</w:t>
      </w:r>
      <w:r>
        <w:rPr>
          <w:rFonts w:ascii="Times New Roman" w:cs="Times New Roman" w:eastAsia="Times New Roman" w:hAnsi="Times New Roman"/>
          <w:sz w:val="18"/>
          <w:szCs w:val="18"/>
          <w:color w:val="080509"/>
        </w:rPr>
        <w:t xml:space="preserve"> units, experience difficulties, including related to manufacturing, product release, shelf life, testing, storage and supply chain management or shipping, our clinical development programs may be delayed or suspended until we or our external CMOs can resume operations. We may also be required to incur significant expenditures to resolve such difficulties.</w:t>
      </w:r>
    </w:p>
    <w:p>
      <w:pPr>
        <w:spacing w:after="0" w:line="200" w:lineRule="exact"/>
        <w:rPr>
          <w:sz w:val="20"/>
          <w:szCs w:val="20"/>
          <w:color w:val="auto"/>
        </w:rPr>
      </w:pPr>
    </w:p>
    <w:p>
      <w:pPr>
        <w:spacing w:after="0" w:line="309"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and our collaboration partner also have experienced, and continue to face the risk of, inventory write-downs or redundant production capacities with respect to our COVID-19 vaccine. Planned new formulations of our COVID-19 vaccine, including versions that could protect against new variants of COVID-19, have resulted or may result in significant research and development expense that was not or may not be recouped. In addition, we have experienced in the past, and may experience in the future, redundant production capacities under our agreements with CMOs due to planned new formulations, adaptations of our COVID-19 vaccine and increased internal manufacturing capacities. Significant inventory write-downs or redundant manufacturing expenses would negatively impact our results of operations.</w:t>
      </w:r>
    </w:p>
    <w:p>
      <w:pPr>
        <w:spacing w:after="0" w:line="239"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Our facilities are subject to various regulatory requirements and may be subject to announced or unannounced inspections by the FDA or other regulatory authorities at any time during the development or commercialization phase. If we or our external CMOs cannot successfully manufacture material that conforms to our specifications and the strict regulatory requirements of the FDA, the EMA or comparable regulatory authorities in other jurisdictions, we may not be able to rely on our or our external CMOs’ manufacturing facilities for the manufacture of our product candidates. If the FDA, the EMA or another comparable regulatory authority finds our or our external CMOs’ facilities inadequate for the manufacture of our COVID-19 vaccine or our product candidates or otherwise deficient, including as a result of a site inspection, such facilities may be the subject of adverse regulatory action, including the issuance of untitled or warning letters. If such facilities are subject to enforcement action in the future or are otherwise inadequate, we may need to find alternative manufacturing facilities, which would significantly delay or otherwise impact our ability to develop, obtain regulatory approval for or market our COVID-19 vaccine or our product candidates.</w:t>
      </w:r>
    </w:p>
    <w:p>
      <w:pPr>
        <w:spacing w:after="0" w:line="200" w:lineRule="exact"/>
        <w:rPr>
          <w:sz w:val="20"/>
          <w:szCs w:val="20"/>
          <w:color w:val="auto"/>
        </w:rPr>
      </w:pPr>
    </w:p>
    <w:p>
      <w:pPr>
        <w:spacing w:after="0" w:line="309"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Additionally, we may experience manufacturing difficulties due to resource constraints, labor disputes or unstable political environments. If we were to encounter any of these difficulties, our ability to provide our product candidates to patients in clinical trials, or to provide approved products for the treatment of patients, would be jeopardized.</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112</w:t>
            </w:r>
          </w:p>
        </w:tc>
      </w:tr>
    </w:tbl>
    <w:p>
      <w:pPr>
        <w:sectPr>
          <w:pgSz w:w="11900" w:h="16838" w:orient="portrait"/>
          <w:cols w:equalWidth="0" w:num="1">
            <w:col w:w="11240"/>
          </w:cols>
          <w:pgMar w:left="320" w:top="388" w:right="339" w:bottom="1440" w:gutter="0" w:footer="0" w:header="0"/>
        </w:sectPr>
      </w:pPr>
    </w:p>
    <w:bookmarkStart w:id="121" w:name="page122"/>
    <w:bookmarkEnd w:id="12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We are subject to regulatory and operational risks associated with the physical and digital infrastructure at both our internal manufacturing facilities and at those of our external service providers.</w:t>
      </w:r>
    </w:p>
    <w:p>
      <w:pPr>
        <w:spacing w:after="0" w:line="15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The designs of our facilities are based on current standards for biotechnology facilities. They have been reviewed and approved by local authorities and have also received GMP manufacturing licenses. We have designed our facilities to incorporate a significant level of automation of equipment with integration of several digital systems to improve efficiency of operations. We have attempted to achieve a high level of digitization for clinical and commercial manufacturing facilities relative to industry standards. While this is meant to improve operational efficiency, this may pose additional risk of process equipment malfunction and even overall manufacturing system failure or shutdown due to internal or external factors including, but not limited to, design issues, system compatibility or potential cybersecurity breaches. This may lead to a delay in supply or shutdown of our facilities. Any disruption in our manufacturing capabilities could cause delays in our production capacity for our drug substances or drug products, impose additional costs, or require us to identify, qualify and establish an alternative manufacturing site, the occurrence of which could have a material adverse effect on our business, financial condition, results of operations and prospects.</w:t>
      </w:r>
    </w:p>
    <w:p>
      <w:pPr>
        <w:spacing w:after="0" w:line="200" w:lineRule="exact"/>
        <w:rPr>
          <w:sz w:val="20"/>
          <w:szCs w:val="20"/>
          <w:color w:val="auto"/>
        </w:rPr>
      </w:pPr>
    </w:p>
    <w:p>
      <w:pPr>
        <w:spacing w:after="0" w:line="309"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As we expand our development and commercial capacity, we may continue to establish additional manufacturing capabilities in different jurisdictions, which may lead to regulatory delays or prove costly. If we fail to select the correct location, complete the construction in an efficient manner, recruit required personnel, and/or generally manage our growth effectively, the development and production of our products or product candidates could be delayed or curtailed. Additional investments may be needed if changes in our manufacturing process lead to required changes in our infrastructure.</w:t>
      </w:r>
    </w:p>
    <w:p>
      <w:pPr>
        <w:spacing w:after="0" w:line="200" w:lineRule="exact"/>
        <w:rPr>
          <w:sz w:val="20"/>
          <w:szCs w:val="20"/>
          <w:color w:val="auto"/>
        </w:rPr>
      </w:pPr>
    </w:p>
    <w:p>
      <w:pPr>
        <w:spacing w:after="0" w:line="25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Our COVID-19 vaccine and certain of our product candidates rely on the availability of specialty raw materials, which may not be available to us on acceptable terms or at all.</w:t>
      </w:r>
    </w:p>
    <w:p>
      <w:pPr>
        <w:spacing w:after="0" w:line="158"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Our product candidates require many specialty raw materials, some of which are manufactured by small companies with limited resources and experience to support a commercial product, and suppliers may not be able to deliver raw materials to our specifications. In addition, some such suppliers normally support blood-based hospital businesses and generally do not have the capacity to support commercial products manufactured under GMP by biopharmaceutical firms. These suppliers may be ill-equipped to support our needs, especially in non-routine circumstances like an FDA inspection or medical crisis, such as widespread contamination. We also do not have contracts with many of these suppliers, and we may not be able to contract with them on acceptable terms or at all. Accordingly, we have experienced and we may in the future experience delays in receiving key raw materials to support clinical or commercial manufacturing.</w:t>
      </w:r>
    </w:p>
    <w:p>
      <w:pPr>
        <w:spacing w:after="0" w:line="240"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In addition, some raw materials are currently available from a single supplier, or a small number of suppliers. We cannot be sure that these suppliers will remain in business or that they will not be purchased by one of our competitors or another company that is not interested in continuing to produce these materials for our intended purpose. In addition, the lead time needed to establish a relationship with a new supplier can be lengthy, and we may experience delays in meeting demand in the event we must switch to a new supplier. The time and effort to qualify a new supplier could result in additional costs, diversion of resources or reduced manufacturing yields, any of which would negatively impact our operating results. Further, we may be unable to enter into agreements with a new supplier on commercially reasonable terms or at all, which could have a material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113</w:t>
            </w:r>
          </w:p>
        </w:tc>
      </w:tr>
    </w:tbl>
    <w:p>
      <w:pPr>
        <w:sectPr>
          <w:pgSz w:w="11900" w:h="16838" w:orient="portrait"/>
          <w:cols w:equalWidth="0" w:num="1">
            <w:col w:w="11240"/>
          </w:cols>
          <w:pgMar w:left="320" w:top="388" w:right="339" w:bottom="1440" w:gutter="0" w:footer="0" w:header="0"/>
        </w:sectPr>
      </w:pPr>
    </w:p>
    <w:bookmarkStart w:id="122" w:name="page123"/>
    <w:bookmarkEnd w:id="12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color w:val="005A64"/>
        </w:rPr>
        <w:t>We are subject to significant regulatory oversight with respect to manufacturing our products and product candidates. Our manufacturing facilities or the manufacturing facilities of our third-party manufacturers or suppliers may not meet regulatory requirements. Failure to meet GMP requirements set forth in regulations promulgated by the FDA, the EMA and other comparable regulatory authorities could result in significant delays in and costs of our products.</w:t>
      </w:r>
    </w:p>
    <w:p>
      <w:pPr>
        <w:spacing w:after="0" w:line="185"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The manufacturing of immunotherapies for clinical trials or commercial sale is subject to extensive regulation. GMP requirements govern manufacturing processes and procedures, including record-keeping, and the implementation and operation of quality systems to control and assure the quality of products and materials used in our products and product candidates. Poor control of the GMP production processes can lead to product quality failures that can impact our ability to supply product, resulting in loss of potential product sales revenue, cost overruns and delays to clinical timelines for our clinical programs, which could be extensive. Such production process issues include but are not limited to:</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critical deviations in the manufacturing process;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facility and equipment failures;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contamination of the product due to an ineffective quality control strategy;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facility contamination as assessed by the facility and utility environmental monitoring program;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ineffective process, equipment or analytical change management, resulting in failed lot release criteria;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raw material failures due to ineffective supplier qualification or regulatory compliance issues at critical suppliers;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ineffective product stability;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failed lot release or facility and utility quality control testing;</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ineffective corrective actions or preventative actions taken to correct or avoid critical deviations due to our developing understanding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manufacturing process as we scale; 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failed or defective components or consumables.</w:t>
      </w:r>
    </w:p>
    <w:p>
      <w:pPr>
        <w:spacing w:after="0" w:line="333"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We must supply all necessary documentation in support of a BLA or other marketing authorization application on a timely basis and must adhere to the FDA’s, the EMA’s and other countries’ GMP requirements, which are enforced, in the case of the FDA, in part through its facilities inspection program.</w:t>
      </w:r>
    </w:p>
    <w:p>
      <w:pPr>
        <w:spacing w:after="0" w:line="200" w:lineRule="exact"/>
        <w:rPr>
          <w:sz w:val="20"/>
          <w:szCs w:val="20"/>
          <w:color w:val="auto"/>
        </w:rPr>
      </w:pPr>
    </w:p>
    <w:p>
      <w:pPr>
        <w:spacing w:after="0" w:line="262"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Regulatory authorities typically require representative manufacturing site inspections to assess adequate compliance with GMPs and manufacturing controls as described in the filing. If either we or one of our third-party manufacturing sites fail to provide sufficient quality assurance or control, approval to continue delivery of our commercial product or to commercialize our product candidates may not be granted. Inspections by regulatory authorities may be announced or unannounced and may occur at any time during the development or commercialization phase. The inspections may be</w:t>
      </w:r>
    </w:p>
    <w:p>
      <w:pPr>
        <w:sectPr>
          <w:pgSz w:w="11900" w:h="16838" w:orient="portrait"/>
          <w:cols w:equalWidth="0" w:num="1">
            <w:col w:w="11240"/>
          </w:cols>
          <w:pgMar w:left="320" w:top="3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
        <w:spacing w:after="0"/>
        <w:tabs>
          <w:tab w:leader="none" w:pos="10860" w:val="left"/>
        </w:tabs>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r>
        <w:rPr>
          <w:sz w:val="20"/>
          <w:szCs w:val="20"/>
          <w:color w:val="auto"/>
        </w:rPr>
        <w:tab/>
      </w:r>
      <w:r>
        <w:rPr>
          <w:rFonts w:ascii="Times New Roman" w:cs="Times New Roman" w:eastAsia="Times New Roman" w:hAnsi="Times New Roman"/>
          <w:sz w:val="21"/>
          <w:szCs w:val="21"/>
          <w:b w:val="1"/>
          <w:bCs w:val="1"/>
          <w:color w:val="C3C3C3"/>
        </w:rPr>
        <w:t>114</w:t>
      </w:r>
    </w:p>
    <w:p>
      <w:pPr>
        <w:sectPr>
          <w:pgSz w:w="11900" w:h="16838" w:orient="portrait"/>
          <w:cols w:equalWidth="0" w:num="1">
            <w:col w:w="11240"/>
          </w:cols>
          <w:pgMar w:left="320" w:top="388" w:right="339" w:bottom="1440" w:gutter="0" w:footer="0" w:header="0"/>
          <w:type w:val="continuous"/>
        </w:sectPr>
      </w:pPr>
    </w:p>
    <w:bookmarkStart w:id="123" w:name="page124"/>
    <w:bookmarkEnd w:id="12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product-specific or facility-specific for broader GMP inspections, or as a follow up to market or development issues that the regulatory agency may identify. Deficient inspection outcomes may result in adverse regulatory action, including the issuance of untitled or warning letters, which could influence our ability, or the ability of our third-party manufacturers or suppliers, to fulfill supply obligations, impacting or delaying supply or delaying programs. Our failure, or the failure of our third-party manufacturers, to comply with applicable regulations could result in sanctions being imposed on us, including, but not limited to,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product candidates (including those of our collaborators) and our overall business operations.</w:t>
      </w:r>
    </w:p>
    <w:p>
      <w:pPr>
        <w:spacing w:after="0" w:line="200" w:lineRule="exact"/>
        <w:rPr>
          <w:sz w:val="20"/>
          <w:szCs w:val="20"/>
          <w:color w:val="auto"/>
        </w:rPr>
      </w:pPr>
    </w:p>
    <w:p>
      <w:pPr>
        <w:spacing w:after="0" w:line="304"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The manufacturing process for any product is subject to the FDA’s, the EMA’s and other regulatory authorities’ approval processes, and we may need to contract with manufacturers whom we believe can meet applicable regulatory authority requirements on an ongoing basis. If we or our third-party manufacturers are unable to reliably manufacture to specifications acceptable to the FDA, the EMA or other regulatory authorities, we or our collaborators may not obtain or maintain the approvals we or they need to release and deliver such products. Even if we or our collaborators obtain regulatory approval for any of our immunotherapies, there is no assurance that either we or our CMOs will be able to manufacture our product candidates to specifications acceptable to the FDA, the EMA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candidates, impair commercialization efforts or increase our cost of goods. The occurrence of any of the foregoing could have an adverse effect on our business, financial condition, results of operations and growth prospects.</w:t>
      </w:r>
    </w:p>
    <w:p>
      <w:pPr>
        <w:spacing w:after="0" w:line="245"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color w:val="080509"/>
        </w:rPr>
        <w:t>In addition, we may not have direct control over the ability of our CMOs to maintain adequate quality control, quality assurance and qualified personnel. Furthermore, all of our CMOs are engaged with other companies to supply or manufacture materials or products for such companies, which exposes our CMOs to regulatory risks for the production of such materials and products. As a result, failure to meet the regulatory requirements for the production of those materials and products may generally affect the regulatory status of our CMOs’ facilities, and could result in the sanctions and other adverse outcomes described above. Our potential future dependence upon others for the manufacture of our products, product candidates and raw materials may adversely affect our future operating results and our ability to commercialize any products that receive regulatory approval on a timely and competitive basis.</w:t>
      </w:r>
    </w:p>
    <w:p>
      <w:pPr>
        <w:spacing w:after="0" w:line="240"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The FDA, the EMA and other regulatory authorities may require us to submit product samples of any lot of any approved product together with the protocols showing the results of applicable tests at any time. Under some circumstances, the FDA or other regulatory authorities may require that we do not distribute a lot or lots until the relevant agency authorizes such release. Deviations in the manufacturing process, including those affecting quality attributes and stability, may result in unacceptable changes in the product that could result in lot failures or product recalls. Our CMOs have, in the past, experienced lot failures and some may have experienced product recalls. Lot failures or product recalls with respect to product produced by either our own facilities or those of our third-party manufacturers could cause us and our collaborators to delay clinical trials,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115</w:t>
            </w:r>
          </w:p>
        </w:tc>
      </w:tr>
    </w:tbl>
    <w:p>
      <w:pPr>
        <w:sectPr>
          <w:pgSz w:w="11900" w:h="16838" w:orient="portrait"/>
          <w:cols w:equalWidth="0" w:num="1">
            <w:col w:w="11240"/>
          </w:cols>
          <w:pgMar w:left="320" w:top="388" w:right="339" w:bottom="1440" w:gutter="0" w:footer="0" w:header="0"/>
        </w:sectPr>
      </w:pPr>
    </w:p>
    <w:bookmarkStart w:id="124" w:name="page125"/>
    <w:bookmarkEnd w:id="12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080509"/>
        </w:rPr>
        <w:t>launches or product supply, which could be costly to us and otherwise harm our business, financial condition, results of operations and prospects.</w:t>
      </w:r>
    </w:p>
    <w:p>
      <w:pPr>
        <w:spacing w:after="0" w:line="200" w:lineRule="exact"/>
        <w:rPr>
          <w:sz w:val="20"/>
          <w:szCs w:val="20"/>
          <w:color w:val="auto"/>
        </w:rPr>
      </w:pPr>
    </w:p>
    <w:p>
      <w:pPr>
        <w:spacing w:after="0" w:line="358"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We also may encounter problems hiring and retaining the experienced scientific, quality-control and manufacturing personnel needed to operate our manufacturing processes and operations, which could result in delays in production or difficulties in maintaining compliance with applicable regulatory requirements. While we train and qualify all personnel around the appropriate handling of our products and materials, we may not be able to control for or ultimately detect intentional sabotage or negligence by any employee or contractor.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Risks Related to our Reliance on Third Parties</w:t>
      </w:r>
    </w:p>
    <w:p>
      <w:pPr>
        <w:spacing w:after="0" w:line="175"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8"/>
          <w:szCs w:val="18"/>
          <w:b w:val="1"/>
          <w:bCs w:val="1"/>
          <w:color w:val="005A64"/>
        </w:rPr>
        <w:t>We rely on third parties in the conduct of significant aspects of our preclinical studies and clinical trials and intend to rely on third parties in the conduct of future clinical trials. If these third parties do not successfully carry out their contractual duties, fail to comply with applicable regulatory requirements or fail to meet expected deadlines, we may be unable to obtain regulatory approval for our product candidates.</w:t>
      </w:r>
    </w:p>
    <w:p>
      <w:pPr>
        <w:spacing w:after="0" w:line="393"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8"/>
          <w:szCs w:val="18"/>
          <w:color w:val="080509"/>
        </w:rPr>
        <w:t>We currently rely, and expect to continue to rely, on third parties, such as CROs, clinical data management organizations, collaborators, medical institutions and clinical investigators, to conduct various and significant elements of our clinical trials. Furthermore, we currently rely, and expect to continue to rely, on third parties to conduct certain research and preclinical testing activities. In some cases, these third parties may terminate their engagements with us. If we need to enter into alternative arrangements, it would delay our discovery or product development activities.</w:t>
      </w:r>
    </w:p>
    <w:p>
      <w:pPr>
        <w:spacing w:after="0" w:line="200" w:lineRule="exact"/>
        <w:rPr>
          <w:sz w:val="20"/>
          <w:szCs w:val="20"/>
          <w:color w:val="auto"/>
        </w:rPr>
      </w:pPr>
    </w:p>
    <w:p>
      <w:pPr>
        <w:spacing w:after="0" w:line="295"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Our reliance on these third parties for research and development activities will reduce our control over these activities but will not relieve us of our regulatory or contractual responsibilities. We are responsible for ensuring that each of our preclinical studies and clinical trials is conducted in accordance with the applicable protocol, legal and regulatory requirements and scientific standards. For example, we are responsible for ensuring that each of our clinical trials is conducted in accordance with the general investigational plan and protocols for the trial.</w:t>
      </w:r>
    </w:p>
    <w:p>
      <w:pPr>
        <w:spacing w:after="0" w:line="200" w:lineRule="exact"/>
        <w:rPr>
          <w:sz w:val="20"/>
          <w:szCs w:val="20"/>
          <w:color w:val="auto"/>
        </w:rPr>
      </w:pPr>
    </w:p>
    <w:p>
      <w:pPr>
        <w:spacing w:after="0" w:line="295"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Moreover, the FDA requires us to comply with GCP for conducting, recording and reporting the results of clinical trials to assure that data and reported results are credible and accurate and that the rights, integrity and confidentiality of trial participants are protected. We are also required to register ongoing clinical trials and post the results of completed clinical trials on a U.S. government-sponsored database, ClinicalTrials.gov, within certain timeframes. Failure to do so can result in fines, adverse publicity, and civil and criminal sanctions. For any violations of laws and regulations during the conduct of our preclinical studies and clinical trials, we could be subject to warning letters or enforcement action that may include civil penalties up to and including criminal prosecution.</w:t>
      </w:r>
    </w:p>
    <w:p>
      <w:pPr>
        <w:spacing w:after="0" w:line="239"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and our CROs are required to comply with regulations, including GCP, for conducting, monitoring, recording and reporting the results of preclinical studies and clinical trials to ensure that the data and results are scientifically credible and accurate and that the trial participants are adequately informed, among other things, of the potential risks of participating in clinical trials. We are also responsible for ensuring that the rights of our clinical trial participants are protected. These regulations are enforced by the FDA, the regulatory authorities of the EU member states, and comparable regulatory authorities of other jurisdictions for any product candidates in clinical development. The FDA enforces GCP regulations through periodic inspections of clinical trial sponsors, principal</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116</w:t>
            </w:r>
          </w:p>
        </w:tc>
      </w:tr>
    </w:tbl>
    <w:p>
      <w:pPr>
        <w:sectPr>
          <w:pgSz w:w="11900" w:h="16838" w:orient="portrait"/>
          <w:cols w:equalWidth="0" w:num="1">
            <w:col w:w="11240"/>
          </w:cols>
          <w:pgMar w:left="320" w:top="388" w:right="339" w:bottom="1440" w:gutter="0" w:footer="0" w:header="0"/>
        </w:sectPr>
      </w:pPr>
    </w:p>
    <w:bookmarkStart w:id="125" w:name="page126"/>
    <w:bookmarkEnd w:id="12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investigators and trial sites. If we or our CROs fail to comply with applicable GCP, the clinical data generated in our clinical trials may be deemed unreliable and the FDA or comparable regulatory authorities of other jurisdictions may require us to perform additional clinical trials before approving our marketing applications. We cannot be sure that, upon inspection, the FDA will determine that any of our future clinical trials will comply with GCP. In addition, our clinical trials must be conducted with product candidates produced in accordance with the requirements of GMP regulations. Our failure or the failure of our CROs to comply with these regulations may require us to repeat clinical trials, which would delay the regulatory approval process and could also subject us to enforcement action.</w:t>
      </w:r>
    </w:p>
    <w:p>
      <w:pPr>
        <w:spacing w:after="0" w:line="239"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Although we have designed, and in the future intend to design the clinical trials for certain of our product candidates, our collaborators will design the clinical trials that they are managing (in some cases, with our input) and in the case of clinical trials controlled by us, we expect that CROs will conduct all of the clinical trials. As a result, many important aspects of our development programs, including their conduct and timing, are outside of our direct control. Our reliance on third parties to conduct future preclinical studies and clinical trials results in less direct control over the management of data developed through preclinical studies and clinical trials than would be the case if we were relying entirely upon our own staff. Communicating with outside parties can also potentially lead to mistakes as well as difficulties in coordinating activities. Outside parties may:</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have staffing difficulties;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fail to comply with contractual obligations;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experience regulatory compliance issues;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undergo changes in priorities or become financially distressed;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form relationships with other entities, some of which may be our competitors;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make human errors; or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be subject to cyberattacks.</w:t>
      </w:r>
    </w:p>
    <w:p>
      <w:pPr>
        <w:spacing w:after="0" w:line="333"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These factors may materially adversely affect the willingness or ability of third parties to conduct our preclinical studies and clinical trials and may subject us to unexpected cost increases that are beyond our control. If the CROs do not perform preclinical studies and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240"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We also rely on other third parties to transport, store and distribute the required materials for our clinical trials. In the past, certain of our third-party vendors have mishandled our materials, resulting in loss of full or partial lots of material. Any further performance failure on the part of these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117</w:t>
            </w:r>
          </w:p>
        </w:tc>
      </w:tr>
    </w:tbl>
    <w:p>
      <w:pPr>
        <w:sectPr>
          <w:pgSz w:w="11900" w:h="16838" w:orient="portrait"/>
          <w:cols w:equalWidth="0" w:num="1">
            <w:col w:w="11240"/>
          </w:cols>
          <w:pgMar w:left="320" w:top="388" w:right="339" w:bottom="1440" w:gutter="0" w:footer="0" w:header="0"/>
        </w:sectPr>
      </w:pPr>
    </w:p>
    <w:bookmarkStart w:id="126" w:name="page127"/>
    <w:bookmarkEnd w:id="12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could result in damaged products and could delay clinical development or marketing approval of any product candidates we may develop or commercialization of our medicines, if approved, producing additional losses and depriving us of potential product sales revenue, causing us to default on our contractual commitments, result in losses that are not covered by insurance, and damage our reputation and overall perception of our products in the marketplace.</w:t>
      </w:r>
    </w:p>
    <w:p>
      <w:pPr>
        <w:spacing w:after="0" w:line="1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Our existing collaborations, or any future collaboration arrangements that we may enter into, may not be successful, which could significantly limit the likelihood of receiving the potential economic benefits of the collaboration and adversely affect our ability to develop and commercialize our products and product candidates.</w:t>
      </w:r>
    </w:p>
    <w:p>
      <w:pPr>
        <w:spacing w:after="0" w:line="176"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We have entered into collaborations under which our collaborators have provided, and may in the future provide, funding and other resources for developing and commercializing our products and product candidates. We expect to enter into additional collaborations to access additional funding, capabilities and/or expertise in the future. Our existing collaborations, and any future collaborations we enter into, may pose a number of risks, including the following:</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collaborators may not perform or prioritize their obligations as expected;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clinical trials conducted as part of such collaborations may not be successful;</w:t>
      </w:r>
    </w:p>
    <w:p>
      <w:pPr>
        <w:spacing w:after="0" w:line="333"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collaborators may not pursue development and commercialization of any product candidates and products that achieve regulatory approval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or may elect not to continue or renew development or commercialization of programs based on clinical trial results, changes in the collaborators’ focus or available funding, or external factors, such as an acquisition, that divert resources or create competing priorities;</w:t>
      </w:r>
    </w:p>
    <w:p>
      <w:pPr>
        <w:spacing w:after="0" w:line="231"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collaborators may delay clinical trials, provide insufficient funding for clinical trials, stop a clinical trial, abandon a product candidate,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repeat or conduct new clinical trials, or require a new formulation of a product candidate for clinical testing;</w:t>
      </w:r>
    </w:p>
    <w:p>
      <w:pPr>
        <w:spacing w:after="0" w:line="216"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collaborators could independently develop, or develop with third parties, products that compete directly or indirectly with our product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candidates if the collaborators believe that competitive products are more likely to be successfully developed or can be commercialized under terms that are more economically attractive than ours;</w:t>
      </w:r>
    </w:p>
    <w:p>
      <w:pPr>
        <w:spacing w:after="0" w:line="231" w:lineRule="exact"/>
        <w:rPr>
          <w:sz w:val="20"/>
          <w:szCs w:val="20"/>
          <w:color w:val="auto"/>
        </w:rPr>
      </w:pPr>
    </w:p>
    <w:p>
      <w:pPr>
        <w:ind w:left="220" w:right="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 candidates developed in collaborations with us may be viewed by our collaborators as competitive with their own product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candidates or products, which may cause collaborators to cease to devote resources to the development or commercialization of our product candidates;</w:t>
      </w:r>
    </w:p>
    <w:p>
      <w:pPr>
        <w:spacing w:after="0" w:line="200" w:lineRule="exact"/>
        <w:rPr>
          <w:sz w:val="20"/>
          <w:szCs w:val="20"/>
          <w:color w:val="auto"/>
        </w:rPr>
      </w:pPr>
    </w:p>
    <w:p>
      <w:pPr>
        <w:spacing w:after="0" w:line="262"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collaborator with marketing and distribution rights to one or more of our product candidates that achieve regulatory approval may not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commit sufficient resources to the marketing and distribution of any such product;</w:t>
      </w:r>
    </w:p>
    <w:p>
      <w:pPr>
        <w:spacing w:after="0" w:line="216" w:lineRule="exact"/>
        <w:rPr>
          <w:sz w:val="20"/>
          <w:szCs w:val="20"/>
          <w:color w:val="auto"/>
        </w:rPr>
      </w:pPr>
    </w:p>
    <w:p>
      <w:pPr>
        <w:ind w:left="220" w:right="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disagreements with collaborators, including disagreements over proprietary rights, contract interpretation or the preferred course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development of any product candidates, may cause delays or termination of the research, development or commercialization of such product candidates, may lead to additional responsibilities for us with respect to such product candidates, or may result in litigation or arbitration, any of which would be time-consuming and expensive;</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118</w:t>
            </w:r>
          </w:p>
        </w:tc>
      </w:tr>
    </w:tbl>
    <w:p>
      <w:pPr>
        <w:sectPr>
          <w:pgSz w:w="11900" w:h="16838" w:orient="portrait"/>
          <w:cols w:equalWidth="0" w:num="1">
            <w:col w:w="11240"/>
          </w:cols>
          <w:pgMar w:left="320" w:top="388" w:right="339" w:bottom="1440" w:gutter="0" w:footer="0" w:header="0"/>
        </w:sectPr>
      </w:pPr>
    </w:p>
    <w:bookmarkStart w:id="127" w:name="page128"/>
    <w:bookmarkEnd w:id="12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collaborators may not properly maintain, protect, defend or enforce our intellectual property rights or may use our proprietary information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such a way as to invite litigation that could jeopardize or invalidate our intellectual property or proprietary information or expose us to potential litigation;</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disputes may arise with respect to the ownership of intellectual property developed pursuant to our collaborations;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collaborators may infringe, misappropriate or otherwise violate the intellectual property rights of third parties, which may expose us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litigation and potential liability;</w:t>
      </w:r>
    </w:p>
    <w:p>
      <w:pPr>
        <w:spacing w:after="0" w:line="216" w:lineRule="exact"/>
        <w:rPr>
          <w:sz w:val="20"/>
          <w:szCs w:val="20"/>
          <w:color w:val="auto"/>
        </w:rPr>
      </w:pPr>
    </w:p>
    <w:p>
      <w:pPr>
        <w:ind w:left="2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collaborations may be terminated for the convenience of the collaborator and, if terminated, the development of our product candidates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may be delayed, and we could be required to raise additional capital to pursue further development or commercialization of the applicable product candidates;</w:t>
      </w:r>
    </w:p>
    <w:p>
      <w:pPr>
        <w:spacing w:after="0" w:line="200" w:lineRule="exact"/>
        <w:rPr>
          <w:sz w:val="20"/>
          <w:szCs w:val="20"/>
          <w:color w:val="auto"/>
        </w:rPr>
      </w:pPr>
    </w:p>
    <w:p>
      <w:pPr>
        <w:spacing w:after="0" w:line="262"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future relationships may require us to incur non-recurring and other charges, increase our near- and long-term expenditures, issue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securities that dilute our existing shareholders, or disrupt our management and business;</w:t>
      </w:r>
    </w:p>
    <w:p>
      <w:pPr>
        <w:spacing w:after="0" w:line="216"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could face significant competition in seeking appropriate collaborators, and the negotiation process is time-consuming and complex;</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and</w:t>
      </w:r>
    </w:p>
    <w:p>
      <w:pPr>
        <w:spacing w:after="0" w:line="200" w:lineRule="exact"/>
        <w:rPr>
          <w:sz w:val="20"/>
          <w:szCs w:val="20"/>
          <w:color w:val="auto"/>
        </w:rPr>
      </w:pPr>
    </w:p>
    <w:p>
      <w:pPr>
        <w:spacing w:after="0" w:line="358"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international operations through any future collaborations, acquisitions or joint ventures may expose us to certain operating, legal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 risks not encountered in Germany or the United States.</w:t>
      </w:r>
    </w:p>
    <w:p>
      <w:pPr>
        <w:spacing w:after="0" w:line="217"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If our collaborations do not result in the successful development and commercialization of programs, or if one of our collaborators terminates its agreement with us, we may not receive any future research funding or milestone, earn-out, royalty or other contingent payments, or otherwise yield the expected benefits under the collaborations. As a result, our development of product candidates and commercialization efforts could be delayed and we may need additional resources to develop and commercialize our product candidates. If one of our collaborators terminates its agreement with us, we may find it more difficult to attract new collaborators and the perception of us in the business and financial communities could be adversely affected. All of the risks relating to product development, regulatory approval and commercialization described in this report apply to the activities of our collaborators.</w:t>
      </w:r>
    </w:p>
    <w:p>
      <w:pPr>
        <w:spacing w:after="0" w:line="200" w:lineRule="exact"/>
        <w:rPr>
          <w:sz w:val="20"/>
          <w:szCs w:val="20"/>
          <w:color w:val="auto"/>
        </w:rPr>
      </w:pPr>
    </w:p>
    <w:p>
      <w:pPr>
        <w:spacing w:after="0" w:line="2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If we are not able to establish collaborations on commercially reasonable terms, we may have to alter our research, development and commercialization plans.</w:t>
      </w:r>
    </w:p>
    <w:p>
      <w:pPr>
        <w:spacing w:after="0" w:line="158"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Our research and product development programs and the potential commercialization of any product candidates we develop alone or with collaborators will require substantial additional cash to fund expenses, and we expect that we will continue to seek collaborative arrangements with others in connection with the development and potential commercialization of current and future product candidates or the development of ancillary technologies. We face significant competition in establishing relationships with appropriate collaborators. In addition, there have been a significant number of recent business combinations among large pharmaceutical companies that have resulted in a reduced number of potential future collaborators. Whether or not we reach a definitive agreement</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119</w:t>
            </w:r>
          </w:p>
        </w:tc>
      </w:tr>
    </w:tbl>
    <w:p>
      <w:pPr>
        <w:sectPr>
          <w:pgSz w:w="11900" w:h="16838" w:orient="portrait"/>
          <w:cols w:equalWidth="0" w:num="1">
            <w:col w:w="11240"/>
          </w:cols>
          <w:pgMar w:left="320" w:top="388" w:right="339" w:bottom="1440" w:gutter="0" w:footer="0" w:header="0"/>
        </w:sectPr>
      </w:pPr>
    </w:p>
    <w:bookmarkStart w:id="128" w:name="page129"/>
    <w:bookmarkEnd w:id="12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for a collaboration will depend, among other things, upon our assessment of the collaborator’s resources and expertise, the terms and conditions of the proposed collaboration and the proposed collaborator’s evaluation of a number of factors. Those factors may include, among other things and as applicable for the type of potential product or technology, an assessment of the opportunities and risks of our technology, the design or results of studies or trials, the likelihood of approval, if necessary, of the FDA or comparable regulatory authorities outside the United States, the potential market for the subject product candidate, the costs and complexities of manufacturing and delivering such product candidate to patients, the potential of competing products and technologies and industry and market conditions generally.</w:t>
      </w:r>
    </w:p>
    <w:p>
      <w:pPr>
        <w:spacing w:after="0" w:line="239"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Current or future collaborators may also consider alternative product candidates or technologies for similar indications that may be available to collaborate on and whether such a collaboration could be more attractive than the one with us. Additionally, we may be restricted under existing collaboration agreements from entering into future agreements on certain terms or for certain development activities with potential collaborators. For example, we have granted exclusive rights or options to Pfizer for certain targets, and under the terms of our respective collaboration agreements with them, we will be restricted from granting rights to other parties to use our mRNA technology to pursue potential products that address those targets. Similarly, our collaboration agreements have in the past and may in the future contain non-competition provisions that could limit our ability to enter into collaborations with future collaborators.</w:t>
      </w:r>
    </w:p>
    <w:p>
      <w:pPr>
        <w:spacing w:after="0" w:line="240"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Collaborations are complex and time-consuming to negotiate and document. We may not be able to negotiate collaborations on a timely basis, on acceptable terms, or at all. If we do enter into additional collaboration agreements, the negotiated terms may force us to relinquish rights that diminish our potential profitability from development and commercialization of the subject product candidates or others. If we are unable to enter into additional collaboration agreements, we may have to curtail the research and development of the product candidate or technology for which we are seeking to collaborate, reduce or delay research and development programs, delay potential commercialization timelines, reduce the scope of any sales or marketing activities or undertake research, development or commercialization activities at our own expense. If we elect to increase our expenditures to fund research, development or commercialization activities on our own, we may need to obtain additional capital, which may not be available to us on acceptable terms or at all.</w:t>
      </w:r>
    </w:p>
    <w:p>
      <w:pPr>
        <w:spacing w:after="0" w:line="19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We have entered into in-licensing arrangements and may form or seek to enter into additional licensing arrangements in the future, and we may not realize the benefits of such licensing arrangements.</w:t>
      </w:r>
    </w:p>
    <w:p>
      <w:pPr>
        <w:spacing w:after="0" w:line="158"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We are a party to licenses that give us rights to third-party intellectual property, including patents and patent applications, that are necessary or useful for our business. For example, we have obtained licenses from Acuitas Therapeutics Inc., or Acuitas, CellScript LLC, or CellScript, and its affiliate, mRNA RiboTherapeutics, Inc., to patent rights claiming certain uses of modified RNA, as well as licenses from certain other parties for intellectual property useful in pharmaceutical formulations. We may enter into additional licenses to third-party intellectual property in the future.</w:t>
      </w:r>
    </w:p>
    <w:p>
      <w:pPr>
        <w:spacing w:after="0" w:line="200" w:lineRule="exact"/>
        <w:rPr>
          <w:sz w:val="20"/>
          <w:szCs w:val="20"/>
          <w:color w:val="auto"/>
        </w:rPr>
      </w:pPr>
    </w:p>
    <w:p>
      <w:pPr>
        <w:spacing w:after="0" w:line="295"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The success of products developed based on in-licensed technology will depend in part on the ability of our current and future licensors to prosecute, obtain, maintain, protect, enforce and defend patent protection for our in-licensed intellectual property. Our current and future licensors may not successfully prosecute the patent applications we license. Even if patents were issued in respect of these patent applications, our licensors may fail to maintain these patents, may determine not to</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120</w:t>
            </w:r>
          </w:p>
        </w:tc>
      </w:tr>
    </w:tbl>
    <w:p>
      <w:pPr>
        <w:sectPr>
          <w:pgSz w:w="11900" w:h="16838" w:orient="portrait"/>
          <w:cols w:equalWidth="0" w:num="1">
            <w:col w:w="11240"/>
          </w:cols>
          <w:pgMar w:left="320" w:top="388" w:right="339" w:bottom="1440" w:gutter="0" w:footer="0" w:header="0"/>
        </w:sectPr>
      </w:pPr>
    </w:p>
    <w:bookmarkStart w:id="129" w:name="page130"/>
    <w:bookmarkEnd w:id="12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 In addition, we sublicense our rights under various third-party licenses to our collaborators. Any impairment of these sublicensed rights could result in reduced revenues under our collaboration agreements or result in termination of an agreement by one or more of our collaborators.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Disputes may also arise between us and our licensors regarding intellectual property subject to a license agreement, including: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scope of rights granted under the license agreement and other interpretation-related issues;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whether and the extent to which our technology and processes infringe, misappropriate or otherwise violate the intellectual property of the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licensor that is not subject to the licensing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right to sublicense patent and other intellectual property rights to third parties under collaborative relationships;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diligence obligations with respect to the use of the licensed intellectual property and technology in relation to our development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commercialization of our product candidates, and what activities satisfy those diligence obligations;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ownership of inventions, trade secrets, know-how and other intellectual property resulting from the joint creation or use of intellectual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property by our licensors and us and our collaborators;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priority of invention of patented technology; and</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amounts to be paid pursuant to certain program milestones being achieved or to royalty obligations, including the triggering of royalty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obligations and amounts to be paid pursuant thereto.</w:t>
      </w:r>
    </w:p>
    <w:p>
      <w:pPr>
        <w:spacing w:after="0" w:line="217"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If disputes over intellectual property that we have in-licensed or other related contractual rights prevent or impair our ability to maintain our current licensing arrangements on favorable terms, we may be unable to successfully develop and commercialize the affected product candidates.</w:t>
      </w:r>
    </w:p>
    <w:p>
      <w:pPr>
        <w:spacing w:after="0" w:line="200" w:lineRule="exact"/>
        <w:rPr>
          <w:sz w:val="20"/>
          <w:szCs w:val="20"/>
          <w:color w:val="auto"/>
        </w:rPr>
      </w:pPr>
    </w:p>
    <w:p>
      <w:pPr>
        <w:spacing w:after="0" w:line="262"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We are generally also subject to all of the same risks with respect to protection of intellectual property that we license, as we are for intellectual property that we own, which are described below. If we, our co-owners or our licensors fail to adequately protect, defend, maintain or enforce this intellectual property, our ability to commercialize products could suffer.</w:t>
      </w:r>
    </w:p>
    <w:p>
      <w:pPr>
        <w:spacing w:after="0" w:line="1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We and our collaborators rely on third parties to manufacture certain of our clinical product supplies, and we may have to rely on third parties to produce and process our product candidates, if approved.</w:t>
      </w:r>
    </w:p>
    <w:p>
      <w:pPr>
        <w:spacing w:after="0" w:line="158"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Although we expect to continue using our own clinical manufacturing facilities where available, we also rely on outside vendors to manufacture supplies and process our product candidates. We only manufacture our COVID-19 vaccine on a commercial scale and may not be able to achieve commercial-scale manufacturing and processing for our other product candidates, if approved, and</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121</w:t>
            </w:r>
          </w:p>
        </w:tc>
      </w:tr>
    </w:tbl>
    <w:p>
      <w:pPr>
        <w:sectPr>
          <w:pgSz w:w="11900" w:h="16838" w:orient="portrait"/>
          <w:cols w:equalWidth="0" w:num="1">
            <w:col w:w="11240"/>
          </w:cols>
          <w:pgMar w:left="320" w:top="388" w:right="339" w:bottom="1440" w:gutter="0" w:footer="0" w:header="0"/>
        </w:sectPr>
      </w:pPr>
    </w:p>
    <w:bookmarkStart w:id="130" w:name="page131"/>
    <w:bookmarkEnd w:id="13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may be unable to create an inventory of mass-produced, off-the-shelf product to satisfy demands for our product candidates, if approved.</w:t>
      </w:r>
    </w:p>
    <w:p>
      <w:pPr>
        <w:spacing w:after="0" w:line="333"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8"/>
          <w:szCs w:val="18"/>
          <w:color w:val="080509"/>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not be able to develop commercially viable products other than our COVID-19 vaccine.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In addition, our reliance on a limited number of CMOs exposes us to the following risks:</w:t>
      </w:r>
    </w:p>
    <w:p>
      <w:pPr>
        <w:spacing w:after="0" w:line="333" w:lineRule="exact"/>
        <w:rPr>
          <w:sz w:val="20"/>
          <w:szCs w:val="20"/>
          <w:color w:val="auto"/>
        </w:rPr>
      </w:pPr>
    </w:p>
    <w:p>
      <w:pPr>
        <w:ind w:left="220" w:right="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be unable to identify manufacturers on acceptable terms or at all because the number of potential manufacturers is limited and the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FDA or other regulatory authorities may have questions regarding any replacement contractor. This may require new testing and regulatory interactions. In addition, a new manufacturer would have to be educated in, or develop substantially equivalent processes for, production of our products after receipt of regulatory authority questions, if any;</w:t>
      </w:r>
    </w:p>
    <w:p>
      <w:pPr>
        <w:spacing w:after="0" w:line="235"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CMOs might be unable to timely formulate and manufacture our product or produce the quantity and quality required to meet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clinical and commercial needs, if 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CMOs may not be able to execute our manufacturing procedures appropriately;</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future CMOs may not perform as agreed or may not remain in the contract manufacturing business for the time required to supply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clinical trials or to successfully produce, store and distribute our products;</w:t>
      </w:r>
    </w:p>
    <w:p>
      <w:pPr>
        <w:spacing w:after="0" w:line="216" w:lineRule="exact"/>
        <w:rPr>
          <w:sz w:val="20"/>
          <w:szCs w:val="20"/>
          <w:color w:val="auto"/>
        </w:rPr>
      </w:pPr>
    </w:p>
    <w:p>
      <w:pPr>
        <w:ind w:left="220" w:right="20" w:hanging="204"/>
        <w:spacing w:after="0" w:line="33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manufacturers are subject to ongoing periodic unannounced inspection by the FDA, the U.S. Drug Enforcement Administration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corresponding state agencies and by regulatory authorities in other jurisdictions to ensure strict compliance with GMP and other government regulations and corresponding standards in other jurisdictions. We do not have control over CMOs’ compliance with these regulations and standards;</w:t>
      </w:r>
    </w:p>
    <w:p>
      <w:pPr>
        <w:spacing w:after="0" w:line="200" w:lineRule="exact"/>
        <w:rPr>
          <w:sz w:val="20"/>
          <w:szCs w:val="20"/>
          <w:color w:val="auto"/>
        </w:rPr>
      </w:pPr>
    </w:p>
    <w:p>
      <w:pPr>
        <w:spacing w:after="0" w:line="285"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not own, or may have to share, the intellectual property rights to any improvements made in the manufacturing process for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CMOs could breach or terminate their agreement with us;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CMOs would also be subject to the same risks we face in developing our own manufacturing capabilities, as described above.</w:t>
      </w:r>
    </w:p>
    <w:p>
      <w:pPr>
        <w:spacing w:after="0" w:line="333"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Each of these risks could delay our clinical trials, the approval, if any, of our COVID-19 vaccine or product candidates by the FDA or regulatory authorities in other jurisdictions or the commercialization of our COVID-19 vaccine or product candidates, or result in higher costs or deprive us of potential product sales revenue. In addition, we will rely on third parties to perform release tests on our COVID-19 or our product candidates prior to delivery to patients. If these tests are not appropriately done and test data are not reliable, patients could be put at risk of serious harm.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122</w:t>
            </w:r>
          </w:p>
        </w:tc>
      </w:tr>
    </w:tbl>
    <w:p>
      <w:pPr>
        <w:sectPr>
          <w:pgSz w:w="11900" w:h="16838" w:orient="portrait"/>
          <w:cols w:equalWidth="0" w:num="1">
            <w:col w:w="11240"/>
          </w:cols>
          <w:pgMar w:left="320" w:top="388" w:right="339" w:bottom="1440" w:gutter="0" w:footer="0" w:header="0"/>
        </w:sectPr>
      </w:pPr>
    </w:p>
    <w:bookmarkStart w:id="131" w:name="page132"/>
    <w:bookmarkEnd w:id="13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and certain of our collaborators currently rely on CMOs located outside of the United States to manufacture clinical materials. Such ex-U.S. CMOs may be subject to or affected by U.S. legislation, executive orders, regulations, or investigations, including but not limited to the recently enacted BIOSECURE Act, the Department of Justice’s Final Rule issued on January 8, 2025 implementing the Executive Order on Preventing Access to Americans’ Bulk Sensitive Personal Data and United States Government-Related Data by Countries of Concern, sanctions, trade restrictions and other U.S. and other regulatory requirements, which could increase the cost or reduce the supply of material available to us, delay or restrict the procurement or supply of such material, delay or impact clinical trials, have an adverse effect on our ability to secure significant commitments from governments to purchase our potential therapies and adversely affect our financial condition and business prospects.</w:t>
      </w:r>
    </w:p>
    <w:p>
      <w:pPr>
        <w:spacing w:after="0" w:line="200" w:lineRule="exact"/>
        <w:rPr>
          <w:sz w:val="20"/>
          <w:szCs w:val="20"/>
          <w:color w:val="auto"/>
        </w:rPr>
      </w:pPr>
    </w:p>
    <w:p>
      <w:pPr>
        <w:spacing w:after="0" w:line="26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We are dependent on single source suppliers for some of the components and materials used in, and the processes required to develop, our COVID-19 vaccine and our product candidates.</w:t>
      </w:r>
    </w:p>
    <w:p>
      <w:pPr>
        <w:spacing w:after="0" w:line="15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We currently depend on single source suppliers for some of the components and materials used in, and manufacturing processes required to develop, our COVID-19 vaccine and our product candidates. We cannot ensure that these suppliers or service providers will remain in business, or have sufficient capacity or supply to meet our needs, or that they will not be purchased by one of our competitors or another company that is not interested in continuing to work with us. Our use of single source suppliers of raw materials, components, key processes and finished goods exposes us to several risks, including disruptions in supply, price increases or late deliveries. There are, in general, relatively few alternative sources of supply for substitute components. These vendors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 source supplier or service provider could lead to supply delays or interruptions which would damage our business, financial condition, results of operations and prospects.</w:t>
      </w:r>
    </w:p>
    <w:p>
      <w:pPr>
        <w:spacing w:after="0" w:line="200" w:lineRule="exact"/>
        <w:rPr>
          <w:sz w:val="20"/>
          <w:szCs w:val="20"/>
          <w:color w:val="auto"/>
        </w:rPr>
      </w:pPr>
    </w:p>
    <w:p>
      <w:pPr>
        <w:spacing w:after="0" w:line="309"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If we have to switch to a replacement supplier, the manufacture and delivery of our product candidates could be interrupted for an extended period, which could adversely affect our business. Establishing additional or replacement suppliers for any of the components or processes used in our COVID-19 vaccine and our product candidates, if required, may not be accomplished quickly. If we are able to find a replacement supplier, the replacement supplier would need to be qualified and may require additional regulatory authority approval, which could result in further delay. While we seek to maintain adequate inventory of the single source components and materials used in our COVID-19 vaccine and our product candidates, any interruption or delay in the supply of components or materials, or our inability to obtain components or materials from alternate sources at acceptable prices in a timely manner, could impair our ability to meet the demand for our COVID-19 vaccine and product candidates.</w:t>
      </w:r>
    </w:p>
    <w:p>
      <w:pPr>
        <w:spacing w:after="0" w:line="200" w:lineRule="exact"/>
        <w:rPr>
          <w:sz w:val="20"/>
          <w:szCs w:val="20"/>
          <w:color w:val="auto"/>
        </w:rPr>
      </w:pPr>
    </w:p>
    <w:p>
      <w:pPr>
        <w:spacing w:after="0" w:line="304"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In addition, as part of the FDA’s approval of our product candidates, we will also require FDA review of the individual components of our process, which include the manufacturing processes and facilities of our single source suppliers.</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123</w:t>
            </w:r>
          </w:p>
        </w:tc>
      </w:tr>
    </w:tbl>
    <w:p>
      <w:pPr>
        <w:sectPr>
          <w:pgSz w:w="11900" w:h="16838" w:orient="portrait"/>
          <w:cols w:equalWidth="0" w:num="1">
            <w:col w:w="11240"/>
          </w:cols>
          <w:pgMar w:left="320" w:top="388" w:right="339" w:bottom="1440" w:gutter="0" w:footer="0" w:header="0"/>
        </w:sectPr>
      </w:pPr>
    </w:p>
    <w:bookmarkStart w:id="132" w:name="page133"/>
    <w:bookmarkEnd w:id="13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Our reliance on these suppliers, service providers and manufacturers subjects us to a number of risks that could harm our reputation, business and financial condition, including, among other things: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delays to the development timelines for our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interruption of supply resulting from modifications to or discontinuation of a supplier’s operations;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delays in product shipments resulting from uncorrected defects, reliability issues, or a supplier’s variation in a component;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lack of long-term supply arrangements for key components with our suppliers;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inability to obtain adequate supply in a timely manner, or to obtain adequate supply on commercially reasonable terms;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difficulty and cost associated with locating and qualifying alternative suppliers for our components in a timely manner;</w:t>
      </w:r>
    </w:p>
    <w:p>
      <w:pPr>
        <w:spacing w:after="0" w:line="333"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production delays related to the evaluation and testing of components from alternative suppliers, and corresponding regulatory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qualifications;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delay in delivery due to our suppliers’ prioritizing other customer orders over ours;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damage to our reputation caused by defective components produced by our suppliers;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fluctuation in delivery by our suppliers due to changes in demand from us or their other customers.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If any of these risks materialize, costs could significantly increase and our ability to meet demand for our products could be impacted.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Risks Related to Intellectual Property</w:t>
      </w:r>
    </w:p>
    <w:p>
      <w:pPr>
        <w:spacing w:after="0" w:line="1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If our efforts to obtain, maintain, protect, defend and/or enforce the intellectual property related to our COVID-19 vaccine or our product candidates and technologies are not adequate, we may not be able to compete effectively in our market.</w:t>
      </w:r>
    </w:p>
    <w:p>
      <w:pPr>
        <w:spacing w:after="0" w:line="15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Our commercial success depends in part on our ability to obtain, maintain, protect, defend and enforce patent and other intellectual property, including trade secret and know-how, protection for our COVID-19 vaccine and for our product candidates, proprietary technologies and their uses, as well as our ability to operate, develop, manufacture and commercialize our COVID-19 vaccine or one or more of our product candidates without infringing, misappropriating or otherwise violating the intellectual property or other proprietary rights of our competitors or any other third parties, including any non-practicing entities or patent assertion entities. We generally seek to protect our intellectual property position by filing and/or licensing patent applications in the European Union, the United States and elsewhere related to our product candidates, proprietary technologies (including methods of manufacture) and their uses that are important to our business. Our patent applications cannot be enforced against third parties practicing the technology claimed in such applications unless, and until, patents issue from such applications, and then only to the extent that the issued claims cover third parties’ activities in the countries in which they are performed. We cannot be certain that the claims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124</w:t>
            </w:r>
          </w:p>
        </w:tc>
      </w:tr>
    </w:tbl>
    <w:p>
      <w:pPr>
        <w:sectPr>
          <w:pgSz w:w="11900" w:h="16838" w:orient="portrait"/>
          <w:cols w:equalWidth="0" w:num="1">
            <w:col w:w="11240"/>
          </w:cols>
          <w:pgMar w:left="320" w:top="388" w:right="339" w:bottom="1440" w:gutter="0" w:footer="0" w:header="0"/>
        </w:sectPr>
      </w:pPr>
    </w:p>
    <w:bookmarkStart w:id="133" w:name="page134"/>
    <w:bookmarkEnd w:id="13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any of our patent applications will be considered patentable by the United States Patent and Trademark Office, or the USPTO, courts in the United States or the patent offices and courts in other jurisdictions, including Europe, nor can we be certain that any claim in our issued patents will not be found invalid or unenforceable if challenged. Accordingly, there can be no assurance that our patent applications or those of our licensors will result in additional patents being issued or that issued patents will adequately cover our COVID-19 vaccine or our product candidates, or otherwise afford sufficient protection against competitors with similar technology, nor can there be any assurance that issued patents will not be infringed, designed around, invalidated or held unenforceable. Furthermore, we may not be able to apply for patents on certain aspects of our current or future products or product candidates, proprietary technologies and their uses in a timely fashion, at a reasonable cost, in all jurisdictions, or at all, and any potential patent protection we obtain may not be sufficient to prevent substantial competition.</w:t>
      </w:r>
    </w:p>
    <w:p>
      <w:pPr>
        <w:spacing w:after="0" w:line="200" w:lineRule="exact"/>
        <w:rPr>
          <w:sz w:val="20"/>
          <w:szCs w:val="20"/>
          <w:color w:val="auto"/>
        </w:rPr>
      </w:pPr>
    </w:p>
    <w:p>
      <w:pPr>
        <w:spacing w:after="0" w:line="30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Even claims of issued patents may later be found invalid or unenforceable, or may be modified or revoked in proceedings before various patent offices or in courts in the United States, Europe or other jurisdictions. The degree of future protection for our intellectual property and other proprietary rights is uncertain. Only limited protection may be available and may not adequately protect our rights or permit us to gain or keep any competitive advantage. If we do not adequately obtain, maintain, protect, defend and enforce our intellectual property and proprietary technology, competitors may be able to use our products, product candidates and proprietary technologies and erode or negate any competitive advantage we may have, which could have a material adverse effect on our financial condition and results of operations.</w:t>
      </w:r>
    </w:p>
    <w:p>
      <w:pPr>
        <w:spacing w:after="0" w:line="239"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The patent application process is subject to numerous risks and uncertainties, and there can be no assurance that we or any of our current or future licensors or collaborators will be successful in prosecuting, obtaining, protecting, maintaining, enforcing or defending patents and patent applications necessary or useful to protect our products or product candidates, proprietary technologies (including methods of manufacture) and their uses. These risks and uncertainties include, from time to time, the following:</w:t>
      </w:r>
    </w:p>
    <w:p>
      <w:pPr>
        <w:spacing w:after="0" w:line="236"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USPTO and various other governmental patent agencies require compliance with a number of procedural, documentary, fee payment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and other provisions during the patenting process, the noncompliance with which can result in abandonment or lapse of a patent or patent application or a finding that a patent is unenforceable, and partial or complete loss of patent rights in the relevant jurisdiction;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patent applications may not result in any patents being issued;</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claims of issued patents that we own (solely or jointly) or have in-licensed may be challenged, invalidated, modified, revoked,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circumvented, found to be unenforceable or otherwise may not provide any competitive advantage;</w:t>
      </w:r>
    </w:p>
    <w:p>
      <w:pPr>
        <w:spacing w:after="0" w:line="216"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 parties may have designed around our patent claims or developed technologies that may be related or competitive to our COVID-19</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vaccine or to our product candidates or other technologies, may have filed or may file patent applications and may have received or may receive patents that overlap or conflict with our patent filings, either by claiming the same or overlapping methods,</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125</w:t>
            </w:r>
          </w:p>
        </w:tc>
      </w:tr>
    </w:tbl>
    <w:p>
      <w:pPr>
        <w:sectPr>
          <w:pgSz w:w="11900" w:h="16838" w:orient="portrait"/>
          <w:cols w:equalWidth="0" w:num="1">
            <w:col w:w="11240"/>
          </w:cols>
          <w:pgMar w:left="320" w:top="388" w:right="339" w:bottom="1440" w:gutter="0" w:footer="0" w:header="0"/>
        </w:sectPr>
      </w:pPr>
    </w:p>
    <w:bookmarkStart w:id="134" w:name="page135"/>
    <w:bookmarkEnd w:id="13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080509"/>
        </w:rPr>
        <w:t>products, reagents, tools or devices or by claiming subject matter that could dominate one or more of our patent claims;</w:t>
      </w:r>
    </w:p>
    <w:p>
      <w:pPr>
        <w:spacing w:after="0" w:line="333"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any successful opposition to claims of any patents owned by or in-licensed to us could deprive us of rights necessary for the development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and exploitation of our COVID-19 vaccine or our product candidates and other technologies, or the successful commercialization of any product candidates and other technologies that we may develop;</w:t>
      </w:r>
    </w:p>
    <w:p>
      <w:pPr>
        <w:spacing w:after="0" w:line="231" w:lineRule="exact"/>
        <w:rPr>
          <w:sz w:val="20"/>
          <w:szCs w:val="20"/>
          <w:color w:val="auto"/>
        </w:rPr>
      </w:pPr>
    </w:p>
    <w:p>
      <w:pPr>
        <w:ind w:left="220" w:right="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because patent applications in the United States and most other jurisdictions are confidential for a period of time after filing, we cannot be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certain that we, our co-owners or our licensors were the first to file any patent application related to our product candidates, proprietary technologies and their uses;</w:t>
      </w:r>
    </w:p>
    <w:p>
      <w:pPr>
        <w:spacing w:after="0" w:line="200" w:lineRule="exact"/>
        <w:rPr>
          <w:sz w:val="20"/>
          <w:szCs w:val="20"/>
          <w:color w:val="auto"/>
        </w:rPr>
      </w:pPr>
    </w:p>
    <w:p>
      <w:pPr>
        <w:spacing w:after="0" w:line="262"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court or patent office proceeding, such as a derivative action or interference, can be provoked or instituted by a third party or a patent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office, and might determine that one or more of the inventions described in our patent filings, or in those we licensed, was first invented by someone else, so that we may lose rights to such invention(s);</w:t>
      </w:r>
    </w:p>
    <w:p>
      <w:pPr>
        <w:spacing w:after="0" w:line="231"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court or other patent proceeding, such as an inter partes review, post grant review or opposition, can be instituted by a third party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challenge the inventorship, scope, validity and/or enforceability of our patent claims and might result in invalidation or revision of one or more of our patent claims, or in a determination that such claims are unenforceable;</w:t>
      </w:r>
    </w:p>
    <w:p>
      <w:pPr>
        <w:spacing w:after="0" w:line="231" w:lineRule="exact"/>
        <w:rPr>
          <w:sz w:val="20"/>
          <w:szCs w:val="20"/>
          <w:color w:val="auto"/>
        </w:rPr>
      </w:pPr>
    </w:p>
    <w:p>
      <w:pPr>
        <w:ind w:left="220" w:hanging="204"/>
        <w:spacing w:after="0" w:line="320"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there may be significant pressure on the U.S. government and international governmental bodies to limit the scope of patent protection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both inside and outside the United States for disease treatments that prove successful, as a matter of public policy regarding worldwide health concerns; existing legislation (for example, in the United States, the Public Readiness and Emergency Preparedness Act, etc.) may be interpreted, and new legislation may be passed, to permit third-party use of patented technologies relating to a public health concern, with little or no compensation to the patent holder(s); and</w:t>
      </w:r>
    </w:p>
    <w:p>
      <w:pPr>
        <w:spacing w:after="0" w:line="240"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countries other than the United States may have patent laws less favorable to patentees than those upheld by U.S. courts, allowing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competitors a better opportunity to create, develop and market competing product candidates.</w:t>
      </w:r>
    </w:p>
    <w:p>
      <w:pPr>
        <w:spacing w:after="0" w:line="217"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The patent position of biopharmaceutical companies generally is highly uncertain, involves complex legal and factual questions, and has been the subject of much litigation in recent years. The standards that the USPTO and its counterparts use to grant patents are not always applied predictably or uniformly and can change. Similarly, the ultimate degree of protection that will be afforded to biotechnology inventions, including ours, in the United States and other countries, remains uncertain and is dependent upon the scope of the protection decided upon by patent offices, courts and lawmakers. Moreover, there are periodic changes in patent law, as well as discussions in the U.S. Congress and in other jurisdictions about modifying various aspects of patent law. There is no uniform, worldwide policy regarding the subject matter and scope of claims granted or allowable in pharmaceutical or biotechnology patents. In certain countries, for example, methods for the medical treatment of humans are not patentable. More generally, the laws of some countries do not protect intellectual property rights to the same extent as U.S. or EU laws, and those countries may lack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126</w:t>
            </w:r>
          </w:p>
        </w:tc>
      </w:tr>
    </w:tbl>
    <w:p>
      <w:pPr>
        <w:sectPr>
          <w:pgSz w:w="11900" w:h="16838" w:orient="portrait"/>
          <w:cols w:equalWidth="0" w:num="1">
            <w:col w:w="11240"/>
          </w:cols>
          <w:pgMar w:left="320" w:top="388" w:right="339" w:bottom="1440" w:gutter="0" w:footer="0" w:header="0"/>
        </w:sectPr>
      </w:pPr>
    </w:p>
    <w:bookmarkStart w:id="135" w:name="page136"/>
    <w:bookmarkEnd w:id="13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adequate rules and procedures for granting, maintaining, protecting, defending and enforcing our intellectual property rights.</w:t>
      </w:r>
    </w:p>
    <w:p>
      <w:pPr>
        <w:spacing w:after="0" w:line="33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Furthermore, the patent prosecution process is expensive and time-consuming, and we may not be able to file, prosecute, maintain, protect, defend, enforce or license all necessary or desirable patents or patent applications, as applicable, at a reasonable cost or in a timely manner. It is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if any of these parties were to breach such agreements and improperly disclose such output before a patent application is filed, this could jeopardize our ability to seek patent protection. We also rely to a certain extent on trade secrets, know-how, and technology, which are not protected by patents, to maintain our competitive position. If any trade secret, know-how or other technology not protected by a patent were to be disclosed to or independently developed by a competitor, our business and financial condition could be materially adversely affected.</w:t>
      </w:r>
    </w:p>
    <w:p>
      <w:pPr>
        <w:spacing w:after="0" w:line="200" w:lineRule="exact"/>
        <w:rPr>
          <w:sz w:val="20"/>
          <w:szCs w:val="20"/>
          <w:color w:val="auto"/>
        </w:rPr>
      </w:pPr>
    </w:p>
    <w:p>
      <w:pPr>
        <w:spacing w:after="0" w:line="309"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The issuance of a patent is not conclusive as to its inventorship, priority date, scope, term, validity or enforceability so that any patents that may issue or that we may license may be challenged in the courts or patent offices in the United States, Europe and other jurisdictions. Once granted, patents may remain open to a variety of challenges, including opposition, interference, re-examination, post-grant review, inter partes review, nullification or derivation action in court or before patent offices or similar proceedings, and furthermore, may be challenged as a defense in any enforcement action that we might bring. Such challenges may result in loss of exclusivity or in patent claims being narrowed, terminated, disclaimed, invalidated, assigned to others or held unenforceable, any or all of which could limit our ability to stop others from using or commercializing similar or identical products, or limit the scope and/or term of patent protection of our products and product candidates and/ or eliminate it altogether, thus hindering or removing our ability to limit third parties from making, using or selling products or technologies that are similar or identical to ours, and/or reduce or eliminate royalty payments to us from our licensees. Given the amount of time required for the development, testing and regulatory review of new product candidates, patents protecting such candidates might expire before or shortly after such candidates are commercialized. Furthermore, our pending and future patent applications may not result in patents being issued which protect our technology or our product(s) or product candidates, or which effectively prevent others from commercializing competitive technologies and products. As a result, our intellectual property may not provide us with sufficient rights to exclude others from commercializing products similar or identical to ours.</w:t>
      </w:r>
    </w:p>
    <w:p>
      <w:pPr>
        <w:spacing w:after="0" w:line="200" w:lineRule="exact"/>
        <w:rPr>
          <w:sz w:val="20"/>
          <w:szCs w:val="20"/>
          <w:color w:val="auto"/>
        </w:rPr>
      </w:pPr>
    </w:p>
    <w:p>
      <w:pPr>
        <w:spacing w:after="0" w:line="318"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Our ability to enforce our owned and in-licensed patent and other intellectual property rights depends on our ability to detect infringement, misappropriation and other violation of such patents and other intellectual property. It may be difficult to detect infringers, misappropriators and other violators who do not advertise the components or methods that are used in connection with their products and services. Moreover, it may be difficult or impossible to obtain evidence of infringement, misappropriation or other violation in a competitor’s or potential competitor’s product or service, and in some cases we may not be able to introduce obtained evidence into a proceeding or otherwise utilize it to successfully demonstrate infringement. We may not prevail in any lawsuits that we initiate</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127</w:t>
            </w:r>
          </w:p>
        </w:tc>
      </w:tr>
    </w:tbl>
    <w:p>
      <w:pPr>
        <w:sectPr>
          <w:pgSz w:w="11900" w:h="16838" w:orient="portrait"/>
          <w:cols w:equalWidth="0" w:num="1">
            <w:col w:w="11240"/>
          </w:cols>
          <w:pgMar w:left="320" w:top="388" w:right="339" w:bottom="1440" w:gutter="0" w:footer="0" w:header="0"/>
        </w:sectPr>
      </w:pPr>
    </w:p>
    <w:bookmarkStart w:id="136" w:name="page137"/>
    <w:bookmarkEnd w:id="13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and the damages or other remedies awarded if we were to prevail may not be commercially meaningful.</w:t>
      </w:r>
    </w:p>
    <w:p>
      <w:pPr>
        <w:spacing w:after="0" w:line="333"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Furthermore, patents or other intellectual property rights that we may be able to secure for our COVID-19 vaccine or our other COVID-19 vaccine candidates could be restricted or preempted if governments determine that they will not enforce, or will require compulsory licensing of, technologies useful to address the spread of COVID-19.</w:t>
      </w:r>
    </w:p>
    <w:p>
      <w:pPr>
        <w:spacing w:after="0" w:line="231"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In addition, proceedings to enforce or defend our owned or in-licensed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If any of our owned or in-licensed patents covering our product candidates or other technologies are narrowed, invalidated or found unenforceable, or if a court found that valid, enforceable patents held by third parties covered one or more of our product candidates or other technologies, our competitive position could be harmed or we could be required to incur significant expenses to protect, enforce or defend our rights. If we initiate lawsuits to protect, defend or enforce our patents, or litigate against third-party claims, such proceedings would be expensive and would divert the attention of our management, technical personnel, and other employees even if the eventual outcome is favorable to us.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The degree of future protection for our intellectual property and other proprietary rights is uncertain, and we cannot ensure that:</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any of our patents, or any of our pending patent applications, if issued, or those of our licensors, will include claims having a scope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sufficient to protect our product(s), our product candidates and other technologies;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any of our pending patent applications or those of our licensors may issue as patents;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others will not or may not be able to make, use, offer to sell or sell products that are the same as or similar to our own but that are not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covered by the claims of the patents that we own or license;</w:t>
      </w:r>
    </w:p>
    <w:p>
      <w:pPr>
        <w:spacing w:after="0" w:line="216"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will be able to successfully commercialize our products on a substantial scale, if approved, before the relevant patents that we own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license expire;</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were the first to make the inventions covered by each of the patents and pending patent applications that we own or license;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our co-owners or our licensors were the first to file patent applications for these inventions;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others will not develop similar or alternative products or technologies that do not infringe the patents we own or license;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128</w:t>
            </w:r>
          </w:p>
        </w:tc>
      </w:tr>
    </w:tbl>
    <w:p>
      <w:pPr>
        <w:sectPr>
          <w:pgSz w:w="11900" w:h="16838" w:orient="portrait"/>
          <w:cols w:equalWidth="0" w:num="1">
            <w:col w:w="11240"/>
          </w:cols>
          <w:pgMar w:left="320" w:top="388" w:right="339" w:bottom="1440" w:gutter="0" w:footer="0" w:header="0"/>
        </w:sectPr>
      </w:pPr>
    </w:p>
    <w:bookmarkStart w:id="137" w:name="page138"/>
    <w:bookmarkEnd w:id="13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any of the claims of patents we own or license will be found to ultimately be valid and enforceable;</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any patents issued to us or our licensors will provide a basis for an exclusive market for our commercially viable product candidates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 technologies or will provide us with any competitive advantages;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third party may not challenge the claims of patents we own or license and, if challenged, a court would hold that such patent claims are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valid, enforceable and infringed;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develop or in-license additional proprietary technologies that are patentable;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patents of others will not have an adverse effect on our ability to issue patents, or otherwise on our business;</w:t>
      </w:r>
    </w:p>
    <w:p>
      <w:pPr>
        <w:spacing w:after="0" w:line="333" w:lineRule="exact"/>
        <w:rPr>
          <w:sz w:val="20"/>
          <w:szCs w:val="20"/>
          <w:color w:val="auto"/>
        </w:rPr>
      </w:pPr>
    </w:p>
    <w:p>
      <w:pPr>
        <w:ind w:left="220" w:right="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competitors do not conduct research, development, testing or commercialization activities in countries where we do not have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enforceable patent rights and then use the information learned from such activities to develop competitive products for sale in our major commercial markets;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will develop additional proprietary technologies, product(s) or product candidates that are separately patentable; and</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or our collaborators’, development and commercialization activities, including our manufacturing processes, or products will not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infringe patents of our competitors or any other third parties, including any non-practicing entities or patent assertion entities.</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Other companies or organizations may challenge our intellectual property rights or the intellectual property rights of our partners or may assert intellectual property rights that prevent us or our partners from developing and commercializing our COVID-19 vaccine or our product candidates and other technologies.</w:t>
      </w:r>
    </w:p>
    <w:p>
      <w:pPr>
        <w:spacing w:after="0" w:line="175"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We practice in new and evolving scientific fields, the continued development and potential use of which has resulted in many different patents and patent applications from organizations and individuals seeking to obtain intellectual property protection in the fields. We own and in-license patent applications and issued patents that describe and/or claim certain technologies, including products, reagents, formulations, tools and methods including uses and manufacturing methods, or features or aspects of any of these. These issued patents and pending patent applications claim certain compositions of matter and methods relating to the discovery, development, testing, manufacture and commercialization of therapeutic modalities and our delivery technologies, including lipid nanoparticles, or LNPs. If we, our co-owners or our licensors are unable to obtain, maintain, protect, defend or enforce patent protection with respect to our products, product candidates and other technology and any other products, product candidates and technology that we may develop, our business, financial condition, results of operations and prospects could be materially harmed.</w:t>
      </w:r>
    </w:p>
    <w:p>
      <w:pPr>
        <w:spacing w:after="0" w:line="200" w:lineRule="exact"/>
        <w:rPr>
          <w:sz w:val="20"/>
          <w:szCs w:val="20"/>
          <w:color w:val="auto"/>
        </w:rPr>
      </w:pPr>
    </w:p>
    <w:p>
      <w:pPr>
        <w:spacing w:after="0" w:line="306"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As the scientific fields mature, our known competitors and other third parties, many of whom have substantially greater resources than we do and many of whom have made significant investments in competing technologies, may seek or may have already obtained patents, and they have filed and will continue to file patent applications claiming inventions in the fields in the United States and elsewhere. This may limit, interfere with or eliminate our and our partners’ ability to make, use, sell, import or otherwise exploit our COVID-19 vaccine or our product candidates or other technologies. There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129</w:t>
            </w:r>
          </w:p>
        </w:tc>
      </w:tr>
    </w:tbl>
    <w:p>
      <w:pPr>
        <w:sectPr>
          <w:pgSz w:w="11900" w:h="16838" w:orient="portrait"/>
          <w:cols w:equalWidth="0" w:num="1">
            <w:col w:w="11240"/>
          </w:cols>
          <w:pgMar w:left="320" w:top="388" w:right="339" w:bottom="1440" w:gutter="0" w:footer="0" w:header="0"/>
        </w:sectPr>
      </w:pPr>
    </w:p>
    <w:bookmarkStart w:id="138" w:name="page139"/>
    <w:bookmarkEnd w:id="13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uncertainty about which patents will issue, and, if they do, as to when, to whom and with what claims.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w:t>
      </w:r>
    </w:p>
    <w:p>
      <w:pPr>
        <w:spacing w:after="0" w:line="231"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our co-owners, our partners or our licensors may in the future become a party to patent proceedings or priority disputes in the United States, Europe or other jurisdictions. In the United States, the Leahy-Smith America Invents Act, or the America Invents Act,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of a patent through USPTO-administered post-grant proceedings, including post-grant review, inter partes review and derivation proceedings. We expect that our competitors and other third parties will institute litigation and other proceedings, such as interference, reexamination and opposition proceedings, as well as inter partes and post-grant review proceedings against us and the patents and patent applications that we own and in-license.</w:t>
      </w:r>
    </w:p>
    <w:p>
      <w:pPr>
        <w:spacing w:after="0" w:line="200" w:lineRule="exact"/>
        <w:rPr>
          <w:sz w:val="20"/>
          <w:szCs w:val="20"/>
          <w:color w:val="auto"/>
        </w:rPr>
      </w:pPr>
    </w:p>
    <w:p>
      <w:pPr>
        <w:spacing w:after="0" w:line="304"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8"/>
          <w:szCs w:val="18"/>
          <w:color w:val="080509"/>
        </w:rPr>
        <w:t>Additionally, we face ongoing COVID-19 vaccine-related patent litigation. ModernaTX, Inc., or Moderna, has brought litigation against us and Pfizer regarding European patents 3590949B1, or EP’949, and 3718565B1, or EP’565, in Germany, England and Wales (only EP’949 currently at issue), the Netherlands (only EP’949 currently at issue), Ireland, and Belgium, and regarding U.S. Patent Nos. 10,898,574, 10,702,600, and 10,933,127 in the United States. BioNTech and Pfizer also initiated proceedings seeking the revocation of EP’949 in the Business and Property Courts of England and Wales and have filed opposition proceedings in the EPO seeking the revocation of EP’949 and EP’565. With respect to EP’565, the EPO confirmed the final revocation of this patent following oral proceedings on January 27, 2026. BioNTech and Pfizer have filed petitions for inter partes review before the Patent Trial and Appeal Board in the United States with respect to U.S. Patent Nos. 10,702,600 and 10,933,127. Arbutus Biopharma Corp., or Arbutus, and Genevant Sciences GmbH, or Genevant, have brought litigation against us and Pfizer in the United States regarding U.S. Patent Nos. 9,504,651; 8,492,359; 11,141,378; 11,298,320; and 11,318,098. Promosome LLC, or Promosome, has initiated litigation against us and Pfizer in the Unified Patent Court (Munich Division) regarding one European patent, EP 2 401 365. GlaxoSmithKline Biologicals SA and GlaxoSmithKline LLC, or collectively, GSK, have brought litigation against us and Pfizer in the United States regarding U.S. Patent Nos. 11,638,693, 11,638,694, 11,666,534, 11,766,401, 11,786,467, 11,759,422, 11,655,475, and 11,851,660, and in the High Court of Ireland, as well as the United Patent Court, regarding European Patent Nos. 2,590,626, 4,066,856, and 4,226,941. BioNTech and Pfizer also initiated proceedings seeking the revocation of EP’626, EP’856, and EP’941 in the Business and Property Courts of England and Wales and have filed opposition proceedings in the EPO seeking the revocation of EP’856 and EP’941. Bayer CropScience LLC, or Bayer, Monsanto Company, and Monsanto Technology, LLC, or Monsanto, have initiated litigation against us and Pfizer in the United States District Court for the District of Delaware regarding one U.S. Patent No. 7,741,118. We cannot guarantee that we will not become subject to additional COVID-19 vaccine patent infringement lawsuits in the future. In addition, should Pfizer not prevail in any of the ongoing COVID-19 vaccine patent infringement lawsuits to which it is a party, Pfizer may seek to require us to indemnify Pfizer for losses suffered therefrom as well as any losses from future COVID-19 vaccine patent infringement lawsuits in which it does not prevail. We believe we have strong defenses against each of these claims and intend to vigorously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130</w:t>
            </w:r>
          </w:p>
        </w:tc>
      </w:tr>
    </w:tbl>
    <w:p>
      <w:pPr>
        <w:sectPr>
          <w:pgSz w:w="11900" w:h="16838" w:orient="portrait"/>
          <w:cols w:equalWidth="0" w:num="1">
            <w:col w:w="11240"/>
          </w:cols>
          <w:pgMar w:left="320" w:top="388" w:right="339" w:bottom="1440" w:gutter="0" w:footer="0" w:header="0"/>
        </w:sectPr>
      </w:pPr>
    </w:p>
    <w:bookmarkStart w:id="139" w:name="page140"/>
    <w:bookmarkEnd w:id="13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defend ourselves in each proceeding, but we can make no assurances regarding the ultimate outcome of any of these matters. Additionally, as we continually evaluate these various proceedings, we may from time to time make strategic decisions to settle or otherwise resolve certain proceedings despite our continued belief in the strengths of our defenses.</w:t>
      </w:r>
    </w:p>
    <w:p>
      <w:pPr>
        <w:spacing w:after="0" w:line="231"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080509"/>
        </w:rPr>
        <w:t>We expect that we will continue to be subject to similar proceedings or priority disputes, including oppositions, in Europe or other jurisdictions relating to patents and patent applications in our portfolio.</w:t>
      </w:r>
    </w:p>
    <w:p>
      <w:pPr>
        <w:jc w:val="both"/>
        <w:spacing w:after="0" w:line="316" w:lineRule="auto"/>
        <w:rPr>
          <w:sz w:val="20"/>
          <w:szCs w:val="20"/>
          <w:color w:val="auto"/>
        </w:rPr>
      </w:pPr>
      <w:r>
        <w:rPr>
          <w:rFonts w:ascii="Times New Roman" w:cs="Times New Roman" w:eastAsia="Times New Roman" w:hAnsi="Times New Roman"/>
          <w:sz w:val="18"/>
          <w:szCs w:val="18"/>
          <w:color w:val="080509"/>
        </w:rPr>
        <w:t>If we, our co-owners, our partners or our licensors are unsuccessful in any interference proceedings or other priority or validity disputes, including any derivations, post-grant review, inter partes review or oppositions, to which we or they are subject, we may lose valuable intellectual property rights through the narrowing or loss of one or more patents owned or in-licensed, or our owned or in-licensed patent claims may be narrowed, invalidated or held unenforceable. In many cases, the possibility of appeal exists for either us or our opponents, and it may be years before final, unappealable rulings are made with respect to these patents in certain jurisdictions. The timing and outcome of these and other proceedings is uncertain and may adversely affect our business if we are not successful in defending the patentability and scope of our pending and issued patent claims.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technical personnel and other employees and could have a material adverse impact on our business and our ability to successfully compete against our current and future competitors.</w:t>
      </w:r>
    </w:p>
    <w:p>
      <w:pPr>
        <w:spacing w:after="0" w:line="245"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There are many issued and pending patent filings that claim aspects of technologies that we may need for our mRNA products or product candidates, or other product candidates, including patent filings that relate to relevant delivery technologies. There are also many issued patents that claim targeting genes or portions of genes that may be relevant for immunotherapies we wish to develop. In addition, as evidenced by the lawsuits brought against Moderna, Pfizer and us, there may be additional issued and pending patent applications that may be asserted against us in a court proceeding or otherwise based upon the asserting party’s belief that we may need such patents for the development, manufacturing, testing and commercialization of our COVID-19 vaccine or of our product candidates. Thus, it is possible that one or more organizations, ranging from our competitors to non-practicing entities or patent assertion entities, has or will hold patent rights to which we may need a license, or hold patent rights which could be asserted against us. Such licenses may not be available on commercially reasonable terms or at all, or may be non-exclusive. If those organizations refuse to grant us a license to such patent rights on reasonable terms, if we fail to invalidate relevant patents, or if a court or other governing body determines that we need such patent rights that have been asserted against us and we are not able to obtain a license on reasonable terms or at all, we may be unable to perform research and development or other activities or market products covered by such patents, and we may need to cease the development, manufacture, testing and commercialization of one or more of the product candidates we may develop. Any of the foregoing could result in a material adverse effect on our business, financial condition, results of operations or prospects.</w:t>
      </w:r>
    </w:p>
    <w:p>
      <w:pPr>
        <w:spacing w:after="0" w:line="200" w:lineRule="exact"/>
        <w:rPr>
          <w:sz w:val="20"/>
          <w:szCs w:val="20"/>
          <w:color w:val="auto"/>
        </w:rPr>
      </w:pPr>
    </w:p>
    <w:p>
      <w:pPr>
        <w:spacing w:after="0" w:line="27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We may not be successful in obtaining, maintaining, protecting or defending the necessary intellectual property rights to allow us to identify and develop product candidates, and test product components and manufacturing processes for our development pipeline.</w:t>
      </w:r>
    </w:p>
    <w:p>
      <w:pPr>
        <w:spacing w:after="0" w:line="158"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We currently have rights to certain intellectual property through our owned and in-licensed patents and other intellectual property rights relating to identification, development and testing of our product</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131</w:t>
            </w:r>
          </w:p>
        </w:tc>
      </w:tr>
    </w:tbl>
    <w:p>
      <w:pPr>
        <w:sectPr>
          <w:pgSz w:w="11900" w:h="16838" w:orient="portrait"/>
          <w:cols w:equalWidth="0" w:num="1">
            <w:col w:w="11240"/>
          </w:cols>
          <w:pgMar w:left="320" w:top="388" w:right="339" w:bottom="1440" w:gutter="0" w:footer="0" w:header="0"/>
        </w:sectPr>
      </w:pPr>
    </w:p>
    <w:bookmarkStart w:id="140" w:name="page141"/>
    <w:bookmarkEnd w:id="14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candidates or other technologies. As our activities may involve additional product candidates or services that could require the use of intellectual property and other proprietary rights held by third parties, the growth of our business could depend in part on our ability to acquire, in-license or use such intellectual property and proprietary rights. In addition, our product candidates may require specific formulations to work effectively and efficiently and these intellectual property and other proprietary rights may be held by others. We may be unable to secure such licenses or otherwise acquire or in-license any compositions, methods of use, processes or other third-party intellectual property rights from third parties that we identify as necessary, on reasonable terms, or at all, for product candidates and other technologies that we may develop. The licensing and acquisition of third-party intellectual property rights is a competitive area, and a number of more established companies are also pursuing strategies to license or acquire third-party intellectual property rights that we may consider attractive or necessary. These established companies may have a competitive advantage over us due to their size, cash resources, and greater clinical development and commercialization capabilities.</w:t>
      </w:r>
    </w:p>
    <w:p>
      <w:pPr>
        <w:spacing w:after="0" w:line="200" w:lineRule="exact"/>
        <w:rPr>
          <w:sz w:val="20"/>
          <w:szCs w:val="20"/>
          <w:color w:val="auto"/>
        </w:rPr>
      </w:pPr>
    </w:p>
    <w:p>
      <w:pPr>
        <w:spacing w:after="0" w:line="309"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We sometimes collaborate with academic institutions and/or utilize services of CROs and CMOs in certain aspects of our research or development under written agreements with these parties. These agreements may not ensure protection of intellectual property rights in developed technology, or may fail to provide us with sufficient control of or access to such intellectual property rights. For example, agreements with these academic institutions typically provide us with an option to negotiate a license to any of the institution’s rights in technology resulting from the collaboration. However, these institutions may not honor our option and right of first negotiation for intellectual property rights or we may otherwise be unable to negotiate a license within the specified time frame or under terms that are acceptable to us. If we are unable to do so, the institution may offer the intellectual property rights to other parties, potentially blocking our ability to pursue our program or otherwise continue to develop certain product candidates or other technologies. CROs and/or CMOs may control certain technologies that were utilized in and/or developed through work on our behalf, and may not pursue protection of such technologies, or may provide us with only non-exclusive rights in such technologies, so that relevant technologies may be shared with other parties including our competitors. In any relationship with a third party, there is a risk of disagreement over intellectual property rights (including inventorship or ownership of, rights to protect and/or enforce, and/or rights to use) in utilized or developed technologies.</w:t>
      </w:r>
    </w:p>
    <w:p>
      <w:pPr>
        <w:spacing w:after="0" w:line="200" w:lineRule="exact"/>
        <w:rPr>
          <w:sz w:val="20"/>
          <w:szCs w:val="20"/>
          <w:color w:val="auto"/>
        </w:rPr>
      </w:pPr>
    </w:p>
    <w:p>
      <w:pPr>
        <w:spacing w:after="0" w:line="312"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Moreover, some of our owned patents and patent applications are, and may in the future be, co-owned with third parties. If we are unable to obtain, or continue to maintain, exclusive rights to any such third-party co-owners’ interest in such patents or patent applications, such co-owners may be able to license their rights to other third parties, including our competitors, and our competitors could market competing products and technologies.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239"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In addition, third parties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or maintain, protect, defend or enforce the existing intellectual property rights we have, we may have to abandon the development and</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132</w:t>
            </w:r>
          </w:p>
        </w:tc>
      </w:tr>
    </w:tbl>
    <w:p>
      <w:pPr>
        <w:sectPr>
          <w:pgSz w:w="11900" w:h="16838" w:orient="portrait"/>
          <w:cols w:equalWidth="0" w:num="1">
            <w:col w:w="11240"/>
          </w:cols>
          <w:pgMar w:left="320" w:top="388" w:right="339" w:bottom="1440" w:gutter="0" w:footer="0" w:header="0"/>
        </w:sectPr>
      </w:pPr>
    </w:p>
    <w:bookmarkStart w:id="141" w:name="page142"/>
    <w:bookmarkEnd w:id="14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commercialization of the relevant program or product candidate, which could have a material adverse effect on our business, financial condition, results of operations and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The lifespans of our patents may not be sufficient to effectively protect our products or product candidates, technologies and business.</w:t>
      </w:r>
    </w:p>
    <w:p>
      <w:pPr>
        <w:spacing w:after="0" w:line="216"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Patents have a limited lifespan. In the United States, the natural expiration of a patent is generally 20 years after its first effective non-provisional filing date, assuming maintenance fees are timely paid after the patent has issued. Most other jurisdictions also provide a 20-year nominal patent term, though many require payment of regular, often annual, annuities to maintain pendency of an application or viability of an issued patent. In some jurisdictions, one or more options for extension of a patent term may be available, but even with such extensions, the lifespan of a patent, and the protection it affords, is limited. Even if patents covering our product candidates, proprietary technologies and their uses are obtained, once the patent term has expired, we may be subject to competition from third parties that can then use the inventions included in such patents to create competing products and technologies. In addition, although upon issuance in the United States a patent’s life can be increased based on certain delays caused by the USPTO, this increase can be reduced or eliminated based on certain delays caused by the patent applicant during patent prosecution. The USPTO can also require, in certain circumstances, that the expiration date of a subject patent be shortened by the filing of a terminal disclaimer over one or more patents that may expire sooner than the subject patent. Given the amount of time required for the development, testing and regulatory review of new product candidates, patents protecting such product candidates might expire before or shortly after such candidates are commercialized. If any patents that we own or in-license expire, we would not be able to stop others from using or commercializing similar or identical technology and products, and our competitors could market competing products and technology. Any of the foregoing could have a material adverse effect on our competitive position, business, financial conditions, results of operations and prospects.</w:t>
      </w:r>
    </w:p>
    <w:p>
      <w:pPr>
        <w:spacing w:after="0" w:line="200" w:lineRule="exact"/>
        <w:rPr>
          <w:sz w:val="20"/>
          <w:szCs w:val="20"/>
          <w:color w:val="auto"/>
        </w:rPr>
      </w:pPr>
    </w:p>
    <w:p>
      <w:pPr>
        <w:spacing w:after="0" w:line="27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If we do not obtain patent term extension and data exclusivity for any product candidates we may develop, our business may be materially harmed.</w:t>
      </w:r>
    </w:p>
    <w:p>
      <w:pPr>
        <w:spacing w:after="0" w:line="15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for a drug product subject to the provisions of the Hatch-Waxman Act.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For example, we did not extend any patent for our COVID-19 vaccine. Moreover, the applicable time period or the scope of patent protection afforded could be less than we request. If we are unable to obtain patent term extension or the term of any such extension is less than we request, our competitors may obtain approval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133</w:t>
            </w:r>
          </w:p>
        </w:tc>
      </w:tr>
    </w:tbl>
    <w:p>
      <w:pPr>
        <w:sectPr>
          <w:pgSz w:w="11900" w:h="16838" w:orient="portrait"/>
          <w:cols w:equalWidth="0" w:num="1">
            <w:col w:w="11240"/>
          </w:cols>
          <w:pgMar w:left="320" w:top="388" w:right="339" w:bottom="1440" w:gutter="0" w:footer="0" w:header="0"/>
        </w:sectPr>
      </w:pPr>
    </w:p>
    <w:bookmarkStart w:id="142" w:name="page143"/>
    <w:bookmarkEnd w:id="14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080509"/>
        </w:rPr>
        <w:t>competing products following our patent expiration, and our business, financial condition, results of operations and prospects could be materially harmed.</w:t>
      </w:r>
    </w:p>
    <w:p>
      <w:pPr>
        <w:spacing w:after="0" w:line="200" w:lineRule="exact"/>
        <w:rPr>
          <w:sz w:val="20"/>
          <w:szCs w:val="20"/>
          <w:color w:val="auto"/>
        </w:rPr>
      </w:pPr>
    </w:p>
    <w:p>
      <w:pPr>
        <w:spacing w:after="0" w:line="3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If we fail to comply, or are viewed to have failed to comply, with our obligations in the agreements under which we license intellectual property rights from third parties or otherwise experience disruptions to our business relationships with our licensors or other third parties, we could lose license rights that are important to our business or suffer monetary losses.</w:t>
      </w:r>
    </w:p>
    <w:p>
      <w:pPr>
        <w:spacing w:after="0" w:line="17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are heavily reliant upon licenses to certain intellectual property and other proprietary rights from third parties that are important or necessary to the development and commercialization of our technology and product(s) or product candidates, and we expect to enter into similar license agreements in the future. Licensing of intellectual property is important to our business and involves complex legal, business and scientific issues and is complicated by the rapid pace of scientific discovery in our industry. Our licenses may not provide exclusive rights to use such intellectual property and technology in all relevant fields of use and in all territories in which we may wish to develop, test, or commercialize our technology and products in the future. As a result, we may not be able to prevent competitors from developing and commercializing competitive products in territories included in any or all of our licenses.</w:t>
      </w:r>
    </w:p>
    <w:p>
      <w:pPr>
        <w:spacing w:after="0" w:line="200" w:lineRule="exact"/>
        <w:rPr>
          <w:sz w:val="20"/>
          <w:szCs w:val="20"/>
          <w:color w:val="auto"/>
        </w:rPr>
      </w:pPr>
    </w:p>
    <w:p>
      <w:pPr>
        <w:spacing w:after="0" w:line="304"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Where we obtain licenses from, or collaborate with, third parties, in some circumstances we may not have the right to control the preparation, filing, prosecution, maintenance, enforcement and defense of patents and patent applications covering the technology that we license from, or that arises through collaboration with, such third parties, or such activities, if controlled by us, may require the input of such third parties. In some cases, patent prosecution (including preparation and filing) of our in-licensed intellectual property or of intellectual property developed through collaboration, is controlled solely by the licensor or collaborator. We may also require the agreement and/or cooperation of our licensors and collaborators to protect, enforce, utilize, or defend any in-licensed patent rights, and such agreement and/or cooperation may not be provided. Therefore, we cannot be certain that these patents and patent applications will be prepared, filed, prosecuted, maintained, protected, enforced or defended in a manner consistent with the best interests of our business. Any patents or patent applications that we in-license may be challenged, narrowed, circumvented, invalidated or held unenforceable, or our licensors may not properly maintain such patents or patent applications and they may expire. If our licensors fail to obtain, maintain, defend, protect or enforce the intellectual property we license from them, we could lose our rights to the intellectual property and our competitors could market competing products using the inventions in such intellectual property. In certain cases, we control the prosecution of patents included from in-licensed technology. In the event we breach any of our obligations related to such prosecution, we may incur significant liability to our collaborators. If we and our licensors or collaborators disagree over IP protection strategies for relevant technologies, disputes may arise, and we could lose access to or control over protection of technologies important to our business. If so, we may not be able to adequately protect our product(s) or product candidates, including not being able to prevent a competitor or other third party from developing the same product(s) or product candidates for the same or a different use. Any of the foregoing could have a material adverse effect on our competitive position, business, financial conditions,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Moreover, we may disagree from time to time with licensors or collaborators regarding, among other things, the interpretation of each party’s obligations or the amounts payable under our agreements. For example, we were in discussions with the University of Pennsylvania, or UPenn, and the National Institutes of Health, or the NIH, concerning royalties and other related amounts allegedly owed on</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134</w:t>
            </w:r>
          </w:p>
        </w:tc>
      </w:tr>
    </w:tbl>
    <w:p>
      <w:pPr>
        <w:sectPr>
          <w:pgSz w:w="11900" w:h="16838" w:orient="portrait"/>
          <w:cols w:equalWidth="0" w:num="1">
            <w:col w:w="11240"/>
          </w:cols>
          <w:pgMar w:left="320" w:top="388" w:right="339" w:bottom="1440" w:gutter="0" w:footer="0" w:header="0"/>
        </w:sectPr>
      </w:pPr>
    </w:p>
    <w:bookmarkStart w:id="143" w:name="page144"/>
    <w:bookmarkEnd w:id="14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sales of our COVID-19 vaccine since commercialization. UPenn subsequently filed suit against us in the U.S. District Court for the Eastern District of Pennsylvania in connection with this dispute. On December 20, 2024, we entered into a Settlement Agreement with the NIH pursuant to which we agreed, among other things, to pay $791.5 million to the NIH. On March 27, 2025, we entered into a Settlement Agreement with UPenn pursuant to which we agreed, among other things, to pay up to $467.0 million to UPenn, consisting of $400.0 million as royalties for calendar years 2020-2023, up to $15.0 million in funding for a three-year extension of the research term of our and UPenn’s vaccine alliance, and $52.0 million as a contribution to a research and development investment fund to be jointly managed by us and UPenn. For more information regarding our settlements with the NIH and UPenn, see Note 12.2 of our consolidated financial statements included in our Annual Report on Form 20-F as of and for the year ended December 31, 2025.</w:t>
      </w:r>
    </w:p>
    <w:p>
      <w:pPr>
        <w:spacing w:after="0" w:line="200" w:lineRule="exact"/>
        <w:rPr>
          <w:sz w:val="20"/>
          <w:szCs w:val="20"/>
          <w:color w:val="auto"/>
        </w:rPr>
      </w:pPr>
    </w:p>
    <w:p>
      <w:pPr>
        <w:spacing w:after="0" w:line="304"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If we are found to have failed to satisfy obligations or materially breached any of our agreements, such as licenses to third-party intellectual or any disagreements between us and our licensors, a licensor could potentially have the right or reason to terminate the license or to exercise the option of a non-exclusive license, which would allow our competitors to have access to the same intellectual property and technology licensed to us. Our existing license agreements impose, and we expect that future license agreements will impose, various diligence, milestone and royalty payment, exclusivity and other obligations on us. If we fail to comply with our obligations under these agreements, including royalty payments, or we are subject to a bankruptcy, the licensor may have the right to terminate the license agreement, in which event we would not be able to develop, market and commercialize product(s) or product candidates covered by the license agreement. In spite of our best efforts and even if we disagree, our licensors might still conclude that we have materially breached our license agreements and might therefore terminate the license agreements, thereby removing our ability to develop, test and commercialize the product(s) or product candidates covered by these license agreements. In the event that any of our license agreements were to be terminated by the licensor, we may need to negotiate new or reinstated agreements, which may not be available to us on equally favorable terms, or at all. If these license agreements are rightfully terminated, or if the underlying patents or other intellectual property fail to provide the intended exclusivity, competitors would have the freedom to seek regulatory approval of, and to market and commercialize, products similar or identical to ours, and our licensors may be able to seek additional judicial remedies. In addition, we may seek to obtain additional licenses from our licensors and, in connection with obtaining such licenses, we may agree to amend our existing license agreements in a manner that may be more favorable to the licensors, including by agreeing to terms that could enable third parties (potentially including our competitors) to receive licenses to a portion of the intellectual property that is subject to our existing licenses. Failure to prevail with respect to any contractual disagreements could result in a material adverse effect on our competitive position, business, financial conditions, results of operations or prospects, particularly if discussions result in legal or other dispute resolution proceedings.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We are generally also subject to all of the same risks with respect to protection of intellectual property that we license, as we are for intellectual property that we own, which are described in this section. If we, our co-owners or our licensors fail to adequately protect this intellectual property, our ability to develop, test, market and commercialize our product(s) or product candidates could suffer. Moreover, if disputes over intellectual property that we have in-licensed prevent or impair our ability to maintain our current licensing arrangements on commercially acceptable terms, we may be unable to successfully develop, test, market and commercialize the affected product(s) or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135</w:t>
            </w:r>
          </w:p>
        </w:tc>
      </w:tr>
    </w:tbl>
    <w:p>
      <w:pPr>
        <w:sectPr>
          <w:pgSz w:w="11900" w:h="16838" w:orient="portrait"/>
          <w:cols w:equalWidth="0" w:num="1">
            <w:col w:w="11240"/>
          </w:cols>
          <w:pgMar w:left="320" w:top="388" w:right="339" w:bottom="1440" w:gutter="0" w:footer="0" w:header="0"/>
        </w:sectPr>
      </w:pPr>
    </w:p>
    <w:bookmarkStart w:id="144" w:name="page145"/>
    <w:bookmarkEnd w:id="14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which could have a material adverse effect on our business, financial condition, results of operations and prospects.</w:t>
      </w:r>
    </w:p>
    <w:p>
      <w:pPr>
        <w:spacing w:after="0" w:line="289"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b w:val="1"/>
          <w:bCs w:val="1"/>
          <w:color w:val="005A64"/>
        </w:rPr>
        <w:t>Some of our in-licensed intellectual property has been discovered through government-funded programs and thus may be subject to federal regulations such as “march-in” rights and certain reporting requirements, and compliance with such regulations may limit our exclusive rights and our ability to contract with manufacturers.</w:t>
      </w:r>
    </w:p>
    <w:p>
      <w:pPr>
        <w:spacing w:after="0" w:line="176"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Certain intellectual property rights that have been in-licensed, including patent applications and patents that we in-license from UPenn, the Louisiana State University, the Broad Institute, the NIH, Genevant, and CellScript, have been generated through the use of U.S. government funding and are therefore subject to certain federal regulations. The U.S. government may have certain rights to intellectual property embodied in our current or future product candidates pursuant to the Bayh-Dole Act of 1980, or the Bayh-Dole Act. These U.S. government rights may include a non-exclusive, non-transferable, irrevocable worldwide license to use inventions covered by that Act for any governmental purpose. In addition, the U.S. government may have the right, under certain limited circumstances, to require the licensor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collectively referred to as “march-in rights”). The U.S. government may also have the right to take title to these inventions if the licensor fails to disclose the invention to the government or fails to file an application to register the intellectual property within specified time limits. Any exercise by the government of such rights could harm our competitive position, business, financial condition, results of operations and prospects. Intellectual property generated under a government-funded program is also subject to certain reporting requirements, compliance with which may require us to expend substantial resources.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In addition, the U.S. government requires that any products embodying any such inventions or produced through the use of any such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the products substantially in the United States or that under the circumstances domestic manufacture is not commercially feasible. We may not be able to obtain a waiver of this preference for U.S. industry, and this preference may limit our ability to contract with non-U.S. product manufacturers for products covered by such intellectual property. To the extent any of our owned or in-licensed future intellectual property is generated through the use of U.S. government funding, the provisions of the Bayh-Dole Act may similarly apply. If we or our licensors are unable to secure an exemption to these manufacturing requirements, if we comply with them, or if we are unable to comply with them, we may experience a material adverse effect on our competitive position, business, financial conditions, results of operations and prospects.</w:t>
      </w:r>
    </w:p>
    <w:p>
      <w:pPr>
        <w:spacing w:after="0" w:line="200" w:lineRule="exact"/>
        <w:rPr>
          <w:sz w:val="20"/>
          <w:szCs w:val="20"/>
          <w:color w:val="auto"/>
        </w:rPr>
      </w:pPr>
    </w:p>
    <w:p>
      <w:pPr>
        <w:spacing w:after="0" w:line="265"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b w:val="1"/>
          <w:bCs w:val="1"/>
          <w:color w:val="005A64"/>
        </w:rPr>
        <w:t>Our current proprietary position for certain products and product candidates depends upon our owned or in-licensed patent filings covering components, manufacturing-related methods, formulations and/or methods of use, which may not adequately prevent a competitor or other third party from using the same product candidate for the same or a different use.</w:t>
      </w:r>
    </w:p>
    <w:p>
      <w:pPr>
        <w:spacing w:after="0" w:line="180"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Composition of matter patent protection is generally considered to be desirable because it provides protection without regard to any particular method of use or manufacture or formulation. While we</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136</w:t>
            </w:r>
          </w:p>
        </w:tc>
      </w:tr>
    </w:tbl>
    <w:p>
      <w:pPr>
        <w:sectPr>
          <w:pgSz w:w="11900" w:h="16838" w:orient="portrait"/>
          <w:cols w:equalWidth="0" w:num="1">
            <w:col w:w="11240"/>
          </w:cols>
          <w:pgMar w:left="320" w:top="388" w:right="339" w:bottom="1440" w:gutter="0" w:footer="0" w:header="0"/>
        </w:sectPr>
      </w:pPr>
    </w:p>
    <w:bookmarkStart w:id="145" w:name="page146"/>
    <w:bookmarkEnd w:id="14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have pursued or obtained patent protection covering components of certain product candidates and tests, manufacturing-related methods, formulations and/or methods of use, we have not yet obtained patent protection for all components of certain product candidates and tests, manufacturing-related methods, formulations and/or methods of use. For instance, we do not currently have any claims in our owned or in-licensed issued U.S. patents that cover the overall construct used in our iNeST product candidates. We also cannot be certain that claims in any future patents issuing from our pending owned or in-licensed patent applications or our future owned or in-licensed patent applications will cover the composition of matter, tests, manufacturing-related methods, formulations and/or methods of use of our current or future product candidates. Method of use patents protect the use of a product for the specified method and formulation patents cover formulations to deliver therapeutics. These types of patents do not prevent a competitor or other third party from developing, testing, marketing or commercializing a similar or identical product for an indication that is outside the scope of the patented method or from developing a different formulation that is outside the scope of the patented formulation. Moreover, with respect to method of use patents,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 of use patents, the practice is common and this type of infringement is difficult to prevent or enforce. Consequently, we may not be able to prevent third parties from practicing our inventions in the United States or abroad.</w:t>
      </w:r>
    </w:p>
    <w:p>
      <w:pPr>
        <w:spacing w:after="0" w:line="200" w:lineRule="exact"/>
        <w:rPr>
          <w:sz w:val="20"/>
          <w:szCs w:val="20"/>
          <w:color w:val="auto"/>
        </w:rPr>
      </w:pPr>
    </w:p>
    <w:p>
      <w:pPr>
        <w:spacing w:after="0" w:line="2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005A64"/>
        </w:rPr>
        <w:t>Intellectual property rights of third parties could adversely affect our ability to commercialize our product(s) and product candidates, and we might be required to litigate or obtain licenses from third parties in order to develop, test or market our product(s) and product candidates.</w:t>
      </w:r>
    </w:p>
    <w:p>
      <w:pPr>
        <w:spacing w:after="0" w:line="384"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Because our products and product candidates are still in early stages of development, testing or commercialization, and one or more features of the products or product candidates, or related technologies such as their manufacture, formulation, testing or use, may still change, we cannot be confident that we are aware of all third-party intellectual property that might be relevant to products that we eventually hope to commercialize. Furthermore, even if all aspects of our product(s) or product candidates, or of other technology, were known, it is possible that third-party intellectual property, which may or may not currently be public, could develop in a manner (for example, through issuance of additional patents) that could impede our ability to make or use relevant products or product candidates, or other technology. Various third-party competitors practice in relevant spaces, and may have issued patents, or patent applications that will issue as patents in the future, that will impede or preclude our ability to commercialize products. Furthermore, while U.S. patent laws provide a “safe harbor” to our clinical product candidates under 35 U.S.C. § 271(e)(1), which exempts from patent infringement activities related to pursuing FDA approval for a drug product, that exemption expires when an NDA or BLA is submitted. Accordingly, after such submission (including for certain formulations of our COVID-19 vaccine), the 271(e)(1) safe harbor may no longer provide the same level of protection from third party patent infringement claims for that product. We may become exposed to lawsuits from third parties who consider our COVID-19 vaccine to infringe their patents. More generally, given the uncertainty of clinical trials, we cannot be certain of the timing of their completion and it is possible that we might want to submit an NDA or BLA at a time when one or more relevant third-party patents is in force. Thus, it is possible that at the time that we commercialize our product candidates, one or more third parties may have issued patent claims that cover such products or critical features of their production, testing or use. We may not be able to commercialize our products if patents issued to third parties or other third-party intellectual property rights cover, or may be alleged to cover, our products or elements thereof, or their methods of manufacture, testing or use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137</w:t>
            </w:r>
          </w:p>
        </w:tc>
      </w:tr>
    </w:tbl>
    <w:p>
      <w:pPr>
        <w:sectPr>
          <w:pgSz w:w="11900" w:h="16838" w:orient="portrait"/>
          <w:cols w:equalWidth="0" w:num="1">
            <w:col w:w="11240"/>
          </w:cols>
          <w:pgMar w:left="320" w:top="388" w:right="339" w:bottom="1440" w:gutter="0" w:footer="0" w:header="0"/>
        </w:sectPr>
      </w:pPr>
    </w:p>
    <w:bookmarkStart w:id="146" w:name="page147"/>
    <w:bookmarkEnd w:id="14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the time that we seek to commercialize them. In such cases, we may not be in a position to develop, test or commercialize product candidates unless we successfully pursue litigation to nullify or invalidate the third-party intellectual property right concerned, successfully design around their claims, or enter into a license agreement with the intellectual property right holder(s). Such litigation or licenses could be costly, licenses could not be available on commercially reasonable terms or at all, and design-around could be prohibitively expensive or impossible.</w:t>
      </w:r>
    </w:p>
    <w:p>
      <w:pPr>
        <w:spacing w:after="0" w:line="23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Additionally, with respect to our products, product candidates and related technologies that may play a role in addressing a pandemic or other public health emergency, it is unclear whether governments around the world will protect vaccine manufacturers for liability from infringement of third party intellectual property, at least during the period of such public health emergency. Thus, it is possible that third parties may assert intellectual property rights against us relating to our COVID-19 vaccine, and that we will not be successful in arguing that commercialization of our COVID-19 vaccine is exempted from infringement and/or liability for infringement (for example, under 35 U.S.C. § 271(e)(1), discussed above, or under the Public Readiness and Emergency Preparedness Act, or the PREP Act, etc.). Furthermore, even if such commercialization was deemed protected from infringement during the period of the pandemic crisis, now that various global and U.S. agencies have declared an end to the global COVID-19 public health emergency, any such exemption may be terminated so that continuing commercialization could expose us to liability, and might even be precluded if third party(ies) who hold relevant intellectual property rights are able to secure injunction(s) or are unwilling to license to us on commercially feasible terms.</w:t>
      </w:r>
    </w:p>
    <w:p>
      <w:pPr>
        <w:spacing w:after="0" w:line="200" w:lineRule="exact"/>
        <w:rPr>
          <w:sz w:val="20"/>
          <w:szCs w:val="20"/>
          <w:color w:val="auto"/>
        </w:rPr>
      </w:pPr>
    </w:p>
    <w:p>
      <w:pPr>
        <w:spacing w:after="0" w:line="309"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It is also possible that we have failed to identify relevant third-party patents that cover, or applications that will mature into patents that cover, one or more aspects of our platform or product(s) and product candidates. Given that, in most jurisdictions, a patent application is confidential when initially filed, and typically remains so until it is published about 18 months after the initial filing, it may not be possible for us to identify certain relevant filings in time to avoid using the technology that they claim. Additionally, the claims of pending patent applications can, subject to certain limitations, be amended over time, so that even patent applications whose claims did not cover our products or activities when published could be amended to cover one or more aspects of our platform or product candidates over time, and we might not be aware that such amendment had been made.</w:t>
      </w:r>
    </w:p>
    <w:p>
      <w:pPr>
        <w:spacing w:after="0" w:line="200" w:lineRule="exact"/>
        <w:rPr>
          <w:sz w:val="20"/>
          <w:szCs w:val="20"/>
          <w:color w:val="auto"/>
        </w:rPr>
      </w:pPr>
    </w:p>
    <w:p>
      <w:pPr>
        <w:spacing w:after="0" w:line="260"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b w:val="1"/>
          <w:bCs w:val="1"/>
          <w:color w:val="005A64"/>
        </w:rPr>
        <w:t>We may be involved in lawsuits or other legal proceedings to protect or enforce our intellectual property or the intellectual property of our licensors, or to defend against third-party claims that we infringe, misappropriate or otherwise violate such third party’s intellectual property, each of which could be expensive, time consuming and unsuccessful.</w:t>
      </w:r>
    </w:p>
    <w:p>
      <w:pPr>
        <w:spacing w:after="0" w:line="175"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There is a substantial amount of litigation, both within and outside the United States, involving patent and other intellectual property rights in the biotechnology and pharmaceutical industries, including patent infringement lawsuits, interferences, oppositions, ex parte reexaminations, post-grant review, and inter partes review proceedings before the USPTO and corresponding European and other non-U.S. patent offices.</w:t>
      </w:r>
    </w:p>
    <w:p>
      <w:pPr>
        <w:spacing w:after="0" w:line="231"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Competitors and other third parties may infringe, misappropriate or otherwise violate our intellectual property rights or those of our licensors. To prevent infringement, misappropriation or other unauthorized use, we may be required to file claims, which can be expensive and time-consuming. In certain instances, we have instituted and may in the future institute inter partes review proceedings against issued U.S. patents and opposition proceedings against European patents owned by third parties. We have a number of opposition proceedings ongoing at the EPO against third-party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138</w:t>
            </w:r>
          </w:p>
        </w:tc>
      </w:tr>
    </w:tbl>
    <w:p>
      <w:pPr>
        <w:sectPr>
          <w:pgSz w:w="11900" w:h="16838" w:orient="portrait"/>
          <w:cols w:equalWidth="0" w:num="1">
            <w:col w:w="11240"/>
          </w:cols>
          <w:pgMar w:left="320" w:top="388" w:right="339" w:bottom="1440" w:gutter="0" w:footer="0" w:header="0"/>
        </w:sectPr>
      </w:pPr>
    </w:p>
    <w:bookmarkStart w:id="147" w:name="page148"/>
    <w:bookmarkEnd w:id="14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related to mRNA technologies. As the biotechnology and pharmaceutical industries expand and more patents are issued, the risk increases that our products, product candidates and services may be subject to claims of infringement of the patent rights of third parties.</w:t>
      </w:r>
    </w:p>
    <w:p>
      <w:pPr>
        <w:spacing w:after="0" w:line="217"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In addition, in a patent infringement proceeding, our owned or in-licensed patents may be challenged and a court may decide that a patent we own or in-license is not valid, is unenforceable and/or is not infringed. If we or any of our potential future collaborators were to initiate legal proceedings against a third party to enforce a patent directed at one of our product(s) and/or product candidates,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novelty, non-obviousness, enablement or written description. Grounds for an unenforceability assertion could include an allegation that someone connected with prosecution of the patent withheld relevant information from the USPTO or made a misleading statement during prosecution. Third parties may also raise similar claims before the USPTO, even outside the context of litigation. Similar mechanisms for challenging the validity and enforceability of a patent exist in ex-U.S. patent offices and may result in the revocation, cancellation or amendment of any ex-U.S. patents we hold in the future. The outcome following legal assertions of invalidity and unenforceability is unpredictable, and prior art could render our patents or those of our licensors invalid. If a defendant were to prevail on a legal assertion of invalidity and/or unenforceability, we could lose at least part, and perhaps all, of the patent protection on a product and/or product candidate. Such a loss of patent protection would have a material adverse impact on our competitive position, business, financial conditions, results of operations and prospects.</w:t>
      </w:r>
    </w:p>
    <w:p>
      <w:pPr>
        <w:spacing w:after="0" w:line="200" w:lineRule="exact"/>
        <w:rPr>
          <w:sz w:val="20"/>
          <w:szCs w:val="20"/>
          <w:color w:val="auto"/>
        </w:rPr>
      </w:pPr>
    </w:p>
    <w:p>
      <w:pPr>
        <w:spacing w:after="0" w:line="318"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 xml:space="preserve">Third parties, including our competitors to non-practicing entities or patent assertion entities, may assert that we are employing their intellectual property and other proprietary technology without authorization. There may be third-party patents or patent applications with claims to materials, formulations, testing, methods of manufacture or methods for treatment related to the use, development, testing, manufacture or commercialization of our COVID-19 vaccine or product candidates. For example, BioNTech SE and certain of our wholly owned subsidiaries are defendants in litigations initiated by Bayer/Monsanto, CureVac, Moderna, Arbutus, Genevant, GSK, and Promosome regarding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See “Legal Proceedings.” As patent applications can take many years to issue, there may be currently pending patent applications which may later result in issued patents that our product(s) and/or product candidates may infringe. In addition, third parties may obtain patents in the future and claim that our technologies infringe upon these patents. If any third-party patents were held by a court of competent jurisdiction to cover the testing or manufacturing processes of any of our product(s) and/or product candidates, any molecules formed during the testing and manufacturing processes or any final product itself, the holders of any such patents may obtain injunctive or other equitable relief, which could effectively block our ability to develop, test and commercialize such product and/or product candidate unless we obtained a license under the applicable patents, or until such patents expire. Similarly, if any third-party patents were held by a court of competent jurisdiction to cover aspects of our formulations, processes for testing or manufacture or methods of use, including combination therapy, the holders of any such patents may be able to block our ability to develop, test and commercialize the applicable product and/or product candidate unless we obtained a license or until such patent expires. In either case, such a license may not be available on commercially reasonable terms, or at all, or may be non-exclusive.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139</w:t>
            </w:r>
          </w:p>
        </w:tc>
      </w:tr>
    </w:tbl>
    <w:p>
      <w:pPr>
        <w:sectPr>
          <w:pgSz w:w="11900" w:h="16838" w:orient="portrait"/>
          <w:cols w:equalWidth="0" w:num="1">
            <w:col w:w="11240"/>
          </w:cols>
          <w:pgMar w:left="320" w:top="388" w:right="339" w:bottom="1440" w:gutter="0" w:footer="0" w:header="0"/>
        </w:sectPr>
      </w:pPr>
    </w:p>
    <w:bookmarkStart w:id="148" w:name="page149"/>
    <w:bookmarkEnd w:id="14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intellectual property and technology. Our defense of litigation, interference, derivation or similar proceedings may fail and, even if successful, may result in substantial costs and distract our management, technical personnel and other employees. In addition, the uncertainties associated with litigation could have a material adverse effect on our ability to raise the funds we need to continue our clinical trials and research programs, to license necessary technology from third parties or to enter into development or manufacturing collaborations that would help us bring our product(s) and/or product candidates to market.</w:t>
      </w:r>
    </w:p>
    <w:p>
      <w:pPr>
        <w:spacing w:after="0" w:line="200" w:lineRule="exact"/>
        <w:rPr>
          <w:sz w:val="20"/>
          <w:szCs w:val="20"/>
          <w:color w:val="auto"/>
        </w:rPr>
      </w:pPr>
    </w:p>
    <w:p>
      <w:pPr>
        <w:spacing w:after="0" w:line="30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Even if resolved in our favor, litigation or other legal proceedings relating to our intellectual property rights may cause us to incur significant expenses, and could distract our management, technical personnel and other employees from their normal responsibilities.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our competitors may be able to sustain the costs of such proceedings more effectively than we can because of their greater resources in one or more aspects, or for other reasons. Uncertainties resulting from the initiation and continuation of patent litigation or other proceedings could compromise our ability to compete in the marketplace.</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8"/>
          <w:szCs w:val="18"/>
          <w:color w:val="080509"/>
        </w:rPr>
        <w:t>In the event of a successful claim of infringement, misappropriation or other violation against us, we may have to pay substantial damages, including treble damages and attorneys’ fees for willful infringement, pay royalties, redesign our infringing products, or obtain one or more licenses from third parties, which may not be made available on commercially favorable terms, if at all, or may require substantial time and expense.</w:t>
      </w:r>
    </w:p>
    <w:p>
      <w:pPr>
        <w:spacing w:after="0" w:line="200" w:lineRule="exact"/>
        <w:rPr>
          <w:sz w:val="20"/>
          <w:szCs w:val="20"/>
          <w:color w:val="auto"/>
        </w:rPr>
      </w:pPr>
    </w:p>
    <w:p>
      <w:pPr>
        <w:spacing w:after="0" w:line="286"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color w:val="080509"/>
        </w:rPr>
        <w:t>Such licenses are likely to be non-exclusive and, therefore, our competitors may have access to the same intellectual property and technology licensed to us. If we fail to obtain a required license and are unable to design around a patent, we may be unable to effectively market some of our technology and product(s) and/or product candidates, which could limit our ability to generate revenues or achieve or maintain profitability and possibly prevent us from generating revenue sufficient to sustain our operations. Moreover, certain of our collaborations provide, and we expect additional collaborations to provide, that royalties payable to us for licenses to our intellectual property may be offset by amounts paid by our collaborators to third parties for licenses to such third parties’ intellectual property in the relevant fields, which could result in significant reductions in our revenues from products developed through collaborations.</w:t>
      </w:r>
    </w:p>
    <w:p>
      <w:pPr>
        <w:spacing w:after="0" w:line="240"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In addition, in connection with certain license and collaboration agreements, we have agreed to indemnify certain third parties for certain costs incurred in connection with litigation relating to intellectual property rights or the subject matter of the agreements. The cost to us of any litigation or other proceeding relating to intellectual property rights, even if resolved in our favor, could be substantial.</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140</w:t>
            </w:r>
          </w:p>
        </w:tc>
      </w:tr>
    </w:tbl>
    <w:p>
      <w:pPr>
        <w:sectPr>
          <w:pgSz w:w="11900" w:h="16838" w:orient="portrait"/>
          <w:cols w:equalWidth="0" w:num="1">
            <w:col w:w="11240"/>
          </w:cols>
          <w:pgMar w:left="320" w:top="388" w:right="339" w:bottom="1440" w:gutter="0" w:footer="0" w:header="0"/>
        </w:sectPr>
      </w:pPr>
    </w:p>
    <w:bookmarkStart w:id="149" w:name="page150"/>
    <w:bookmarkEnd w:id="14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in any litigation or other intellectual property proceedings. If securities analysts or investors perceive these results to be negative, the price of the ADSs representing our ordinary shares could decline.</w:t>
      </w:r>
    </w:p>
    <w:p>
      <w:pPr>
        <w:spacing w:after="0" w:line="200" w:lineRule="exact"/>
        <w:rPr>
          <w:sz w:val="20"/>
          <w:szCs w:val="20"/>
          <w:color w:val="auto"/>
        </w:rPr>
      </w:pPr>
    </w:p>
    <w:p>
      <w:pPr>
        <w:spacing w:after="0" w:line="2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6"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Periodic maintenance fees, renewal fees, annuity fees, and various other governmental fees on patents and applications will be due to be paid to the USPTO and various governmental patent agencies outside of the United States in several stages over the lifetime of the patents or applications. We have systems in place to remind us to pay these fees and we employ an outside firm and rely on our outside counsel to pay these fees due to non-U.S. patent agencies; however, we cannot guarantee that we will successfully pay these fees. The USPTO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We are also dependent on our licensors to take the necessary action to comply with these requirements with respect to our in-licensed intellectual property, and we cannot guarantee that they will do so. In such an event, our competitors might be able to enter the market with similar or identical products or technology, and this would have a material adverse impact on our business, financial condition, results of operations and prospects.</w:t>
      </w:r>
    </w:p>
    <w:p>
      <w:pPr>
        <w:spacing w:after="0" w:line="200" w:lineRule="exact"/>
        <w:rPr>
          <w:sz w:val="20"/>
          <w:szCs w:val="20"/>
          <w:color w:val="auto"/>
        </w:rPr>
      </w:pPr>
    </w:p>
    <w:p>
      <w:pPr>
        <w:spacing w:after="0" w:line="26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color w:val="005A64"/>
        </w:rPr>
        <w:t>Changes in patent law in the United States or in other countries could diminish the value of patents in general, thereby impairing our ability to protect our products.</w:t>
      </w:r>
    </w:p>
    <w:p>
      <w:pPr>
        <w:spacing w:after="0" w:line="172"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As is the case with other biotechnology companies, our success is heavily dependent on our intellectual property rights, particularly patents that we own and in-license. Obtaining and enforcing patents in the biotechnology industry involve both technological and legal complexity, and therefore obtaining and enforcing biotechnology patents is costly, time-consuming and inherently uncertain. Moreover, there are periodic changes in patent law. For example, after March 2013, under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have affected the way patent applications are prosecuted and also affect patent litigation. Such legislation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200" w:lineRule="exact"/>
        <w:rPr>
          <w:sz w:val="20"/>
          <w:szCs w:val="20"/>
          <w:color w:val="auto"/>
        </w:rPr>
      </w:pPr>
    </w:p>
    <w:p>
      <w:pPr>
        <w:spacing w:after="0" w:line="309"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In addition, decisions by courts and governmental bodies in the United States and other jurisdictions may affect the value of patent applications, issued patents or other intellectual property that we own or in-license. For example, recent U.S. Supreme Court rulings have narrowed the scope of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141</w:t>
            </w:r>
          </w:p>
        </w:tc>
      </w:tr>
    </w:tbl>
    <w:p>
      <w:pPr>
        <w:sectPr>
          <w:pgSz w:w="11900" w:h="16838" w:orient="portrait"/>
          <w:cols w:equalWidth="0" w:num="1">
            <w:col w:w="11240"/>
          </w:cols>
          <w:pgMar w:left="320" w:top="388" w:right="339" w:bottom="1440" w:gutter="0" w:footer="0" w:header="0"/>
        </w:sectPr>
      </w:pPr>
    </w:p>
    <w:bookmarkStart w:id="150" w:name="page151"/>
    <w:bookmarkEnd w:id="15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20"/>
        <w:spacing w:after="0" w:line="322" w:lineRule="auto"/>
        <w:rPr>
          <w:sz w:val="20"/>
          <w:szCs w:val="20"/>
          <w:color w:val="auto"/>
        </w:rPr>
      </w:pPr>
      <w:r>
        <w:rPr>
          <w:rFonts w:ascii="Times New Roman" w:cs="Times New Roman" w:eastAsia="Times New Roman" w:hAnsi="Times New Roman"/>
          <w:sz w:val="18"/>
          <w:szCs w:val="18"/>
          <w:color w:val="080509"/>
        </w:rPr>
        <w:t>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the USPTO and other administrative agencies, and their equivalents in other jurisdictions, the laws and regulations governing patents could change in unpredictable ways that could have a material adverse effect on our existing patent portfolio and our ability to obtain, maintain, protect, defend or enforce our intellectual property in the future.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If we are unable to protect the confidentiality of our trade secrets, our business and competitive position would be harmed.</w:t>
      </w:r>
    </w:p>
    <w:p>
      <w:pPr>
        <w:spacing w:after="0" w:line="216"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In addition to seeking patent protection for some of our technology, product(s) and product candidates, we also seek to rely on trade secret protection and confidentiality agreements to maintain our competitive position and protect proprietary know-how that is not patentable, processes for which patents are difficult to enforce and any other elements of our product discovery development, testing, manufacturing and commercialization processes that involve proprietary know-how, information or technology that is not covered by patents. However, trade secrets and know-how may be difficult to protect.</w:t>
      </w:r>
    </w:p>
    <w:p>
      <w:pPr>
        <w:spacing w:after="0" w:line="200" w:lineRule="exact"/>
        <w:rPr>
          <w:sz w:val="20"/>
          <w:szCs w:val="20"/>
          <w:color w:val="auto"/>
        </w:rPr>
      </w:pPr>
    </w:p>
    <w:p>
      <w:pPr>
        <w:spacing w:after="0" w:line="295"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We seek to protect these trade secrets, know-how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and require all of our employees and key consultants who have access to our trade secrets, proprietary know-how, information or technology to enter into confidentiality agreements. We cannot guarantee that we have entered into such agreements with each party that may have or have had access to our trade secrets or proprietary technology and processes. To the extent we become involved in litigation that may require discovery of our trade secrets, know-how and other proprietary technology, we seek to secure protective orders from the court that bind the parties with access to the discovered information. Despite our best efforts, we cannot be certain that our trade secrets and other confidential proprietary information will not be disclosed or that competitors will not otherwise gain access to our trade secrets or independently develop substantially equivalent information and techniques. Any of these parties who may have access to our trade secrets, know-how and other proprietary technology may breach such agreements or orders. For example, a former employee of our COVID-19 vaccine collaborator, Pfizer, has reportedly misappropriated trade secrets on our COVID-19 vaccine. We may not be able to obtain adequate remedies for such breaches. Enforcing a claim that a party illegally disclosed or misappropriated a trade secret or know-how is difficult, expensive and time-consuming, and the outcome is unpredictable. In addition, some courts inside and outside the United States are less willing or unwilling to protect trade secrets and know-how. In addition, we cannot be certain that our proprietary technical information and related confidential documents that we have shared with our collaborators and/or have submitted to governmental agencies, including regulatory agencies, for evaluation and supervision of pharmaceutical products will be kept confidential. For example, certain documents relating to our COVID-19 vaccine were unlawfully accessed after a cyberattack on the EMA in December 2020. If any of our trade secrets or know-how were to be lawfully obtained or independently developed by a competitor or other third party, we would have no right to prevent them from using that technology or information to compete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142</w:t>
            </w:r>
          </w:p>
        </w:tc>
      </w:tr>
    </w:tbl>
    <w:p>
      <w:pPr>
        <w:sectPr>
          <w:pgSz w:w="11900" w:h="16838" w:orient="portrait"/>
          <w:cols w:equalWidth="0" w:num="1">
            <w:col w:w="11240"/>
          </w:cols>
          <w:pgMar w:left="320" w:top="388" w:right="339" w:bottom="1440" w:gutter="0" w:footer="0" w:header="0"/>
        </w:sectPr>
      </w:pPr>
    </w:p>
    <w:bookmarkStart w:id="151" w:name="page152"/>
    <w:bookmarkEnd w:id="15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with us. If we are unable to prevent unauthorized material disclosure of our intellectual property to third parties, we may not be able to establish or maintain a competitive advantage in our market, which could materially adversely affect our business, operating results, financial condition and prospects.</w:t>
      </w:r>
    </w:p>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005A64"/>
        </w:rPr>
        <w:t>We may be subject to claims that we have wrongfully hired an employee from a competitor, or that our employees, consultants or independent contractors have wrongfully used or disclosed confidential information of third parties, including alleged trade secrets of their former employers.</w:t>
      </w:r>
    </w:p>
    <w:p>
      <w:pPr>
        <w:spacing w:after="0" w:line="384"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We have received confidential and proprietary information from third parties in the course of our research and other collaborations with others in the industry, academic institutions and other third parties. In addition, many of our employees, consultants and advisors are currently or were previously employed at universities or other biotechnology or pharmaceutical companies, including our competitors or potential competitors. Although we try to ensure that our employees, consultants, independent contractors and advisors do not use the confidential or proprietary information, trade secrets or know-how of others in their work for us, we may be subject to claims that we have inadvertently or otherwise used or disclosed confidential or proprietary information, trade secrets or know-how of these third parties, or that our employees, consultants, independent contractors or advisors have inadvertently or otherwise used or disclosed confidential information, trade secrets or know-how of such individual’s current or former employer. If we fail in defending any such claims, in addition to paying monetary damages, we may lose valuable intellectual property rights or personnel. Litigation may be necessary to defend against these claims. Even if we are successful in defending against these claims, litigation could result in substantial cost and be a distraction to our management, technical personnel and other employees. Claims that we or our employees, consultants or advisors have misappropriated the confidential or proprietary information, trade secrets or know-how of third parties could have a material adverse effect on our business, financial condition, results of operations and prospects.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We may be subject to claims challenging the inventorship or ownership of our patents and other intellectual property.</w:t>
      </w:r>
    </w:p>
    <w:p>
      <w:pPr>
        <w:spacing w:after="0" w:line="21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In the future, we may be subject to claims that current or former employees, consultants, independent contractors, collaborators or other third parties have an interest in our patents or other intellectual property as an inventor or co-inventor. While it is our policy to require our employees, consultants, independent contractors, collaborators and other third parties who may be involved in the conception, development or reduction to practice of intellectual property to execute agreements assigning such intellectual property to us, we may be unsuccessful in executing such an agreement with each party who, in fact, conceives, develops or reduces to practice such intellectual property that we regard as our own. In addition, certain such agreements, even if successfully executed may distribute ownership or control of intellectual property rights between or among parties, for example based on subject matter, relationship to other intellectual property, and/or one or more aspects of development of the intellectual property; after the agreements are in place disputes may arise over such distribution principles or over proper treatment of particular developed intellectual property in accordance with them. Disagreements may be difficult or impossible to resolve, may be expensive to address, and may result in our failing to secure or maintain ownership in or control of intellectual property necessary or important to our business.</w:t>
      </w:r>
    </w:p>
    <w:p>
      <w:pPr>
        <w:spacing w:after="0" w:line="200" w:lineRule="exact"/>
        <w:rPr>
          <w:sz w:val="20"/>
          <w:szCs w:val="20"/>
          <w:color w:val="auto"/>
        </w:rPr>
      </w:pPr>
    </w:p>
    <w:p>
      <w:pPr>
        <w:spacing w:after="0" w:line="306"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The assignment of intellectual property rights may not be self-executing, or the assignment agreements may be breached. For example, we may have inventorship or ownership disputes arise from conflicting obligations of employees, consultants, independent contractors, collaborators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143</w:t>
            </w:r>
          </w:p>
        </w:tc>
      </w:tr>
    </w:tbl>
    <w:p>
      <w:pPr>
        <w:sectPr>
          <w:pgSz w:w="11900" w:h="16838" w:orient="portrait"/>
          <w:cols w:equalWidth="0" w:num="1">
            <w:col w:w="11240"/>
          </w:cols>
          <w:pgMar w:left="320" w:top="388" w:right="339" w:bottom="1440" w:gutter="0" w:footer="0" w:header="0"/>
        </w:sectPr>
      </w:pPr>
    </w:p>
    <w:bookmarkStart w:id="152" w:name="page153"/>
    <w:bookmarkEnd w:id="15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other third parties who are involved in developing and commercializing our product(s) and/or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operating results and financial condition. Even if we are successful in defending against such claims, litigation could result in substantial costs and be a distraction to management, technical personnel and other employees.</w:t>
      </w:r>
    </w:p>
    <w:p>
      <w:pPr>
        <w:spacing w:after="0" w:line="200" w:lineRule="exact"/>
        <w:rPr>
          <w:sz w:val="20"/>
          <w:szCs w:val="20"/>
          <w:color w:val="auto"/>
        </w:rPr>
      </w:pPr>
    </w:p>
    <w:p>
      <w:pPr>
        <w:spacing w:after="0" w:line="301"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Furthermore, the laws of some other countries do not protect intellectual property and other proprietary rights or establish ownership of inventions to the same extent or in the same manner as the U.S. laws. A majority of our employees work in Germany and are subject to German employment law. Ideas, developments, discoveries and inventions made by such employees are subject to the provisions of the German Act on Employees’ Inventions, which regulates the ownership of, and compensation for, inventions made by employees. We face the risk that disputes can occur between us and our employees or former employees pertaining to alleged non-adherence to the provisions of this act that may be costly to defend and take up our management’s, technical personnel’s and other employees’ time and efforts whether we prevail or fail in any such dispute. There is a risk that the compensation we provided to employees who assign patents to us may be deemed to be insufficient and we may be required under German law to increase the compensation due to such employees for the use of the patents. In those cases, where employees’ rights have not been assigned to us, we may need to pay compensation for the use of those patents. If we are required to pay additional compensation or face other disputes under the German Act on Employees’ Inventions, our business, results of operations and financial condition could be adversely affected.</w:t>
      </w:r>
    </w:p>
    <w:p>
      <w:pPr>
        <w:spacing w:after="0" w:line="200" w:lineRule="exact"/>
        <w:rPr>
          <w:sz w:val="20"/>
          <w:szCs w:val="20"/>
          <w:color w:val="auto"/>
        </w:rPr>
      </w:pPr>
    </w:p>
    <w:p>
      <w:pPr>
        <w:spacing w:after="0" w:line="26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We will not seek to protect our intellectual property rights in all jurisdictions throughout the world, and we may not be able to adequately enforce our intellectual property rights even in the jurisdictions where we seek protection.</w:t>
      </w:r>
    </w:p>
    <w:p>
      <w:pPr>
        <w:spacing w:after="0" w:line="15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Filing, prosecuting and defending patents on product(s) and/or product candidates in all countries throughout the world would be prohibitively expensive, and our intellectual property rights in some countries outside the United States, particularly those in Asia, including China, can be less extensive than those in the United States. In addition, the laws of some countries do not protect intellectual property rights to the same extent as laws in Germany and the United States. Consequently, we may not be able to prevent third parties from practicing our inventions in all countries outside the United States to the same extent as within the United States, or from selling or importing products made using our inventions in and to the United States or other jurisdictions. Competitors may use our technologies in jurisdictions where we have not obtained patent protection to develop their own product candidates and further, may export otherwise infringing products to territories where we have patent protection, but enforcement is not as strong as that in the United States. These products may compete with our product(s) and/or product candidates, and our patents or other intellectual property rights may not be effective or sufficient to prevent them from competing.</w:t>
      </w:r>
    </w:p>
    <w:p>
      <w:pPr>
        <w:spacing w:after="0" w:line="200" w:lineRule="exact"/>
        <w:rPr>
          <w:sz w:val="20"/>
          <w:szCs w:val="20"/>
          <w:color w:val="auto"/>
        </w:rPr>
      </w:pPr>
    </w:p>
    <w:p>
      <w:pPr>
        <w:spacing w:after="0" w:line="309"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Many companies have encountered significant problems in protecting and defending intellectual property rights in certain jurisdictions, particularly outside of Europe and the United States.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 of our patents and other intellectual property or development, testing, marketing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144</w:t>
            </w:r>
          </w:p>
        </w:tc>
      </w:tr>
    </w:tbl>
    <w:p>
      <w:pPr>
        <w:sectPr>
          <w:pgSz w:w="11900" w:h="16838" w:orient="portrait"/>
          <w:cols w:equalWidth="0" w:num="1">
            <w:col w:w="11240"/>
          </w:cols>
          <w:pgMar w:left="320" w:top="388" w:right="339" w:bottom="1440" w:gutter="0" w:footer="0" w:header="0"/>
        </w:sectPr>
      </w:pPr>
    </w:p>
    <w:bookmarkStart w:id="153" w:name="page154"/>
    <w:bookmarkEnd w:id="15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commercialization of competing products in violation of our owned or in-licensed intellectual property and other proprietary rights generally. Proceedings to enforce our intellectual property rights in such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in-license. In particular, the validity, enforceability and scope of protection of intellectual property in China, where we derive net sales and maintain collaboration partnerships including licensing, are still evolving and historically, have not protected and may not protect in the future, intellectual property rights to the same extent as laws developed in Europe, including Germany, and the United States. Consequently, the time required to enforce our intellectual property rights in the legal regime of China may be lengthy and delay our recovery.</w:t>
      </w:r>
    </w:p>
    <w:p>
      <w:pPr>
        <w:spacing w:after="0" w:line="200" w:lineRule="exact"/>
        <w:rPr>
          <w:sz w:val="20"/>
          <w:szCs w:val="20"/>
          <w:color w:val="auto"/>
        </w:rPr>
      </w:pPr>
    </w:p>
    <w:p>
      <w:pPr>
        <w:spacing w:after="0" w:line="306"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9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If our trademarks and trade names are not adequately protected, we may not be able to build name recognition in our markets of interest and our business may be adversely affected.</w:t>
      </w:r>
    </w:p>
    <w:p>
      <w:pPr>
        <w:spacing w:after="0" w:line="158"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or collaborators may fail to use our trade names or trademarks appropriately or at all,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we may not be able to compete effectively and our business may be adversely affected. We may license our trademarks and trade names to third parties, such as distributors and collaborators. Though these license agreements may provide guidelines for how our trademarks and trade names may be used, a breach of these agreements or misuse or failure to use of our trademarks and trade names by our licensees may jeopardize our rights in or diminish the goodwill associated with our trademarks, and trade names. Our efforts to enforce or protect our proprietary rights related to trademarks, trade names, trade secrets, know-how, domain names, copyrights or other intellectual property may be ineffective and could result in substantial costs and diversion of resources and could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145</w:t>
            </w:r>
          </w:p>
        </w:tc>
      </w:tr>
    </w:tbl>
    <w:p>
      <w:pPr>
        <w:sectPr>
          <w:pgSz w:w="11900" w:h="16838" w:orient="portrait"/>
          <w:cols w:equalWidth="0" w:num="1">
            <w:col w:w="11240"/>
          </w:cols>
          <w:pgMar w:left="320" w:top="388" w:right="339" w:bottom="1440" w:gutter="0" w:footer="0" w:header="0"/>
        </w:sectPr>
      </w:pPr>
    </w:p>
    <w:bookmarkStart w:id="154" w:name="page155"/>
    <w:bookmarkEnd w:id="15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Intellectual property rights do not necessarily address all potential threats to our competitive advantage.</w:t>
      </w:r>
    </w:p>
    <w:p>
      <w:pPr>
        <w:spacing w:after="0" w:line="216"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217"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others may be able to make COVID-19 vaccines or therapies, and/or individualized cancer immunotherapies that are similar to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COVID-19 vaccine and/or any product candidates we may develop and commercialize or utilize similar technologies that are not covered by the claims of the patents that we now or may in the future own or have exclusively in-licensed;</w:t>
      </w:r>
    </w:p>
    <w:p>
      <w:pPr>
        <w:spacing w:after="0" w:line="231"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our co-owners or our licensors or future collaborators might not have been the first to make the inventions covered by the issued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patents or pending patent applications that we own or have exclusively in-licensed;</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our co-owners or our licensors or future collaborators might not have been the first to file patent applications covering certain of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or their inventions;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others may independently develop similar or alternative technologies or duplicate any of our technologies without infringing our owned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in-licensed intellectual property rights;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it is possible that our pending patent applications or those that we may own or in-license in the future will not lead to issued patents;</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claims of issued patents that we own or have exclusively in-licensed may be held invalid or unenforceable, including as a result of legal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challenges by our competitors;</w:t>
      </w:r>
    </w:p>
    <w:p>
      <w:pPr>
        <w:spacing w:after="0" w:line="216" w:lineRule="exact"/>
        <w:rPr>
          <w:sz w:val="20"/>
          <w:szCs w:val="20"/>
          <w:color w:val="auto"/>
        </w:rPr>
      </w:pPr>
    </w:p>
    <w:p>
      <w:pPr>
        <w:jc w:val="right"/>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competitors might conduct research, development, testing or commercialization activities in countries where we do not have patent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rights and then use the information learned from such activities to develop competitive products for sale in our major commercial markets;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not develop additional proprietary technologies that are patentable;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patents of others may have an adverse effect on our business; and</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choose not to file a patent in order to maintain certain trade secrets or know-how, and a third party may subsequently file a patent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covering such intellectual property.</w:t>
      </w:r>
    </w:p>
    <w:p>
      <w:pPr>
        <w:spacing w:after="0" w:line="217"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080509"/>
        </w:rPr>
        <w:t>Should any of these events occur, they could have a material adverse effect on our business, financial condition, results of operations and prospects.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Risks Related to Government Regulation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005A64"/>
        </w:rPr>
        <w:t>We may not be able to develop or obtain approval for companion diagnostics required for commercialization of some of our product candidates.</w:t>
      </w:r>
    </w:p>
    <w:p>
      <w:pPr>
        <w:spacing w:after="0" w:line="200" w:lineRule="exact"/>
        <w:rPr>
          <w:sz w:val="20"/>
          <w:szCs w:val="20"/>
          <w:color w:val="auto"/>
        </w:rPr>
      </w:pPr>
    </w:p>
    <w:p>
      <w:pPr>
        <w:spacing w:after="0" w:line="205"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Administration of some of our product candidates may require the use of immuno-assays and bioinformatic tools in which patients are screened for optimal target antigens of our product candidates. If safe and effective use of a biologic product depends on an in vitro diagnostic, then the</w:t>
      </w:r>
    </w:p>
    <w:p>
      <w:pPr>
        <w:sectPr>
          <w:pgSz w:w="11900" w:h="16838" w:orient="portrait"/>
          <w:cols w:equalWidth="0" w:num="1">
            <w:col w:w="11240"/>
          </w:cols>
          <w:pgMar w:left="320" w:top="3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10860" w:val="left"/>
        </w:tabs>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r>
        <w:rPr>
          <w:sz w:val="20"/>
          <w:szCs w:val="20"/>
          <w:color w:val="auto"/>
        </w:rPr>
        <w:tab/>
      </w:r>
      <w:r>
        <w:rPr>
          <w:rFonts w:ascii="Times New Roman" w:cs="Times New Roman" w:eastAsia="Times New Roman" w:hAnsi="Times New Roman"/>
          <w:sz w:val="21"/>
          <w:szCs w:val="21"/>
          <w:b w:val="1"/>
          <w:bCs w:val="1"/>
          <w:color w:val="C3C3C3"/>
        </w:rPr>
        <w:t>146</w:t>
      </w:r>
    </w:p>
    <w:p>
      <w:pPr>
        <w:sectPr>
          <w:pgSz w:w="11900" w:h="16838" w:orient="portrait"/>
          <w:cols w:equalWidth="0" w:num="1">
            <w:col w:w="11240"/>
          </w:cols>
          <w:pgMar w:left="320" w:top="388" w:right="339" w:bottom="1440" w:gutter="0" w:footer="0" w:header="0"/>
          <w:type w:val="continuous"/>
        </w:sectPr>
      </w:pPr>
    </w:p>
    <w:bookmarkStart w:id="155" w:name="page156"/>
    <w:bookmarkEnd w:id="15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FDA generally requires approval or clearance of the diagnostic, known as a companion diagnostic, concurrently with approval of the therapeutic product. To date, the FDA has generally required in vitro companion diagnostics intended to select the patients who will respond to cancer treatment to obtain a pre-market approval, or PMA, for that diagnostic, which can take up to several years, simultaneously with approval of the biologic product. Similarly, in the European Union, an in vitro companion diagnostic may be placed on the market only if it conforms to certain “essential requirements” and bears the Conformité Européene Mark, or CE Mark. The conformity assessment process to obtain the CE Mark can be lengthy and we may fail to demonstrate such conformity. Further, the applicable regulatory framework for in vitro diagnostics in the EU changed in May 2022 when a new EU regulation with stricter regulatory requirements for in vitro diagnostics became applicable. Under the regulation, all new in vitro companion diagnostics must undergo conformity assessment by a notified body prior to obtaining their CE Mark.</w:t>
      </w:r>
    </w:p>
    <w:p>
      <w:pPr>
        <w:spacing w:after="0" w:line="200" w:lineRule="exact"/>
        <w:rPr>
          <w:sz w:val="20"/>
          <w:szCs w:val="20"/>
          <w:color w:val="auto"/>
        </w:rPr>
      </w:pPr>
    </w:p>
    <w:p>
      <w:pPr>
        <w:spacing w:after="0" w:line="306"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For our individualized immunotherapy candidates, the FDA and comparable regulatory authorities outside of the United States may require the development and regulatory approval of a companion diagnostic assay as a condition to approval. The FDA may require original or supplemental PMA approvals for use of that same companion diagnostic as a condition of approval of additional individualized therapeutic candidates. We do not have experience or capabilities in developing or commercializing companion diagnostics and plan to rely in large part on third parties to perform these functions. Companion diagnostic assays are subject to regulation by the FDA and other comparable regulatory authorities in other jurisdictions as medical devices and require separate regulatory approval prior to the use of such diagnostic assays with our individualized therapeutic candidates. If we, or any third parties that we engage to assist us, are unable to successfully develop companion diagnostic assays for use with our individualized therapeutic candidates, or are unable to obtain regulatory approval or experience delays in either development or obtaining regulatory approval, we may be unable to identify patients with the specific profile targeted by our product candidates for enrollment in our clinical trials. Accordingly, further investment may be required to further develop or obtain the required regulatory approval for the relevant companion diagnostic assay, which would delay or substantially impact our ability to conduct additional clinical trials or obtain regulatory approval.</w:t>
      </w:r>
    </w:p>
    <w:p>
      <w:pPr>
        <w:spacing w:after="0" w:line="200" w:lineRule="exact"/>
        <w:rPr>
          <w:sz w:val="20"/>
          <w:szCs w:val="20"/>
          <w:color w:val="auto"/>
        </w:rPr>
      </w:pPr>
    </w:p>
    <w:p>
      <w:pPr>
        <w:spacing w:after="0" w:line="2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Because we are developing some of our product candidates for the treatment of diseases in which there is little clinical experience and, in some cases, using new endpoints or methodologies, the FDA, the EMA or other regulatory authorities may not consider the endpoints of our clinical trials to provide clinically meaningful results.</w:t>
      </w:r>
    </w:p>
    <w:p>
      <w:pPr>
        <w:spacing w:after="0" w:line="175"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There may not be pharmacologic therapies approved to treat the underlying causes of many diseases that we may address in the future. For instance, we and our collaborators are applying our technology to develop therapeutics in indications such as certain rare diseases, including some for which no or few clinical trials have been attempted. As a result, any future design and conduct of clinical trials of product candidates for the treatment of certain rare diseases may take longer, be more costly, or be less effective as part of the novelty of development in these diseases. Even if we decide to conduct clinical trials and the FDA does find our success criteria to be sufficiently validated and clinically meaningful, we may not achieve the pre-specified endpoint to a degree of statistical significance in any pivotal or other clinical trials we or our collaborators may conduct for our programs. Further, even if we do achieve the pre-specified criteria, our trials may produce results that are unpredictable or inconsistent with the results of the more traditional efficacy endpoints in the trial. The FDA also could give overriding weight to other efficacy endpoints over a primary endpoint, even if we achieve statistically significant results on that endpoint, if we do not do so on our secondary efficacy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147</w:t>
            </w:r>
          </w:p>
        </w:tc>
      </w:tr>
    </w:tbl>
    <w:p>
      <w:pPr>
        <w:sectPr>
          <w:pgSz w:w="11900" w:h="16838" w:orient="portrait"/>
          <w:cols w:equalWidth="0" w:num="1">
            <w:col w:w="11240"/>
          </w:cols>
          <w:pgMar w:left="320" w:top="388" w:right="339" w:bottom="1440" w:gutter="0" w:footer="0" w:header="0"/>
        </w:sectPr>
      </w:pPr>
    </w:p>
    <w:bookmarkStart w:id="156" w:name="page157"/>
    <w:bookmarkEnd w:id="15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endpoints. The FDA also weighs the benefits of a product against its risks and the FDA may view the efficacy results in the context of safety as not being supportive of licensure. Other regulatory authorities in Europe and other jurisdictions may make similar findings with respect to these endpoints.</w:t>
      </w:r>
    </w:p>
    <w:p>
      <w:pPr>
        <w:spacing w:after="0" w:line="200" w:lineRule="exact"/>
        <w:rPr>
          <w:sz w:val="20"/>
          <w:szCs w:val="20"/>
          <w:color w:val="auto"/>
        </w:rPr>
      </w:pP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The FDA, the EMA or other comparable regulatory authorities may disagree with our regulatory plan and we may fail to obtain regulatory approval of our product candidates.</w:t>
      </w:r>
    </w:p>
    <w:p>
      <w:pPr>
        <w:spacing w:after="0" w:line="15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If the results of our clinical trials are sufficiently compelling, we or our collaborators intend to discuss with the FDA and regulatory authorities in other countries the submission of a BLA or respective applications in other countries for our product candidates. However, we do not have any agreement or guidance from the FDA that our regulatory development plans will be sufficient for submission of a BLA for any of our product candidates. The FDA, the EMA or other regulatory agencies may grant accelerated approval for our product candidates and, as a condition for accelerated approval, the FDA, the EMA or other regulatory agencies may require a sponsor of a drug or biologic receiving accelerated approval to perform post-marketing studies to verify and describe the predicted effect on irreversible morbidity or mortality or other clinical endpoint, and the drug or biologic may be subject to withdrawal procedures by the FDA, the EMA or other regulatory agencies that are more accelerated than those available for regular approvals. In addition, the standard of care may change with the approval of new products in the same indications that we are studying. This may result in the FDA, the EMA or other regulatory agencies requesting additional studies to show that our product candidate is superior to the new products.</w:t>
      </w:r>
    </w:p>
    <w:p>
      <w:pPr>
        <w:spacing w:after="0" w:line="200" w:lineRule="exact"/>
        <w:rPr>
          <w:sz w:val="20"/>
          <w:szCs w:val="20"/>
          <w:color w:val="auto"/>
        </w:rPr>
      </w:pPr>
    </w:p>
    <w:p>
      <w:pPr>
        <w:spacing w:after="0" w:line="309"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Our clinical trial results may also not support approval. In addition, our product candidates could fail to receive regulatory approval for many reasons, including the following: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FDA, the EMA or comparable regulatory authorities may disagree with the design or implementation of our clinical trials;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be unable to demonstrate to the satisfaction of the FDA, the EMA or comparable regulatory authorities that our product candidates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are safe and effective for any of their proposed indications;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results of clinical trials may not meet the level of statistical significance required by the FDA, the EMA or comparable regulatory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authorities for approval, including due to the heterogeneity of patient populations;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be unable to demonstrate that our product candidates’ clinical and other benefits outweigh their safety risks;</w:t>
      </w:r>
    </w:p>
    <w:p>
      <w:pPr>
        <w:spacing w:after="0" w:line="333"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FDA, the EMA or comparable regulatory authorities may disagree with our interpretation of data from preclinical studies or clinical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trials;</w:t>
      </w:r>
    </w:p>
    <w:p>
      <w:pPr>
        <w:spacing w:after="0" w:line="200" w:lineRule="exact"/>
        <w:rPr>
          <w:sz w:val="20"/>
          <w:szCs w:val="20"/>
          <w:color w:val="auto"/>
        </w:rPr>
      </w:pPr>
    </w:p>
    <w:p>
      <w:pPr>
        <w:spacing w:after="0" w:line="358" w:lineRule="exact"/>
        <w:rPr>
          <w:sz w:val="20"/>
          <w:szCs w:val="20"/>
          <w:color w:val="auto"/>
        </w:rPr>
      </w:pPr>
    </w:p>
    <w:p>
      <w:pPr>
        <w:ind w:left="2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data collected from clinical trials of our product candidates may not be sufficient to the satisfaction of the FDA, the EMA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comparable regulatory authorities to support the submission of a BLA or other comparable submissions or to obtain regulatory approval in the United States or elsewhere;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148</w:t>
            </w:r>
          </w:p>
        </w:tc>
      </w:tr>
    </w:tbl>
    <w:p>
      <w:pPr>
        <w:sectPr>
          <w:pgSz w:w="11900" w:h="16838" w:orient="portrait"/>
          <w:cols w:equalWidth="0" w:num="1">
            <w:col w:w="11240"/>
          </w:cols>
          <w:pgMar w:left="320" w:top="388" w:right="339" w:bottom="1440" w:gutter="0" w:footer="0" w:header="0"/>
        </w:sectPr>
      </w:pPr>
    </w:p>
    <w:bookmarkStart w:id="157" w:name="page158"/>
    <w:bookmarkEnd w:id="15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FDA, the EMA or comparable regulatory authorities will inspect our manufacturing facilities and may not approve our facilities or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manufacturing processes and controls;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approval policies or regulations of the FDA, the EMA or comparable regulatory authorities may significantly change in a manner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rendering our clinical data insufficient for approval; and</w:t>
      </w:r>
    </w:p>
    <w:p>
      <w:pPr>
        <w:spacing w:after="0" w:line="216"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appointees of the presidential administration in the United States may seek to change regulatory requirements for the approval of products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or the approach to the review of product applications.</w:t>
      </w:r>
    </w:p>
    <w:p>
      <w:pPr>
        <w:spacing w:after="0" w:line="172"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b w:val="1"/>
          <w:bCs w:val="1"/>
          <w:color w:val="005A64"/>
        </w:rPr>
        <w:t>We may not be able to file INDs with the FDA, clinical trial applications with the competent authorities of the member states of the European Union or similar applications with other comparable regulatory authorities to commence additional clinical trials on the timelines we expect, and even if we are able to, one or more of these regulatory authorities may not permit us to proceed.</w:t>
      </w:r>
    </w:p>
    <w:p>
      <w:pPr>
        <w:spacing w:after="0" w:line="17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The timing of filing on our product candidates is dependent on further preclinical, clinical and manufacturing success. We cannot be sure that submission of an IND or IND amendment with the FDA, a clinical trial application with the regulatory authorities of the EU member states or similar application with other comparable regulatory authorities will result in the FDA, the regulatory authorities of the EU member states or any comparable regulatory authority allowing testing and clinical trials to begin, or that, once begun, issues will not arise that result in the suspension or termination of such clinical trials. Additionally, even if such regulatory authorities agree with the design and implementation of the clinical trials set forth in an IND, clinical trial application or similar applications, we cannot guarantee that such regulatory authorities will not change their requirements in the future.</w:t>
      </w:r>
    </w:p>
    <w:p>
      <w:pPr>
        <w:spacing w:after="0" w:line="200" w:lineRule="exact"/>
        <w:rPr>
          <w:sz w:val="20"/>
          <w:szCs w:val="20"/>
          <w:color w:val="auto"/>
        </w:rPr>
      </w:pPr>
    </w:p>
    <w:p>
      <w:pPr>
        <w:spacing w:after="0" w:line="26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005A64"/>
        </w:rPr>
        <w:t>We may seek Orphan Drug Designation for some or all of our product candidates across various indications, but we may be unable to obtain such designations or to maintain the benefits associated with Orphan Drug Designation, including market exclusivity, which may cause our revenue, if any, to be reduced.</w:t>
      </w:r>
    </w:p>
    <w:p>
      <w:pPr>
        <w:spacing w:after="0" w:line="180"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Our strategy includes filing for Orphan Drug Designation where available for our product candidates. Under the U.S. Orphan Drug Act, the FDA may grant Orphan Drug Designation to a drug or biologic intended to treat a rare disease or condition, which is defined as one occurring in a patient population of fewer than 200,000 in the United States, or a patient population of 200,000 or greater in the United States where there is no reasonable expectation that the cost of developing the drug or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new drug application or a BLA, to market the same drug or biologic for the same indication for seven years, except in limited circumstances, such as a showing of clinical superiority to the product with orphan drug exclusivity or where the original manufacturer is unable to assure sufficient product quantity. Similar rules apply in the European Union with respect to drugs or biologics designated as orphan medicinal products.</w:t>
      </w:r>
    </w:p>
    <w:p>
      <w:pPr>
        <w:spacing w:after="0" w:line="200" w:lineRule="exact"/>
        <w:rPr>
          <w:sz w:val="20"/>
          <w:szCs w:val="20"/>
          <w:color w:val="auto"/>
        </w:rPr>
      </w:pPr>
    </w:p>
    <w:p>
      <w:pPr>
        <w:spacing w:after="0" w:line="306"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In addition, exclusive marketing rights in the United States may be limited if we seek approval for an indication broader than the orphan-designated indication or may be lost if the FDA later determines that the request for designation was materially defective. Further, even if we obtain orphan drug exclusivity for a product, that exclusivity may not protect the product effectively from competition</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149</w:t>
            </w:r>
          </w:p>
        </w:tc>
      </w:tr>
    </w:tbl>
    <w:p>
      <w:pPr>
        <w:sectPr>
          <w:pgSz w:w="11900" w:h="16838" w:orient="portrait"/>
          <w:cols w:equalWidth="0" w:num="1">
            <w:col w:w="11240"/>
          </w:cols>
          <w:pgMar w:left="320" w:top="388" w:right="339" w:bottom="1440" w:gutter="0" w:footer="0" w:header="0"/>
        </w:sectPr>
      </w:pPr>
    </w:p>
    <w:bookmarkStart w:id="158" w:name="page159"/>
    <w:bookmarkEnd w:id="15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because different drugs with different active moieties may receive and be approved for the same condition, and only the first applicant to receive approval will receive the benefits of marketing exclusivity. Even after an orphan-designated product is approved, the FDA can subsequently approve a later drug with the same active moiety for the same condition if the FDA concludes that the later drug is clinically superior if it is shown to be safer, more effective, or makes a major contribution to patient care. Similar considerations apply in the European Union with respect to drugs or biologics designated as orphan medicinal products. Orphan Drug Designation neither shortens the development time or regulatory review time of a drug, nor gives the drug any advantage in the regulatory review or approval process. In addition, while we may seek Orphan Drug Designation for our product candidates, we may never receive such designations.</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We may seek Breakthrough Therapy or Fast Track designation for one or more of our product candidates, but we may not receive such designations. Even if we do, it may not lead to a faster development or regulatory review or approval process, and it may not increase the likelihood that such product candidates will receive marketing approval.</w:t>
      </w:r>
    </w:p>
    <w:p>
      <w:pPr>
        <w:spacing w:after="0" w:line="176"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We may seek a Breakthrough Therapy Designation in the United States for one or more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BLA. Although priority review shortens the goal date by which FDA intends to decide on an application, it does not guarantee any particular action by FDA, or even FDA action by that date.</w:t>
      </w:r>
    </w:p>
    <w:p>
      <w:pPr>
        <w:spacing w:after="0" w:line="200" w:lineRule="exact"/>
        <w:rPr>
          <w:sz w:val="20"/>
          <w:szCs w:val="20"/>
          <w:color w:val="auto"/>
        </w:rPr>
      </w:pPr>
    </w:p>
    <w:p>
      <w:pPr>
        <w:spacing w:after="0" w:line="30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it may decide that the time period for FDA review or approval will not be shortened.</w:t>
      </w:r>
    </w:p>
    <w:p>
      <w:pPr>
        <w:spacing w:after="0" w:line="200" w:lineRule="exact"/>
        <w:rPr>
          <w:sz w:val="20"/>
          <w:szCs w:val="20"/>
          <w:color w:val="auto"/>
        </w:rPr>
      </w:pPr>
    </w:p>
    <w:p>
      <w:pPr>
        <w:spacing w:after="0" w:line="304"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may also seek Fast Track Designation in the United States for some of our product candidates. If a therapy is intended for the treatment of a serious or life-threatening condition and the therapy demonstrates the potential to address significant unmet medical needs for this condition, the drug sponsor may apply for Fast Track Designation. The FDA has broad discretion whether or not to grant this designation, and even if we believe a particular product candidate is eligible for this designation, we cannot be sure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150</w:t>
            </w:r>
          </w:p>
        </w:tc>
      </w:tr>
    </w:tbl>
    <w:p>
      <w:pPr>
        <w:sectPr>
          <w:pgSz w:w="11900" w:h="16838" w:orient="portrait"/>
          <w:cols w:equalWidth="0" w:num="1">
            <w:col w:w="11240"/>
          </w:cols>
          <w:pgMar w:left="320" w:top="388" w:right="339" w:bottom="1440" w:gutter="0" w:footer="0" w:header="0"/>
        </w:sectPr>
      </w:pPr>
    </w:p>
    <w:bookmarkStart w:id="159" w:name="page160"/>
    <w:bookmarkEnd w:id="15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We expect some of the product candidates we develop will be regulated as biologics in the United States and therefore they may be subject to competition from biosimilars approved through an abbreviated regulatory pathway.</w:t>
      </w:r>
    </w:p>
    <w:p>
      <w:pPr>
        <w:spacing w:after="0" w:line="15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The ACA includes a subtitle called the Biologics Price Competition and Innovation Act of 2009, or the BPCIA, which created an abbreviated approval pathway for biological products that are biosimilar to or interchangeable with an FDA-approved reference biological product. Under the BPCIA, an application for a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w:t>
      </w:r>
    </w:p>
    <w:p>
      <w:pPr>
        <w:spacing w:after="0" w:line="240"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236"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We believe that any of our product candidates approved as a biological product under a BLA should qualify for a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200" w:lineRule="exact"/>
        <w:rPr>
          <w:sz w:val="20"/>
          <w:szCs w:val="20"/>
          <w:color w:val="auto"/>
        </w:rPr>
      </w:pPr>
    </w:p>
    <w:p>
      <w:pPr>
        <w:spacing w:after="0" w:line="26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005A64"/>
        </w:rPr>
        <w:t>The regulatory landscape that will govern our product candidates is uncertain. Regulations relating to more established gene therapy and cell therapy products are still developing, and changes in regulatory requirements could result in delays or discontinuation of development of our product candidates or unexpected costs in obtaining regulatory approval.</w:t>
      </w:r>
    </w:p>
    <w:p>
      <w:pPr>
        <w:spacing w:after="0" w:line="180"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The regulatory requirements to which our product candidates will be subject are not entirely clear. Even with respect to more established products that fit into the categories of gene therapies or cell therapies, the regulatory landscape is still developing. For example, regulatory requirements governing gene therapy products and cell therapy products have changed frequently and may continue to change in the future. Moreover, there is substantial, and sometimes uncoordinated, overlap in those responsible for regulation of existing gene therapy products and cell therapy products. Although the FDA decides whether individual gene therapy protocols may proceed, the review process and determinations of other reviewing bodies can impede or delay the initiation of a clinical study, even if the FDA has reviewed the study and approved its initiation. Conversely, the FDA can place an IND application on clinical hold even if such other entities have provided a favorable review. Furthermore, gene therapy clinical trials are also subject to review and oversight by an institutional biosafety committee, a local institutional committee that reviews and oversees basic and clinical research conducted at the institution participating in the clinical trial. In addition, adverse developments in clinical trials of gene therapy products conducted by others may cause the FDA or other regulatory bodies to change the requirements for approval of any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151</w:t>
            </w:r>
          </w:p>
        </w:tc>
      </w:tr>
    </w:tbl>
    <w:p>
      <w:pPr>
        <w:sectPr>
          <w:pgSz w:w="11900" w:h="16838" w:orient="portrait"/>
          <w:cols w:equalWidth="0" w:num="1">
            <w:col w:w="11240"/>
          </w:cols>
          <w:pgMar w:left="320" w:top="388" w:right="339" w:bottom="1440" w:gutter="0" w:footer="0" w:header="0"/>
        </w:sectPr>
      </w:pPr>
    </w:p>
    <w:bookmarkStart w:id="160" w:name="page161"/>
    <w:bookmarkEnd w:id="16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Complex regulatory environments exist in other jurisdictions in which we might consider seeking regulatory approvals for our product candidates, further complicating the regulatory landscape. For example, in the European Union, a special committee called the Committee for Advanced Therapies was established within the EMA in accordance with Regulation (EC) No 1394/2007 on advanced-therapy medicinal products, or ATMPs, to assess the quality, safety and efficacy of ATMPs, and to follow scientific developments in the field. ATMPs include gene therapy products as well as somatic cell therapy products and tissue engineered products.</w:t>
      </w:r>
    </w:p>
    <w:p>
      <w:pPr>
        <w:spacing w:after="0" w:line="240"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These various regulatory review committees and advisory groups and new or revised guidelines that they promulgate from time to time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As the regulatory landscape for our CAR-T-cell immunotherapy product candidates is new, we may face even more cumbersome and complex regulations than those emerging for gene therapy products and cell therapy products. Furthermore, even if our product candidates obtain required regulatory approvals, such approvals may later be withdrawn as a result of changes in regulations or the interpretation of regulations by applicable regulatory agencies.</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Delay or failure to obtain, or unexpected costs in obtaining, the regulatory approval necessary to bring a potential product to market could decrease our ability to generate sufficient product sales revenue to maintain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We may be unable to obtain regulatory approval for our product candidates under applicable international regulatory requirements.</w:t>
      </w:r>
    </w:p>
    <w:p>
      <w:pPr>
        <w:spacing w:after="0" w:line="216"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The denial or delay of such approval would delay commercialization of our product candidates and adversely impact our potential to generate revenue, our business and our results of operations.</w:t>
      </w:r>
    </w:p>
    <w:p>
      <w:pPr>
        <w:spacing w:after="0" w:line="217"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Approval by the FDA in the United States, if obtained, does not ensure approval by regulatory authorities in other countries or jurisdictions. In order to market our products or product candidates in any other jurisdiction, we must establish and comply with numerous and varying regulatory requirements on a jurisdiction-by-jurisdiction basis regarding safety and efficacy.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testing and validation and additional administrative review periods.</w:t>
      </w:r>
    </w:p>
    <w:p>
      <w:pPr>
        <w:spacing w:after="0" w:line="200" w:lineRule="exact"/>
        <w:rPr>
          <w:sz w:val="20"/>
          <w:szCs w:val="20"/>
          <w:color w:val="auto"/>
        </w:rPr>
      </w:pPr>
    </w:p>
    <w:p>
      <w:pPr>
        <w:spacing w:after="0" w:line="301" w:lineRule="exact"/>
        <w:rPr>
          <w:sz w:val="20"/>
          <w:szCs w:val="20"/>
          <w:color w:val="auto"/>
        </w:rPr>
      </w:pPr>
    </w:p>
    <w:p>
      <w:pPr>
        <w:jc w:val="both"/>
        <w:ind w:right="20"/>
        <w:spacing w:after="0" w:line="322" w:lineRule="auto"/>
        <w:rPr>
          <w:sz w:val="20"/>
          <w:szCs w:val="20"/>
          <w:color w:val="auto"/>
        </w:rPr>
      </w:pPr>
      <w:r>
        <w:rPr>
          <w:rFonts w:ascii="Times New Roman" w:cs="Times New Roman" w:eastAsia="Times New Roman" w:hAnsi="Times New Roman"/>
          <w:sz w:val="18"/>
          <w:szCs w:val="18"/>
          <w:color w:val="080509"/>
        </w:rPr>
        <w:t>Seeking regulatory approval in other jurisdictions could result in difficulties and costs for us and require additional preclinical studies or clinical trials which could be costly and time-consuming. Regulatory requirements can vary widely from country to country and could delay or prevent the introduction of our products in those countries. The European Union and other jurisdictions’ regulatory approval processes involve all of the risks associated with the FDA approval. If we fail to comply with regulatory requirements in certain markets or to obtain and maintain required approvals, or if regulatory approvals in certain markets are delayed, our target market will be reduced and our ability to realize the full market potential of our products will be unrealized.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152</w:t>
            </w:r>
          </w:p>
        </w:tc>
      </w:tr>
    </w:tbl>
    <w:p>
      <w:pPr>
        <w:sectPr>
          <w:pgSz w:w="11900" w:h="16838" w:orient="portrait"/>
          <w:cols w:equalWidth="0" w:num="1">
            <w:col w:w="11240"/>
          </w:cols>
          <w:pgMar w:left="320" w:top="388" w:right="339" w:bottom="1440" w:gutter="0" w:footer="0" w:header="0"/>
        </w:sectPr>
      </w:pPr>
    </w:p>
    <w:bookmarkStart w:id="161" w:name="page162"/>
    <w:bookmarkEnd w:id="16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Certain jurisdictions may have submission requirements for drug clinical trial and marketing applications that require us or our partners to submit substantial detailed materials related to non-clinical and clinical development and manufacturing and quality control to drug regulators or testing laboratories. This can include confidential standard operating procedures or executed batch records for the production of biological products or other records or documents that set forth detailed information about the manufacturing process and the manufacturing site. If these materials are disclosed in an unauthorized manner, lost, or otherwise diverted to third parties or competitors during the application preparation process, this could negatively affect our ability to protect our intellectual property.</w:t>
      </w:r>
    </w:p>
    <w:p>
      <w:pPr>
        <w:spacing w:after="0" w:line="239"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Our partners in different countries are subject to local regulatory requirements and standard on the manufacturing and distribution of drugs and the implementation of clinical and non-clinical research. These include but are not limited to good manufacturing, distribution, laboratory, clinical practice, and pharmacovigilance rules. If these companies do not comply with applicable standards, they could become the subjects of inspections, investigations and enforcement, including orders to cease the activities pending remediation that is acceptable to the government. Such an order or other similar enforcement could interfere with our clinical development and marketing activities both in that jurisdiction and others, if it impacts supply or the quality and transfer of data.</w:t>
      </w:r>
    </w:p>
    <w:p>
      <w:pPr>
        <w:spacing w:after="0" w:line="19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A third-party investigational product candidate used in combination with our product candidates may be unable to obtain regulatory approval, which may delay commercialization of our product candidates.</w:t>
      </w:r>
    </w:p>
    <w:p>
      <w:pPr>
        <w:spacing w:after="0" w:line="158"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We are developing several of our product candidates to be used in combination with our and third-party product candidates. Even if any product candidate we develop were to receive marketing approval or be commercialized for use in combination with other existing products, we would continue to be subject to the risks that the FDA, the EMA or comparable regulatory authorities in other jurisdictions could revoke approval of the product used in combination with our product or that safety, efficacy, manufacturing or supply issues could arise with any of those existing products. If the products or product candidates we use in combination with our product candidates are replaced as the standard of care for the indications we choose for any of our product candidates, the FDA, the EMA or comparable regulatory authorities in other jurisdictions may require us to conduct additional clinical trials. The occurrence of any of these risks could result in our own products, if approved, being removed from the market or being less successful commercially. We also plan to evaluate current and future product candidates in combination with one or more product candidates that have not yet been approved for marketing by the FDA, the EMA or comparable regulatory authorities in other jurisdictions. We will not be able to market any product candidate we develop in combination with an unapproved product candidate if that unapproved product candidate does not ultimately obtain marketing approval. In addition, unapproved product candidates face the same risks described with respect to our product candidates currently in development and clinical trials, including the potential for serious adverse effects, delay in their clinical trials and lack of FDA, EMA or comparable regulatory authority approval.</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If the FDA, the EMA or comparable regulatory authorities in other jurisdictions do not approve these other product candidates or revoke their approval of, or if safety, efficacy, manufacturing or supply issues arise with, the products or product candidates we choose to evaluate in combination with any product candidate we develop, we may be unable to obtain approval of or market any product candidate we develop.</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153</w:t>
            </w:r>
          </w:p>
        </w:tc>
      </w:tr>
    </w:tbl>
    <w:p>
      <w:pPr>
        <w:sectPr>
          <w:pgSz w:w="11900" w:h="16838" w:orient="portrait"/>
          <w:cols w:equalWidth="0" w:num="1">
            <w:col w:w="11240"/>
          </w:cols>
          <w:pgMar w:left="320" w:top="388" w:right="339" w:bottom="1440" w:gutter="0" w:footer="0" w:header="0"/>
        </w:sectPr>
      </w:pPr>
    </w:p>
    <w:bookmarkStart w:id="162" w:name="page163"/>
    <w:bookmarkEnd w:id="16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color w:val="005A64"/>
        </w:rPr>
        <w:t>Some of our product candidates are classified as gene therapies by the FDA and the EMA, and the FDA has indicated that our product candidates will be reviewed within its Center for Biologics Evaluation and Research, or CBER. Even though our mRNA product candidates are designed to have a different mechanism of action from gene therapies, the association of our product candidates with gene therapies could result in increased regulatory burdens, impair the reputation of our product candidates, or negatively impact our platform or our business.</w:t>
      </w:r>
    </w:p>
    <w:p>
      <w:pPr>
        <w:spacing w:after="0" w:line="391"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There have been few approvals of gene therapy products in the United States and other jurisdictions, and there have been well-reported significant adverse events associated with their testing and use. Gene therapy products have the effect of introducing new DNA and potentially irreversibly changing the DNA in a cell. In contrast, mRNA is highly unlikely to localize to the nucleus, be reverse transcribed or integrated into the genome. Consequently, we expect that our products or product candidates will have a different potential side effect profile from gene therapies because they lack risks associated with altering cell DNA irreversibly. Further, we may avail ourselves of ways of mitigating side effects in developing our products and product candidates to address safety concerns that are not available to other products or product candidates classified as gene therapies, such as lowering the dose of our products or product candidates during repeat dosing or stopping treatment to potentially ameliorate undesirable side effects.</w:t>
      </w:r>
    </w:p>
    <w:p>
      <w:pPr>
        <w:spacing w:after="0" w:line="200" w:lineRule="exact"/>
        <w:rPr>
          <w:sz w:val="20"/>
          <w:szCs w:val="20"/>
          <w:color w:val="auto"/>
        </w:rPr>
      </w:pPr>
    </w:p>
    <w:p>
      <w:pPr>
        <w:spacing w:after="0" w:line="304"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Regulatory requirements governing gene and cell therapy products have evolved and may continue to change in the future, and the implications for mRNA-based therapies is unknown. For example, the FDA has established the Office of Tissues and Advanced Therapies within CBER to consolidate the review of gene therapy and related products, and convenes the Cellular, Tissue and Gene Therapies Advisory Committee to advise CBER on its review. In the European Union, mRNA has been characterized as a gene therapy medicinal product. In certain countries, mRNA therapies have not yet been classified or any such classification is not known to us. Notwithstanding the differences between our mRNA product candidates and gene therapies, the classification of some of our mRNA product candidates as gene therapies in the United States, the European Union and potentially other counties could adversely impact our ability to develop our product candidates, and could negatively impact our platform and our business. For instance, a potential future clinical hold on gene therapy products across the field due to risks associated with altering cell DNA irreversibly could apply to our mRNA product candidates irrespective of the mechanistic differences between gene therapies and mRNA.</w:t>
      </w:r>
    </w:p>
    <w:p>
      <w:pPr>
        <w:spacing w:after="0" w:line="200" w:lineRule="exact"/>
        <w:rPr>
          <w:sz w:val="20"/>
          <w:szCs w:val="20"/>
          <w:color w:val="auto"/>
        </w:rPr>
      </w:pPr>
    </w:p>
    <w:p>
      <w:pPr>
        <w:spacing w:after="0" w:line="309"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Adverse events reported with respect to gene therapies or genome editing therapies could adversely impact one or more of our programs. Although our mRNA product candidates are designed not to make any permanent changes to cell DNA, regulatory agencies or others could believe that adverse effects of gene therapy products caused by introducing new DNA and irreversibly changing the DNA in a cell could also be a risk for our approved mRNA products or investigational therapies, and as a result may delay one or more of our trials or impose additional testing for long-term side effects. Any new requirements and guidelines promulgated by regulatory review agencies may have a negative effect on our business by lengthening the regulatory review process, requiring us to perform additional or larger studies, or increasing our development costs, any of which could lead to changes in regulatory positions and interpretations, delay or prevent advancement or approval and commercialization of our product candidates or lead to significant post-approval studies, limitations or restrictions. As we advance our product candidates, we will be required to consult with these regulatory agencies and advisory committees and comply with applicable requirements and guidelines. If we fail to do so, we may be required to delay or discontinue development of some or all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154</w:t>
            </w:r>
          </w:p>
        </w:tc>
      </w:tr>
    </w:tbl>
    <w:p>
      <w:pPr>
        <w:sectPr>
          <w:pgSz w:w="11900" w:h="16838" w:orient="portrait"/>
          <w:cols w:equalWidth="0" w:num="1">
            <w:col w:w="11240"/>
          </w:cols>
          <w:pgMar w:left="320" w:top="388" w:right="339" w:bottom="1440" w:gutter="0" w:footer="0" w:header="0"/>
        </w:sectPr>
      </w:pPr>
    </w:p>
    <w:bookmarkStart w:id="163" w:name="page164"/>
    <w:bookmarkEnd w:id="16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color w:val="005A64"/>
        </w:rPr>
        <w:t>Our COVID-19 vaccine and any other product candidates for which we receive approval or emergency use authorization are subject to continuing regulatory oversight, and we will be subject to ongoing regulatory obligations and continued regulatory review, which may result in significant additional expense. We may be subject to penalties if we fail to comply with regulatory requirements or experience unanticipated problems with our products or product candidates.</w:t>
      </w:r>
    </w:p>
    <w:p>
      <w:pPr>
        <w:spacing w:after="0" w:line="185"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Our COVID-19 vaccine and any other product candidates for which we receive approval or emergency use authorization are subject to continuing regulatory oversight, including the review of additional safety information, and the applicable regulatory authority may still impose significant restrictions on the indicated uses or marketing of our product or impose ongoing requirements for potentially costly post-approval studies or post-market surveillance. For example, the holder of an approved BLA is obligated to monitor and report adverse events and any failure of a product to meet the specifications in the BLA. The holder of an approved BLA must also submit new or supplemental applications and obtain FDA approval for certain changes to the approved product, product labeling or manufacturing process. Similar requirements apply to holders of (conditional) approvals in other countries. Advertising and promotional materials must comply with FDA rules and are subject to FDA review, in addition to other potentially applicable federal and state laws. In other countries outside of the United States, advertising and promotional material may be subject to similar or more onerous rules. For example, direct-to-consumer advertising of prescription medicinal products is prohibited in many jurisdictions outside of the United States, including the European Union.</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If we fail to comply with applicable regulatory requirements following approval of any of our product candidates, a regulatory agency may: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issue adverse public statements about our business or products;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issue a warning letter asserting that we are in violation of the law;</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seek an injunction or impose civil or criminal penalties or monetary fines;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suspend or withdraw regulatory approval or revoke a license;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suspend any ongoing clinical studies;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refuse to approve a pending BLA (or comparable approval) or supplements to a BLA (or comparable approval) submitted by us;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seize product; or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refuse to allow us to enter into supply contracts, including government contracts.</w:t>
      </w:r>
    </w:p>
    <w:p>
      <w:pPr>
        <w:spacing w:after="0" w:line="333"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Any government investigation of alleged violations of law could require us to expend significant time and resources in response and could generate negative publicity. The occurrence of any event or penalty described above may inhibit our ability to commercialize any approved products and generate revenues.</w:t>
      </w:r>
    </w:p>
    <w:p>
      <w:pPr>
        <w:spacing w:after="0" w:line="231"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If any of our products or product candidates cause undesirable side effects, it could delay or prevent their regulatory approval, limit their commercial potential, or result in significant negative consequences following any potential marketing approval. Products or product candidates we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155</w:t>
            </w:r>
          </w:p>
        </w:tc>
      </w:tr>
    </w:tbl>
    <w:p>
      <w:pPr>
        <w:sectPr>
          <w:pgSz w:w="11900" w:h="16838" w:orient="portrait"/>
          <w:cols w:equalWidth="0" w:num="1">
            <w:col w:w="11240"/>
          </w:cols>
          <w:pgMar w:left="320" w:top="388" w:right="339" w:bottom="1440" w:gutter="0" w:footer="0" w:header="0"/>
        </w:sectPr>
      </w:pPr>
    </w:p>
    <w:bookmarkStart w:id="164" w:name="page165"/>
    <w:bookmarkEnd w:id="16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8"/>
          <w:szCs w:val="18"/>
          <w:color w:val="080509"/>
        </w:rPr>
        <w:t>develop may be associated with an adverse immune response or other serious adverse events, undesirable side effects or unexpected characteristics. In addition to serious adverse events or side effects caused by any of our products or product candidates, the administration process or related procedures also can cause undesirable side effects. If any such events occur, the clinical trials of any of our product candidates could be suspended or terminated.</w:t>
      </w:r>
    </w:p>
    <w:p>
      <w:pPr>
        <w:spacing w:after="0" w:line="200" w:lineRule="exact"/>
        <w:rPr>
          <w:sz w:val="20"/>
          <w:szCs w:val="20"/>
          <w:color w:val="auto"/>
        </w:rPr>
      </w:pPr>
    </w:p>
    <w:p>
      <w:pPr>
        <w:spacing w:after="0" w:line="28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If in the future we are unable to demonstrate that such adverse events were caused by factors other than our product candidate, the FDA, the EMA or other regulatory authorities could order us to cease further development of, or deny approval of, any of our product candidates for any or all targeted indications. Even if we are able to demonstrate that all future serious adverse events are not product-related, such occurrences could affect patient recruitment or the ability of enrolled trial participants to complete the trial. Moreover, if we elect, or are required, to delay, suspend or terminate any clinical trial of any of our product candidates, the commercial prospects of such product candidates, if approved, may be harmed and our ability to generate product sale revenues from any of these product candidates may be delayed or eliminated. Any of these occurrences may harm our ability to identify and develop product candidates, and may harm our business, financial condition, result of operations and prospects significantly.</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Additionally, following regulatory approval of a product candidate, the FDA or other regulatory authority could require us to adopt a REMS or a risk management plan to ensure that the benefits of treatment with such product candidate outweigh the risks for each potential patient, which may include, among other things, a medication guide outlining the risks of the product for distribution to patients, a communication plan to health care practitioners, extensive patient monitoring, or distribution systems and processes that are highly controlled, restrictive, and more costly than what is typical for the industry.</w:t>
      </w:r>
    </w:p>
    <w:p>
      <w:pPr>
        <w:spacing w:after="0" w:line="240"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Furthermore, if we or others later identify undesirable side effects caused by any product that we develop, several potentially significant negative consequences could result, including: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regulatory authorities may suspend or withdraw approvals or revoke licenses of such product;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regulatory authorities may require additional warnings on the label;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regulatory authorities may make unfavorable statements about the safety of our products;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be required to change the way a product is administered or conduct additional clinical trials;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could be sued and held liable for harm caused to patients and their children;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reputation may suffer.</w:t>
      </w:r>
    </w:p>
    <w:p>
      <w:pPr>
        <w:spacing w:after="0" w:line="333"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Any of these events could prevent us from achieving or maintaining market acceptance of any products we may identify and develop and could have a material adverse effect on our business, financial condition, results of operations and prospects.</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156</w:t>
            </w:r>
          </w:p>
        </w:tc>
      </w:tr>
    </w:tbl>
    <w:p>
      <w:pPr>
        <w:sectPr>
          <w:pgSz w:w="11900" w:h="16838" w:orient="portrait"/>
          <w:cols w:equalWidth="0" w:num="1">
            <w:col w:w="11240"/>
          </w:cols>
          <w:pgMar w:left="320" w:top="388" w:right="339" w:bottom="1440" w:gutter="0" w:footer="0" w:header="0"/>
        </w:sectPr>
      </w:pPr>
    </w:p>
    <w:bookmarkStart w:id="165" w:name="page166"/>
    <w:bookmarkEnd w:id="16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Upon the successful approval of a product candidate, we will continue to face significant regulatory oversight of its manufacturing and distribution. Product manufacturers and their facilities are subject to payment of user fees and continual review and periodic inspections by the FDA and other regulatory authorities for compliance with GMP and adherence to commitments made in the BLA or comparable approval. If we or a regulatory agency discovers previously unknown problems with a product such as adverse events of unanticipated severity or frequency, or problems with the facility where the product is manufactured, a regulatory agency may impose restrictions relative to that product or the manufacturing facility, including requiring recall or withdrawal of the product from the market or suspension of manufacturing.</w:t>
      </w:r>
    </w:p>
    <w:p>
      <w:pPr>
        <w:spacing w:after="0" w:line="200" w:lineRule="exact"/>
        <w:rPr>
          <w:sz w:val="20"/>
          <w:szCs w:val="20"/>
          <w:color w:val="auto"/>
        </w:rPr>
      </w:pPr>
    </w:p>
    <w:p>
      <w:pPr>
        <w:spacing w:after="0" w:line="2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Governmental investigations and inquiries with respect to our COVID-19 vaccine and any other product candidates for which we receive approval or emergency use authorization may adversely affect our business, financial condition and results of operations.</w:t>
      </w:r>
    </w:p>
    <w:p>
      <w:pPr>
        <w:spacing w:after="0" w:line="158"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 xml:space="preserve">In April 2025, we, along with several other pharmaceutical companies, received a letter from the Chairman of the Permanent Subcommittee on Investigations of the U.S. Senate Homeland Security and Governmental Affairs Committee, or the Subcommittee, that requested certain information and documents relating to the respective COVID-19 vaccines we developed (in our case,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This and other governmental investigations or inquiries in which we may become involved may result in additional claims and lawsuits being brought against us by governmental agencies or private parties. It is not possible at this time to predict either the outcome or the potential financial impact of the congressional investigation mentioned above or any further investigations or inquiries of us that may result from such investigation. It is also not possible at this time to predict the additional expenses related to such investigation, which may be significant. The initiation of any additional investigation relating to us, the costs and expenses associated therewith, or any assertion, claim or finding of wrongdoing by us, could:</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adversely affect our business, financial condition and results of operations;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result in reputational harm and reduced market acceptance and demand for our products;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harm our ability and our commercial partners’ ability to market our products;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harm our ability to develop our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cause us to incur significant liabilities, costs and expenses;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cause our senior management to be distracted from execution of our business strategy.</w:t>
      </w:r>
    </w:p>
    <w:p>
      <w:pPr>
        <w:spacing w:after="0" w:line="33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Furthermore, the pending congressional investigation could negatively affect our ability to raise capital and impair our ability to engage in strategic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We may be subject, directly or indirectly, to federal and state healthcare fraud and abuse laws, false claims laws, and other healthcare laws.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If we are unable to comply, or have not fully complied, with such laws, we could face substantial penalties.</w:t>
      </w:r>
    </w:p>
    <w:p>
      <w:pPr>
        <w:spacing w:after="0" w:line="192"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We may be subject to additional healthcare regulation and enforcement by the U.S. federal government and by authorities in the United States, the European Union and other jurisdictions in which we conduct our business. Our operations may be directly, or indirectly through our prescribers, customers and purchasers, subject to various federal and state fraud and abuse laws and regulations,</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157</w:t>
            </w:r>
          </w:p>
        </w:tc>
      </w:tr>
    </w:tbl>
    <w:p>
      <w:pPr>
        <w:sectPr>
          <w:pgSz w:w="11900" w:h="16838" w:orient="portrait"/>
          <w:cols w:equalWidth="0" w:num="1">
            <w:col w:w="11240"/>
          </w:cols>
          <w:pgMar w:left="320" w:top="388" w:right="339" w:bottom="1440" w:gutter="0" w:footer="0" w:header="0"/>
        </w:sectPr>
      </w:pPr>
    </w:p>
    <w:bookmarkStart w:id="166" w:name="page167"/>
    <w:bookmarkEnd w:id="16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including, without limitation, the federal Health Care Program Anti-Kickback Statute, the federal civil and criminal False Claims Act, and the Physician Payments Sunshine Act and regulations. Many states and other jurisdictions have similar laws and regulations, some of which may be broader in scope. These laws will impact, among other things, our proposed sales, marketing and educational programs. In addition, we may be subject to patient privacy laws enacted by both the federal government and the states in which we conduct our business. The laws that will affect our operations include, but are not limited to the following:</w:t>
      </w:r>
    </w:p>
    <w:p>
      <w:pPr>
        <w:spacing w:after="0" w:line="240" w:lineRule="exact"/>
        <w:rPr>
          <w:sz w:val="20"/>
          <w:szCs w:val="20"/>
          <w:color w:val="auto"/>
        </w:rPr>
      </w:pPr>
    </w:p>
    <w:p>
      <w:pPr>
        <w:ind w:left="220" w:right="20" w:hanging="204"/>
        <w:spacing w:after="0" w:line="320"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U.S. federal Anti-Kickback Statute, which prohibits, among other things, persons or entities from knowingly and willfully soliciting,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The ACA amends the intent requirement of the federal Anti-Kickback Statute to provide that a person or entity no longer needs to have actual knowledge of this statute or specific intent to violate it;</w:t>
      </w:r>
    </w:p>
    <w:p>
      <w:pPr>
        <w:spacing w:after="0" w:line="200" w:lineRule="exact"/>
        <w:rPr>
          <w:sz w:val="20"/>
          <w:szCs w:val="20"/>
          <w:color w:val="auto"/>
        </w:rPr>
      </w:pPr>
    </w:p>
    <w:p>
      <w:pPr>
        <w:spacing w:after="0" w:line="304" w:lineRule="exact"/>
        <w:rPr>
          <w:sz w:val="20"/>
          <w:szCs w:val="20"/>
          <w:color w:val="auto"/>
        </w:rPr>
      </w:pPr>
    </w:p>
    <w:p>
      <w:pPr>
        <w:ind w:left="220" w:hanging="204"/>
        <w:spacing w:after="0" w:line="326"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U.S. federal civil and criminal false claims laws and civil monetary penalty laws, which prohibit, among other things, individuals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entities from knowingly presenting, or causing to be presented, false or fraudulent claims for payment or approval from Medicare, Medicaid or other government payors. The ACA provides, and recent government cases against pharmaceutical and medical device manufacturers support, the view that federal Anti-Kickback Statute violations and certain marketing practices, including off-label promotion, may implicate the False Claims Act;</w:t>
      </w:r>
    </w:p>
    <w:p>
      <w:pPr>
        <w:spacing w:after="0" w:line="200" w:lineRule="exact"/>
        <w:rPr>
          <w:sz w:val="20"/>
          <w:szCs w:val="20"/>
          <w:color w:val="auto"/>
        </w:rPr>
      </w:pPr>
    </w:p>
    <w:p>
      <w:pPr>
        <w:spacing w:after="0" w:line="295"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U.S. federal Health Insurance Portability and Accountability Act of 1996, or HIPAA, which created new federal criminal statutes that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prohibit a person from knowingly and willfully executing a scheme or making false or fraudulent statements to defraud any healthcare benefit program, regardless of the payor (e.g., public or private);</w:t>
      </w:r>
    </w:p>
    <w:p>
      <w:pPr>
        <w:spacing w:after="0" w:line="231" w:lineRule="exact"/>
        <w:rPr>
          <w:sz w:val="20"/>
          <w:szCs w:val="20"/>
          <w:color w:val="auto"/>
        </w:rPr>
      </w:pPr>
    </w:p>
    <w:p>
      <w:pPr>
        <w:jc w:val="right"/>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HIPAA, as amended by the Health Information Technology for Economic and Clinical Health Act and their implementing regulations,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231"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U.S. Federal Food, Drug, and Cosmetic Act, which prohibits, among other things, the adulteration or misbranding of drugs, biologics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and medical devices;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U.S. Public Health Service Act, which prohibits, among other things, the introduction into interstate commerce of a biological product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unless a biologics license is in effect for that product;</w:t>
      </w:r>
    </w:p>
    <w:p>
      <w:pPr>
        <w:spacing w:after="0" w:line="216"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Federal transparency laws, including the federal Physician Payment Sunshine Act, which require disclosure of payments and other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transfers of value provided to physicians and teaching hospitals, and ownership and investment interests held by physicians and other healthcare providers and their immediate family members and applicable group purchasing organizations;</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158</w:t>
            </w:r>
          </w:p>
        </w:tc>
      </w:tr>
    </w:tbl>
    <w:p>
      <w:pPr>
        <w:sectPr>
          <w:pgSz w:w="11900" w:h="16838" w:orient="portrait"/>
          <w:cols w:equalWidth="0" w:num="1">
            <w:col w:w="11240"/>
          </w:cols>
          <w:pgMar w:left="320" w:top="388" w:right="339" w:bottom="1440" w:gutter="0" w:footer="0" w:header="0"/>
        </w:sectPr>
      </w:pPr>
    </w:p>
    <w:bookmarkStart w:id="167" w:name="page168"/>
    <w:bookmarkEnd w:id="16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U.S. state law equivalents of each of the above federal laws, state laws that require drug manufacturers to report information related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payments and other transfers of value to physicians and other healthcare providers or marketing expenditures, and state laws governing the privacy and security of health information in certain circumstances which are also applicable to us, and many of them differ from each other in significant ways and may not have the same effect, thus complicating compliance efforts in certain circumstances;</w:t>
      </w:r>
    </w:p>
    <w:p>
      <w:pPr>
        <w:spacing w:after="0" w:line="235" w:lineRule="exact"/>
        <w:rPr>
          <w:sz w:val="20"/>
          <w:szCs w:val="20"/>
          <w:color w:val="auto"/>
        </w:rPr>
      </w:pPr>
    </w:p>
    <w:p>
      <w:pPr>
        <w:ind w:left="220" w:hanging="204"/>
        <w:spacing w:after="0" w:line="326"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U.S. Foreign Corrupt Practices Act of 1977, as amended, which prohibits, among other things, U.S. companies and their employees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and agents, as well as non-U.S. companies that are registered with the SEC,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w:t>
      </w:r>
    </w:p>
    <w:p>
      <w:pPr>
        <w:spacing w:after="0" w:line="200" w:lineRule="exact"/>
        <w:rPr>
          <w:sz w:val="20"/>
          <w:szCs w:val="20"/>
          <w:color w:val="auto"/>
        </w:rPr>
      </w:pPr>
    </w:p>
    <w:p>
      <w:pPr>
        <w:spacing w:after="0" w:line="295"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Similar statutes, healthcare laws and regulations in the European Union and other jurisdictions, including reporting requirements detailing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interactions with and payments to healthcare providers.</w:t>
      </w:r>
    </w:p>
    <w:p>
      <w:pPr>
        <w:spacing w:after="0" w:line="217" w:lineRule="exact"/>
        <w:rPr>
          <w:sz w:val="20"/>
          <w:szCs w:val="20"/>
          <w:color w:val="auto"/>
        </w:rPr>
      </w:pPr>
    </w:p>
    <w:p>
      <w:pPr>
        <w:jc w:val="both"/>
        <w:ind w:right="20"/>
        <w:spacing w:after="0" w:line="322" w:lineRule="auto"/>
        <w:rPr>
          <w:sz w:val="20"/>
          <w:szCs w:val="20"/>
          <w:color w:val="auto"/>
        </w:rPr>
      </w:pPr>
      <w:r>
        <w:rPr>
          <w:rFonts w:ascii="Times New Roman" w:cs="Times New Roman" w:eastAsia="Times New Roman" w:hAnsi="Times New Roman"/>
          <w:sz w:val="18"/>
          <w:szCs w:val="18"/>
          <w:color w:val="080509"/>
        </w:rPr>
        <w:t>Due to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200" w:lineRule="exact"/>
        <w:rPr>
          <w:sz w:val="20"/>
          <w:szCs w:val="20"/>
          <w:color w:val="auto"/>
        </w:rPr>
      </w:pPr>
    </w:p>
    <w:p>
      <w:pPr>
        <w:spacing w:after="0" w:line="301"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and other jurisdictions, such as the U.K. Bribery Act 2010. Infringement of these laws could result in substantial fines and imprisonment.</w:t>
      </w:r>
    </w:p>
    <w:p>
      <w:pPr>
        <w:spacing w:after="0" w:line="236"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Payments made to physicians in certain EU member states must be publicly disclosed. Moreover, agreements with physicians often must be the subject of prior notification and approval by the physician’s employer, his or her competent professional organization 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200" w:lineRule="exact"/>
        <w:rPr>
          <w:sz w:val="20"/>
          <w:szCs w:val="20"/>
          <w:color w:val="auto"/>
        </w:rPr>
      </w:pPr>
    </w:p>
    <w:p>
      <w:pPr>
        <w:spacing w:after="0" w:line="25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We are subject to certain anti-corruption, anti-money laundering, export control, sanctions, and other trade laws and regulations. We can face serious consequences for violations.</w:t>
      </w:r>
    </w:p>
    <w:p>
      <w:pPr>
        <w:spacing w:after="0" w:line="158"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Among other matters, anti-corruption, anti-money laundering, export control, sanctions, and other trade laws and regulations, which are collectively referred to as “trade laws,” prohibit companies and their employees, agents, CROs, legal counsel, accountants, consultants, contractors and other collaborators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159</w:t>
            </w:r>
          </w:p>
        </w:tc>
      </w:tr>
    </w:tbl>
    <w:p>
      <w:pPr>
        <w:sectPr>
          <w:pgSz w:w="11900" w:h="16838" w:orient="portrait"/>
          <w:cols w:equalWidth="0" w:num="1">
            <w:col w:w="11240"/>
          </w:cols>
          <w:pgMar w:left="320" w:top="388" w:right="339" w:bottom="1440" w:gutter="0" w:footer="0" w:header="0"/>
        </w:sectPr>
      </w:pPr>
    </w:p>
    <w:bookmarkStart w:id="168" w:name="page169"/>
    <w:bookmarkEnd w:id="16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plan to engage third parties for clinical trials and/or to obtain necessary permits, licenses, intellectual property (including patents) and other regulatory approvals, and we can be held liable for the corrupt or other illegal activities of our personnel, agents or collaborators, even if we do not explicitly authorize or have prior knowledge of such activities.</w:t>
      </w:r>
    </w:p>
    <w:p>
      <w:pPr>
        <w:spacing w:after="0" w:line="19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We are subject to stringent privacy laws, information security policies and contractual obligations governing the use, processing, and cross-border transfer of personal information and our data privacy and security practices.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We receive, generate and store significant and increasing volumes of sensitive information, such as employee, personal and patient data.</w:t>
      </w:r>
    </w:p>
    <w:p>
      <w:pPr>
        <w:spacing w:after="0" w:line="333"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We are subject to a variety of local, state, national and international laws, directives and regulations that apply to the collection, use, storage, retention, protection, disclosure, transfer and other processing of personal data, collectively referred to as “data processing”, in the different jurisdictions in which we operate, including comprehensive regulatory systems in the United States and Europe. Legal requirements relating to data processing continue to evolve and may result in ever-increasing public scrutiny and escalating levels of enforcement, sanctions and increased costs of compliance.</w:t>
      </w:r>
    </w:p>
    <w:p>
      <w:pPr>
        <w:spacing w:after="0" w:line="200" w:lineRule="exact"/>
        <w:rPr>
          <w:sz w:val="20"/>
          <w:szCs w:val="20"/>
          <w:color w:val="auto"/>
        </w:rPr>
      </w:pPr>
    </w:p>
    <w:p>
      <w:pPr>
        <w:spacing w:after="0" w:line="295"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Compliance with U.S. and international data protection laws and regulations could cause us to incur substantial costs or require us to change our business practices and compliance procedures in a manner adverse to our business. Moreover, complying with these various laws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spacing w:after="0" w:line="243"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The collection and use of personal data in the European Union had previously been governed by the provisions of the EU Data Protection Directive, which EU member states were required to implement. While the Data Protection Directive did not apply to organizations based outside the European Union, the GDPR has expanded its reach to include any business, regardless of its location, that targets goods or services to residents in the European Union or that “monitors” their behavior in the European Union. The GDPR imposes strict requirements on controllers and processors of personal data, including special protections for “sensitive information” which includes health and genetic information of patients residing in the European Union. The GDPR also imposes strict rules on the transfer of personal data out of the European Union to the United States and other countries. In addition, the GDPR provides that EU member states may make their own further laws and regulations limiting the processing of personal data, including genetic, biometric or health data.</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Since we are located in the European Union, we are subject to the GDPR. Additionally, as the GDPR applies extraterritorially, we are also subject to the GDPR even where our data processing activities</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160</w:t>
            </w:r>
          </w:p>
        </w:tc>
      </w:tr>
    </w:tbl>
    <w:p>
      <w:pPr>
        <w:sectPr>
          <w:pgSz w:w="11900" w:h="16838" w:orient="portrait"/>
          <w:cols w:equalWidth="0" w:num="1">
            <w:col w:w="11240"/>
          </w:cols>
          <w:pgMar w:left="320" w:top="388" w:right="339" w:bottom="1440" w:gutter="0" w:footer="0" w:header="0"/>
        </w:sectPr>
      </w:pPr>
    </w:p>
    <w:bookmarkStart w:id="169" w:name="page170"/>
    <w:bookmarkEnd w:id="16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occur outside of the European Union if such activities involve the personal data of individuals located in the European Union and the above-mentioned applicable law triggers apply. GDPR regulations have imposed additional responsibility and liability in relation to the personal data that we process and we may be required to put in place additional mechanisms to ensure compliance with the new data protection rules. This may be onerous and may interrupt or delay our development activities, and adversely affect our business, financial condition, results of operations and prospects.</w:t>
      </w:r>
    </w:p>
    <w:p>
      <w:pPr>
        <w:spacing w:after="0" w:line="200" w:lineRule="exact"/>
        <w:rPr>
          <w:sz w:val="20"/>
          <w:szCs w:val="20"/>
          <w:color w:val="auto"/>
        </w:rPr>
      </w:pPr>
    </w:p>
    <w:p>
      <w:pPr>
        <w:spacing w:after="0" w:line="295" w:lineRule="exact"/>
        <w:rPr>
          <w:sz w:val="20"/>
          <w:szCs w:val="20"/>
          <w:color w:val="auto"/>
        </w:rPr>
      </w:pPr>
    </w:p>
    <w:p>
      <w:pPr>
        <w:jc w:val="both"/>
        <w:spacing w:after="0" w:line="271" w:lineRule="exact"/>
        <w:rPr>
          <w:sz w:val="20"/>
          <w:szCs w:val="20"/>
          <w:color w:val="auto"/>
        </w:rPr>
      </w:pPr>
      <w:r>
        <w:rPr>
          <w:rFonts w:ascii="Times New Roman" w:cs="Times New Roman" w:eastAsia="Times New Roman" w:hAnsi="Times New Roman"/>
          <w:sz w:val="18"/>
          <w:szCs w:val="18"/>
          <w:color w:val="080509"/>
        </w:rPr>
        <w:t>Other jurisdictions outside the European Union are similarly introducing or enhancing privacy and data security laws, rules and regulations, which could increase our compliance costs and the risks associated with non-compliance. In particular, in China, where some of our clinical data are originated, the cybersecurity, data privacy, data protection, or other data-related laws and regulations, including the Personal Information Protection Law, Regulations on Network Data Security Management, Provisions on Promoting and Regulating Cross-Border Data Flows, and Human Genetic Resources Regulation (which regulates the collection and transfer of human biospecimens and genetic data derived from them in clinical research to foreign or foreign controlled parties), may require approvals or filings prior to transferring those data to foreign-owned or controlled entities in China or overseas, and these regimes are continually evolving, meaning their interpretation and enforcement may be uncertain. These rules establish mechanisms such as governmental security assessment, certification, and standard contractual clauses for certain cross</w:t>
      </w:r>
      <w:r>
        <w:rPr>
          <w:rFonts w:ascii="MS PGothic" w:cs="MS PGothic" w:eastAsia="MS PGothic" w:hAnsi="MS PGothic"/>
          <w:sz w:val="18"/>
          <w:szCs w:val="18"/>
          <w:color w:val="080509"/>
        </w:rPr>
        <w:t>‑</w:t>
      </w:r>
      <w:r>
        <w:rPr>
          <w:rFonts w:ascii="Times New Roman" w:cs="Times New Roman" w:eastAsia="Times New Roman" w:hAnsi="Times New Roman"/>
          <w:sz w:val="18"/>
          <w:szCs w:val="18"/>
          <w:color w:val="080509"/>
        </w:rPr>
        <w:t>border data transfers. Depending on the nature and volume of data processed in China, we or our partners may be required to complete one or more of these transfer mechanisms as a condition to exporting relevant data. Compliance with these requirements could affect our operations, including data flows necessary for clinical development, manufacturing, or other activities conducted in China. The scope and practical application of these rules continue to develop, and there is uncertainty regarding how regulators will apply them in specific circumstances. In the United States, we may be subject to restrictions and requirements under the Department of Justice’s Final Rule issued on December 27, 2024 implementing the Executive Order on Preventing Access to Americans’ Bulk Sensitive Personal Data and United States Government-Related Data by Countries of Concern, signed on February 28, 2024. Practices regarding the collection, use, storage, transmission and security of personal information by companies have also been subject to increasing regulatory focus. As such, we cannot assure you that we will be compliant with such new regulations in all respects, and we may be ordered to rectify and terminate any actions that are deemed illegal by the government authorities and become subject to fines and other government sanctions, which may materially and adversely affect our business, financial condition, and results of operations. In addition, the uncertainties regarding further interpretation and implementation of these laws and regulations may adversely affect the secure storage of documented work as well as the cross-border transfer of important data and personal information originated from our clinical trial activities, which are critical to the development of our pipelines.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cannot guarantee that we are, or will be, in compliance with all applicable international regulations as they are enforced now or as they evolve. For example, our privacy policies may be insufficient to protect any personal information we collect, or may not comply with applicable laws, in which case we may be subject to regulatory enforcement actions, lawsuits or reputational damage, all of which may adversely affect our business. There is significant uncertainty related to the manner in which data protection authorities will seek to enforce compliance with the GDPR and other international data protection regulations, especially with regard to clinical trial activities. For example, it is not clear if the authorities will conduct random audits of companies doing business in the European Union, or if the</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161</w:t>
            </w:r>
          </w:p>
        </w:tc>
      </w:tr>
    </w:tbl>
    <w:p>
      <w:pPr>
        <w:sectPr>
          <w:pgSz w:w="11900" w:h="16838" w:orient="portrait"/>
          <w:cols w:equalWidth="0" w:num="1">
            <w:col w:w="11240"/>
          </w:cols>
          <w:pgMar w:left="320" w:top="388" w:right="339" w:bottom="1440" w:gutter="0" w:footer="0" w:header="0"/>
        </w:sectPr>
      </w:pPr>
    </w:p>
    <w:bookmarkStart w:id="170" w:name="page171"/>
    <w:bookmarkEnd w:id="17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authorities will wait for complaints to be filed by individuals who claim their rights have been violated, as enforcement practices vary from country to country. Enforcement uncertainty and the costs associated with ensuring GDPR compliance may be onerous and adversely affect our business, financial condition, results of operations and prospects. If we fail to comply with the GDPR and the applicable national data protection laws of the EU member states, or if regulators assert we have failed to comply with these laws, it may lead to regulatory enforcement actions, which can result in monetary penalties of up to €20,000,000 or up to 4% of the total worldwide annual turnover of the preceding financial year, whichever is higher, and other administrative penalties. If any of these events were to occur, our business and financial results could be significantly disrupted and adversely affected.</w:t>
      </w:r>
    </w:p>
    <w:p>
      <w:pPr>
        <w:spacing w:after="0" w:line="200" w:lineRule="exact"/>
        <w:rPr>
          <w:sz w:val="20"/>
          <w:szCs w:val="20"/>
          <w:color w:val="auto"/>
        </w:rPr>
      </w:pPr>
    </w:p>
    <w:p>
      <w:pPr>
        <w:spacing w:after="0" w:line="304"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as well as regulatory penalties. In many jurisdictions, there are legal requirements to provide notice of breaches to affected individuals and/or regulators in certain circumstances. Such a notice could harm our reputation and our ability to compete. Regulators may also have the discretion to impose penalties without attempting to resolve violations through informal means. Although we have implemented security measures to prevent unauthorized access to patient data, such data is currently accessible through multiple channels, and there is no guarantee we can protect our data from breach. 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w:t>
      </w:r>
    </w:p>
    <w:p>
      <w:pPr>
        <w:spacing w:after="0" w:line="200" w:lineRule="exact"/>
        <w:rPr>
          <w:sz w:val="20"/>
          <w:szCs w:val="20"/>
          <w:color w:val="auto"/>
        </w:rPr>
      </w:pPr>
    </w:p>
    <w:p>
      <w:pPr>
        <w:spacing w:after="0" w:line="2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If we or our third-party suppliers fail to comply with environmental, health and safety laws and regulations, we could become subject to fines or penalties or incur costs that could harm our business.</w:t>
      </w:r>
    </w:p>
    <w:p>
      <w:pPr>
        <w:spacing w:after="0" w:line="158"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may produce hazardous waste products. We generally anticipate contracting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240"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Although we maintain workers’ compensation insurance to cover us for costs and expenses we may incur due to injuries to our employees resulting from the use of hazardous materials, this insurance may not provide adequate coverage against potential liabilities.</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162</w:t>
            </w:r>
          </w:p>
        </w:tc>
      </w:tr>
    </w:tbl>
    <w:p>
      <w:pPr>
        <w:sectPr>
          <w:pgSz w:w="11900" w:h="16838" w:orient="portrait"/>
          <w:cols w:equalWidth="0" w:num="1">
            <w:col w:w="11240"/>
          </w:cols>
          <w:pgMar w:left="320" w:top="388" w:right="339" w:bottom="1440" w:gutter="0" w:footer="0" w:header="0"/>
        </w:sectPr>
      </w:pPr>
    </w:p>
    <w:bookmarkStart w:id="171" w:name="page172"/>
    <w:bookmarkEnd w:id="17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158"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w:t>
      </w:r>
    </w:p>
    <w:p>
      <w:pPr>
        <w:spacing w:after="0" w:line="236"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8"/>
          <w:szCs w:val="18"/>
          <w:color w:val="080509"/>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200" w:lineRule="exact"/>
        <w:rPr>
          <w:sz w:val="20"/>
          <w:szCs w:val="20"/>
          <w:color w:val="auto"/>
        </w:rPr>
      </w:pPr>
    </w:p>
    <w:p>
      <w:pPr>
        <w:spacing w:after="0" w:line="28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If any of the physicians or other providers or entities with whom we expect to do business are found to not be in compliance with applicable laws, they may be subject to criminal, civil or administrative sanctions, including exclusions from government-funded healthcare programs and imprisonment, which could affect our ability to operate our business. Further, defending against any such actions can be costly and time-consuming and may require significant personnel resources. Therefore, even if we are successful in defending against any such actions that may be brought against us, our business may be impaired.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Risks Related to Ownership of the ADSs</w:t>
      </w:r>
    </w:p>
    <w:p>
      <w:pPr>
        <w:spacing w:after="0" w:line="175"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8"/>
          <w:szCs w:val="18"/>
          <w:b w:val="1"/>
          <w:bCs w:val="1"/>
          <w:color w:val="005A64"/>
        </w:rPr>
        <w:t>We have experienced and may continue to experience significant volatility in the market price of the ADSs representing our ordinary shares.</w:t>
      </w:r>
    </w:p>
    <w:p>
      <w:pPr>
        <w:spacing w:after="0" w:line="39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Biopharmaceutical companies such as BioNTech SE that are developing potential therapeutics and vaccines to combat COVID-19, as well as conducting mRNA-based research in oncology and infectious disease more generally, have experienced significant volatility in the price of their securities upon publication of preclinical and clinical data as well as news about their development programs and commercialization activities. For example, during 2025, the closing sales price of the ADSs representing our ordinary shares on the Nasdaq Global Select Market ranged from $86.65 to $126.88. In addition, volatility in the overall market and in the market price of a particular company’s securities can result in securities litigation, including shareholder class action lawsuits. Any securities litigation can result in substantial costs and a diversion of our management’s attention and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163</w:t>
            </w:r>
          </w:p>
        </w:tc>
      </w:tr>
    </w:tbl>
    <w:p>
      <w:pPr>
        <w:sectPr>
          <w:pgSz w:w="11900" w:h="16838" w:orient="portrait"/>
          <w:cols w:equalWidth="0" w:num="1">
            <w:col w:w="11240"/>
          </w:cols>
          <w:pgMar w:left="320" w:top="388" w:right="339" w:bottom="1440" w:gutter="0" w:footer="0" w:header="0"/>
        </w:sectPr>
      </w:pPr>
    </w:p>
    <w:bookmarkStart w:id="172" w:name="page173"/>
    <w:bookmarkEnd w:id="17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005A64"/>
        </w:rPr>
        <w:t>Acquisitions, joint ventures and collaborations may increase our capital requirements, dilute our shareholders, cause us to incur debt or assume contingent liabilities, and subject us to other risks. We may not realize the benefits of these acquisitions, joint ventures or collaborations.</w:t>
      </w:r>
    </w:p>
    <w:p>
      <w:pPr>
        <w:spacing w:after="0" w:line="384"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We may evaluate various acquisitions and collaborations, including licensing or acquiring complementary products, intellectual property rights, technologies or businesses. Any potential acquisition, joint venture or collaboration may entail numerous risks, including: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increased operating expenses and cash requirements;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assumption of additional indebtedness or contingent liabilities;</w:t>
      </w:r>
    </w:p>
    <w:p>
      <w:pPr>
        <w:spacing w:after="0" w:line="333"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assimilation of operations, intellectual property and products of an acquired company, including difficulties associated with integrating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new personnel;</w:t>
      </w:r>
    </w:p>
    <w:p>
      <w:pPr>
        <w:spacing w:after="0" w:line="200" w:lineRule="exact"/>
        <w:rPr>
          <w:sz w:val="20"/>
          <w:szCs w:val="20"/>
          <w:color w:val="auto"/>
        </w:rPr>
      </w:pPr>
    </w:p>
    <w:p>
      <w:pPr>
        <w:spacing w:after="0" w:line="358"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diversion of our management’s attention from our existing product programs and initiatives in pursuing such a strategic merger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acquisition;</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retention of key employees, the loss of key personnel, and uncertainties in our ability to maintain key business relationships;</w:t>
      </w:r>
    </w:p>
    <w:p>
      <w:pPr>
        <w:spacing w:after="0" w:line="333" w:lineRule="exact"/>
        <w:rPr>
          <w:sz w:val="20"/>
          <w:szCs w:val="20"/>
          <w:color w:val="auto"/>
        </w:rPr>
      </w:pPr>
    </w:p>
    <w:p>
      <w:pPr>
        <w:ind w:left="220" w:right="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risks and uncertainties associated with the other party to such a transaction, including the prospects of that party and their existing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products or product candidates and regulatory approvals, their quality control, quality assurance, internal controls, legal and compliance procedures; and</w:t>
      </w:r>
    </w:p>
    <w:p>
      <w:pPr>
        <w:spacing w:after="0" w:line="200" w:lineRule="exact"/>
        <w:rPr>
          <w:sz w:val="20"/>
          <w:szCs w:val="20"/>
          <w:color w:val="auto"/>
        </w:rPr>
      </w:pPr>
    </w:p>
    <w:p>
      <w:pPr>
        <w:spacing w:after="0" w:line="262"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inability to generate revenue from acquired technology or products sufficient to meet our objectives in undertaking the acquisition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even to offset the associated acquisition and maintenance costs.</w:t>
      </w:r>
    </w:p>
    <w:p>
      <w:pPr>
        <w:spacing w:after="0" w:line="217"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In addition, if we undertake acquisitions, we may utilize our cash, issue dilutive securities, assume or incur debt obligations, incur large one-time expenses and acquire intangible assets that could result in significant future amortization expense. For example, in July 2023, we acquired InstaDeep, a leading global technology company in the field of AI and machine learning, for upfront consideration of cash and BioNTech shares, and potential future milestone payments. Although we believe that AI and machine learning technology has the potential to accelerate the development of therapeutic programs and further optimize manufacturing and supply chain processes, it is possible that our use of the acquired technology will not achieve the desired results, and that we will not be able to retain and grow InstaDeep’s business around the world. If demand for the services developed by InstaDeep does not continue, or if we are unable to improve our AI and machine learning technology in a timely, effective and competitive manner, we may not be able realize the expected outcomes from the InstaDeep acquisition. In January 2025, we acquired Biotheus, a clinical-stage biotechnology company, for upfront consideration predominantly of cash, with a small portion in our ADSs, and potential future milestone payments. Although the Biotheus acquisition expands our operations in China, our expectations regarding the creation of long-term value for shareholders and potential future commercialization in oncology may not be realized. In December 2025, we acquired CureVac N.V., a biotechnology company focused on the development of mRNA therapeutics, through a public exchange offer. While we believe the acquisition has the potential to enhance our capabilities in mRNA research, development, manufacturing and commercialization, there can be no assurance that we will realize the anticipated benefits from the transaction. There is no guarantee that we will realize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164</w:t>
            </w:r>
          </w:p>
        </w:tc>
      </w:tr>
    </w:tbl>
    <w:p>
      <w:pPr>
        <w:sectPr>
          <w:pgSz w:w="11900" w:h="16838" w:orient="portrait"/>
          <w:cols w:equalWidth="0" w:num="1">
            <w:col w:w="11240"/>
          </w:cols>
          <w:pgMar w:left="320" w:top="388" w:right="339" w:bottom="1440" w:gutter="0" w:footer="0" w:header="0"/>
        </w:sectPr>
      </w:pPr>
    </w:p>
    <w:bookmarkStart w:id="173" w:name="page174"/>
    <w:bookmarkEnd w:id="17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any anticipated benefits of these or future acquisitions, or that the diversification of our business through acquired technology or products will be successful.</w:t>
      </w:r>
    </w:p>
    <w:p>
      <w:pPr>
        <w:spacing w:after="0" w:line="190"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Moreover, we may not be able to locate suitable acquisition or collaboration opportunities and this inability could impair our ability to grow or obtain access to technology or products that may be important to the development of our business.</w:t>
      </w:r>
    </w:p>
    <w:p>
      <w:pPr>
        <w:spacing w:after="0" w:line="1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Following the acquisition of CureVac, we may be required to repay monies received under the Advance Purchase Agreement with the European Commission for its first-generation COVID-19 vaccine candidate.</w:t>
      </w:r>
    </w:p>
    <w:p>
      <w:pPr>
        <w:spacing w:after="0" w:line="158"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On November 30, 2020, prior to our acquisition of CureVac, CureVac AG entered into an Advance Purchase Agreement, which we refer to as the APA, with the EU Commission, acting on behalf of all Member States of the European Union, for the supply of up to 405 million doses of its first-generation COVID-19 vaccine candidate, which we refer to as CVnCoV. Under the APA, CureVac AG received an upfront payment of €450 million for development and commercial supply activities of CVnCoV. In October 2021, CureVac AG notified the EU Commission of the withdrawal of its regulatory approval application for CVnCoV, which notification automatically terminated the APA. According to the APA, in such case of termination, CureVac AG would be required to return any unspent amount of the upfront payment. In the context of the APA, “spent” means either costs incurred, or commitments made in connection with the purposes set forth in the APA.</w:t>
      </w:r>
    </w:p>
    <w:p>
      <w:pPr>
        <w:spacing w:after="0" w:line="240"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On July 24, 2024, the EU Commission informed CureVac SE that it had engaged Deloitte, S.L., which we refer to as Deloitte, to conduct an audit of CureVac SE’s compliance with the APA. On September 17, 2025, the EU Commission provided CureVac SE with Deloitte’s draft audit report, which included preliminary findings alleging missing documentation, absence of project cost allocation, cost traceability and reconciliations, as well as inconsistencies between information submitted during the audit and financial information previously provided to the EU Commission. CureVac SE is cooperating fully with the EU Commission and Deloitte and submitted a detailed response and objections on October 17, 2025. The EU Commission subsequently issued its final audit report.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CureVac SE contested the findings in Deloitte’s draft audit report and believes it can refute the issues raised.</w:t>
      </w:r>
    </w:p>
    <w:p>
      <w:pPr>
        <w:spacing w:after="0" w:line="333"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However, it remains uncertain to what extent Deloitte, the EU Commission, or any other governmental authorities will accept CureVac SE’s position. It is also unclear whether the EU Commission will rely on Deloitte’s final audit report to seek recovery of any portion or all of the €450 million upfront payment, or if regulators may undertake additional actions in connection with the allegations. As the successor to CureVac SE following the acquisition, we cannot exclude the possibility of being required to repay a portion or all of the €450 million upfront payment or being subject to additional actions from government authorities. Should we be unsuccessful in contesting any such claims, or the imposition of related penalties, this could materially affect our financial position, cash flows, and results of operations.</w:t>
      </w:r>
    </w:p>
    <w:p>
      <w:pPr>
        <w:spacing w:after="0" w:line="19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Our Articles of Association designate specific courts in the United States as the exclusive forum for certain U.S. litigation that may be initiated by our shareholders, which could limit our shareholders’ ability to obtain a favorable judicial forum for disputes with us.</w:t>
      </w:r>
    </w:p>
    <w:p>
      <w:pPr>
        <w:spacing w:after="0" w:line="158"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Our Articles of Association provide that the United States District Court for the Southern District of New York shall be the competent court of jurisdiction for the resolution of any litigation on the grounds</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165</w:t>
            </w:r>
          </w:p>
        </w:tc>
      </w:tr>
    </w:tbl>
    <w:p>
      <w:pPr>
        <w:sectPr>
          <w:pgSz w:w="11900" w:h="16838" w:orient="portrait"/>
          <w:cols w:equalWidth="0" w:num="1">
            <w:col w:w="11240"/>
          </w:cols>
          <w:pgMar w:left="320" w:top="388" w:right="339" w:bottom="1440" w:gutter="0" w:footer="0" w:header="0"/>
        </w:sectPr>
      </w:pPr>
    </w:p>
    <w:bookmarkStart w:id="174" w:name="page175"/>
    <w:bookmarkEnd w:id="17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of or in connection with U.S. federal or state capital market laws. In the absence of these provisions, under the Securities Act of 1933, as amended, or the Securities Act, U.S. federal and state courts have been found to have concurrent jurisdiction over suits brought to enforce duties or liabilities created by the Securities Act.</w:t>
      </w:r>
    </w:p>
    <w:p>
      <w:pPr>
        <w:spacing w:after="0" w:line="231"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The choice of forum provision contained in our Articles of Association may limit a shareholder’s ability to bring a claim in a judicial forum that it finds favorable for disputes with us or our executive officers, directors, or other employees, or impose additional litigation costs on shareholders in pursuing any such claims, particularly if the shareholders do not reside in or near the state of New York, which may discourage such lawsuits. In addition, while the Delaware Supreme Court ruled in March 2020 that federal forum selection provisions purporting to require claims under the Securities Act be brought in federal court are “facially valid” under Delaware law, there is uncertainty as to whether other U.S. or German courts will enforce our choice of forum provision. The enforceability of similar choice of forum provisions in other companies’ governing documents has been challenged in recent legal proceedings, and it is possible that a court in the relevant jurisdictions with respect to us could find the choice of forum provision contained our Articles of Association to be inapplicable or unenforceable. If the relevant court were to find the choice of forum provision contained in our articles of association to be inapplicable or unenforceable, we may incur additional costs associated with resolving such matters in other jurisdictions, which could adversely affect our business, financial condition and operating results. The choice of forum provision may also impose additional litigation costs on shareholders who assert that the provision is not enforceable or invalid. The United States District Court for the Southern District of New York may also reach different judgments or results than would other courts, including courts where a shareholder considering a U.S.-based action may be located or would otherwise choose to bring the action, and such judgments may be more or less favorable to us than our shareholders.</w:t>
      </w:r>
    </w:p>
    <w:p>
      <w:pPr>
        <w:spacing w:after="0" w:line="200" w:lineRule="exact"/>
        <w:rPr>
          <w:sz w:val="20"/>
          <w:szCs w:val="20"/>
          <w:color w:val="auto"/>
        </w:rPr>
      </w:pPr>
    </w:p>
    <w:p>
      <w:pPr>
        <w:spacing w:after="0" w:line="27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Holders of the ADSs may not be able to participate in any future preemptive subscription rights issues or elect to receive dividends in shares, which may cause additional dilution to their holdings.</w:t>
      </w:r>
    </w:p>
    <w:p>
      <w:pPr>
        <w:spacing w:after="0" w:line="158"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Under German law, the existing shareholders of a company generally have a preemptive right in proportion to the amount of shares they hold in connection with any issuance of ordinary shares, convertible bonds, bonds with warrants, profit participation rights and participating bonds. However, our shareholders in a shareholders’ meeting may vote, by a majority representing at least three-quarters of the share capital represented at the meeting, to waive this preemptive right provided that, from the company’s perspective, there exists good and objective cause for such waiver.</w:t>
      </w:r>
    </w:p>
    <w:p>
      <w:pPr>
        <w:spacing w:after="0" w:line="200" w:lineRule="exact"/>
        <w:rPr>
          <w:sz w:val="20"/>
          <w:szCs w:val="20"/>
          <w:color w:val="auto"/>
        </w:rPr>
      </w:pPr>
    </w:p>
    <w:p>
      <w:pPr>
        <w:spacing w:after="0" w:line="295"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The deposit agreement provides that the depositary need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future rights offerings and may experience dilution in their holdings. For example, ADS holders were unable to participate in our summer 2020 rights offering.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166</w:t>
            </w:r>
          </w:p>
        </w:tc>
      </w:tr>
    </w:tbl>
    <w:p>
      <w:pPr>
        <w:sectPr>
          <w:pgSz w:w="11900" w:h="16838" w:orient="portrait"/>
          <w:cols w:equalWidth="0" w:num="1">
            <w:col w:w="11240"/>
          </w:cols>
          <w:pgMar w:left="320" w:top="388" w:right="339" w:bottom="1440" w:gutter="0" w:footer="0" w:header="0"/>
        </w:sectPr>
      </w:pPr>
    </w:p>
    <w:bookmarkStart w:id="175" w:name="page176"/>
    <w:bookmarkEnd w:id="17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The amount and frequency of our dividends and ADS repurchases may fluctuate.</w:t>
      </w:r>
    </w:p>
    <w:p>
      <w:pPr>
        <w:spacing w:after="0" w:line="216"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The amount, timing and execution of any ADS repurchase program we conduct in the future and the amount and timing of any dividends we pay may fluctuate based on our priorities for the use of cash for other purposes, and any ADS repurchases would be subject to the parameters contained in the applicable repurchase plan. These purposes may include operational spending, capital spending, acquisitions and repayment of debt. Additionally, we may choose to repurchase ADSs so that such ADSs may be used to settle outstanding and future equity awards granted to our employees. Changes in cash flows, tax laws and the price of the ADSs could also impact any ADS repurchase program. Additionally, we may enter into a Rule 10b5-1 trading plan governing the repurchases, and if we do, we would have no discretion over the particular purchases made and would only be able to set minimum price floors and maximum ADS count ceilings.</w:t>
      </w:r>
    </w:p>
    <w:p>
      <w:pPr>
        <w:spacing w:after="0" w:line="19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Our principal shareholders and management own a significant percentage of our ordinary shares and will be able to exert significant control over matters subject to shareholder approval.</w:t>
      </w:r>
    </w:p>
    <w:p>
      <w:pPr>
        <w:spacing w:after="0" w:line="158"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Our executive officers, directors, five percent shareholders, and their affiliates beneficially own a majority of our ordinary shares (including ordinary shares represented by ADSs) as of December 31, 2025, and will have the ability to influence us through their ownership positions. For example, these shareholders, acting together, may be able to exert significant influence over matters such as elections of directors, amendments of our organizational documents, or approval of any merger, sale of assets or other major corporate transaction. This may prevent or discourage unsolicited acquisition proposals or offers for our ordinary shares that shareholders may believe are in their best interest. Such insiders may also act in concert to waive rights to participate in rights offerings, as was done in our summer 2020 rights offering, which would have the effect of permitting the ADSs or shares underlying such waived rights to be offered to the public in an underwritten offering without contravening German law pricing requirements.</w:t>
      </w:r>
    </w:p>
    <w:p>
      <w:pPr>
        <w:spacing w:after="0" w:line="200" w:lineRule="exact"/>
        <w:rPr>
          <w:sz w:val="20"/>
          <w:szCs w:val="20"/>
          <w:color w:val="auto"/>
        </w:rPr>
      </w:pPr>
    </w:p>
    <w:p>
      <w:pPr>
        <w:spacing w:after="0" w:line="26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The large number of shares eligible for sale or subject to rights requiring us to register them for sale could cause the market price of the ADSs to drop significantly, even if our business is performing well.</w:t>
      </w:r>
    </w:p>
    <w:p>
      <w:pPr>
        <w:spacing w:after="0" w:line="158"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We have filed registration statements on Form S-8 under the Securities Act to register all ordinary shares issued or issuable under our equity plans. Such Form S-8 registration statements have become, and any other registration statements on Form S-8 we file in the future will become, effective upon filing, upon which shares registered under such registration statements become available for sale in the open market.</w:t>
      </w:r>
    </w:p>
    <w:p>
      <w:pPr>
        <w:spacing w:after="0" w:line="231"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Additionally, certain sales of ADSs or our ordinary shares that we have made have included, and we may in the future make sales including, holding period restrictions or registration rights. Sales of ADSs or our ordinary shares as restrictions end or pursuant to registration rights may make it more difficult for us to finance our operations through the sale of equity securities in the future at a time and at a price that we deem appropriate. These sales also could cause the trading price of the ADSs to fall and make it more difficult to sell the ADSs on favorable terms.</w:t>
      </w:r>
    </w:p>
    <w:p>
      <w:pPr>
        <w:spacing w:after="0" w:line="200" w:lineRule="exact"/>
        <w:rPr>
          <w:sz w:val="20"/>
          <w:szCs w:val="20"/>
          <w:color w:val="auto"/>
        </w:rPr>
      </w:pPr>
    </w:p>
    <w:p>
      <w:pPr>
        <w:spacing w:after="0" w:line="25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color w:val="005A64"/>
        </w:rPr>
        <w:t>If we are a “passive foreign investment company” for U.S. federal income tax purposes, there may be adverse U.S. federal income tax consequences to U.S. investors.</w:t>
      </w:r>
    </w:p>
    <w:p>
      <w:pPr>
        <w:spacing w:after="0" w:line="172"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Based on our income and assets, we believe that we should be treated as a “passive foreign investment company,” or PFIC, for the preceding taxable year. However, the determination of our PFIC status is made annually based on the factual tests described below. Consequently, while we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167</w:t>
            </w:r>
          </w:p>
        </w:tc>
      </w:tr>
    </w:tbl>
    <w:p>
      <w:pPr>
        <w:sectPr>
          <w:pgSz w:w="11900" w:h="16838" w:orient="portrait"/>
          <w:cols w:equalWidth="0" w:num="1">
            <w:col w:w="11240"/>
          </w:cols>
          <w:pgMar w:left="320" w:top="388" w:right="339" w:bottom="1440" w:gutter="0" w:footer="0" w:header="0"/>
        </w:sectPr>
      </w:pPr>
    </w:p>
    <w:bookmarkStart w:id="176" w:name="page177"/>
    <w:bookmarkEnd w:id="17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be a PFIC in future years, we cannot estimate with certainty at this stage whether or not we are likely to be treated as a PFIC in the current taxable year or any future taxable years. Generally, if, for any taxable year, at least 75 percent of our gross income is “passive income” or at least 50 percent of our gross assets during the taxable year (based on the average of the fair market values of the assets determined at the end of each quarterly period) are assets that produce or are held for the production of passive income, we will be characterized as a PFIC for U.S. federal income tax purposes. Passive income for this purpose generally includes, among other things, dividends, interest, rents, royalties, gains from commodities and securities transactions, and gains from assets that produce passive income. However, rents and royalties received from unrelated parties in connection with the active conduct of a trade or business should not be considered passive income for purposes of the PFIC test. For example, if we were to be characterized as a PFIC for U.S. federal income tax purposes in any taxable year during which a U.S. Holder (as defined in “Taxation —Material United States federal income tax considerations” in our Annual Report on Form 20-F as of and for the year ended December 31, 2025) holds ordinary shares or ADSs, such U.S. Holder could be subject to additional taxes and interest charges upon certain distributions by us and any gain recognized on a sale, exchange or other disposition of our shares, whether or not we continue to be characterized as a PFIC. Certain adverse consequences of PFIC status can be mitigated if a U.S. Holder makes a “mark to market” election or a “Qualified Electing Fund,” or QEF, election. We have made available to U.S. Holders the information necessary to make and maintain a QEF election for the year ended December 31, 2024, and intend to provide U.S. holders with the necessary information for any taxable year in which we are treated as a PFIC. See “Taxation —Material United States federal income tax considerations —Passive foreign investment company considerations” in our Annual Report on Form 20-F as of and for the year ended December 31, 2025.</w:t>
      </w:r>
    </w:p>
    <w:p>
      <w:pPr>
        <w:spacing w:after="0" w:line="200" w:lineRule="exact"/>
        <w:rPr>
          <w:sz w:val="20"/>
          <w:szCs w:val="20"/>
          <w:color w:val="auto"/>
        </w:rPr>
      </w:pPr>
    </w:p>
    <w:p>
      <w:pPr>
        <w:spacing w:after="0" w:line="315"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Whether we are a PFIC for any taxable year will depend on the composition of our income and the composition and value of our assets from time to time. Each U.S. Holder is strongly urged to consult their tax advisor regarding these issues and any available elections to mitigate such tax consequences.</w:t>
      </w:r>
    </w:p>
    <w:p>
      <w:pPr>
        <w:spacing w:after="0" w:line="200" w:lineRule="exact"/>
        <w:rPr>
          <w:sz w:val="20"/>
          <w:szCs w:val="20"/>
          <w:color w:val="auto"/>
        </w:rPr>
      </w:pP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The acquisition of a substantial interest in the Company by non-EU/non-EFTA investors requires government approval, which may restrict certain investments and limit demand for the BioNTech ADSs.</w:t>
      </w:r>
    </w:p>
    <w:p>
      <w:pPr>
        <w:spacing w:after="0" w:line="158"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As the Company is considered an operator of “critical infrastructure” within the meaning of the Ordinance on the Designation of Critical Infrastructure pursuant to the BSI Act (Verordnung zur Bestimmung Kritischer Infrastrukturen nach dem BSI-Gesetz), it falls within the scope of the cross-sector review of the German foreign investment screening regime under the German Foreign Trade and Payments Ordinance (Außenwirtschaftsverordnung). As a result, non-EU/non-EFTA investors intending to acquire, directly or indirectly, at least 10% of the voting rights in the Company or who already hold voting rights in the Company and will acquire further voting rights reaching or exceeding 20%, 25%, 40%, 50% or 75% of the voting rights in the Company must notify the planned acquisition to the German Federal Ministry for Economic Affairs and Energy (Bundesministerium für Wirtschaft und Energie, or the BMWE). The BMWE will then assess whether the acquisition likely adversely affects the public order or security of Germany or other EU member states or projects or programs of Union interest within the meaning of Article 8 of Regulation (EU) 2019/452 of the European Parliament and of the Council of 19 March 2019 establishing a framework for the screening of foreign direct investments into the Union. Clearance by the BMWE qualifies as a closing condition for all over-the-counter transactions. If the acquisition has been made via the stock exchange, the acquirer is prohibited from exercising its voting rights until the transaction has been cleared or is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168</w:t>
            </w:r>
          </w:p>
        </w:tc>
      </w:tr>
    </w:tbl>
    <w:p>
      <w:pPr>
        <w:sectPr>
          <w:pgSz w:w="11900" w:h="16838" w:orient="portrait"/>
          <w:cols w:equalWidth="0" w:num="1">
            <w:col w:w="11240"/>
          </w:cols>
          <w:pgMar w:left="320" w:top="388" w:right="339" w:bottom="1440" w:gutter="0" w:footer="0" w:header="0"/>
        </w:sectPr>
      </w:pPr>
    </w:p>
    <w:bookmarkStart w:id="177" w:name="page178"/>
    <w:bookmarkEnd w:id="17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8"/>
          <w:szCs w:val="18"/>
          <w:color w:val="080509"/>
        </w:rPr>
        <w:t>cleared. If the BMWE identifies likely adverse effects, the acquisition of voting rights in the Company could be restricted or prohibited or, if the acquisition has been made via the stock exchange, the BMWE may order a sell-down of the voting rights in the Company acquired via the stock exchange or a transfer to a trustee within a certain period of time and/or prohibit the exercise of voting rights until such time as the acquisition is finally reversed.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Disclaimer</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Forward-Looking Statements</w:t>
      </w:r>
    </w:p>
    <w:p>
      <w:pPr>
        <w:spacing w:after="0" w:line="179"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 xml:space="preserve">This quarterly report contains forward-looking statements within the meaning of the Private Securities Litigation Reform Act of 1995, as amended, including, but not limited to, statements concerning: our expected revenues and net profit/(loss) related to sales of our COVID-19 vaccine, referred to as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xml:space="preserve"> where approved for use under full or conditional marketing authorization, in territories controlled by our collaboration partners, particularly for those figures that are derived from preliminary estimates provided by our partners; the rate and degree of market acceptance of our COVID-19 vaccine and, if approved, our investigational medicines; expectations regarding anticipated changes in COVID-19 vaccine demand, including changes to the ordering environment and expected regulatory recommendations to adapt vaccines to address new variants or sublineages; the initiation, timing, progress, results, and cost of our research and development programs, including our current and future preclinical studies and clinical trials, including statements regarding the expected timing of initiation, enrollment, and completion of studies or trials and related preparatory work and the availability of results, and the timing and outcome of applications for regulatory approvals and marketing authorizations; our expectations regarding potential future commercialization in oncology, including goals regarding timing and indications; the targeted timing and number of potentially registrational trials, and the registrational potential of any trial we may initiate; our expectations regarding the impact of changes to our manufacturing operations; discussions with regulatory agencies; our expectations with respect to intellectual property; the impact of our collaboration and licensing agreements; our expectations with respect to developments in law, public policy, and international trade; our expectations with respect to government investigations; and our expectations with respect to legal claims and proceedings.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spacing w:after="0" w:line="200" w:lineRule="exact"/>
        <w:rPr>
          <w:sz w:val="20"/>
          <w:szCs w:val="20"/>
          <w:color w:val="auto"/>
        </w:rPr>
      </w:pPr>
    </w:p>
    <w:p>
      <w:pPr>
        <w:spacing w:after="0" w:line="31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The forward-looking statements in this quarterly report are based on our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projected data release timelines, regulatory submission dates, regulatory approval dates and/or launch dates, as well as risks associated with preclinical and clinical data, including the data discussed in this report, and including the possibility of unfavorable new preclinical, clinical or safety data and further analyses of existing preclinical, clinical or safety data; the nature of the clinical data, which is subject to ongoing peer review, regulatory review and market interpretation; our pricing and coverage negotiations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169</w:t>
            </w:r>
          </w:p>
        </w:tc>
      </w:tr>
    </w:tbl>
    <w:p>
      <w:pPr>
        <w:sectPr>
          <w:pgSz w:w="11900" w:h="16838" w:orient="portrait"/>
          <w:cols w:equalWidth="0" w:num="1">
            <w:col w:w="11240"/>
          </w:cols>
          <w:pgMar w:left="320" w:top="388" w:right="339" w:bottom="1440" w:gutter="0" w:footer="0" w:header="0"/>
        </w:sectPr>
      </w:pPr>
    </w:p>
    <w:bookmarkStart w:id="178" w:name="page179"/>
    <w:bookmarkEnd w:id="17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drawing>
          <wp:anchor simplePos="0" relativeHeight="251657728" behindDoc="1" locked="0" layoutInCell="0" allowOverlap="1">
            <wp:simplePos x="0" y="0"/>
            <wp:positionH relativeFrom="page">
              <wp:posOffset>5428615</wp:posOffset>
            </wp:positionH>
            <wp:positionV relativeFrom="page">
              <wp:posOffset>106045</wp:posOffset>
            </wp:positionV>
            <wp:extent cx="222885" cy="6858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clrChange>
                        <a:clrFrom>
                          <a:srgbClr val="FFFFFF"/>
                        </a:clrFrom>
                        <a:clrTo>
                          <a:srgbClr val="FFFFFF">
                            <a:alpha val="0"/>
                          </a:srgbClr>
                        </a:clrTo>
                      </a:clrChange>
                      <a:extLst>
                        <a:ext uri="{28A0092B-C50C-407E-A947-70E740481C1C}"/>
                      </a:extLst>
                    </a:blip>
                    <a:srcRect/>
                    <a:stretch>
                      <a:fillRect/>
                    </a:stretch>
                  </pic:blipFill>
                  <pic:spPr bwMode="auto">
                    <a:xfrm>
                      <a:off x="0" y="0"/>
                      <a:ext cx="222885" cy="68580"/>
                    </a:xfrm>
                    <a:prstGeom prst="rect">
                      <a:avLst/>
                    </a:prstGeom>
                    <a:noFill/>
                  </pic:spPr>
                </pic:pic>
              </a:graphicData>
            </a:graphic>
          </wp:anchor>
        </w:drawing>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20320</wp:posOffset>
            </wp:positionV>
            <wp:extent cx="222885" cy="6858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222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governmental authorities, private health insurers and other third-party payors; the future commercial demand and medical need for initial or booster doses of a COVID-19 vaccine; the impact of tariffs and escalations in trade policy; competition from other COVID-19 vaccines or related to our other product candidates; the timing of and our ability to obtain and maintain regulatory approval for our product candidates; the ability of our COVID-19 vaccines to prevent COVID-19 caused by emerging virus variants; our ability to identify research opportunities and discover and develop investigational medicines; the ability and willingness of our third-party collaborators to continue research and development activities relating to our development candidates and investigational medicines; unforeseen safety issues and claims for personal injury or death arising from the use of our COVID-19 vaccine and other products and product candidates developed or manufactured by us; our ability and that of our collaborators to commercialize and market our product candidates, if approved; our ability to manage our development and related expenses; regulatory developments in the United States and other countries; our ability to effectively scale our production capabilities and manufacture our products, including our target COVID-19 vaccine production levels, and our product candidates; risks relating to the global financial system and markets; and other factors not known to us at this time. You should review the risks and uncertainties described under the heading “Risk Factors” in this quarterly report for the three months ended March 31, 2026 and in subsequent filings made by BioNTech with the SEC, which are available on the SEC’s website at https://www.sec.gov/. These forward-looking statements speak only as of the date hereof. Except as required by law, BioNTech disclaims any intention or responsibility for updating or revising any forward-looking statements contained in this quarterly report in the event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General Information</w:t>
      </w:r>
    </w:p>
    <w:p>
      <w:pPr>
        <w:spacing w:after="0" w:line="179"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This quarterly report contains references to our trademarks and to trademarks belong to other entities. Solely for convenience, trademarks and trade names referred to,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95"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 xml:space="preserve">The BioNTech name, and certain other names used or intended to be used by our business, are protected by trademarks. Our trademark portfolio includes, but is not limited to, </w:t>
      </w:r>
      <w:r>
        <w:rPr>
          <w:rFonts w:ascii="Times New Roman" w:cs="Times New Roman" w:eastAsia="Times New Roman" w:hAnsi="Times New Roman"/>
          <w:sz w:val="18"/>
          <w:szCs w:val="18"/>
          <w:i w:val="1"/>
          <w:iCs w:val="1"/>
          <w:color w:val="080509"/>
        </w:rPr>
        <w:t>BioNTech</w:t>
      </w:r>
      <w:r>
        <w:rPr>
          <w:rFonts w:ascii="Times New Roman" w:cs="Times New Roman" w:eastAsia="Times New Roman" w:hAnsi="Times New Roman"/>
          <w:sz w:val="18"/>
          <w:szCs w:val="18"/>
          <w:color w:val="080509"/>
        </w:rPr>
        <w:t xml:space="preserve">,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xml:space="preserve">, </w:t>
      </w:r>
      <w:r>
        <w:rPr>
          <w:rFonts w:ascii="Times New Roman" w:cs="Times New Roman" w:eastAsia="Times New Roman" w:hAnsi="Times New Roman"/>
          <w:sz w:val="18"/>
          <w:szCs w:val="18"/>
          <w:i w:val="1"/>
          <w:iCs w:val="1"/>
          <w:color w:val="080509"/>
        </w:rPr>
        <w:t>BioNTainer</w:t>
      </w:r>
      <w:r>
        <w:rPr>
          <w:rFonts w:ascii="Times New Roman" w:cs="Times New Roman" w:eastAsia="Times New Roman" w:hAnsi="Times New Roman"/>
          <w:sz w:val="18"/>
          <w:szCs w:val="18"/>
          <w:color w:val="080509"/>
        </w:rPr>
        <w:t xml:space="preserve">, </w:t>
      </w:r>
      <w:r>
        <w:rPr>
          <w:rFonts w:ascii="Times New Roman" w:cs="Times New Roman" w:eastAsia="Times New Roman" w:hAnsi="Times New Roman"/>
          <w:sz w:val="18"/>
          <w:szCs w:val="18"/>
          <w:i w:val="1"/>
          <w:iCs w:val="1"/>
          <w:color w:val="080509"/>
        </w:rPr>
        <w:t>FixVac</w:t>
      </w:r>
      <w:r>
        <w:rPr>
          <w:rFonts w:ascii="Times New Roman" w:cs="Times New Roman" w:eastAsia="Times New Roman" w:hAnsi="Times New Roman"/>
          <w:sz w:val="18"/>
          <w:szCs w:val="18"/>
          <w:color w:val="080509"/>
        </w:rPr>
        <w:t xml:space="preserve">, </w:t>
      </w:r>
      <w:r>
        <w:rPr>
          <w:rFonts w:ascii="Times New Roman" w:cs="Times New Roman" w:eastAsia="Times New Roman" w:hAnsi="Times New Roman"/>
          <w:sz w:val="18"/>
          <w:szCs w:val="18"/>
          <w:i w:val="1"/>
          <w:iCs w:val="1"/>
          <w:color w:val="080509"/>
        </w:rPr>
        <w:t>RiboCytokine</w:t>
      </w:r>
      <w:r>
        <w:rPr>
          <w:rFonts w:ascii="Times New Roman" w:cs="Times New Roman" w:eastAsia="Times New Roman" w:hAnsi="Times New Roman"/>
          <w:sz w:val="18"/>
          <w:szCs w:val="18"/>
          <w:color w:val="080509"/>
        </w:rPr>
        <w:t xml:space="preserve"> and </w:t>
      </w:r>
      <w:r>
        <w:rPr>
          <w:rFonts w:ascii="Times New Roman" w:cs="Times New Roman" w:eastAsia="Times New Roman" w:hAnsi="Times New Roman"/>
          <w:sz w:val="18"/>
          <w:szCs w:val="18"/>
          <w:i w:val="1"/>
          <w:iCs w:val="1"/>
          <w:color w:val="080509"/>
        </w:rPr>
        <w:t>RiboMab</w:t>
      </w:r>
      <w:r>
        <w:rPr>
          <w:rFonts w:ascii="Times New Roman" w:cs="Times New Roman" w:eastAsia="Times New Roman" w:hAnsi="Times New Roman"/>
          <w:sz w:val="18"/>
          <w:szCs w:val="18"/>
          <w:color w:val="080509"/>
        </w:rPr>
        <w:t>, including logo versions of some of these trademarks. Brand names appearing in italics throughout this report, and the BioNTech name, are trademarks owned by BioNTech. All other trademarks are the property of their respective owners.</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2026</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170</w:t>
            </w:r>
          </w:p>
        </w:tc>
      </w:tr>
    </w:tbl>
    <w:p>
      <w:pPr>
        <w:spacing w:after="0" w:line="1" w:lineRule="exact"/>
        <w:rPr>
          <w:sz w:val="20"/>
          <w:szCs w:val="20"/>
          <w:color w:val="auto"/>
        </w:rPr>
      </w:pPr>
    </w:p>
    <w:sectPr>
      <w:pgSz w:w="11900" w:h="16838" w:orient="portrait"/>
      <w:cols w:equalWidth="0" w:num="1">
        <w:col w:w="11240"/>
      </w:cols>
      <w:pgMar w:left="320" w:top="3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1)"/>
      <w:numFmt w:val="decimal"/>
      <w:start w:val="1"/>
    </w:lvl>
  </w:abstractNum>
  <w:abstractNum w:abstractNumId="1">
    <w:nsid w:val="749ABB43"/>
    <w:multiLevelType w:val="hybridMultilevel"/>
    <w:lvl w:ilvl="0">
      <w:lvlJc w:val="left"/>
      <w:lvlText w:val="(%1)"/>
      <w:numFmt w:val="decimal"/>
      <w:start w:val="1"/>
    </w:lvl>
  </w:abstractNum>
  <w:abstractNum w:abstractNumId="2">
    <w:nsid w:val="3DC240FB"/>
    <w:multiLevelType w:val="hybridMultilevel"/>
    <w:lvl w:ilvl="0">
      <w:lvlJc w:val="left"/>
      <w:lvlText w:val="(%1)"/>
      <w:numFmt w:val="decimal"/>
      <w:start w:val="1"/>
    </w:lvl>
  </w:abstractNum>
  <w:abstractNum w:abstractNumId="3">
    <w:nsid w:val="1BA026FA"/>
    <w:multiLevelType w:val="hybridMultilevel"/>
    <w:lvl w:ilvl="0">
      <w:lvlJc w:val="left"/>
      <w:lvlText w:val="\endash "/>
      <w:numFmt w:val="bullet"/>
      <w:start w:val="1"/>
    </w:lvl>
  </w:abstractNum>
  <w:abstractNum w:abstractNumId="4">
    <w:nsid w:val="79A1DEAA"/>
    <w:multiLevelType w:val="hybridMultilevel"/>
    <w:lvl w:ilvl="0">
      <w:lvlJc w:val="left"/>
      <w:lvlText w:val="\endash "/>
      <w:numFmt w:val="bullet"/>
      <w:start w:val="1"/>
    </w:lvl>
  </w:abstractNum>
  <w:abstractNum w:abstractNumId="5">
    <w:nsid w:val="75C6C33A"/>
    <w:multiLevelType w:val="hybridMultilevel"/>
    <w:lvl w:ilvl="0">
      <w:lvlJc w:val="left"/>
      <w:lvlText w:val="(%1)"/>
      <w:numFmt w:val="decimal"/>
      <w:start w:val="1"/>
    </w:lvl>
  </w:abstractNum>
  <w:abstractNum w:abstractNumId="6">
    <w:nsid w:val="12E685FB"/>
    <w:multiLevelType w:val="hybridMultilevel"/>
    <w:lvl w:ilvl="0">
      <w:lvlJc w:val="left"/>
      <w:lvlText w:val="(%1)"/>
      <w:numFmt w:val="decimal"/>
      <w:start w:val="3"/>
    </w:lvl>
  </w:abstractNum>
  <w:abstractNum w:abstractNumId="7">
    <w:nsid w:val="70C6A529"/>
    <w:multiLevelType w:val="hybridMultilevel"/>
    <w:lvl w:ilvl="0">
      <w:lvlJc w:val="left"/>
      <w:lvlText w:val="(%1)"/>
      <w:numFmt w:val="decimal"/>
      <w:start w:val="1"/>
    </w:lvl>
  </w:abstractNum>
  <w:abstractNum w:abstractNumId="8">
    <w:nsid w:val="520EEDD1"/>
    <w:multiLevelType w:val="hybridMultilevel"/>
    <w:lvl w:ilvl="0">
      <w:lvlJc w:val="left"/>
      <w:lvlText w:val="\endash "/>
      <w:numFmt w:val="bullet"/>
      <w:start w:val="1"/>
    </w:lvl>
  </w:abstractNum>
  <w:abstractNum w:abstractNumId="9">
    <w:nsid w:val="374A3FE6"/>
    <w:multiLevelType w:val="hybridMultilevel"/>
    <w:lvl w:ilvl="0">
      <w:lvlJc w:val="left"/>
      <w:lvlText w:val="\endash "/>
      <w:numFmt w:val="bullet"/>
      <w:start w:val="1"/>
    </w:lvl>
  </w:abstractNum>
  <w:abstractNum w:abstractNumId="10">
    <w:nsid w:val="4F4EF005"/>
    <w:multiLevelType w:val="hybridMultilevel"/>
    <w:lvl w:ilvl="0">
      <w:lvlJc w:val="left"/>
      <w:lvlText w:val="\endash "/>
      <w:numFmt w:val="bullet"/>
      <w:start w:val="1"/>
    </w:lvl>
  </w:abstractNum>
  <w:abstractNum w:abstractNumId="11">
    <w:nsid w:val="23F9C13C"/>
    <w:multiLevelType w:val="hybridMultilevel"/>
    <w:lvl w:ilvl="0">
      <w:lvlJc w:val="left"/>
      <w:lvlText w:val="\endash "/>
      <w:numFmt w:val="bullet"/>
      <w:start w:val="1"/>
    </w:lvl>
  </w:abstractNum>
  <w:abstractNum w:abstractNumId="12">
    <w:nsid w:val="649BB77C"/>
    <w:multiLevelType w:val="hybridMultilevel"/>
    <w:lvl w:ilvl="0">
      <w:lvlJc w:val="left"/>
      <w:lvlText w:val="\endash "/>
      <w:numFmt w:val="bullet"/>
      <w:start w:val="1"/>
    </w:lvl>
  </w:abstractNum>
  <w:abstractNum w:abstractNumId="13">
    <w:nsid w:val="275AC794"/>
    <w:multiLevelType w:val="hybridMultilevel"/>
    <w:lvl w:ilvl="0">
      <w:lvlJc w:val="left"/>
      <w:lvlText w:val="\endash "/>
      <w:numFmt w:val="bullet"/>
      <w:start w:val="1"/>
    </w:lvl>
  </w:abstractNum>
  <w:abstractNum w:abstractNumId="14">
    <w:nsid w:val="39386575"/>
    <w:multiLevelType w:val="hybridMultilevel"/>
    <w:lvl w:ilvl="0">
      <w:lvlJc w:val="left"/>
      <w:lvlText w:val="\endash "/>
      <w:numFmt w:val="bullet"/>
      <w:start w:val="1"/>
    </w:lvl>
  </w:abstractNum>
  <w:abstractNum w:abstractNumId="15">
    <w:nsid w:val="1CF10FD8"/>
    <w:multiLevelType w:val="hybridMultilevel"/>
    <w:lvl w:ilvl="0">
      <w:lvlJc w:val="left"/>
      <w:lvlText w:val="\endash "/>
      <w:numFmt w:val="bullet"/>
      <w:start w:val="1"/>
    </w:lvl>
  </w:abstractNum>
  <w:abstractNum w:abstractNumId="16">
    <w:nsid w:val="180115BE"/>
    <w:multiLevelType w:val="hybridMultilevel"/>
    <w:lvl w:ilvl="0">
      <w:lvlJc w:val="left"/>
      <w:lvlText w:val="\endash "/>
      <w:numFmt w:val="bullet"/>
      <w:start w:val="1"/>
    </w:lvl>
  </w:abstractNum>
  <w:abstractNum w:abstractNumId="17">
    <w:nsid w:val="235BA861"/>
    <w:multiLevelType w:val="hybridMultilevel"/>
    <w:lvl w:ilvl="0">
      <w:lvlJc w:val="left"/>
      <w:lvlText w:val="\endash "/>
      <w:numFmt w:val="bullet"/>
      <w:start w:val="1"/>
    </w:lvl>
  </w:abstractNum>
  <w:abstractNum w:abstractNumId="18">
    <w:nsid w:val="47398C89"/>
    <w:multiLevelType w:val="hybridMultilevel"/>
    <w:lvl w:ilvl="0">
      <w:lvlJc w:val="left"/>
      <w:lvlText w:val="\endash "/>
      <w:numFmt w:val="bullet"/>
      <w:start w:val="1"/>
    </w:lvl>
  </w:abstractNum>
  <w:abstractNum w:abstractNumId="19">
    <w:nsid w:val="354FE9F9"/>
    <w:multiLevelType w:val="hybridMultilevel"/>
    <w:lvl w:ilvl="0">
      <w:lvlJc w:val="left"/>
      <w:lvlText w:val="\endash "/>
      <w:numFmt w:val="bullet"/>
      <w:start w:val="1"/>
    </w:lvl>
  </w:abstractNum>
  <w:abstractNum w:abstractNumId="20">
    <w:nsid w:val="15B5AF5C"/>
    <w:multiLevelType w:val="hybridMultilevel"/>
    <w:lvl w:ilvl="0">
      <w:lvlJc w:val="left"/>
      <w:lvlText w:val="\endash "/>
      <w:numFmt w:val="bullet"/>
      <w:start w:val="1"/>
    </w:lvl>
  </w:abstractNum>
  <w:abstractNum w:abstractNumId="21">
    <w:nsid w:val="741226BB"/>
    <w:multiLevelType w:val="hybridMultilevel"/>
    <w:lvl w:ilvl="0">
      <w:lvlJc w:val="left"/>
      <w:lvlText w:val="\endash "/>
      <w:numFmt w:val="bullet"/>
      <w:start w:val="1"/>
    </w:lvl>
  </w:abstractNum>
  <w:abstractNum w:abstractNumId="22">
    <w:nsid w:val="D34B6A8"/>
    <w:multiLevelType w:val="hybridMultilevel"/>
    <w:lvl w:ilvl="0">
      <w:lvlJc w:val="left"/>
      <w:lvlText w:val="\endash "/>
      <w:numFmt w:val="bullet"/>
      <w:start w:val="1"/>
    </w:lvl>
  </w:abstractNum>
  <w:abstractNum w:abstractNumId="23">
    <w:nsid w:val="10233C99"/>
    <w:multiLevelType w:val="hybridMultilevel"/>
    <w:lvl w:ilvl="0">
      <w:lvlJc w:val="left"/>
      <w:lvlText w:val="\endash "/>
      <w:numFmt w:val="bullet"/>
      <w:start w:val="1"/>
    </w:lvl>
  </w:abstractNum>
  <w:abstractNum w:abstractNumId="24">
    <w:nsid w:val="3F6AB60F"/>
    <w:multiLevelType w:val="hybridMultilevel"/>
    <w:lvl w:ilvl="0">
      <w:lvlJc w:val="left"/>
      <w:lvlText w:val="\endash "/>
      <w:numFmt w:val="bullet"/>
      <w:start w:val="1"/>
    </w:lvl>
  </w:abstractNum>
  <w:abstractNum w:abstractNumId="25">
    <w:nsid w:val="61574095"/>
    <w:multiLevelType w:val="hybridMultilevel"/>
    <w:lvl w:ilvl="0">
      <w:lvlJc w:val="left"/>
      <w:lvlText w:val="\endash "/>
      <w:numFmt w:val="bullet"/>
      <w:start w:val="1"/>
    </w:lvl>
  </w:abstractNum>
  <w:abstractNum w:abstractNumId="26">
    <w:nsid w:val="7E0C57B1"/>
    <w:multiLevelType w:val="hybridMultilevel"/>
    <w:lvl w:ilvl="0">
      <w:lvlJc w:val="left"/>
      <w:lvlText w:val="\endash "/>
      <w:numFmt w:val="bullet"/>
      <w:start w:val="1"/>
    </w:lvl>
  </w:abstractNum>
  <w:abstractNum w:abstractNumId="27">
    <w:nsid w:val="77AE35EB"/>
    <w:multiLevelType w:val="hybridMultilevel"/>
    <w:lvl w:ilvl="0">
      <w:lvlJc w:val="left"/>
      <w:lvlText w:val="%1."/>
      <w:numFmt w:val="lowerRoman"/>
      <w:start w:val="3"/>
    </w:lvl>
  </w:abstractNum>
  <w:abstractNum w:abstractNumId="28">
    <w:nsid w:val="579BE4F1"/>
    <w:multiLevelType w:val="hybridMultilevel"/>
    <w:lvl w:ilvl="0">
      <w:lvlJc w:val="left"/>
      <w:lvlText w:val="%1."/>
      <w:numFmt w:val="lowerRoman"/>
      <w:start w:val="4"/>
    </w:lvl>
  </w:abstractNum>
  <w:abstractNum w:abstractNumId="29">
    <w:nsid w:val="310C50B3"/>
    <w:multiLevelType w:val="hybridMultilevel"/>
    <w:lvl w:ilvl="0">
      <w:lvlJc w:val="left"/>
      <w:lvlText w:val="\endash "/>
      <w:numFmt w:val="bullet"/>
      <w:start w:val="1"/>
    </w:lvl>
  </w:abstractNum>
  <w:abstractNum w:abstractNumId="30">
    <w:nsid w:val="5FF87E05"/>
    <w:multiLevelType w:val="hybridMultilevel"/>
    <w:lvl w:ilvl="0">
      <w:lvlJc w:val="left"/>
      <w:lvlText w:val="\endash "/>
      <w:numFmt w:val="bullet"/>
      <w:start w:val="1"/>
    </w:lvl>
  </w:abstractNum>
  <w:abstractNum w:abstractNumId="31">
    <w:nsid w:val="2F305DEF"/>
    <w:multiLevelType w:val="hybridMultilevel"/>
    <w:lvl w:ilvl="0">
      <w:lvlJc w:val="left"/>
      <w:lvlText w:val="\endash "/>
      <w:numFmt w:val="bullet"/>
      <w:start w:val="1"/>
    </w:lvl>
  </w:abstractNum>
  <w:abstractNum w:abstractNumId="32">
    <w:nsid w:val="25A70BF7"/>
    <w:multiLevelType w:val="hybridMultilevel"/>
    <w:lvl w:ilvl="0">
      <w:lvlJc w:val="left"/>
      <w:lvlText w:val="\endash "/>
      <w:numFmt w:val="bullet"/>
      <w:start w:val="1"/>
    </w:lvl>
  </w:abstractNum>
  <w:abstractNum w:abstractNumId="33">
    <w:nsid w:val="1DBABF00"/>
    <w:multiLevelType w:val="hybridMultilevel"/>
    <w:lvl w:ilvl="0">
      <w:lvlJc w:val="left"/>
      <w:lvlText w:val="%1."/>
      <w:numFmt w:val="lowerRoman"/>
      <w:start w:val="2"/>
    </w:lvl>
  </w:abstractNum>
  <w:abstractNum w:abstractNumId="34">
    <w:nsid w:val="4AD084E9"/>
    <w:multiLevelType w:val="hybridMultilevel"/>
    <w:lvl w:ilvl="0">
      <w:lvlJc w:val="left"/>
      <w:lvlText w:val="\endash "/>
      <w:numFmt w:val="bullet"/>
      <w:start w:val="1"/>
    </w:lvl>
  </w:abstractNum>
  <w:abstractNum w:abstractNumId="35">
    <w:nsid w:val="1F48EAA1"/>
    <w:multiLevelType w:val="hybridMultilevel"/>
    <w:lvl w:ilvl="0">
      <w:lvlJc w:val="left"/>
      <w:lvlText w:val="\endash "/>
      <w:numFmt w:val="bullet"/>
      <w:start w:val="1"/>
    </w:lvl>
  </w:abstractNum>
  <w:abstractNum w:abstractNumId="36">
    <w:nsid w:val="1381823A"/>
    <w:multiLevelType w:val="hybridMultilevel"/>
    <w:lvl w:ilvl="0">
      <w:lvlJc w:val="left"/>
      <w:lvlText w:val="(%1)"/>
      <w:numFmt w:val="decimal"/>
      <w:start w:val="1"/>
    </w:lvl>
  </w:abstractNum>
  <w:abstractNum w:abstractNumId="37">
    <w:nsid w:val="5DB70AE5"/>
    <w:multiLevelType w:val="hybridMultilevel"/>
    <w:lvl w:ilvl="0">
      <w:lvlJc w:val="left"/>
      <w:lvlText w:val="(%1)"/>
      <w:numFmt w:val="decimal"/>
      <w:start w:val="1"/>
    </w:lvl>
  </w:abstractNum>
  <w:abstractNum w:abstractNumId="38">
    <w:nsid w:val="100F8FCA"/>
    <w:multiLevelType w:val="hybridMultilevel"/>
    <w:lvl w:ilvl="0">
      <w:lvlJc w:val="left"/>
      <w:lvlText w:val="(%1)"/>
      <w:numFmt w:val="decimal"/>
      <w:start w:val="1"/>
    </w:lvl>
  </w:abstractNum>
  <w:abstractNum w:abstractNumId="39">
    <w:nsid w:val="6590700B"/>
    <w:multiLevelType w:val="hybridMultilevel"/>
    <w:lvl w:ilvl="0">
      <w:lvlJc w:val="left"/>
      <w:lvlText w:val="\endash "/>
      <w:numFmt w:val="bullet"/>
      <w:start w:val="1"/>
    </w:lvl>
  </w:abstractNum>
  <w:abstractNum w:abstractNumId="40">
    <w:nsid w:val="15014ACB"/>
    <w:multiLevelType w:val="hybridMultilevel"/>
    <w:lvl w:ilvl="0">
      <w:lvlJc w:val="left"/>
      <w:lvlText w:val="\endash "/>
      <w:numFmt w:val="bullet"/>
      <w:start w:val="1"/>
    </w:lvl>
  </w:abstractNum>
  <w:abstractNum w:abstractNumId="41">
    <w:nsid w:val="5F5E7FD0"/>
    <w:multiLevelType w:val="hybridMultilevel"/>
    <w:lvl w:ilvl="0">
      <w:lvlJc w:val="left"/>
      <w:lvlText w:val="\endash "/>
      <w:numFmt w:val="bullet"/>
      <w:start w:val="1"/>
    </w:lvl>
  </w:abstractNum>
  <w:abstractNum w:abstractNumId="42">
    <w:nsid w:val="98A3148"/>
    <w:multiLevelType w:val="hybridMultilevel"/>
    <w:lvl w:ilvl="0">
      <w:lvlJc w:val="left"/>
      <w:lvlText w:val="\endash "/>
      <w:numFmt w:val="bullet"/>
      <w:start w:val="1"/>
    </w:lvl>
  </w:abstractNum>
  <w:abstractNum w:abstractNumId="43">
    <w:nsid w:val="799D0247"/>
    <w:multiLevelType w:val="hybridMultilevel"/>
    <w:lvl w:ilvl="0">
      <w:lvlJc w:val="left"/>
      <w:lvlText w:val="\endash "/>
      <w:numFmt w:val="bullet"/>
      <w:start w:val="1"/>
    </w:lvl>
  </w:abstractNum>
  <w:abstractNum w:abstractNumId="44">
    <w:nsid w:val="6B94764"/>
    <w:multiLevelType w:val="hybridMultilevel"/>
    <w:lvl w:ilvl="0">
      <w:lvlJc w:val="left"/>
      <w:lvlText w:val="\endash "/>
      <w:numFmt w:val="bullet"/>
      <w:start w:val="1"/>
    </w:lvl>
  </w:abstractNum>
  <w:abstractNum w:abstractNumId="45">
    <w:nsid w:val="42C296BD"/>
    <w:multiLevelType w:val="hybridMultilevel"/>
    <w:lvl w:ilvl="0">
      <w:lvlJc w:val="left"/>
      <w:lvlText w:val="\endash "/>
      <w:numFmt w:val="bullet"/>
      <w:start w:val="1"/>
    </w:lvl>
  </w:abstractNum>
  <w:abstractNum w:abstractNumId="46">
    <w:nsid w:val="168E121F"/>
    <w:multiLevelType w:val="hybridMultilevel"/>
    <w:lvl w:ilvl="0">
      <w:lvlJc w:val="left"/>
      <w:lvlText w:val="\endash "/>
      <w:numFmt w:val="bullet"/>
      <w:start w:val="1"/>
    </w:lvl>
  </w:abstractNum>
  <w:abstractNum w:abstractNumId="47">
    <w:nsid w:val="1EBA5D23"/>
    <w:multiLevelType w:val="hybridMultilevel"/>
    <w:lvl w:ilvl="0">
      <w:lvlJc w:val="left"/>
      <w:lvlText w:val="\endash "/>
      <w:numFmt w:val="bullet"/>
      <w:start w:val="1"/>
    </w:lvl>
  </w:abstractNum>
  <w:abstractNum w:abstractNumId="48">
    <w:nsid w:val="661E3F1E"/>
    <w:multiLevelType w:val="hybridMultilevel"/>
    <w:lvl w:ilvl="0">
      <w:lvlJc w:val="left"/>
      <w:lvlText w:val="\endash "/>
      <w:numFmt w:val="bullet"/>
      <w:start w:val="1"/>
    </w:lvl>
  </w:abstractNum>
  <w:abstractNum w:abstractNumId="49">
    <w:nsid w:val="5DC79EA8"/>
    <w:multiLevelType w:val="hybridMultilevel"/>
    <w:lvl w:ilvl="0">
      <w:lvlJc w:val="left"/>
      <w:lvlText w:val="\endash "/>
      <w:numFmt w:val="bullet"/>
      <w:start w:val="1"/>
    </w:lvl>
  </w:abstractNum>
  <w:abstractNum w:abstractNumId="50">
    <w:nsid w:val="540A471C"/>
    <w:multiLevelType w:val="hybridMultilevel"/>
    <w:lvl w:ilvl="0">
      <w:lvlJc w:val="left"/>
      <w:lvlText w:val="\endash "/>
      <w:numFmt w:val="bullet"/>
      <w:start w:val="1"/>
    </w:lvl>
  </w:abstractNum>
  <w:abstractNum w:abstractNumId="51">
    <w:nsid w:val="7BD3EE7B"/>
    <w:multiLevelType w:val="hybridMultilevel"/>
    <w:lvl w:ilvl="0">
      <w:lvlJc w:val="left"/>
      <w:lvlText w:val="\endash "/>
      <w:numFmt w:val="bullet"/>
      <w:start w:val="1"/>
    </w:lvl>
  </w:abstractNum>
  <w:abstractNum w:abstractNumId="52">
    <w:nsid w:val="51D9C564"/>
    <w:multiLevelType w:val="hybridMultilevel"/>
    <w:lvl w:ilvl="0">
      <w:lvlJc w:val="left"/>
      <w:lvlText w:val="\endash "/>
      <w:numFmt w:val="bullet"/>
      <w:start w:val="1"/>
    </w:lvl>
  </w:abstractNum>
  <w:abstractNum w:abstractNumId="53">
    <w:nsid w:val="613EFDC5"/>
    <w:multiLevelType w:val="hybridMultilevel"/>
    <w:lvl w:ilvl="0">
      <w:lvlJc w:val="left"/>
      <w:lvlText w:val="\endash "/>
      <w:numFmt w:val="bullet"/>
      <w:start w:val="1"/>
    </w:lvl>
  </w:abstractNum>
  <w:abstractNum w:abstractNumId="54">
    <w:nsid w:val="BF72B14"/>
    <w:multiLevelType w:val="hybridMultilevel"/>
    <w:lvl w:ilvl="0">
      <w:lvlJc w:val="left"/>
      <w:lvlText w:val="\endash "/>
      <w:numFmt w:val="bullet"/>
      <w:start w:val="1"/>
    </w:lvl>
  </w:abstractNum>
  <w:abstractNum w:abstractNumId="55">
    <w:nsid w:val="11447B73"/>
    <w:multiLevelType w:val="hybridMultilevel"/>
    <w:lvl w:ilvl="0">
      <w:lvlJc w:val="left"/>
      <w:lvlText w:val="\endash "/>
      <w:numFmt w:val="bullet"/>
      <w:start w:val="1"/>
    </w:lvl>
  </w:abstractNum>
  <w:abstractNum w:abstractNumId="56">
    <w:nsid w:val="42963E5A"/>
    <w:multiLevelType w:val="hybridMultilevel"/>
    <w:lvl w:ilvl="0">
      <w:lvlJc w:val="left"/>
      <w:lvlText w:val="\endash "/>
      <w:numFmt w:val="bullet"/>
      <w:start w:val="1"/>
    </w:lvl>
  </w:abstractNum>
  <w:abstractNum w:abstractNumId="57">
    <w:nsid w:val="A0382C5"/>
    <w:multiLevelType w:val="hybridMultilevel"/>
    <w:lvl w:ilvl="0">
      <w:lvlJc w:val="left"/>
      <w:lvlText w:val="\endash "/>
      <w:numFmt w:val="bullet"/>
      <w:start w:val="1"/>
    </w:lvl>
  </w:abstractNum>
  <w:abstractNum w:abstractNumId="58">
    <w:nsid w:val="8F2B15E"/>
    <w:multiLevelType w:val="hybridMultilevel"/>
    <w:lvl w:ilvl="0">
      <w:lvlJc w:val="left"/>
      <w:lvlText w:val="\endash "/>
      <w:numFmt w:val="bullet"/>
      <w:start w:val="1"/>
    </w:lvl>
  </w:abstractNum>
  <w:abstractNum w:abstractNumId="59">
    <w:nsid w:val="1A32234B"/>
    <w:multiLevelType w:val="hybridMultilevel"/>
    <w:lvl w:ilvl="0">
      <w:lvlJc w:val="left"/>
      <w:lvlText w:val="\endash "/>
      <w:numFmt w:val="bullet"/>
      <w:start w:val="1"/>
    </w:lvl>
  </w:abstractNum>
  <w:abstractNum w:abstractNumId="60">
    <w:nsid w:val="3B0FD379"/>
    <w:multiLevelType w:val="hybridMultilevel"/>
    <w:lvl w:ilvl="0">
      <w:lvlJc w:val="left"/>
      <w:lvlText w:val="\endash "/>
      <w:numFmt w:val="bullet"/>
      <w:start w:val="1"/>
    </w:lvl>
  </w:abstractNum>
  <w:abstractNum w:abstractNumId="61">
    <w:nsid w:val="68EB2F63"/>
    <w:multiLevelType w:val="hybridMultilevel"/>
    <w:lvl w:ilvl="0">
      <w:lvlJc w:val="left"/>
      <w:lvlText w:val="\endash "/>
      <w:numFmt w:val="bullet"/>
      <w:start w:val="1"/>
    </w:lvl>
  </w:abstractNum>
  <w:abstractNum w:abstractNumId="62">
    <w:nsid w:val="4962813B"/>
    <w:multiLevelType w:val="hybridMultilevel"/>
    <w:lvl w:ilvl="0">
      <w:lvlJc w:val="left"/>
      <w:lvlText w:val="\endash "/>
      <w:numFmt w:val="bullet"/>
      <w:start w:val="1"/>
    </w:lvl>
  </w:abstractNum>
  <w:abstractNum w:abstractNumId="63">
    <w:nsid w:val="60B6DF70"/>
    <w:multiLevelType w:val="hybridMultilevel"/>
    <w:lvl w:ilvl="0">
      <w:lvlJc w:val="left"/>
      <w:lvlText w:val="\endash "/>
      <w:numFmt w:val="bullet"/>
      <w:start w:val="1"/>
    </w:lvl>
  </w:abstractNum>
  <w:abstractNum w:abstractNumId="64">
    <w:nsid w:val="6A5EE64"/>
    <w:multiLevelType w:val="hybridMultilevel"/>
    <w:lvl w:ilvl="0">
      <w:lvlJc w:val="left"/>
      <w:lvlText w:val="\endash "/>
      <w:numFmt w:val="bullet"/>
      <w:start w:val="1"/>
    </w:lvl>
  </w:abstractNum>
  <w:abstractNum w:abstractNumId="65">
    <w:nsid w:val="14330624"/>
    <w:multiLevelType w:val="hybridMultilevel"/>
    <w:lvl w:ilvl="0">
      <w:lvlJc w:val="left"/>
      <w:lvlText w:val="\endash "/>
      <w:numFmt w:val="bullet"/>
      <w:start w:val="1"/>
    </w:lvl>
  </w:abstractNum>
  <w:abstractNum w:abstractNumId="66">
    <w:nsid w:val="7FFFCA11"/>
    <w:multiLevelType w:val="hybridMultilevel"/>
    <w:lvl w:ilvl="0">
      <w:lvlJc w:val="left"/>
      <w:lvlText w:val="\endash "/>
      <w:numFmt w:val="bullet"/>
      <w:start w:val="1"/>
    </w:lvl>
  </w:abstractNum>
  <w:abstractNum w:abstractNumId="67">
    <w:nsid w:val="1A27709E"/>
    <w:multiLevelType w:val="hybridMultilevel"/>
    <w:lvl w:ilvl="0">
      <w:lvlJc w:val="left"/>
      <w:lvlText w:val="\endash "/>
      <w:numFmt w:val="bullet"/>
      <w:start w:val="1"/>
    </w:lvl>
  </w:abstractNum>
  <w:abstractNum w:abstractNumId="68">
    <w:nsid w:val="71EA1109"/>
    <w:multiLevelType w:val="hybridMultilevel"/>
    <w:lvl w:ilvl="0">
      <w:lvlJc w:val="left"/>
      <w:lvlText w:val="\endash "/>
      <w:numFmt w:val="bullet"/>
      <w:start w:val="1"/>
    </w:lvl>
  </w:abstractNum>
  <w:abstractNum w:abstractNumId="69">
    <w:nsid w:val="100F59DC"/>
    <w:multiLevelType w:val="hybridMultilevel"/>
    <w:lvl w:ilvl="0">
      <w:lvlJc w:val="left"/>
      <w:lvlText w:val="\endash "/>
      <w:numFmt w:val="bullet"/>
      <w:start w:val="1"/>
    </w:lvl>
  </w:abstractNum>
  <w:abstractNum w:abstractNumId="70">
    <w:nsid w:val="7FB7E0AA"/>
    <w:multiLevelType w:val="hybridMultilevel"/>
    <w:lvl w:ilvl="0">
      <w:lvlJc w:val="left"/>
      <w:lvlText w:val="\endash "/>
      <w:numFmt w:val="bullet"/>
      <w:start w:val="1"/>
    </w:lvl>
  </w:abstractNum>
  <w:abstractNum w:abstractNumId="71">
    <w:nsid w:val="6EB5BD4"/>
    <w:multiLevelType w:val="hybridMultilevel"/>
    <w:lvl w:ilvl="0">
      <w:lvlJc w:val="left"/>
      <w:lvlText w:val="\endash "/>
      <w:numFmt w:val="bullet"/>
      <w:start w:val="1"/>
    </w:lvl>
  </w:abstractNum>
  <w:abstractNum w:abstractNumId="72">
    <w:nsid w:val="6F6DD9AC"/>
    <w:multiLevelType w:val="hybridMultilevel"/>
    <w:lvl w:ilvl="0">
      <w:lvlJc w:val="left"/>
      <w:lvlText w:val="\endash "/>
      <w:numFmt w:val="bullet"/>
      <w:start w:val="1"/>
    </w:lvl>
  </w:abstractNum>
  <w:abstractNum w:abstractNumId="73">
    <w:nsid w:val="94211F2"/>
    <w:multiLevelType w:val="hybridMultilevel"/>
    <w:lvl w:ilvl="0">
      <w:lvlJc w:val="left"/>
      <w:lvlText w:val="\endash "/>
      <w:numFmt w:val="bullet"/>
      <w:start w:val="1"/>
    </w:lvl>
  </w:abstractNum>
  <w:abstractNum w:abstractNumId="74">
    <w:nsid w:val="885E1B"/>
    <w:multiLevelType w:val="hybridMultilevel"/>
    <w:lvl w:ilvl="0">
      <w:lvlJc w:val="left"/>
      <w:lvlText w:val="\endash "/>
      <w:numFmt w:val="bullet"/>
      <w:start w:val="1"/>
    </w:lvl>
  </w:abstractNum>
  <w:abstractNum w:abstractNumId="75">
    <w:nsid w:val="76272110"/>
    <w:multiLevelType w:val="hybridMultilevel"/>
    <w:lvl w:ilvl="0">
      <w:lvlJc w:val="left"/>
      <w:lvlText w:val="\endash "/>
      <w:numFmt w:val="bullet"/>
      <w:start w:val="1"/>
    </w:lvl>
  </w:abstractNum>
  <w:abstractNum w:abstractNumId="76">
    <w:nsid w:val="4C04A8AF"/>
    <w:multiLevelType w:val="hybridMultilevel"/>
    <w:lvl w:ilvl="0">
      <w:lvlJc w:val="left"/>
      <w:lvlText w:val="\endash "/>
      <w:numFmt w:val="bullet"/>
      <w:start w:val="1"/>
    </w:lvl>
  </w:abstractNum>
  <w:abstractNum w:abstractNumId="77">
    <w:nsid w:val="1716703B"/>
    <w:multiLevelType w:val="hybridMultilevel"/>
    <w:lvl w:ilvl="0">
      <w:lvlJc w:val="left"/>
      <w:lvlText w:val="\endash "/>
      <w:numFmt w:val="bullet"/>
      <w:start w:val="1"/>
    </w:lvl>
  </w:abstractNum>
  <w:abstractNum w:abstractNumId="78">
    <w:nsid w:val="14E17E33"/>
    <w:multiLevelType w:val="hybridMultilevel"/>
    <w:lvl w:ilvl="0">
      <w:lvlJc w:val="left"/>
      <w:lvlText w:val="\endash "/>
      <w:numFmt w:val="bullet"/>
      <w:start w:val="1"/>
    </w:lvl>
  </w:abstractNum>
  <w:abstractNum w:abstractNumId="79">
    <w:nsid w:val="3222E7CD"/>
    <w:multiLevelType w:val="hybridMultilevel"/>
    <w:lvl w:ilvl="0">
      <w:lvlJc w:val="left"/>
      <w:lvlText w:val="\endash "/>
      <w:numFmt w:val="bullet"/>
      <w:start w:val="1"/>
    </w:lvl>
  </w:abstractNum>
  <w:abstractNum w:abstractNumId="80">
    <w:nsid w:val="74DE0EE3"/>
    <w:multiLevelType w:val="hybridMultilevel"/>
    <w:lvl w:ilvl="0">
      <w:lvlJc w:val="left"/>
      <w:lvlText w:val="\endash "/>
      <w:numFmt w:val="bullet"/>
      <w:start w:val="1"/>
    </w:lvl>
  </w:abstractNum>
  <w:abstractNum w:abstractNumId="81">
    <w:nsid w:val="68EBC550"/>
    <w:multiLevelType w:val="hybridMultilevel"/>
    <w:lvl w:ilvl="0">
      <w:lvlJc w:val="left"/>
      <w:lvlText w:val="\endash "/>
      <w:numFmt w:val="bullet"/>
      <w:start w:val="1"/>
    </w:lvl>
  </w:abstractNum>
  <w:abstractNum w:abstractNumId="82">
    <w:nsid w:val="2DF6D648"/>
    <w:multiLevelType w:val="hybridMultilevel"/>
    <w:lvl w:ilvl="0">
      <w:lvlJc w:val="left"/>
      <w:lvlText w:val="\endash "/>
      <w:numFmt w:val="bullet"/>
      <w:start w:val="1"/>
    </w:lvl>
  </w:abstractNum>
  <w:abstractNum w:abstractNumId="83">
    <w:nsid w:val="46B7D447"/>
    <w:multiLevelType w:val="hybridMultilevel"/>
    <w:lvl w:ilvl="0">
      <w:lvlJc w:val="left"/>
      <w:lvlText w:val="\endash "/>
      <w:numFmt w:val="bullet"/>
      <w:start w:val="1"/>
    </w:lvl>
  </w:abstractNum>
  <w:abstractNum w:abstractNumId="84">
    <w:nsid w:val="4A2AC315"/>
    <w:multiLevelType w:val="hybridMultilevel"/>
    <w:lvl w:ilvl="0">
      <w:lvlJc w:val="left"/>
      <w:lvlText w:val="\endash "/>
      <w:numFmt w:val="bullet"/>
      <w:start w:val="1"/>
    </w:lvl>
  </w:abstractNum>
  <w:abstractNum w:abstractNumId="85">
    <w:nsid w:val="39EE015C"/>
    <w:multiLevelType w:val="hybridMultilevel"/>
    <w:lvl w:ilvl="0">
      <w:lvlJc w:val="left"/>
      <w:lvlText w:val="\endash "/>
      <w:numFmt w:val="bullet"/>
      <w:start w:val="1"/>
    </w:lvl>
  </w:abstractNum>
  <w:abstractNum w:abstractNumId="86">
    <w:nsid w:val="57FC4FBB"/>
    <w:multiLevelType w:val="hybridMultilevel"/>
    <w:lvl w:ilvl="0">
      <w:lvlJc w:val="left"/>
      <w:lvlText w:val="\endash "/>
      <w:numFmt w:val="bullet"/>
      <w:start w:val="1"/>
    </w:lvl>
  </w:abstractNum>
  <w:abstractNum w:abstractNumId="87">
    <w:nsid w:val="CC1016F"/>
    <w:multiLevelType w:val="hybridMultilevel"/>
    <w:lvl w:ilvl="0">
      <w:lvlJc w:val="left"/>
      <w:lvlText w:val="\endash "/>
      <w:numFmt w:val="bullet"/>
      <w:start w:val="1"/>
    </w:lvl>
  </w:abstractNum>
  <w:abstractNum w:abstractNumId="88">
    <w:nsid w:val="43F18422"/>
    <w:multiLevelType w:val="hybridMultilevel"/>
    <w:lvl w:ilvl="0">
      <w:lvlJc w:val="left"/>
      <w:lvlText w:val="\endash "/>
      <w:numFmt w:val="bullet"/>
      <w:start w:val="1"/>
    </w:lvl>
  </w:abstractNum>
  <w:abstractNum w:abstractNumId="89">
    <w:nsid w:val="60EF0119"/>
    <w:multiLevelType w:val="hybridMultilevel"/>
    <w:lvl w:ilvl="0">
      <w:lvlJc w:val="left"/>
      <w:lvlText w:val="\endash "/>
      <w:numFmt w:val="bullet"/>
      <w:start w:val="1"/>
    </w:lvl>
  </w:abstractNum>
  <w:abstractNum w:abstractNumId="90">
    <w:nsid w:val="26F324BA"/>
    <w:multiLevelType w:val="hybridMultilevel"/>
    <w:lvl w:ilvl="0">
      <w:lvlJc w:val="left"/>
      <w:lvlText w:val="\endash "/>
      <w:numFmt w:val="bullet"/>
      <w:start w:val="1"/>
    </w:lvl>
  </w:abstractNum>
  <w:abstractNum w:abstractNumId="91">
    <w:nsid w:val="7F01579B"/>
    <w:multiLevelType w:val="hybridMultilevel"/>
    <w:lvl w:ilvl="0">
      <w:lvlJc w:val="left"/>
      <w:lvlText w:val="\endash "/>
      <w:numFmt w:val="bullet"/>
      <w:start w:val="1"/>
    </w:lvl>
  </w:abstractNum>
  <w:abstractNum w:abstractNumId="92">
    <w:nsid w:val="49DA307D"/>
    <w:multiLevelType w:val="hybridMultilevel"/>
    <w:lvl w:ilvl="0">
      <w:lvlJc w:val="left"/>
      <w:lvlText w:val="\endash "/>
      <w:numFmt w:val="bullet"/>
      <w:start w:val="1"/>
    </w:lvl>
  </w:abstractNum>
  <w:abstractNum w:abstractNumId="93">
    <w:nsid w:val="7055A5F5"/>
    <w:multiLevelType w:val="hybridMultilevel"/>
    <w:lvl w:ilvl="0">
      <w:lvlJc w:val="left"/>
      <w:lvlText w:val="\endash "/>
      <w:numFmt w:val="bullet"/>
      <w:start w:val="1"/>
    </w:lvl>
  </w:abstractNum>
  <w:abstractNum w:abstractNumId="94">
    <w:nsid w:val="5FB8370B"/>
    <w:multiLevelType w:val="hybridMultilevel"/>
    <w:lvl w:ilvl="0">
      <w:lvlJc w:val="left"/>
      <w:lvlText w:val="\endash "/>
      <w:numFmt w:val="bullet"/>
      <w:start w:val="1"/>
    </w:lvl>
  </w:abstractNum>
  <w:abstractNum w:abstractNumId="95">
    <w:nsid w:val="50801EE1"/>
    <w:multiLevelType w:val="hybridMultilevel"/>
    <w:lvl w:ilvl="0">
      <w:lvlJc w:val="left"/>
      <w:lvlText w:val="\endash "/>
      <w:numFmt w:val="bullet"/>
      <w:start w:val="1"/>
    </w:lvl>
  </w:abstractNum>
  <w:abstractNum w:abstractNumId="96">
    <w:nsid w:val="488AC1A"/>
    <w:multiLevelType w:val="hybridMultilevel"/>
    <w:lvl w:ilvl="0">
      <w:lvlJc w:val="left"/>
      <w:lvlText w:val="\endash "/>
      <w:numFmt w:val="bullet"/>
      <w:start w:val="1"/>
    </w:lvl>
  </w:abstractNum>
  <w:abstractNum w:abstractNumId="97">
    <w:nsid w:val="5FB8011C"/>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jpe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jpe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jpe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jpeg"/><Relationship Id="rId477" Type="http://schemas.openxmlformats.org/officeDocument/2006/relationships/image" Target="media/image470.jpeg"/><Relationship Id="rId478" Type="http://schemas.openxmlformats.org/officeDocument/2006/relationships/image" Target="media/image471.jpeg"/><Relationship Id="rId479" Type="http://schemas.openxmlformats.org/officeDocument/2006/relationships/image" Target="media/image472.jpeg"/><Relationship Id="rId480" Type="http://schemas.openxmlformats.org/officeDocument/2006/relationships/image" Target="media/image473.jpeg"/><Relationship Id="rId481" Type="http://schemas.openxmlformats.org/officeDocument/2006/relationships/image" Target="media/image474.jpeg"/><Relationship Id="rId482" Type="http://schemas.openxmlformats.org/officeDocument/2006/relationships/image" Target="media/image475.jpeg"/><Relationship Id="rId483" Type="http://schemas.openxmlformats.org/officeDocument/2006/relationships/image" Target="media/image476.jpeg"/><Relationship Id="rId484" Type="http://schemas.openxmlformats.org/officeDocument/2006/relationships/image" Target="media/image477.jpeg"/><Relationship Id="rId485" Type="http://schemas.openxmlformats.org/officeDocument/2006/relationships/image" Target="media/image478.jpeg"/><Relationship Id="rId486" Type="http://schemas.openxmlformats.org/officeDocument/2006/relationships/image" Target="media/image479.jpeg"/><Relationship Id="rId487" Type="http://schemas.openxmlformats.org/officeDocument/2006/relationships/image" Target="media/image480.jpeg"/><Relationship Id="rId488" Type="http://schemas.openxmlformats.org/officeDocument/2006/relationships/image" Target="media/image481.jpeg"/><Relationship Id="rId489" Type="http://schemas.openxmlformats.org/officeDocument/2006/relationships/image" Target="media/image482.jpeg"/><Relationship Id="rId490" Type="http://schemas.openxmlformats.org/officeDocument/2006/relationships/image" Target="media/image483.jpeg"/><Relationship Id="rId491" Type="http://schemas.openxmlformats.org/officeDocument/2006/relationships/image" Target="media/image484.jpeg"/><Relationship Id="rId492" Type="http://schemas.openxmlformats.org/officeDocument/2006/relationships/image" Target="media/image485.jpeg"/><Relationship Id="rId493" Type="http://schemas.openxmlformats.org/officeDocument/2006/relationships/image" Target="media/image486.jpeg"/><Relationship Id="rId494" Type="http://schemas.openxmlformats.org/officeDocument/2006/relationships/image" Target="media/image487.png"/><Relationship Id="rId495" Type="http://schemas.openxmlformats.org/officeDocument/2006/relationships/image" Target="media/image488.jpeg"/><Relationship Id="rId496" Type="http://schemas.openxmlformats.org/officeDocument/2006/relationships/image" Target="media/image489.jpeg"/><Relationship Id="rId497" Type="http://schemas.openxmlformats.org/officeDocument/2006/relationships/image" Target="media/image490.png"/><Relationship Id="rId498" Type="http://schemas.openxmlformats.org/officeDocument/2006/relationships/image" Target="media/image491.jpeg"/><Relationship Id="rId499" Type="http://schemas.openxmlformats.org/officeDocument/2006/relationships/image" Target="media/image492.jpeg"/><Relationship Id="rId500" Type="http://schemas.openxmlformats.org/officeDocument/2006/relationships/image" Target="media/image493.png"/><Relationship Id="rId501" Type="http://schemas.openxmlformats.org/officeDocument/2006/relationships/image" Target="media/image494.jpeg"/><Relationship Id="rId502" Type="http://schemas.openxmlformats.org/officeDocument/2006/relationships/image" Target="media/image495.jpe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jpeg"/><Relationship Id="rId506" Type="http://schemas.openxmlformats.org/officeDocument/2006/relationships/image" Target="media/image499.jpeg"/><Relationship Id="rId507" Type="http://schemas.openxmlformats.org/officeDocument/2006/relationships/image" Target="media/image500.jpeg"/><Relationship Id="rId508" Type="http://schemas.openxmlformats.org/officeDocument/2006/relationships/image" Target="media/image501.jpeg"/><Relationship Id="rId509" Type="http://schemas.openxmlformats.org/officeDocument/2006/relationships/image" Target="media/image502.jpeg"/><Relationship Id="rId510" Type="http://schemas.openxmlformats.org/officeDocument/2006/relationships/image" Target="media/image503.jpeg"/><Relationship Id="rId511" Type="http://schemas.openxmlformats.org/officeDocument/2006/relationships/image" Target="media/image504.jpeg"/><Relationship Id="rId512" Type="http://schemas.openxmlformats.org/officeDocument/2006/relationships/image" Target="media/image505.jpeg"/><Relationship Id="rId513" Type="http://schemas.openxmlformats.org/officeDocument/2006/relationships/image" Target="media/image506.jpeg"/><Relationship Id="rId514" Type="http://schemas.openxmlformats.org/officeDocument/2006/relationships/image" Target="media/image507.jpeg"/><Relationship Id="rId515" Type="http://schemas.openxmlformats.org/officeDocument/2006/relationships/image" Target="media/image508.jpeg"/><Relationship Id="rId516" Type="http://schemas.openxmlformats.org/officeDocument/2006/relationships/image" Target="media/image509.jpeg"/><Relationship Id="rId517" Type="http://schemas.openxmlformats.org/officeDocument/2006/relationships/image" Target="media/image510.jpeg"/><Relationship Id="rId518" Type="http://schemas.openxmlformats.org/officeDocument/2006/relationships/image" Target="media/image511.jpeg"/><Relationship Id="rId519" Type="http://schemas.openxmlformats.org/officeDocument/2006/relationships/image" Target="media/image512.jpeg"/><Relationship Id="rId520" Type="http://schemas.openxmlformats.org/officeDocument/2006/relationships/image" Target="media/image513.jpeg"/><Relationship Id="rId521" Type="http://schemas.openxmlformats.org/officeDocument/2006/relationships/image" Target="media/image514.jpeg"/><Relationship Id="rId522" Type="http://schemas.openxmlformats.org/officeDocument/2006/relationships/image" Target="media/image515.jpeg"/><Relationship Id="rId523" Type="http://schemas.openxmlformats.org/officeDocument/2006/relationships/image" Target="media/image516.jpeg"/><Relationship Id="rId524" Type="http://schemas.openxmlformats.org/officeDocument/2006/relationships/image" Target="media/image517.jpeg"/><Relationship Id="rId525" Type="http://schemas.openxmlformats.org/officeDocument/2006/relationships/image" Target="media/image518.jpeg"/><Relationship Id="rId526" Type="http://schemas.openxmlformats.org/officeDocument/2006/relationships/image" Target="media/image519.jpeg"/><Relationship Id="rId527" Type="http://schemas.openxmlformats.org/officeDocument/2006/relationships/image" Target="media/image520.jpeg"/><Relationship Id="rId528" Type="http://schemas.openxmlformats.org/officeDocument/2006/relationships/image" Target="media/image521.jpe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jpeg"/><Relationship Id="rId564" Type="http://schemas.openxmlformats.org/officeDocument/2006/relationships/image" Target="media/image557.jpeg"/><Relationship Id="rId565" Type="http://schemas.openxmlformats.org/officeDocument/2006/relationships/image" Target="media/image558.jpeg"/><Relationship Id="rId566" Type="http://schemas.openxmlformats.org/officeDocument/2006/relationships/image" Target="media/image559.jpe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jpeg"/><Relationship Id="rId576" Type="http://schemas.openxmlformats.org/officeDocument/2006/relationships/image" Target="media/image569.jpe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jpeg"/><Relationship Id="rId600" Type="http://schemas.openxmlformats.org/officeDocument/2006/relationships/image" Target="media/image593.jpeg"/><Relationship Id="rId601" Type="http://schemas.openxmlformats.org/officeDocument/2006/relationships/image" Target="media/image594.jpeg"/><Relationship Id="rId602" Type="http://schemas.openxmlformats.org/officeDocument/2006/relationships/image" Target="media/image595.jpeg"/><Relationship Id="rId603" Type="http://schemas.openxmlformats.org/officeDocument/2006/relationships/image" Target="media/image596.jpeg"/><Relationship Id="rId604" Type="http://schemas.openxmlformats.org/officeDocument/2006/relationships/image" Target="media/image597.jpeg"/><Relationship Id="rId605" Type="http://schemas.openxmlformats.org/officeDocument/2006/relationships/image" Target="media/image598.jpeg"/><Relationship Id="rId606" Type="http://schemas.openxmlformats.org/officeDocument/2006/relationships/image" Target="media/image599.jpeg"/><Relationship Id="rId607" Type="http://schemas.openxmlformats.org/officeDocument/2006/relationships/image" Target="media/image600.jpeg"/><Relationship Id="rId608" Type="http://schemas.openxmlformats.org/officeDocument/2006/relationships/image" Target="media/image601.jpeg"/><Relationship Id="rId609" Type="http://schemas.openxmlformats.org/officeDocument/2006/relationships/image" Target="media/image602.jpeg"/><Relationship Id="rId610" Type="http://schemas.openxmlformats.org/officeDocument/2006/relationships/image" Target="media/image603.jpeg"/><Relationship Id="rId611" Type="http://schemas.openxmlformats.org/officeDocument/2006/relationships/image" Target="media/image604.jpeg"/><Relationship Id="rId612" Type="http://schemas.openxmlformats.org/officeDocument/2006/relationships/image" Target="media/image605.jpeg"/><Relationship Id="rId613" Type="http://schemas.openxmlformats.org/officeDocument/2006/relationships/image" Target="media/image606.jpeg"/><Relationship Id="rId614" Type="http://schemas.openxmlformats.org/officeDocument/2006/relationships/image" Target="media/image607.jpe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jpeg"/><Relationship Id="rId630" Type="http://schemas.openxmlformats.org/officeDocument/2006/relationships/image" Target="media/image623.jpeg"/><Relationship Id="rId631" Type="http://schemas.openxmlformats.org/officeDocument/2006/relationships/image" Target="media/image624.jpeg"/><Relationship Id="rId632" Type="http://schemas.openxmlformats.org/officeDocument/2006/relationships/image" Target="media/image625.jpeg"/><Relationship Id="rId633" Type="http://schemas.openxmlformats.org/officeDocument/2006/relationships/image" Target="media/image626.jpeg"/><Relationship Id="rId634" Type="http://schemas.openxmlformats.org/officeDocument/2006/relationships/image" Target="media/image627.jpeg"/><Relationship Id="rId635" Type="http://schemas.openxmlformats.org/officeDocument/2006/relationships/image" Target="media/image628.png"/><Relationship Id="rId636" Type="http://schemas.openxmlformats.org/officeDocument/2006/relationships/image" Target="media/image629.jpeg"/><Relationship Id="rId637" Type="http://schemas.openxmlformats.org/officeDocument/2006/relationships/image" Target="media/image630.jpeg"/><Relationship Id="rId638" Type="http://schemas.openxmlformats.org/officeDocument/2006/relationships/image" Target="media/image631.jpeg"/><Relationship Id="rId639" Type="http://schemas.openxmlformats.org/officeDocument/2006/relationships/image" Target="media/image632.jpeg"/><Relationship Id="rId640" Type="http://schemas.openxmlformats.org/officeDocument/2006/relationships/image" Target="media/image633.jpeg"/><Relationship Id="rId641" Type="http://schemas.openxmlformats.org/officeDocument/2006/relationships/image" Target="media/image634.jpeg"/><Relationship Id="rId642" Type="http://schemas.openxmlformats.org/officeDocument/2006/relationships/image" Target="media/image635.jpeg"/><Relationship Id="rId643" Type="http://schemas.openxmlformats.org/officeDocument/2006/relationships/image" Target="media/image636.jpeg"/><Relationship Id="rId644" Type="http://schemas.openxmlformats.org/officeDocument/2006/relationships/image" Target="media/image637.jpeg"/><Relationship Id="rId645" Type="http://schemas.openxmlformats.org/officeDocument/2006/relationships/image" Target="media/image638.jpeg"/><Relationship Id="rId646" Type="http://schemas.openxmlformats.org/officeDocument/2006/relationships/image" Target="media/image639.jpeg"/><Relationship Id="rId647" Type="http://schemas.openxmlformats.org/officeDocument/2006/relationships/image" Target="media/image640.jpeg"/><Relationship Id="rId648" Type="http://schemas.openxmlformats.org/officeDocument/2006/relationships/image" Target="media/image641.jpeg"/><Relationship Id="rId649" Type="http://schemas.openxmlformats.org/officeDocument/2006/relationships/image" Target="media/image642.jpeg"/><Relationship Id="rId650" Type="http://schemas.openxmlformats.org/officeDocument/2006/relationships/image" Target="media/image643.jpeg"/><Relationship Id="rId651" Type="http://schemas.openxmlformats.org/officeDocument/2006/relationships/image" Target="media/image644.jpeg"/><Relationship Id="rId652" Type="http://schemas.openxmlformats.org/officeDocument/2006/relationships/image" Target="media/image645.jpeg"/><Relationship Id="rId653" Type="http://schemas.openxmlformats.org/officeDocument/2006/relationships/image" Target="media/image646.jpeg"/><Relationship Id="rId654" Type="http://schemas.openxmlformats.org/officeDocument/2006/relationships/image" Target="media/image647.jpeg"/><Relationship Id="rId655" Type="http://schemas.openxmlformats.org/officeDocument/2006/relationships/image" Target="media/image648.jpeg"/><Relationship Id="rId656" Type="http://schemas.openxmlformats.org/officeDocument/2006/relationships/image" Target="media/image649.jpeg"/><Relationship Id="rId657" Type="http://schemas.openxmlformats.org/officeDocument/2006/relationships/image" Target="media/image650.jpeg"/><Relationship Id="rId658" Type="http://schemas.openxmlformats.org/officeDocument/2006/relationships/image" Target="media/image651.jpeg"/><Relationship Id="rId659" Type="http://schemas.openxmlformats.org/officeDocument/2006/relationships/image" Target="media/image652.jpeg"/><Relationship Id="rId660" Type="http://schemas.openxmlformats.org/officeDocument/2006/relationships/image" Target="media/image653.jpeg"/><Relationship Id="rId661" Type="http://schemas.openxmlformats.org/officeDocument/2006/relationships/image" Target="media/image654.jpeg"/><Relationship Id="rId662" Type="http://schemas.openxmlformats.org/officeDocument/2006/relationships/image" Target="media/image655.jpeg"/><Relationship Id="rId663" Type="http://schemas.openxmlformats.org/officeDocument/2006/relationships/image" Target="media/image656.jpeg"/><Relationship Id="rId664" Type="http://schemas.openxmlformats.org/officeDocument/2006/relationships/image" Target="media/image657.jpeg"/><Relationship Id="rId665" Type="http://schemas.openxmlformats.org/officeDocument/2006/relationships/image" Target="media/image658.jpeg"/><Relationship Id="rId666" Type="http://schemas.openxmlformats.org/officeDocument/2006/relationships/image" Target="media/image659.jpeg"/><Relationship Id="rId667" Type="http://schemas.openxmlformats.org/officeDocument/2006/relationships/image" Target="media/image660.jpeg"/><Relationship Id="rId668" Type="http://schemas.openxmlformats.org/officeDocument/2006/relationships/image" Target="media/image661.jpeg"/><Relationship Id="rId669" Type="http://schemas.openxmlformats.org/officeDocument/2006/relationships/image" Target="media/image662.jpeg"/><Relationship Id="rId670" Type="http://schemas.openxmlformats.org/officeDocument/2006/relationships/image" Target="media/image663.jpeg"/><Relationship Id="rId671" Type="http://schemas.openxmlformats.org/officeDocument/2006/relationships/image" Target="media/image664.jpeg"/><Relationship Id="rId672" Type="http://schemas.openxmlformats.org/officeDocument/2006/relationships/image" Target="media/image665.jpeg"/><Relationship Id="rId673" Type="http://schemas.openxmlformats.org/officeDocument/2006/relationships/image" Target="media/image666.jpeg"/><Relationship Id="rId674" Type="http://schemas.openxmlformats.org/officeDocument/2006/relationships/image" Target="media/image667.jpeg"/><Relationship Id="rId675" Type="http://schemas.openxmlformats.org/officeDocument/2006/relationships/image" Target="media/image668.jpeg"/><Relationship Id="rId676" Type="http://schemas.openxmlformats.org/officeDocument/2006/relationships/image" Target="media/image669.jpeg"/><Relationship Id="rId677" Type="http://schemas.openxmlformats.org/officeDocument/2006/relationships/image" Target="media/image670.jpeg"/><Relationship Id="rId678" Type="http://schemas.openxmlformats.org/officeDocument/2006/relationships/image" Target="media/image671.jpeg"/><Relationship Id="rId679" Type="http://schemas.openxmlformats.org/officeDocument/2006/relationships/image" Target="media/image672.jpeg"/><Relationship Id="rId680" Type="http://schemas.openxmlformats.org/officeDocument/2006/relationships/image" Target="media/image673.jpeg"/><Relationship Id="rId681" Type="http://schemas.openxmlformats.org/officeDocument/2006/relationships/image" Target="media/image674.jpeg"/><Relationship Id="rId682" Type="http://schemas.openxmlformats.org/officeDocument/2006/relationships/image" Target="media/image675.jpeg"/><Relationship Id="rId683" Type="http://schemas.openxmlformats.org/officeDocument/2006/relationships/image" Target="media/image676.jpeg"/><Relationship Id="rId684" Type="http://schemas.openxmlformats.org/officeDocument/2006/relationships/image" Target="media/image677.jpeg"/><Relationship Id="rId685" Type="http://schemas.openxmlformats.org/officeDocument/2006/relationships/image" Target="media/image678.jpeg"/><Relationship Id="rId686" Type="http://schemas.openxmlformats.org/officeDocument/2006/relationships/image" Target="media/image679.jpeg"/><Relationship Id="rId687" Type="http://schemas.openxmlformats.org/officeDocument/2006/relationships/image" Target="media/image680.jpeg"/><Relationship Id="rId688" Type="http://schemas.openxmlformats.org/officeDocument/2006/relationships/image" Target="media/image681.jpeg"/><Relationship Id="rId689" Type="http://schemas.openxmlformats.org/officeDocument/2006/relationships/image" Target="media/image682.jpeg"/><Relationship Id="rId690" Type="http://schemas.openxmlformats.org/officeDocument/2006/relationships/image" Target="media/image683.jpeg"/><Relationship Id="rId691" Type="http://schemas.openxmlformats.org/officeDocument/2006/relationships/image" Target="media/image684.jpeg"/><Relationship Id="rId692" Type="http://schemas.openxmlformats.org/officeDocument/2006/relationships/image" Target="media/image685.jpeg"/><Relationship Id="rId693" Type="http://schemas.openxmlformats.org/officeDocument/2006/relationships/image" Target="media/image686.jpeg"/><Relationship Id="rId694" Type="http://schemas.openxmlformats.org/officeDocument/2006/relationships/image" Target="media/image687.jpeg"/><Relationship Id="rId695" Type="http://schemas.openxmlformats.org/officeDocument/2006/relationships/image" Target="media/image688.jpeg"/><Relationship Id="rId696" Type="http://schemas.openxmlformats.org/officeDocument/2006/relationships/image" Target="media/image689.jpeg"/><Relationship Id="rId697" Type="http://schemas.openxmlformats.org/officeDocument/2006/relationships/image" Target="media/image690.jpeg"/><Relationship Id="rId698" Type="http://schemas.openxmlformats.org/officeDocument/2006/relationships/image" Target="media/image691.jpeg"/><Relationship Id="rId699" Type="http://schemas.openxmlformats.org/officeDocument/2006/relationships/image" Target="media/image692.jpeg"/><Relationship Id="rId700" Type="http://schemas.openxmlformats.org/officeDocument/2006/relationships/image" Target="media/image693.jpeg"/><Relationship Id="rId701" Type="http://schemas.openxmlformats.org/officeDocument/2006/relationships/image" Target="media/image694.jpeg"/><Relationship Id="rId702" Type="http://schemas.openxmlformats.org/officeDocument/2006/relationships/image" Target="media/image695.jpeg"/><Relationship Id="rId703" Type="http://schemas.openxmlformats.org/officeDocument/2006/relationships/image" Target="media/image696.jpeg"/><Relationship Id="rId704" Type="http://schemas.openxmlformats.org/officeDocument/2006/relationships/image" Target="media/image697.jpeg"/><Relationship Id="rId705" Type="http://schemas.openxmlformats.org/officeDocument/2006/relationships/image" Target="media/image698.jpeg"/><Relationship Id="rId706" Type="http://schemas.openxmlformats.org/officeDocument/2006/relationships/image" Target="media/image699.jpeg"/><Relationship Id="rId707" Type="http://schemas.openxmlformats.org/officeDocument/2006/relationships/image" Target="media/image700.jpeg"/><Relationship Id="rId708" Type="http://schemas.openxmlformats.org/officeDocument/2006/relationships/image" Target="media/image701.jpeg"/><Relationship Id="rId709" Type="http://schemas.openxmlformats.org/officeDocument/2006/relationships/image" Target="media/image702.jpeg"/><Relationship Id="rId710" Type="http://schemas.openxmlformats.org/officeDocument/2006/relationships/image" Target="media/image703.jpeg"/><Relationship Id="rId711" Type="http://schemas.openxmlformats.org/officeDocument/2006/relationships/image" Target="media/image704.jpeg"/><Relationship Id="rId712" Type="http://schemas.openxmlformats.org/officeDocument/2006/relationships/image" Target="media/image705.jpeg"/><Relationship Id="rId713" Type="http://schemas.openxmlformats.org/officeDocument/2006/relationships/image" Target="media/image706.jpeg"/><Relationship Id="rId714" Type="http://schemas.openxmlformats.org/officeDocument/2006/relationships/image" Target="media/image707.jpeg"/><Relationship Id="rId715" Type="http://schemas.openxmlformats.org/officeDocument/2006/relationships/image" Target="media/image708.jpeg"/><Relationship Id="rId716" Type="http://schemas.openxmlformats.org/officeDocument/2006/relationships/image" Target="media/image709.jpeg"/><Relationship Id="rId717" Type="http://schemas.openxmlformats.org/officeDocument/2006/relationships/image" Target="media/image710.jpeg"/><Relationship Id="rId718" Type="http://schemas.openxmlformats.org/officeDocument/2006/relationships/image" Target="media/image711.jpeg"/><Relationship Id="rId719" Type="http://schemas.openxmlformats.org/officeDocument/2006/relationships/image" Target="media/image712.jpeg"/><Relationship Id="rId720" Type="http://schemas.openxmlformats.org/officeDocument/2006/relationships/image" Target="media/image713.jpeg"/><Relationship Id="rId721" Type="http://schemas.openxmlformats.org/officeDocument/2006/relationships/image" Target="media/image714.jpeg"/><Relationship Id="rId722" Type="http://schemas.openxmlformats.org/officeDocument/2006/relationships/image" Target="media/image715.jpeg"/><Relationship Id="rId723" Type="http://schemas.openxmlformats.org/officeDocument/2006/relationships/image" Target="media/image716.jpeg"/><Relationship Id="rId724" Type="http://schemas.openxmlformats.org/officeDocument/2006/relationships/image" Target="media/image717.jpeg"/><Relationship Id="rId725" Type="http://schemas.openxmlformats.org/officeDocument/2006/relationships/image" Target="media/image718.jpeg"/><Relationship Id="rId726" Type="http://schemas.openxmlformats.org/officeDocument/2006/relationships/image" Target="media/image719.jpeg"/><Relationship Id="rId727" Type="http://schemas.openxmlformats.org/officeDocument/2006/relationships/image" Target="media/image720.jpeg"/><Relationship Id="rId728" Type="http://schemas.openxmlformats.org/officeDocument/2006/relationships/image" Target="media/image721.jpeg"/><Relationship Id="rId729" Type="http://schemas.openxmlformats.org/officeDocument/2006/relationships/image" Target="media/image722.jpeg"/><Relationship Id="rId730" Type="http://schemas.openxmlformats.org/officeDocument/2006/relationships/image" Target="media/image723.jpeg"/><Relationship Id="rId731" Type="http://schemas.openxmlformats.org/officeDocument/2006/relationships/image" Target="media/image724.jpeg"/><Relationship Id="rId732" Type="http://schemas.openxmlformats.org/officeDocument/2006/relationships/image" Target="media/image725.jpeg"/><Relationship Id="rId733" Type="http://schemas.openxmlformats.org/officeDocument/2006/relationships/image" Target="media/image726.jpeg"/><Relationship Id="rId734" Type="http://schemas.openxmlformats.org/officeDocument/2006/relationships/image" Target="media/image727.jpeg"/><Relationship Id="rId735" Type="http://schemas.openxmlformats.org/officeDocument/2006/relationships/image" Target="media/image728.jpeg"/><Relationship Id="rId736" Type="http://schemas.openxmlformats.org/officeDocument/2006/relationships/image" Target="media/image729.jpeg"/><Relationship Id="rId737" Type="http://schemas.openxmlformats.org/officeDocument/2006/relationships/image" Target="media/image730.jpeg"/><Relationship Id="rId738" Type="http://schemas.openxmlformats.org/officeDocument/2006/relationships/image" Target="media/image731.jpeg"/><Relationship Id="rId739" Type="http://schemas.openxmlformats.org/officeDocument/2006/relationships/image" Target="media/image732.jpeg"/><Relationship Id="rId740" Type="http://schemas.openxmlformats.org/officeDocument/2006/relationships/image" Target="media/image733.jpeg"/><Relationship Id="rId741" Type="http://schemas.openxmlformats.org/officeDocument/2006/relationships/image" Target="media/image734.jpeg"/><Relationship Id="rId742" Type="http://schemas.openxmlformats.org/officeDocument/2006/relationships/image" Target="media/image735.jpeg"/><Relationship Id="rId743" Type="http://schemas.openxmlformats.org/officeDocument/2006/relationships/image" Target="media/image736.jpeg"/><Relationship Id="rId744" Type="http://schemas.openxmlformats.org/officeDocument/2006/relationships/image" Target="media/image737.jpeg"/><Relationship Id="rId745" Type="http://schemas.openxmlformats.org/officeDocument/2006/relationships/image" Target="media/image738.jpeg"/><Relationship Id="rId746" Type="http://schemas.openxmlformats.org/officeDocument/2006/relationships/image" Target="media/image739.jpeg"/><Relationship Id="rId747" Type="http://schemas.openxmlformats.org/officeDocument/2006/relationships/image" Target="media/image740.jpeg"/><Relationship Id="rId748" Type="http://schemas.openxmlformats.org/officeDocument/2006/relationships/image" Target="media/image741.jpeg"/><Relationship Id="rId749" Type="http://schemas.openxmlformats.org/officeDocument/2006/relationships/image" Target="media/image742.jpeg"/><Relationship Id="rId750" Type="http://schemas.openxmlformats.org/officeDocument/2006/relationships/image" Target="media/image743.jpeg"/><Relationship Id="rId751" Type="http://schemas.openxmlformats.org/officeDocument/2006/relationships/image" Target="media/image744.jpeg"/><Relationship Id="rId752" Type="http://schemas.openxmlformats.org/officeDocument/2006/relationships/image" Target="media/image745.jpeg"/><Relationship Id="rId753" Type="http://schemas.openxmlformats.org/officeDocument/2006/relationships/image" Target="media/image746.jpeg"/><Relationship Id="rId754" Type="http://schemas.openxmlformats.org/officeDocument/2006/relationships/image" Target="media/image747.jpeg"/><Relationship Id="rId755" Type="http://schemas.openxmlformats.org/officeDocument/2006/relationships/image" Target="media/image748.jpeg"/><Relationship Id="rId756" Type="http://schemas.openxmlformats.org/officeDocument/2006/relationships/image" Target="media/image749.jpeg"/><Relationship Id="rId757" Type="http://schemas.openxmlformats.org/officeDocument/2006/relationships/image" Target="media/image750.jpeg"/><Relationship Id="rId758" Type="http://schemas.openxmlformats.org/officeDocument/2006/relationships/image" Target="media/image751.jpeg"/><Relationship Id="rId759" Type="http://schemas.openxmlformats.org/officeDocument/2006/relationships/image" Target="media/image752.jpeg"/><Relationship Id="rId760" Type="http://schemas.openxmlformats.org/officeDocument/2006/relationships/image" Target="media/image753.jpeg"/><Relationship Id="rId761" Type="http://schemas.openxmlformats.org/officeDocument/2006/relationships/image" Target="media/image754.jpeg"/><Relationship Id="rId762" Type="http://schemas.openxmlformats.org/officeDocument/2006/relationships/image" Target="media/image755.jpeg"/><Relationship Id="rId763" Type="http://schemas.openxmlformats.org/officeDocument/2006/relationships/image" Target="media/image756.jpeg"/><Relationship Id="rId764" Type="http://schemas.openxmlformats.org/officeDocument/2006/relationships/image" Target="media/image757.jpeg"/><Relationship Id="rId765" Type="http://schemas.openxmlformats.org/officeDocument/2006/relationships/image" Target="media/image758.jpeg"/><Relationship Id="rId766" Type="http://schemas.openxmlformats.org/officeDocument/2006/relationships/image" Target="media/image759.jpeg"/><Relationship Id="rId767" Type="http://schemas.openxmlformats.org/officeDocument/2006/relationships/image" Target="media/image760.jpeg"/><Relationship Id="rId768" Type="http://schemas.openxmlformats.org/officeDocument/2006/relationships/image" Target="media/image761.jpeg"/><Relationship Id="rId769" Type="http://schemas.openxmlformats.org/officeDocument/2006/relationships/image" Target="media/image762.jpeg"/><Relationship Id="rId770" Type="http://schemas.openxmlformats.org/officeDocument/2006/relationships/image" Target="media/image763.jpeg"/><Relationship Id="rId771" Type="http://schemas.openxmlformats.org/officeDocument/2006/relationships/image" Target="media/image764.jpeg"/><Relationship Id="rId772" Type="http://schemas.openxmlformats.org/officeDocument/2006/relationships/image" Target="media/image765.jpeg"/><Relationship Id="rId773" Type="http://schemas.openxmlformats.org/officeDocument/2006/relationships/image" Target="media/image766.jpeg"/><Relationship Id="rId774" Type="http://schemas.openxmlformats.org/officeDocument/2006/relationships/image" Target="media/image767.jpeg"/><Relationship Id="rId775" Type="http://schemas.openxmlformats.org/officeDocument/2006/relationships/image" Target="media/image768.jpeg"/><Relationship Id="rId776" Type="http://schemas.openxmlformats.org/officeDocument/2006/relationships/image" Target="media/image769.jpeg"/><Relationship Id="rId777" Type="http://schemas.openxmlformats.org/officeDocument/2006/relationships/image" Target="media/image770.jpeg"/><Relationship Id="rId778" Type="http://schemas.openxmlformats.org/officeDocument/2006/relationships/image" Target="media/image771.jpeg"/><Relationship Id="rId779" Type="http://schemas.openxmlformats.org/officeDocument/2006/relationships/image" Target="media/image772.jpeg"/><Relationship Id="rId780" Type="http://schemas.openxmlformats.org/officeDocument/2006/relationships/image" Target="media/image773.jpeg"/><Relationship Id="rId781" Type="http://schemas.openxmlformats.org/officeDocument/2006/relationships/image" Target="media/image774.jpeg"/><Relationship Id="rId782" Type="http://schemas.openxmlformats.org/officeDocument/2006/relationships/image" Target="media/image775.jpeg"/><Relationship Id="rId783" Type="http://schemas.openxmlformats.org/officeDocument/2006/relationships/image" Target="media/image776.jpeg"/><Relationship Id="rId784" Type="http://schemas.openxmlformats.org/officeDocument/2006/relationships/image" Target="media/image777.jpeg"/><Relationship Id="rId785" Type="http://schemas.openxmlformats.org/officeDocument/2006/relationships/image" Target="media/image778.jpeg"/><Relationship Id="rId786" Type="http://schemas.openxmlformats.org/officeDocument/2006/relationships/image" Target="media/image779.jpeg"/><Relationship Id="rId787" Type="http://schemas.openxmlformats.org/officeDocument/2006/relationships/image" Target="media/image780.jpeg"/><Relationship Id="rId788" Type="http://schemas.openxmlformats.org/officeDocument/2006/relationships/image" Target="media/image781.jpeg"/><Relationship Id="rId789" Type="http://schemas.openxmlformats.org/officeDocument/2006/relationships/image" Target="media/image782.jpeg"/><Relationship Id="rId790" Type="http://schemas.openxmlformats.org/officeDocument/2006/relationships/image" Target="media/image783.jpeg"/><Relationship Id="rId791" Type="http://schemas.openxmlformats.org/officeDocument/2006/relationships/image" Target="media/image784.jpeg"/><Relationship Id="rId792" Type="http://schemas.openxmlformats.org/officeDocument/2006/relationships/image" Target="media/image785.jpeg"/><Relationship Id="rId793" Type="http://schemas.openxmlformats.org/officeDocument/2006/relationships/image" Target="media/image786.jpeg"/><Relationship Id="rId794" Type="http://schemas.openxmlformats.org/officeDocument/2006/relationships/image" Target="media/image787.jpeg"/><Relationship Id="rId795" Type="http://schemas.openxmlformats.org/officeDocument/2006/relationships/image" Target="media/image788.jpeg"/><Relationship Id="rId796" Type="http://schemas.openxmlformats.org/officeDocument/2006/relationships/image" Target="media/image789.jpeg"/><Relationship Id="rId797" Type="http://schemas.openxmlformats.org/officeDocument/2006/relationships/image" Target="media/image790.jpeg"/><Relationship Id="rId798" Type="http://schemas.openxmlformats.org/officeDocument/2006/relationships/image" Target="media/image791.jpeg"/><Relationship Id="rId799" Type="http://schemas.openxmlformats.org/officeDocument/2006/relationships/image" Target="media/image792.jpeg"/><Relationship Id="rId800" Type="http://schemas.openxmlformats.org/officeDocument/2006/relationships/image" Target="media/image793.jpeg"/><Relationship Id="rId801" Type="http://schemas.openxmlformats.org/officeDocument/2006/relationships/image" Target="media/image794.jpeg"/><Relationship Id="rId802" Type="http://schemas.openxmlformats.org/officeDocument/2006/relationships/image" Target="media/image795.jpeg"/><Relationship Id="rId803" Type="http://schemas.openxmlformats.org/officeDocument/2006/relationships/image" Target="media/image796.jpeg"/><Relationship Id="rId804" Type="http://schemas.openxmlformats.org/officeDocument/2006/relationships/image" Target="media/image797.jpeg"/><Relationship Id="rId805" Type="http://schemas.openxmlformats.org/officeDocument/2006/relationships/image" Target="media/image798.jpeg"/><Relationship Id="rId806" Type="http://schemas.openxmlformats.org/officeDocument/2006/relationships/image" Target="media/image799.jpeg"/><Relationship Id="rId807" Type="http://schemas.openxmlformats.org/officeDocument/2006/relationships/image" Target="media/image800.jpeg"/><Relationship Id="rId808" Type="http://schemas.openxmlformats.org/officeDocument/2006/relationships/image" Target="media/image801.jpeg"/><Relationship Id="rId809" Type="http://schemas.openxmlformats.org/officeDocument/2006/relationships/image" Target="media/image802.jpeg"/><Relationship Id="rId810" Type="http://schemas.openxmlformats.org/officeDocument/2006/relationships/image" Target="media/image803.jpeg"/><Relationship Id="rId811" Type="http://schemas.openxmlformats.org/officeDocument/2006/relationships/image" Target="media/image804.jpeg"/><Relationship Id="rId812" Type="http://schemas.openxmlformats.org/officeDocument/2006/relationships/image" Target="media/image805.jpeg"/><Relationship Id="rId813" Type="http://schemas.openxmlformats.org/officeDocument/2006/relationships/image" Target="media/image806.jpeg"/><Relationship Id="rId814" Type="http://schemas.openxmlformats.org/officeDocument/2006/relationships/image" Target="media/image807.jpeg"/><Relationship Id="rId815" Type="http://schemas.openxmlformats.org/officeDocument/2006/relationships/image" Target="media/image808.jpeg"/><Relationship Id="rId816" Type="http://schemas.openxmlformats.org/officeDocument/2006/relationships/image" Target="media/image809.jpeg"/><Relationship Id="rId817" Type="http://schemas.openxmlformats.org/officeDocument/2006/relationships/image" Target="media/image810.jpeg"/><Relationship Id="rId818" Type="http://schemas.openxmlformats.org/officeDocument/2006/relationships/image" Target="media/image811.jpeg"/><Relationship Id="rId819" Type="http://schemas.openxmlformats.org/officeDocument/2006/relationships/image" Target="media/image812.jpeg"/><Relationship Id="rId820" Type="http://schemas.openxmlformats.org/officeDocument/2006/relationships/image" Target="media/image813.jpeg"/><Relationship Id="rId821" Type="http://schemas.openxmlformats.org/officeDocument/2006/relationships/image" Target="media/image814.jpeg"/><Relationship Id="rId822" Type="http://schemas.openxmlformats.org/officeDocument/2006/relationships/image" Target="media/image815.jpeg"/><Relationship Id="rId823" Type="http://schemas.openxmlformats.org/officeDocument/2006/relationships/image" Target="media/image816.jpeg"/><Relationship Id="rId824" Type="http://schemas.openxmlformats.org/officeDocument/2006/relationships/image" Target="media/image817.jpeg"/><Relationship Id="rId825" Type="http://schemas.openxmlformats.org/officeDocument/2006/relationships/image" Target="media/image818.jpeg"/><Relationship Id="rId826" Type="http://schemas.openxmlformats.org/officeDocument/2006/relationships/image" Target="media/image819.jpeg"/><Relationship Id="rId827" Type="http://schemas.openxmlformats.org/officeDocument/2006/relationships/image" Target="media/image820.jpeg"/><Relationship Id="rId828" Type="http://schemas.openxmlformats.org/officeDocument/2006/relationships/image" Target="media/image821.jpeg"/><Relationship Id="rId829" Type="http://schemas.openxmlformats.org/officeDocument/2006/relationships/image" Target="media/image822.jpeg"/><Relationship Id="rId830" Type="http://schemas.openxmlformats.org/officeDocument/2006/relationships/image" Target="media/image823.jpeg"/><Relationship Id="rId831" Type="http://schemas.openxmlformats.org/officeDocument/2006/relationships/image" Target="media/image824.jpeg"/><Relationship Id="rId832" Type="http://schemas.openxmlformats.org/officeDocument/2006/relationships/image" Target="media/image825.jpeg"/><Relationship Id="rId833" Type="http://schemas.openxmlformats.org/officeDocument/2006/relationships/image" Target="media/image826.jpeg"/><Relationship Id="rId834" Type="http://schemas.openxmlformats.org/officeDocument/2006/relationships/image" Target="media/image827.jpeg"/><Relationship Id="rId835" Type="http://schemas.openxmlformats.org/officeDocument/2006/relationships/image" Target="media/image828.jpeg"/><Relationship Id="rId836" Type="http://schemas.openxmlformats.org/officeDocument/2006/relationships/image" Target="media/image829.jpeg"/><Relationship Id="rId837" Type="http://schemas.openxmlformats.org/officeDocument/2006/relationships/image" Target="media/image830.jpeg"/><Relationship Id="rId838" Type="http://schemas.openxmlformats.org/officeDocument/2006/relationships/image" Target="media/image831.jpeg"/><Relationship Id="rId839" Type="http://schemas.openxmlformats.org/officeDocument/2006/relationships/image" Target="media/image832.jpeg"/><Relationship Id="rId840" Type="http://schemas.openxmlformats.org/officeDocument/2006/relationships/image" Target="media/image833.jpeg"/><Relationship Id="rId841" Type="http://schemas.openxmlformats.org/officeDocument/2006/relationships/image" Target="media/image834.jpeg"/><Relationship Id="rId842" Type="http://schemas.openxmlformats.org/officeDocument/2006/relationships/image" Target="media/image835.jpeg"/><Relationship Id="rId843" Type="http://schemas.openxmlformats.org/officeDocument/2006/relationships/image" Target="media/image836.jpeg"/><Relationship Id="rId844" Type="http://schemas.openxmlformats.org/officeDocument/2006/relationships/image" Target="media/image837.jpeg"/><Relationship Id="rId845" Type="http://schemas.openxmlformats.org/officeDocument/2006/relationships/image" Target="media/image838.jpeg"/><Relationship Id="rId846" Type="http://schemas.openxmlformats.org/officeDocument/2006/relationships/image" Target="media/image839.jpeg"/><Relationship Id="rId847" Type="http://schemas.openxmlformats.org/officeDocument/2006/relationships/image" Target="media/image840.jpeg"/><Relationship Id="rId848" Type="http://schemas.openxmlformats.org/officeDocument/2006/relationships/image" Target="media/image841.jpeg"/><Relationship Id="rId849" Type="http://schemas.openxmlformats.org/officeDocument/2006/relationships/image" Target="media/image842.jpeg"/><Relationship Id="rId850" Type="http://schemas.openxmlformats.org/officeDocument/2006/relationships/image" Target="media/image843.jpeg"/><Relationship Id="rId851" Type="http://schemas.openxmlformats.org/officeDocument/2006/relationships/image" Target="media/image844.jpeg"/><Relationship Id="rId852" Type="http://schemas.openxmlformats.org/officeDocument/2006/relationships/image" Target="media/image845.jpeg"/><Relationship Id="rId853" Type="http://schemas.openxmlformats.org/officeDocument/2006/relationships/image" Target="media/image846.jpeg"/><Relationship Id="rId854" Type="http://schemas.openxmlformats.org/officeDocument/2006/relationships/image" Target="media/image847.jpeg"/><Relationship Id="rId855" Type="http://schemas.openxmlformats.org/officeDocument/2006/relationships/image" Target="media/image848.jpeg"/><Relationship Id="rId856" Type="http://schemas.openxmlformats.org/officeDocument/2006/relationships/image" Target="media/image849.jpeg"/><Relationship Id="rId857" Type="http://schemas.openxmlformats.org/officeDocument/2006/relationships/image" Target="media/image850.jpeg"/><Relationship Id="rId858" Type="http://schemas.openxmlformats.org/officeDocument/2006/relationships/image" Target="media/image851.jpeg"/><Relationship Id="rId859" Type="http://schemas.openxmlformats.org/officeDocument/2006/relationships/image" Target="media/image852.jpeg"/><Relationship Id="rId860" Type="http://schemas.openxmlformats.org/officeDocument/2006/relationships/image" Target="media/image853.jpeg"/><Relationship Id="rId861" Type="http://schemas.openxmlformats.org/officeDocument/2006/relationships/image" Target="media/image854.jpeg"/><Relationship Id="rId862" Type="http://schemas.openxmlformats.org/officeDocument/2006/relationships/image" Target="media/image855.jpeg"/><Relationship Id="rId863" Type="http://schemas.openxmlformats.org/officeDocument/2006/relationships/image" Target="media/image856.jpeg"/><Relationship Id="rId864" Type="http://schemas.openxmlformats.org/officeDocument/2006/relationships/image" Target="media/image857.jpeg"/><Relationship Id="rId865" Type="http://schemas.openxmlformats.org/officeDocument/2006/relationships/image" Target="media/image85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2026-05-05T05:52:26Z</dcterms:created>
  <dcterms:modified xsi:type="dcterms:W3CDTF">2026-05-05T05:52:26Z</dcterms:modified>
</cp:coreProperties>
</file>