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9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959"/>
        <w:spacing w:after="0"/>
        <w:rPr>
          <w:sz w:val="20"/>
          <w:szCs w:val="20"/>
          <w:color w:val="auto"/>
        </w:rPr>
      </w:pPr>
      <w:r>
        <w:rPr>
          <w:rFonts w:ascii="Times New Roman" w:cs="Times New Roman" w:eastAsia="Times New Roman" w:hAnsi="Times New Roman"/>
          <w:sz w:val="32"/>
          <w:szCs w:val="32"/>
          <w:b w:val="1"/>
          <w:bCs w:val="1"/>
          <w:color w:val="auto"/>
        </w:rPr>
        <w:t>SCHEDULE TO</w:t>
      </w:r>
    </w:p>
    <w:p>
      <w:pPr>
        <w:spacing w:after="0" w:line="228" w:lineRule="exact"/>
        <w:rPr>
          <w:sz w:val="24"/>
          <w:szCs w:val="24"/>
          <w:color w:val="auto"/>
        </w:rPr>
      </w:pPr>
    </w:p>
    <w:p>
      <w:pPr>
        <w:jc w:val="center"/>
        <w:ind w:right="-959"/>
        <w:spacing w:after="0"/>
        <w:rPr>
          <w:sz w:val="20"/>
          <w:szCs w:val="20"/>
          <w:color w:val="auto"/>
        </w:rPr>
      </w:pPr>
      <w:r>
        <w:rPr>
          <w:rFonts w:ascii="Times New Roman" w:cs="Times New Roman" w:eastAsia="Times New Roman" w:hAnsi="Times New Roman"/>
          <w:sz w:val="22"/>
          <w:szCs w:val="22"/>
          <w:b w:val="1"/>
          <w:bCs w:val="1"/>
          <w:color w:val="auto"/>
        </w:rPr>
        <w:t>Tender Offer Statement under Section 14(d)(1) or 13(e)(1)</w:t>
      </w:r>
    </w:p>
    <w:p>
      <w:pPr>
        <w:spacing w:after="0" w:line="8" w:lineRule="exact"/>
        <w:rPr>
          <w:sz w:val="24"/>
          <w:szCs w:val="24"/>
          <w:color w:val="auto"/>
        </w:rPr>
      </w:pPr>
    </w:p>
    <w:p>
      <w:pPr>
        <w:jc w:val="center"/>
        <w:ind w:right="-95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jc w:val="center"/>
        <w:ind w:right="-959"/>
        <w:spacing w:after="0" w:line="230" w:lineRule="auto"/>
        <w:rPr>
          <w:sz w:val="20"/>
          <w:szCs w:val="20"/>
          <w:color w:val="auto"/>
        </w:rPr>
      </w:pPr>
      <w:r>
        <w:rPr>
          <w:rFonts w:ascii="Times New Roman" w:cs="Times New Roman" w:eastAsia="Times New Roman" w:hAnsi="Times New Roman"/>
          <w:sz w:val="22"/>
          <w:szCs w:val="22"/>
          <w:b w:val="1"/>
          <w:bCs w:val="1"/>
          <w:color w:val="auto"/>
        </w:rPr>
        <w:t>(Rule 14d-100)</w:t>
      </w:r>
    </w:p>
    <w:p>
      <w:pPr>
        <w:spacing w:after="0" w:line="1" w:lineRule="exact"/>
        <w:rPr>
          <w:sz w:val="24"/>
          <w:szCs w:val="24"/>
          <w:color w:val="auto"/>
        </w:rPr>
      </w:pPr>
    </w:p>
    <w:p>
      <w:pPr>
        <w:jc w:val="center"/>
        <w:ind w:right="-959"/>
        <w:spacing w:after="0"/>
        <w:rPr>
          <w:sz w:val="20"/>
          <w:szCs w:val="20"/>
          <w:color w:val="auto"/>
        </w:rPr>
      </w:pPr>
      <w:r>
        <w:rPr>
          <w:rFonts w:ascii="Times New Roman" w:cs="Times New Roman" w:eastAsia="Times New Roman" w:hAnsi="Times New Roman"/>
          <w:sz w:val="22"/>
          <w:szCs w:val="22"/>
          <w:b w:val="1"/>
          <w:bCs w:val="1"/>
          <w:color w:val="auto"/>
        </w:rPr>
        <w:t>(Amendment No. 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jc w:val="center"/>
        <w:ind w:right="-959"/>
        <w:spacing w:after="0"/>
        <w:rPr>
          <w:sz w:val="20"/>
          <w:szCs w:val="20"/>
          <w:color w:val="auto"/>
        </w:rPr>
      </w:pPr>
      <w:r>
        <w:rPr>
          <w:rFonts w:ascii="Times New Roman" w:cs="Times New Roman" w:eastAsia="Times New Roman" w:hAnsi="Times New Roman"/>
          <w:sz w:val="40"/>
          <w:szCs w:val="40"/>
          <w:b w:val="1"/>
          <w:bCs w:val="1"/>
          <w:color w:val="auto"/>
        </w:rPr>
        <w:t>CureVac N.V.</w:t>
      </w:r>
    </w:p>
    <w:p>
      <w:pPr>
        <w:spacing w:after="0" w:line="41" w:lineRule="exact"/>
        <w:rPr>
          <w:sz w:val="24"/>
          <w:szCs w:val="24"/>
          <w:color w:val="auto"/>
        </w:rPr>
      </w:pPr>
    </w:p>
    <w:p>
      <w:pPr>
        <w:jc w:val="center"/>
        <w:ind w:right="-959"/>
        <w:spacing w:after="0"/>
        <w:rPr>
          <w:sz w:val="20"/>
          <w:szCs w:val="20"/>
          <w:color w:val="auto"/>
        </w:rPr>
      </w:pPr>
      <w:r>
        <w:rPr>
          <w:rFonts w:ascii="Times New Roman" w:cs="Times New Roman" w:eastAsia="Times New Roman" w:hAnsi="Times New Roman"/>
          <w:sz w:val="18"/>
          <w:szCs w:val="18"/>
          <w:b w:val="1"/>
          <w:bCs w:val="1"/>
          <w:color w:val="auto"/>
        </w:rPr>
        <w:t>(Name of Subject Company (Issuer))</w:t>
      </w:r>
    </w:p>
    <w:p>
      <w:pPr>
        <w:spacing w:after="0" w:line="201" w:lineRule="exact"/>
        <w:rPr>
          <w:sz w:val="24"/>
          <w:szCs w:val="24"/>
          <w:color w:val="auto"/>
        </w:rPr>
      </w:pPr>
    </w:p>
    <w:p>
      <w:pPr>
        <w:jc w:val="center"/>
        <w:ind w:right="-959"/>
        <w:spacing w:after="0"/>
        <w:rPr>
          <w:sz w:val="20"/>
          <w:szCs w:val="20"/>
          <w:color w:val="auto"/>
        </w:rPr>
      </w:pPr>
      <w:r>
        <w:rPr>
          <w:rFonts w:ascii="Times New Roman" w:cs="Times New Roman" w:eastAsia="Times New Roman" w:hAnsi="Times New Roman"/>
          <w:sz w:val="18"/>
          <w:szCs w:val="18"/>
          <w:b w:val="1"/>
          <w:bCs w:val="1"/>
          <w:color w:val="auto"/>
        </w:rPr>
        <w:t>BioNTech SE</w:t>
      </w:r>
    </w:p>
    <w:p>
      <w:pPr>
        <w:spacing w:after="0" w:line="25" w:lineRule="exact"/>
        <w:rPr>
          <w:sz w:val="24"/>
          <w:szCs w:val="24"/>
          <w:color w:val="auto"/>
        </w:rPr>
      </w:pPr>
    </w:p>
    <w:p>
      <w:pPr>
        <w:jc w:val="center"/>
        <w:ind w:right="-959"/>
        <w:spacing w:after="0"/>
        <w:rPr>
          <w:sz w:val="20"/>
          <w:szCs w:val="20"/>
          <w:color w:val="auto"/>
        </w:rPr>
      </w:pPr>
      <w:r>
        <w:rPr>
          <w:rFonts w:ascii="Times New Roman" w:cs="Times New Roman" w:eastAsia="Times New Roman" w:hAnsi="Times New Roman"/>
          <w:sz w:val="14"/>
          <w:szCs w:val="14"/>
          <w:b w:val="1"/>
          <w:bCs w:val="1"/>
          <w:color w:val="auto"/>
        </w:rPr>
        <w:t>(Name of Filing Person (Offeror))</w:t>
      </w:r>
    </w:p>
    <w:p>
      <w:pPr>
        <w:spacing w:after="0" w:line="188" w:lineRule="exact"/>
        <w:rPr>
          <w:sz w:val="24"/>
          <w:szCs w:val="24"/>
          <w:color w:val="auto"/>
        </w:rPr>
      </w:pPr>
    </w:p>
    <w:p>
      <w:pPr>
        <w:jc w:val="center"/>
        <w:ind w:right="-959"/>
        <w:spacing w:after="0"/>
        <w:rPr>
          <w:sz w:val="20"/>
          <w:szCs w:val="20"/>
          <w:color w:val="auto"/>
        </w:rPr>
      </w:pPr>
      <w:r>
        <w:rPr>
          <w:rFonts w:ascii="Times New Roman" w:cs="Times New Roman" w:eastAsia="Times New Roman" w:hAnsi="Times New Roman"/>
          <w:sz w:val="18"/>
          <w:szCs w:val="18"/>
          <w:b w:val="1"/>
          <w:bCs w:val="1"/>
          <w:color w:val="auto"/>
        </w:rPr>
        <w:t>Common Shares, €0.12 par value per share</w:t>
      </w:r>
    </w:p>
    <w:p>
      <w:pPr>
        <w:spacing w:after="0" w:line="25" w:lineRule="exact"/>
        <w:rPr>
          <w:sz w:val="24"/>
          <w:szCs w:val="24"/>
          <w:color w:val="auto"/>
        </w:rPr>
      </w:pPr>
    </w:p>
    <w:p>
      <w:pPr>
        <w:jc w:val="center"/>
        <w:ind w:right="-959"/>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188" w:lineRule="exact"/>
        <w:rPr>
          <w:sz w:val="24"/>
          <w:szCs w:val="24"/>
          <w:color w:val="auto"/>
        </w:rPr>
      </w:pPr>
    </w:p>
    <w:p>
      <w:pPr>
        <w:jc w:val="center"/>
        <w:ind w:right="-959"/>
        <w:spacing w:after="0"/>
        <w:rPr>
          <w:sz w:val="20"/>
          <w:szCs w:val="20"/>
          <w:color w:val="auto"/>
        </w:rPr>
      </w:pPr>
      <w:r>
        <w:rPr>
          <w:rFonts w:ascii="Times New Roman" w:cs="Times New Roman" w:eastAsia="Times New Roman" w:hAnsi="Times New Roman"/>
          <w:sz w:val="18"/>
          <w:szCs w:val="18"/>
          <w:b w:val="1"/>
          <w:bCs w:val="1"/>
          <w:color w:val="auto"/>
        </w:rPr>
        <w:t>N2451R105</w:t>
      </w:r>
    </w:p>
    <w:p>
      <w:pPr>
        <w:spacing w:after="0" w:line="25" w:lineRule="exact"/>
        <w:rPr>
          <w:sz w:val="24"/>
          <w:szCs w:val="24"/>
          <w:color w:val="auto"/>
        </w:rPr>
      </w:pPr>
    </w:p>
    <w:p>
      <w:pPr>
        <w:jc w:val="center"/>
        <w:ind w:right="-959"/>
        <w:spacing w:after="0"/>
        <w:rPr>
          <w:sz w:val="20"/>
          <w:szCs w:val="20"/>
          <w:color w:val="auto"/>
        </w:rPr>
      </w:pPr>
      <w:r>
        <w:rPr>
          <w:rFonts w:ascii="Times New Roman" w:cs="Times New Roman" w:eastAsia="Times New Roman" w:hAnsi="Times New Roman"/>
          <w:sz w:val="14"/>
          <w:szCs w:val="14"/>
          <w:b w:val="1"/>
          <w:bCs w:val="1"/>
          <w:color w:val="auto"/>
        </w:rPr>
        <w:t>(CUSIP Number of Class of Securities)</w:t>
      </w:r>
    </w:p>
    <w:p>
      <w:pPr>
        <w:spacing w:after="0" w:line="188" w:lineRule="exact"/>
        <w:rPr>
          <w:sz w:val="24"/>
          <w:szCs w:val="24"/>
          <w:color w:val="auto"/>
        </w:rPr>
      </w:pPr>
    </w:p>
    <w:p>
      <w:pPr>
        <w:jc w:val="center"/>
        <w:ind w:right="-959"/>
        <w:spacing w:after="0"/>
        <w:rPr>
          <w:sz w:val="20"/>
          <w:szCs w:val="20"/>
          <w:color w:val="auto"/>
        </w:rPr>
      </w:pPr>
      <w:r>
        <w:rPr>
          <w:rFonts w:ascii="Times New Roman" w:cs="Times New Roman" w:eastAsia="Times New Roman" w:hAnsi="Times New Roman"/>
          <w:sz w:val="18"/>
          <w:szCs w:val="18"/>
          <w:b w:val="1"/>
          <w:bCs w:val="1"/>
          <w:color w:val="auto"/>
        </w:rPr>
        <w:t>Prof. Ugur Sahin, M.D.</w:t>
      </w:r>
    </w:p>
    <w:p>
      <w:pPr>
        <w:spacing w:after="0" w:line="31" w:lineRule="exact"/>
        <w:rPr>
          <w:sz w:val="24"/>
          <w:szCs w:val="24"/>
          <w:color w:val="auto"/>
        </w:rPr>
      </w:pPr>
    </w:p>
    <w:p>
      <w:pPr>
        <w:jc w:val="center"/>
        <w:ind w:right="-959"/>
        <w:spacing w:after="0"/>
        <w:rPr>
          <w:sz w:val="20"/>
          <w:szCs w:val="20"/>
          <w:color w:val="auto"/>
        </w:rPr>
      </w:pPr>
      <w:r>
        <w:rPr>
          <w:rFonts w:ascii="Times New Roman" w:cs="Times New Roman" w:eastAsia="Times New Roman" w:hAnsi="Times New Roman"/>
          <w:sz w:val="18"/>
          <w:szCs w:val="18"/>
          <w:b w:val="1"/>
          <w:bCs w:val="1"/>
          <w:color w:val="auto"/>
        </w:rPr>
        <w:t>An der Goldgrube 12</w:t>
      </w:r>
    </w:p>
    <w:p>
      <w:pPr>
        <w:spacing w:after="0" w:line="9" w:lineRule="exact"/>
        <w:rPr>
          <w:sz w:val="24"/>
          <w:szCs w:val="24"/>
          <w:color w:val="auto"/>
        </w:rPr>
      </w:pPr>
    </w:p>
    <w:p>
      <w:pPr>
        <w:jc w:val="center"/>
        <w:ind w:right="-959"/>
        <w:spacing w:after="0"/>
        <w:rPr>
          <w:sz w:val="20"/>
          <w:szCs w:val="20"/>
          <w:color w:val="auto"/>
        </w:rPr>
      </w:pPr>
      <w:r>
        <w:rPr>
          <w:rFonts w:ascii="Times New Roman" w:cs="Times New Roman" w:eastAsia="Times New Roman" w:hAnsi="Times New Roman"/>
          <w:sz w:val="18"/>
          <w:szCs w:val="18"/>
          <w:b w:val="1"/>
          <w:bCs w:val="1"/>
          <w:color w:val="auto"/>
        </w:rPr>
        <w:t>D-55131 Mainz</w:t>
      </w:r>
    </w:p>
    <w:p>
      <w:pPr>
        <w:spacing w:after="0" w:line="9" w:lineRule="exact"/>
        <w:rPr>
          <w:sz w:val="24"/>
          <w:szCs w:val="24"/>
          <w:color w:val="auto"/>
        </w:rPr>
      </w:pPr>
    </w:p>
    <w:p>
      <w:pPr>
        <w:jc w:val="center"/>
        <w:ind w:right="-959"/>
        <w:spacing w:after="0"/>
        <w:rPr>
          <w:sz w:val="20"/>
          <w:szCs w:val="20"/>
          <w:color w:val="auto"/>
        </w:rPr>
      </w:pPr>
      <w:r>
        <w:rPr>
          <w:rFonts w:ascii="Times New Roman" w:cs="Times New Roman" w:eastAsia="Times New Roman" w:hAnsi="Times New Roman"/>
          <w:sz w:val="18"/>
          <w:szCs w:val="18"/>
          <w:b w:val="1"/>
          <w:bCs w:val="1"/>
          <w:color w:val="auto"/>
        </w:rPr>
        <w:t>Germany</w:t>
      </w:r>
    </w:p>
    <w:p>
      <w:pPr>
        <w:spacing w:after="0" w:line="9" w:lineRule="exact"/>
        <w:rPr>
          <w:sz w:val="24"/>
          <w:szCs w:val="24"/>
          <w:color w:val="auto"/>
        </w:rPr>
      </w:pPr>
    </w:p>
    <w:p>
      <w:pPr>
        <w:jc w:val="center"/>
        <w:ind w:right="-959"/>
        <w:spacing w:after="0"/>
        <w:rPr>
          <w:sz w:val="20"/>
          <w:szCs w:val="20"/>
          <w:color w:val="auto"/>
        </w:rPr>
      </w:pPr>
      <w:r>
        <w:rPr>
          <w:rFonts w:ascii="Times New Roman" w:cs="Times New Roman" w:eastAsia="Times New Roman" w:hAnsi="Times New Roman"/>
          <w:sz w:val="18"/>
          <w:szCs w:val="18"/>
          <w:b w:val="1"/>
          <w:bCs w:val="1"/>
          <w:color w:val="auto"/>
        </w:rPr>
        <w:t>Telephone: +49 6131-9084-0</w:t>
      </w:r>
    </w:p>
    <w:p>
      <w:pPr>
        <w:spacing w:after="0" w:line="2" w:lineRule="exact"/>
        <w:rPr>
          <w:sz w:val="24"/>
          <w:szCs w:val="24"/>
          <w:color w:val="auto"/>
        </w:rPr>
      </w:pPr>
    </w:p>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(Name, address, and telephone number of person authorized to receive notices and communications on behalf of filing persons)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tbl>
      <w:tblPr>
        <w:tblLayout w:type="fixed"/>
        <w:tblInd w:w="1520" w:type="dxa"/>
        <w:tblCellMar>
          <w:top w:w="0" w:type="dxa"/>
          <w:left w:w="0" w:type="dxa"/>
          <w:bottom w:w="0" w:type="dxa"/>
          <w:right w:w="0" w:type="dxa"/>
        </w:tblCellMar>
      </w:tblPr>
      <w:tr>
        <w:trPr>
          <w:trHeight w:val="238"/>
        </w:trPr>
        <w:tc>
          <w:tcPr>
            <w:tcW w:w="2980" w:type="dxa"/>
            <w:vAlign w:val="bottom"/>
          </w:tcPr>
          <w:p>
            <w:pPr>
              <w:spacing w:after="0"/>
              <w:rPr>
                <w:sz w:val="20"/>
                <w:szCs w:val="20"/>
                <w:color w:val="auto"/>
              </w:rPr>
            </w:pPr>
          </w:p>
        </w:tc>
        <w:tc>
          <w:tcPr>
            <w:tcW w:w="5540" w:type="dxa"/>
            <w:vAlign w:val="bottom"/>
          </w:tcPr>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with copies to:</w:t>
            </w:r>
          </w:p>
        </w:tc>
      </w:tr>
      <w:tr>
        <w:trPr>
          <w:trHeight w:val="437"/>
        </w:trPr>
        <w:tc>
          <w:tcPr>
            <w:tcW w:w="2980" w:type="dxa"/>
            <w:vAlign w:val="bottom"/>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9"/>
              </w:rPr>
              <w:t>Paul Claydon</w:t>
            </w:r>
          </w:p>
        </w:tc>
        <w:tc>
          <w:tcPr>
            <w:tcW w:w="5540" w:type="dxa"/>
            <w:vAlign w:val="bottom"/>
          </w:tcPr>
          <w:p>
            <w:pPr>
              <w:jc w:val="center"/>
              <w:ind w:left="2050"/>
              <w:spacing w:after="0"/>
              <w:rPr>
                <w:sz w:val="20"/>
                <w:szCs w:val="20"/>
                <w:color w:val="auto"/>
              </w:rPr>
            </w:pPr>
            <w:r>
              <w:rPr>
                <w:rFonts w:ascii="Times New Roman" w:cs="Times New Roman" w:eastAsia="Times New Roman" w:hAnsi="Times New Roman"/>
                <w:sz w:val="18"/>
                <w:szCs w:val="18"/>
                <w:b w:val="1"/>
                <w:bCs w:val="1"/>
                <w:color w:val="auto"/>
                <w:w w:val="98"/>
              </w:rPr>
              <w:t>Howard L. Ellin</w:t>
            </w:r>
          </w:p>
        </w:tc>
      </w:tr>
      <w:tr>
        <w:trPr>
          <w:trHeight w:val="216"/>
        </w:trPr>
        <w:tc>
          <w:tcPr>
            <w:tcW w:w="2980" w:type="dxa"/>
            <w:vAlign w:val="bottom"/>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9"/>
              </w:rPr>
              <w:t>Jack S. Bodner</w:t>
            </w:r>
          </w:p>
        </w:tc>
        <w:tc>
          <w:tcPr>
            <w:tcW w:w="5540" w:type="dxa"/>
            <w:vAlign w:val="bottom"/>
          </w:tcPr>
          <w:p>
            <w:pPr>
              <w:jc w:val="center"/>
              <w:ind w:left="2050"/>
              <w:spacing w:after="0"/>
              <w:rPr>
                <w:sz w:val="20"/>
                <w:szCs w:val="20"/>
                <w:color w:val="auto"/>
              </w:rPr>
            </w:pPr>
            <w:r>
              <w:rPr>
                <w:rFonts w:ascii="Times New Roman" w:cs="Times New Roman" w:eastAsia="Times New Roman" w:hAnsi="Times New Roman"/>
                <w:sz w:val="18"/>
                <w:szCs w:val="18"/>
                <w:b w:val="1"/>
                <w:bCs w:val="1"/>
                <w:color w:val="auto"/>
              </w:rPr>
              <w:t>June S. Dipchand</w:t>
            </w:r>
          </w:p>
        </w:tc>
      </w:tr>
      <w:tr>
        <w:trPr>
          <w:trHeight w:val="216"/>
        </w:trPr>
        <w:tc>
          <w:tcPr>
            <w:tcW w:w="2980" w:type="dxa"/>
            <w:vAlign w:val="bottom"/>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w w:val="98"/>
              </w:rPr>
              <w:t>Matthew T. Gehl</w:t>
            </w:r>
          </w:p>
        </w:tc>
        <w:tc>
          <w:tcPr>
            <w:tcW w:w="5540" w:type="dxa"/>
            <w:vAlign w:val="bottom"/>
          </w:tcPr>
          <w:p>
            <w:pPr>
              <w:jc w:val="center"/>
              <w:ind w:left="2050"/>
              <w:spacing w:after="0"/>
              <w:rPr>
                <w:sz w:val="20"/>
                <w:szCs w:val="20"/>
                <w:color w:val="auto"/>
              </w:rPr>
            </w:pPr>
            <w:r>
              <w:rPr>
                <w:rFonts w:ascii="Times New Roman" w:cs="Times New Roman" w:eastAsia="Times New Roman" w:hAnsi="Times New Roman"/>
                <w:sz w:val="18"/>
                <w:szCs w:val="18"/>
                <w:b w:val="1"/>
                <w:bCs w:val="1"/>
                <w:color w:val="auto"/>
              </w:rPr>
              <w:t>Stephan Hutter</w:t>
            </w:r>
          </w:p>
        </w:tc>
      </w:tr>
      <w:tr>
        <w:trPr>
          <w:trHeight w:val="216"/>
        </w:trPr>
        <w:tc>
          <w:tcPr>
            <w:tcW w:w="2980" w:type="dxa"/>
            <w:vAlign w:val="bottom"/>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9"/>
              </w:rPr>
              <w:t>Charles A. Dobb</w:t>
            </w:r>
          </w:p>
        </w:tc>
        <w:tc>
          <w:tcPr>
            <w:tcW w:w="5540" w:type="dxa"/>
            <w:vAlign w:val="bottom"/>
          </w:tcPr>
          <w:p>
            <w:pPr>
              <w:jc w:val="center"/>
              <w:ind w:left="2050"/>
              <w:spacing w:after="0"/>
              <w:rPr>
                <w:sz w:val="20"/>
                <w:szCs w:val="20"/>
                <w:color w:val="auto"/>
              </w:rPr>
            </w:pPr>
            <w:r>
              <w:rPr>
                <w:rFonts w:ascii="Times New Roman" w:cs="Times New Roman" w:eastAsia="Times New Roman" w:hAnsi="Times New Roman"/>
                <w:sz w:val="18"/>
                <w:szCs w:val="18"/>
                <w:b w:val="1"/>
                <w:bCs w:val="1"/>
                <w:color w:val="auto"/>
              </w:rPr>
              <w:t>Holger Hofmeister</w:t>
            </w:r>
          </w:p>
        </w:tc>
      </w:tr>
      <w:tr>
        <w:trPr>
          <w:trHeight w:val="216"/>
        </w:trPr>
        <w:tc>
          <w:tcPr>
            <w:tcW w:w="2980" w:type="dxa"/>
            <w:vAlign w:val="bottom"/>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9"/>
              </w:rPr>
              <w:t>Brian K. Rosenzweig</w:t>
            </w:r>
          </w:p>
        </w:tc>
        <w:tc>
          <w:tcPr>
            <w:tcW w:w="5540" w:type="dxa"/>
            <w:vAlign w:val="bottom"/>
          </w:tcPr>
          <w:p>
            <w:pPr>
              <w:jc w:val="center"/>
              <w:ind w:left="2030"/>
              <w:spacing w:after="0"/>
              <w:rPr>
                <w:sz w:val="20"/>
                <w:szCs w:val="20"/>
                <w:color w:val="auto"/>
              </w:rPr>
            </w:pPr>
            <w:r>
              <w:rPr>
                <w:rFonts w:ascii="Times New Roman" w:cs="Times New Roman" w:eastAsia="Times New Roman" w:hAnsi="Times New Roman"/>
                <w:sz w:val="18"/>
                <w:szCs w:val="18"/>
                <w:b w:val="1"/>
                <w:bCs w:val="1"/>
                <w:color w:val="auto"/>
                <w:w w:val="99"/>
              </w:rPr>
              <w:t>Skadden, Arps, Slate, Meagher &amp; Flom LLP</w:t>
            </w:r>
          </w:p>
        </w:tc>
      </w:tr>
      <w:tr>
        <w:trPr>
          <w:trHeight w:val="216"/>
        </w:trPr>
        <w:tc>
          <w:tcPr>
            <w:tcW w:w="2980" w:type="dxa"/>
            <w:vAlign w:val="bottom"/>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w w:val="99"/>
              </w:rPr>
              <w:t>Covington &amp; Burling LLP</w:t>
            </w:r>
          </w:p>
        </w:tc>
        <w:tc>
          <w:tcPr>
            <w:tcW w:w="5540" w:type="dxa"/>
            <w:vAlign w:val="bottom"/>
          </w:tcPr>
          <w:p>
            <w:pPr>
              <w:jc w:val="center"/>
              <w:ind w:left="2050"/>
              <w:spacing w:after="0"/>
              <w:rPr>
                <w:sz w:val="20"/>
                <w:szCs w:val="20"/>
                <w:color w:val="auto"/>
              </w:rPr>
            </w:pPr>
            <w:r>
              <w:rPr>
                <w:rFonts w:ascii="Times New Roman" w:cs="Times New Roman" w:eastAsia="Times New Roman" w:hAnsi="Times New Roman"/>
                <w:sz w:val="18"/>
                <w:szCs w:val="18"/>
                <w:b w:val="1"/>
                <w:bCs w:val="1"/>
                <w:color w:val="auto"/>
                <w:w w:val="98"/>
              </w:rPr>
              <w:t>One Manhattan West</w:t>
            </w:r>
          </w:p>
        </w:tc>
      </w:tr>
      <w:tr>
        <w:trPr>
          <w:trHeight w:val="216"/>
        </w:trPr>
        <w:tc>
          <w:tcPr>
            <w:tcW w:w="2980" w:type="dxa"/>
            <w:vAlign w:val="bottom"/>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8"/>
              </w:rPr>
              <w:t>30 Hudson Yards</w:t>
            </w:r>
          </w:p>
        </w:tc>
        <w:tc>
          <w:tcPr>
            <w:tcW w:w="5540" w:type="dxa"/>
            <w:vAlign w:val="bottom"/>
          </w:tcPr>
          <w:p>
            <w:pPr>
              <w:jc w:val="center"/>
              <w:ind w:left="2050"/>
              <w:spacing w:after="0"/>
              <w:rPr>
                <w:sz w:val="20"/>
                <w:szCs w:val="20"/>
                <w:color w:val="auto"/>
              </w:rPr>
            </w:pPr>
            <w:r>
              <w:rPr>
                <w:rFonts w:ascii="Times New Roman" w:cs="Times New Roman" w:eastAsia="Times New Roman" w:hAnsi="Times New Roman"/>
                <w:sz w:val="18"/>
                <w:szCs w:val="18"/>
                <w:b w:val="1"/>
                <w:bCs w:val="1"/>
                <w:color w:val="auto"/>
                <w:w w:val="98"/>
              </w:rPr>
              <w:t>395 Ninth Avenue</w:t>
            </w:r>
          </w:p>
        </w:tc>
      </w:tr>
      <w:tr>
        <w:trPr>
          <w:trHeight w:val="216"/>
        </w:trPr>
        <w:tc>
          <w:tcPr>
            <w:tcW w:w="2980" w:type="dxa"/>
            <w:vAlign w:val="bottom"/>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7"/>
              </w:rPr>
              <w:t>New York, New York 10001-2170</w:t>
            </w:r>
          </w:p>
        </w:tc>
        <w:tc>
          <w:tcPr>
            <w:tcW w:w="5540" w:type="dxa"/>
            <w:vAlign w:val="bottom"/>
          </w:tcPr>
          <w:p>
            <w:pPr>
              <w:jc w:val="center"/>
              <w:ind w:left="2050"/>
              <w:spacing w:after="0"/>
              <w:rPr>
                <w:sz w:val="20"/>
                <w:szCs w:val="20"/>
                <w:color w:val="auto"/>
              </w:rPr>
            </w:pPr>
            <w:r>
              <w:rPr>
                <w:rFonts w:ascii="Times New Roman" w:cs="Times New Roman" w:eastAsia="Times New Roman" w:hAnsi="Times New Roman"/>
                <w:sz w:val="18"/>
                <w:szCs w:val="18"/>
                <w:b w:val="1"/>
                <w:bCs w:val="1"/>
                <w:color w:val="auto"/>
                <w:w w:val="98"/>
              </w:rPr>
              <w:t>New York, New York 10001</w:t>
            </w:r>
          </w:p>
        </w:tc>
      </w:tr>
      <w:tr>
        <w:trPr>
          <w:trHeight w:val="238"/>
        </w:trPr>
        <w:tc>
          <w:tcPr>
            <w:tcW w:w="2980" w:type="dxa"/>
            <w:vAlign w:val="bottom"/>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8"/>
              </w:rPr>
              <w:t>Telephone: (212) 841-1000</w:t>
            </w:r>
          </w:p>
        </w:tc>
        <w:tc>
          <w:tcPr>
            <w:tcW w:w="5540" w:type="dxa"/>
            <w:vAlign w:val="bottom"/>
          </w:tcPr>
          <w:p>
            <w:pPr>
              <w:jc w:val="center"/>
              <w:ind w:left="2050"/>
              <w:spacing w:after="0"/>
              <w:rPr>
                <w:sz w:val="20"/>
                <w:szCs w:val="20"/>
                <w:color w:val="auto"/>
              </w:rPr>
            </w:pPr>
            <w:r>
              <w:rPr>
                <w:rFonts w:ascii="Times New Roman" w:cs="Times New Roman" w:eastAsia="Times New Roman" w:hAnsi="Times New Roman"/>
                <w:sz w:val="18"/>
                <w:szCs w:val="18"/>
                <w:b w:val="1"/>
                <w:bCs w:val="1"/>
                <w:color w:val="auto"/>
                <w:w w:val="98"/>
              </w:rPr>
              <w:t>Telephone: (212) 735-3000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3" w:lineRule="exact"/>
        <w:rPr>
          <w:sz w:val="24"/>
          <w:szCs w:val="24"/>
          <w:color w:val="auto"/>
        </w:rPr>
      </w:pPr>
    </w:p>
    <w:p>
      <w:pPr>
        <w:spacing w:after="0" w:line="207" w:lineRule="exact"/>
        <w:tabs>
          <w:tab w:leader="none" w:pos="40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7"/>
          <w:szCs w:val="17"/>
          <w:color w:val="auto"/>
        </w:rPr>
        <w:t>Check the box if the filing relates solely to preliminary communications made before the commencement of a tender offer.</w:t>
      </w:r>
    </w:p>
    <w:p>
      <w:pPr>
        <w:spacing w:after="0" w:line="266"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8"/>
          <w:szCs w:val="18"/>
          <w:color w:val="auto"/>
        </w:rPr>
        <w:t>Check the appropriate boxes below to designate any transactions to which the statement relates:</w:t>
      </w:r>
    </w:p>
    <w:p>
      <w:pPr>
        <w:spacing w:after="0" w:line="90" w:lineRule="exact"/>
        <w:rPr>
          <w:sz w:val="24"/>
          <w:szCs w:val="24"/>
          <w:color w:val="auto"/>
        </w:rPr>
      </w:pPr>
    </w:p>
    <w:p>
      <w:pPr>
        <w:spacing w:after="0" w:line="207" w:lineRule="exact"/>
        <w:tabs>
          <w:tab w:leader="none" w:pos="40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tab/>
        <w:t>third-party tender offer subject to Rule 14d-1.</w:t>
      </w:r>
    </w:p>
    <w:p>
      <w:pPr>
        <w:spacing w:after="0" w:line="70" w:lineRule="exact"/>
        <w:rPr>
          <w:sz w:val="24"/>
          <w:szCs w:val="24"/>
          <w:color w:val="auto"/>
        </w:rPr>
      </w:pPr>
    </w:p>
    <w:p>
      <w:pPr>
        <w:spacing w:after="0" w:line="207" w:lineRule="exact"/>
        <w:tabs>
          <w:tab w:leader="none" w:pos="40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tab/>
        <w:t>issuer tender offer subject to Rule 13e-4.</w:t>
      </w:r>
    </w:p>
    <w:p>
      <w:pPr>
        <w:spacing w:after="0" w:line="2" w:lineRule="exact"/>
        <w:rPr>
          <w:sz w:val="24"/>
          <w:szCs w:val="24"/>
          <w:color w:val="auto"/>
        </w:rPr>
      </w:pPr>
    </w:p>
    <w:p>
      <w:pPr>
        <w:spacing w:after="0" w:line="207" w:lineRule="exact"/>
        <w:tabs>
          <w:tab w:leader="none" w:pos="40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tab/>
        <w:t>going-private transaction subject to Rule 13e-3.</w:t>
      </w:r>
    </w:p>
    <w:p>
      <w:pPr>
        <w:spacing w:after="0" w:line="16" w:lineRule="exact"/>
        <w:rPr>
          <w:sz w:val="24"/>
          <w:szCs w:val="24"/>
          <w:color w:val="auto"/>
        </w:rPr>
      </w:pPr>
    </w:p>
    <w:p>
      <w:pPr>
        <w:spacing w:after="0" w:line="207" w:lineRule="exact"/>
        <w:tabs>
          <w:tab w:leader="none" w:pos="40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tab/>
        <w:t>amendment to Schedule 13D under Rule 13d-2.</w:t>
      </w:r>
    </w:p>
    <w:p>
      <w:pPr>
        <w:spacing w:after="0" w:line="16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Check the following box if the filing is a final amendment reporting the results of the tender offer: 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If applicable, check the appropriate box(es) below to designate the appropriate rule provision(s) relied upon:</w:t>
      </w:r>
    </w:p>
    <w:p>
      <w:pPr>
        <w:spacing w:after="0" w:line="90" w:lineRule="exact"/>
        <w:rPr>
          <w:sz w:val="24"/>
          <w:szCs w:val="24"/>
          <w:color w:val="auto"/>
        </w:rPr>
      </w:pPr>
    </w:p>
    <w:p>
      <w:pPr>
        <w:spacing w:after="0" w:line="207" w:lineRule="exact"/>
        <w:tabs>
          <w:tab w:leader="none" w:pos="40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7"/>
          <w:szCs w:val="17"/>
          <w:color w:val="auto"/>
        </w:rPr>
        <w:t>Rule 13e-4(i) (Cross-Border Issuer Tender Offer)</w:t>
      </w:r>
    </w:p>
    <w:p>
      <w:pPr>
        <w:spacing w:after="0" w:line="63" w:lineRule="exact"/>
        <w:rPr>
          <w:sz w:val="24"/>
          <w:szCs w:val="24"/>
          <w:color w:val="auto"/>
        </w:rPr>
      </w:pPr>
    </w:p>
    <w:p>
      <w:pPr>
        <w:spacing w:after="0" w:line="207" w:lineRule="exact"/>
        <w:tabs>
          <w:tab w:leader="none" w:pos="40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7"/>
          <w:szCs w:val="17"/>
          <w:color w:val="auto"/>
        </w:rPr>
        <w:t>Rule 14d-1(d) (Cross-Border Third-Party Tender Offer)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180340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223520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40"/>
          </w:cols>
          <w:pgMar w:left="440" w:top="511" w:right="14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Amendment No. 3 amends and supplements the Tender Offer Statement on Schedule TO filed by BioNTech SE, a European stock corporation</w:t>
      </w:r>
    </w:p>
    <w:p>
      <w:pPr>
        <w:spacing w:after="0" w:line="2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Societas Europaea</w:t>
      </w:r>
      <w:r>
        <w:rPr>
          <w:rFonts w:ascii="Times New Roman" w:cs="Times New Roman" w:eastAsia="Times New Roman" w:hAnsi="Times New Roman"/>
          <w:sz w:val="18"/>
          <w:szCs w:val="18"/>
          <w:color w:val="auto"/>
        </w:rPr>
        <w:t>, or SE) organized under the laws of Germany and the European Union (“</w:t>
      </w:r>
      <w:r>
        <w:rPr>
          <w:rFonts w:ascii="Times New Roman" w:cs="Times New Roman" w:eastAsia="Times New Roman" w:hAnsi="Times New Roman"/>
          <w:sz w:val="18"/>
          <w:szCs w:val="18"/>
          <w:i w:val="1"/>
          <w:iCs w:val="1"/>
          <w:color w:val="auto"/>
        </w:rPr>
        <w:t>BioNTech</w:t>
      </w:r>
      <w:r>
        <w:rPr>
          <w:rFonts w:ascii="Times New Roman" w:cs="Times New Roman" w:eastAsia="Times New Roman" w:hAnsi="Times New Roman"/>
          <w:sz w:val="18"/>
          <w:szCs w:val="18"/>
          <w:color w:val="auto"/>
        </w:rPr>
        <w:t>”), on October 21, 2025 (the “</w:t>
      </w:r>
      <w:r>
        <w:rPr>
          <w:rFonts w:ascii="Times New Roman" w:cs="Times New Roman" w:eastAsia="Times New Roman" w:hAnsi="Times New Roman"/>
          <w:sz w:val="18"/>
          <w:szCs w:val="18"/>
          <w:i w:val="1"/>
          <w:iCs w:val="1"/>
          <w:color w:val="auto"/>
        </w:rPr>
        <w:t>Schedule TO</w:t>
      </w:r>
      <w:r>
        <w:rPr>
          <w:rFonts w:ascii="Times New Roman" w:cs="Times New Roman" w:eastAsia="Times New Roman" w:hAnsi="Times New Roman"/>
          <w:sz w:val="18"/>
          <w:szCs w:val="18"/>
          <w:color w:val="auto"/>
        </w:rPr>
        <w:t>”). The Schedule TO relates to the offer by BioNTech to exchange American Depositary Shares, each representing one ordinary share, no par value, with a notional amount attributable to each ordinary share of €1, of BioNTech, for all of the outstanding ordinary shares, par value €0.12 per share, of CureVac N.V., a public limited liability company (</w:t>
      </w:r>
      <w:r>
        <w:rPr>
          <w:rFonts w:ascii="Times New Roman" w:cs="Times New Roman" w:eastAsia="Times New Roman" w:hAnsi="Times New Roman"/>
          <w:sz w:val="18"/>
          <w:szCs w:val="18"/>
          <w:i w:val="1"/>
          <w:iCs w:val="1"/>
          <w:color w:val="auto"/>
        </w:rPr>
        <w:t>naamloze vennootschap</w:t>
      </w:r>
      <w:r>
        <w:rPr>
          <w:rFonts w:ascii="Times New Roman" w:cs="Times New Roman" w:eastAsia="Times New Roman" w:hAnsi="Times New Roman"/>
          <w:sz w:val="18"/>
          <w:szCs w:val="18"/>
          <w:color w:val="auto"/>
        </w:rPr>
        <w:t>) incorporated under the laws of the Netherlands, upon the terms and subject to the conditions set forth in the Exchange Offer Prospectus and the related Letter of Transmittal, each as defined in the Schedule TO. The Exchange Offer Prospectus and Letter of Transmittal are incorporated by reference to Exhibit (a)(1)(A) and (a)(4) of the Schedule TO.</w:t>
      </w:r>
    </w:p>
    <w:p>
      <w:pPr>
        <w:spacing w:after="0" w:line="19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information set forth in the Exchange Offer Prospectus, including all annexes thereto, is hereby expressly incorporated by reference in response to all of the items of the Schedule TO, and is supplemented by the information specifically provided herein.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Items 1 through 11.</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Exchange Offer Prospectus and Items 1 through 11 of the Schedule TO are hereby amended and supplemented as follows:</w:t>
      </w:r>
    </w:p>
    <w:p>
      <w:pPr>
        <w:spacing w:after="0" w:line="22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The information set forth in the sections of the Exchange Offer Prospectus entitled “Questions and Answers – Are there any conditions to closing of the offer that must be satisfied for the offer to be completed?,” “Questions and Answers – Will there be a subsequent offering period?,” “Summary – Extension of the Offer Period,” “Summary – Subsequent Offering Period,”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“Summary – Conditions to Closing of the Offer,” as applicable, are hereby amended and supplemented by inserting the following paragraph at the end of each section:</w:t>
      </w:r>
    </w:p>
    <w:p>
      <w:pPr>
        <w:spacing w:after="0" w:line="182"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“At 9:00 a.m. (New York City time) on December 3, 2025, the number of CureVac shares validly tendered and not properly withdrawn pursuant to the offer satisfied the minimum condition, and all other conditions to the offer were satisfied or waived. BioNTech has accepted for payment all CureVac shares validly tendered and not properly withdrawn prior to the expiration time. The offer has not been extended. Pursuant to Rule 14d-11 promulgated under the Exchange Act, BioNTech has elected to provide a subsequent offering period of 10 business days, which has commenced and will expire at 12:01 a.m. (New York City time) on December 18, 2025. CureVac shares validly tendered during the subsequent offering period will be accepted by BioNTech and exchanged pursuant to the terms of the offer.”</w:t>
      </w:r>
    </w:p>
    <w:p>
      <w:pPr>
        <w:spacing w:after="0" w:line="185"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8"/>
          <w:szCs w:val="18"/>
          <w:i w:val="1"/>
          <w:iCs w:val="1"/>
          <w:color w:val="auto"/>
        </w:rPr>
        <w:t>The information set forth in the sections of the Exchange Offer Prospectus entitled “The Offer – Extension of the Offer Period,” “The Offer – Subsequent Offering Period,” “The Purchase Agreement – The Offer,” and “The Purchase Agreement – Conditions to Closing of the Offer” are hereby amended and supplemented by inserting the following paragraphs at the end of the section:</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“At 9:00 a.m. (New York City time) on December 3, 2025, the offer expired. The exchange agent advised BioNTech that, as of the expiration time, a total of 184,071,410 CureVac shares, collectively representing approximately 81.74% of CureVac’s issued and outstanding capital, were validly tendered and not properly withdrawn immediately prior to the expiration time. As a result, as of the expiration time, the number of CureVac shares validly tendered and not properly withdrawn pursuant to the offer satisfied the minimum condition, and all other conditions to the offer were satisfied or waived. BioNTech has accepted all CureVac shares validly tendered and not properly withdrawn prior to the expiration time.</w:t>
      </w:r>
    </w:p>
    <w:p>
      <w:pPr>
        <w:spacing w:after="0" w:line="183"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As a result, the subsequent offering period has commenced and will expire at 12:01 a.m. (New York City time) on Thursday, December 18, 2025. CureVac shareholders who do not tender prior to the expiration of the subsequent offering period will generally be subject to a 15% Dutch withholding tax. No guaranteed delivery procedures apply.</w:t>
      </w:r>
    </w:p>
    <w:p>
      <w:pPr>
        <w:sectPr>
          <w:pgSz w:w="11900" w:h="16838" w:orient="portrait"/>
          <w:cols w:equalWidth="0" w:num="1">
            <w:col w:w="11000"/>
          </w:cols>
          <w:pgMar w:left="440" w:top="270" w:right="459" w:bottom="1440" w:gutter="0" w:footer="0" w:header="0"/>
        </w:sectPr>
      </w:pPr>
    </w:p>
    <w:bookmarkStart w:id="2" w:name="page3"/>
    <w:bookmarkEnd w:id="2"/>
    <w:p>
      <w:pPr>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BioNTech expects to consummate the post-offer reorganization pursuant to the Purchase Agreement as promptly as practicable after the expiration of the subsequent offering period. Promptly following the completion of the post-offer reorganization, CureVac will no longer be a publicly traded company, the listing of the CureVac shares on Nasdaq will be terminated, and the CureVac shares will be deregistered under the Exchange Act, resulting in the cessation of CureVac’s reporting obligations with respect to the CureVac shares thereunder.”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12 of the Schedule TO is hereby amended and supplemented by adding the following exhibits: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700" w:type="dxa"/>
            <w:vAlign w:val="bottom"/>
          </w:tcPr>
          <w:p>
            <w:pPr>
              <w:spacing w:after="0"/>
              <w:rPr>
                <w:sz w:val="15"/>
                <w:szCs w:val="15"/>
                <w:color w:val="auto"/>
              </w:rPr>
            </w:pPr>
          </w:p>
        </w:tc>
        <w:tc>
          <w:tcPr>
            <w:tcW w:w="96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70"/>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(a)(5)(N)</w:t>
            </w:r>
          </w:p>
        </w:tc>
        <w:tc>
          <w:tcPr>
            <w:tcW w:w="700" w:type="dxa"/>
            <w:vAlign w:val="bottom"/>
          </w:tcPr>
          <w:p>
            <w:pPr>
              <w:spacing w:after="0"/>
              <w:rPr>
                <w:sz w:val="23"/>
                <w:szCs w:val="23"/>
                <w:color w:val="auto"/>
              </w:rPr>
            </w:pPr>
          </w:p>
        </w:tc>
        <w:tc>
          <w:tcPr>
            <w:tcW w:w="932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9"/>
              </w:rPr>
            </w:pPr>
            <w:hyperlink r:id="rId18">
              <w:r>
                <w:rPr>
                  <w:rFonts w:ascii="Times New Roman" w:cs="Times New Roman" w:eastAsia="Times New Roman" w:hAnsi="Times New Roman"/>
                  <w:sz w:val="18"/>
                  <w:szCs w:val="18"/>
                  <w:color w:val="0000EE"/>
                  <w:w w:val="99"/>
                </w:rPr>
                <w:t>Press Release issued by BioNTech SE, dated December 3, 2025 (incorporated by reference to Exhibit 99.1 to the Report on Form</w:t>
              </w:r>
            </w:hyperlink>
          </w:p>
        </w:tc>
        <w:tc>
          <w:tcPr>
            <w:tcW w:w="280" w:type="dxa"/>
            <w:vAlign w:val="bottom"/>
          </w:tcPr>
          <w:p>
            <w:pPr>
              <w:spacing w:after="0"/>
              <w:rPr>
                <w:sz w:val="23"/>
                <w:szCs w:val="23"/>
                <w:color w:val="auto"/>
              </w:rPr>
            </w:pPr>
          </w:p>
        </w:tc>
      </w:tr>
      <w:tr>
        <w:trPr>
          <w:trHeight w:val="196"/>
        </w:trPr>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600" w:type="dxa"/>
            <w:vAlign w:val="bottom"/>
            <w:gridSpan w:val="3"/>
          </w:tcPr>
          <w:p>
            <w:pPr>
              <w:spacing w:after="0" w:line="196" w:lineRule="exact"/>
              <w:rPr>
                <w:rFonts w:ascii="Times New Roman" w:cs="Times New Roman" w:eastAsia="Times New Roman" w:hAnsi="Times New Roman"/>
                <w:sz w:val="18"/>
                <w:szCs w:val="18"/>
                <w:color w:val="0000EE"/>
              </w:rPr>
            </w:pPr>
            <w:hyperlink r:id="rId18">
              <w:r>
                <w:rPr>
                  <w:rFonts w:ascii="Times New Roman" w:cs="Times New Roman" w:eastAsia="Times New Roman" w:hAnsi="Times New Roman"/>
                  <w:sz w:val="18"/>
                  <w:szCs w:val="18"/>
                  <w:color w:val="0000EE"/>
                </w:rPr>
                <w:t>6-K filed by BioNTech SE with the SEC on December 3, 2025).</w:t>
              </w:r>
            </w:hyperlink>
          </w:p>
        </w:tc>
      </w:tr>
      <w:tr>
        <w:trPr>
          <w:trHeight w:val="20"/>
        </w:trPr>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20" w:type="dxa"/>
            <w:vAlign w:val="bottom"/>
            <w:shd w:val="clear" w:color="auto" w:fill="0000EE"/>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ectPr>
          <w:pgSz w:w="11900" w:h="16838" w:orient="portrait"/>
          <w:cols w:equalWidth="0" w:num="1">
            <w:col w:w="11020"/>
          </w:cols>
          <w:pgMar w:left="440" w:top="270" w:right="439" w:bottom="1440" w:gutter="0" w:footer="0" w:header="0"/>
        </w:sectPr>
      </w:pPr>
    </w:p>
    <w:bookmarkStart w:id="3" w:name="page4"/>
    <w:bookmarkEnd w:id="3"/>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After due inquiry and to the best of my knowledge and belief, I certify that the information set forth in this statement is true, complete and correct.</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December 3,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BioNTech 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Prof. Ugur Sahin,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Prof. Ugur Sahin, M.D.</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Chief Executive Offer</w:t>
      </w:r>
    </w:p>
    <w:sectPr>
      <w:pgSz w:w="11900" w:h="16838" w:orient="portrait"/>
      <w:cols w:equalWidth="0" w:num="1">
        <w:col w:w="10540"/>
      </w:cols>
      <w:pgMar w:left="440" w:top="266" w:right="9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18" Type="http://schemas.openxmlformats.org/officeDocument/2006/relationships/hyperlink" Target="http://www.sec.gov/Archives/edgar/data/1776985/000119312525306790/d63919dex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2025-12-03T15:55:02Z</dcterms:created>
  <dcterms:modified xsi:type="dcterms:W3CDTF">2025-12-03T15:55:02Z</dcterms:modified>
</cp:coreProperties>
</file>