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NOVEMBER 2024</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On November 4, 2024, BioNTech SE (the “Company”) provided a development update and reported its financial results for the three and nine months ended September 30, 2024. The interim condensed consolidated financial statements as well as the operating and financial review and prospects of the Company for the three and nine months ended September 30, 2024, are attached hereto as Exhibit 99.1. In addition, an English translation of the Company’s current Articles of Association, which were registered with the commercial register (</w:t>
      </w:r>
      <w:r>
        <w:rPr>
          <w:rFonts w:ascii="Times New Roman" w:cs="Times New Roman" w:eastAsia="Times New Roman" w:hAnsi="Times New Roman"/>
          <w:sz w:val="22"/>
          <w:szCs w:val="22"/>
          <w:i w:val="1"/>
          <w:iCs w:val="1"/>
          <w:color w:val="auto"/>
        </w:rPr>
        <w:t>Handelsregister</w:t>
      </w:r>
      <w:r>
        <w:rPr>
          <w:rFonts w:ascii="Times New Roman" w:cs="Times New Roman" w:eastAsia="Times New Roman" w:hAnsi="Times New Roman"/>
          <w:sz w:val="22"/>
          <w:szCs w:val="22"/>
          <w:color w:val="auto"/>
        </w:rPr>
        <w:t>) of the local court (</w:t>
      </w:r>
      <w:r>
        <w:rPr>
          <w:rFonts w:ascii="Times New Roman" w:cs="Times New Roman" w:eastAsia="Times New Roman" w:hAnsi="Times New Roman"/>
          <w:sz w:val="22"/>
          <w:szCs w:val="22"/>
          <w:i w:val="1"/>
          <w:iCs w:val="1"/>
          <w:color w:val="auto"/>
        </w:rPr>
        <w:t>Amtsgericht</w:t>
      </w:r>
      <w:r>
        <w:rPr>
          <w:rFonts w:ascii="Times New Roman" w:cs="Times New Roman" w:eastAsia="Times New Roman" w:hAnsi="Times New Roman"/>
          <w:sz w:val="22"/>
          <w:szCs w:val="22"/>
          <w:color w:val="auto"/>
        </w:rPr>
        <w:t>) of Mainz, Germany effective as of August 30, 2024, is attached hereto as Exhibit 99.2. Exhibits 99.1 and 99.2 shall be deemed “filed” for purposes of Section 18 of the Securities Exchange Act of 1934, as amended (the “Exchange Act”) and incorporated by reference herein.</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9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Jens Holstein</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729"/>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November 4, 2024</w:t>
            </w:r>
          </w:p>
        </w:tc>
        <w:tc>
          <w:tcPr>
            <w:tcW w:w="1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6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33"/>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6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Quarterly Report for the Three and Nine Months Ended September 30, 2024</w:t>
            </w: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99.2</w:t>
            </w:r>
          </w:p>
        </w:tc>
        <w:tc>
          <w:tcPr>
            <w:tcW w:w="600" w:type="dxa"/>
            <w:vAlign w:val="bottom"/>
          </w:tcPr>
          <w:p>
            <w:pPr>
              <w:spacing w:after="0"/>
              <w:rPr>
                <w:sz w:val="24"/>
                <w:szCs w:val="24"/>
                <w:color w:val="auto"/>
              </w:rPr>
            </w:pPr>
          </w:p>
        </w:tc>
        <w:tc>
          <w:tcPr>
            <w:tcW w:w="3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Articles of Association of the Registrant</w:t>
            </w:r>
          </w:p>
        </w:tc>
        <w:tc>
          <w:tcPr>
            <w:tcW w:w="3120" w:type="dxa"/>
            <w:vAlign w:val="bottom"/>
          </w:tcPr>
          <w:p>
            <w:pPr>
              <w:spacing w:after="0"/>
              <w:rPr>
                <w:sz w:val="24"/>
                <w:szCs w:val="24"/>
                <w:color w:val="auto"/>
              </w:rPr>
            </w:pPr>
          </w:p>
        </w:tc>
      </w:tr>
    </w:tbl>
    <w:p>
      <w:pPr>
        <w:sectPr>
          <w:pgSz w:w="11900" w:h="16838" w:orient="portrait"/>
          <w:cols w:equalWidth="0" w:num="1">
            <w:col w:w="10119"/>
          </w:cols>
          <w:pgMar w:left="340" w:top="1094" w:right="1440"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323151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1515"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5503545" cy="3686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3545" cy="3686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40"/>
          <w:szCs w:val="40"/>
          <w:b w:val="1"/>
          <w:bCs w:val="1"/>
          <w:color w:val="3C9673"/>
        </w:rPr>
        <w:t>BioNTech SE</w:t>
      </w:r>
    </w:p>
    <w:p>
      <w:pPr>
        <w:spacing w:after="0" w:line="126" w:lineRule="exact"/>
        <w:rPr>
          <w:sz w:val="20"/>
          <w:szCs w:val="20"/>
          <w:color w:val="auto"/>
        </w:rPr>
      </w:pPr>
    </w:p>
    <w:p>
      <w:pPr>
        <w:spacing w:after="0"/>
        <w:rPr>
          <w:sz w:val="20"/>
          <w:szCs w:val="20"/>
          <w:color w:val="auto"/>
        </w:rPr>
      </w:pPr>
      <w:r>
        <w:rPr>
          <w:rFonts w:ascii="Arial" w:cs="Arial" w:eastAsia="Arial" w:hAnsi="Arial"/>
          <w:sz w:val="32"/>
          <w:szCs w:val="32"/>
          <w:color w:val="005A64"/>
        </w:rPr>
        <w:t>Quarterly Report of BioNTech SE for the</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color w:val="005A64"/>
        </w:rPr>
        <w:t>three and nine months ended September 30, 2024</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005A64"/>
        </w:rPr>
        <w:t>A C T I N G T O G E T H E R — C R E A T I N G S Y N E R G I E S</w:t>
      </w:r>
    </w:p>
    <w:p>
      <w:pPr>
        <w:sectPr>
          <w:pgSz w:w="11900" w:h="16838" w:orient="portrait"/>
          <w:cols w:equalWidth="0" w:num="1">
            <w:col w:w="11240"/>
          </w:cols>
          <w:pgMar w:left="320" w:top="122"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solely for the purpose of notices and communications from the Securities and Exchange Commission in the United States is c/o BioNTech US Inc., 40 Erie Street, Suite 110, Cambridge, Massachusetts 02139, +1 (617) 337-4701.</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Arial" w:cs="Arial" w:eastAsia="Arial" w:hAnsi="Arial"/>
          <w:sz w:val="32"/>
          <w:szCs w:val="32"/>
          <w:color w:val="005A64"/>
        </w:rPr>
        <w:t>UNAUDITED INTERIM CONDENSED CONSOLIDATED</w:t>
      </w:r>
    </w:p>
    <w:p>
      <w:pPr>
        <w:spacing w:after="0" w:line="56" w:lineRule="exact"/>
        <w:rPr>
          <w:sz w:val="20"/>
          <w:szCs w:val="20"/>
          <w:color w:val="auto"/>
        </w:rPr>
      </w:pPr>
    </w:p>
    <w:p>
      <w:pPr>
        <w:jc w:val="center"/>
        <w:ind w:right="320"/>
        <w:spacing w:after="0"/>
        <w:rPr>
          <w:sz w:val="20"/>
          <w:szCs w:val="20"/>
          <w:color w:val="auto"/>
        </w:rPr>
      </w:pPr>
      <w:r>
        <w:rPr>
          <w:rFonts w:ascii="Arial" w:cs="Arial" w:eastAsia="Arial" w:hAnsi="Arial"/>
          <w:sz w:val="32"/>
          <w:szCs w:val="32"/>
          <w:color w:val="005A64"/>
        </w:rPr>
        <w:t>FINANCIAL STATEMENTS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Profit or Loss</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Comprehensive Income</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Financial Position</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Changes in Stockholders’ Equity</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440" w:type="dxa"/>
            <w:vAlign w:val="bottom"/>
            <w:gridSpan w:val="2"/>
          </w:tcPr>
          <w:p>
            <w:pPr>
              <w:spacing w:after="0"/>
              <w:rPr>
                <w:sz w:val="20"/>
                <w:szCs w:val="20"/>
                <w:color w:val="auto"/>
              </w:rPr>
            </w:pPr>
            <w:r>
              <w:rPr>
                <w:rFonts w:ascii="Arial" w:cs="Arial" w:eastAsia="Arial" w:hAnsi="Arial"/>
                <w:sz w:val="18"/>
                <w:szCs w:val="18"/>
                <w:color w:val="auto"/>
              </w:rPr>
              <w:t>Interim Condensed Consolidated Statements of Cash Flows</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8440" w:type="dxa"/>
            <w:vAlign w:val="bottom"/>
            <w:gridSpan w:val="2"/>
          </w:tcPr>
          <w:p>
            <w:pPr>
              <w:spacing w:after="0"/>
              <w:rPr>
                <w:sz w:val="20"/>
                <w:szCs w:val="20"/>
                <w:color w:val="auto"/>
              </w:rPr>
            </w:pPr>
            <w:r>
              <w:rPr>
                <w:rFonts w:ascii="Arial" w:cs="Arial" w:eastAsia="Arial" w:hAnsi="Arial"/>
                <w:sz w:val="18"/>
                <w:szCs w:val="18"/>
                <w:color w:val="auto"/>
              </w:rPr>
              <w:t>Selected Explanatory Notes to the Unaudited Interim Condensed Consolidated</w:t>
            </w:r>
          </w:p>
        </w:tc>
        <w:tc>
          <w:tcPr>
            <w:tcW w:w="2120" w:type="dxa"/>
            <w:vAlign w:val="bottom"/>
          </w:tcPr>
          <w:p>
            <w:pPr>
              <w:spacing w:after="0"/>
              <w:rPr>
                <w:sz w:val="21"/>
                <w:szCs w:val="21"/>
                <w:color w:val="auto"/>
              </w:rPr>
            </w:pPr>
          </w:p>
        </w:tc>
      </w:tr>
      <w:tr>
        <w:trPr>
          <w:trHeight w:val="239"/>
        </w:trPr>
        <w:tc>
          <w:tcPr>
            <w:tcW w:w="844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620" w:type="dxa"/>
            <w:vAlign w:val="bottom"/>
          </w:tcPr>
          <w:p>
            <w:pPr>
              <w:ind w:left="300"/>
              <w:spacing w:after="0"/>
              <w:rPr>
                <w:sz w:val="20"/>
                <w:szCs w:val="20"/>
                <w:color w:val="auto"/>
              </w:rPr>
            </w:pPr>
            <w:r>
              <w:rPr>
                <w:rFonts w:ascii="Arial" w:cs="Arial" w:eastAsia="Arial" w:hAnsi="Arial"/>
                <w:sz w:val="18"/>
                <w:szCs w:val="18"/>
                <w:color w:val="auto"/>
              </w:rPr>
              <w:t>1</w:t>
            </w:r>
          </w:p>
        </w:tc>
        <w:tc>
          <w:tcPr>
            <w:tcW w:w="7820" w:type="dxa"/>
            <w:vAlign w:val="bottom"/>
          </w:tcPr>
          <w:p>
            <w:pPr>
              <w:ind w:left="200"/>
              <w:spacing w:after="0"/>
              <w:rPr>
                <w:sz w:val="20"/>
                <w:szCs w:val="20"/>
                <w:color w:val="auto"/>
              </w:rPr>
            </w:pPr>
            <w:r>
              <w:rPr>
                <w:rFonts w:ascii="Arial" w:cs="Arial" w:eastAsia="Arial" w:hAnsi="Arial"/>
                <w:sz w:val="18"/>
                <w:szCs w:val="18"/>
                <w:color w:val="auto"/>
              </w:rPr>
              <w:t>Corporate Information</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31" w:lineRule="exact"/>
        <w:rPr>
          <w:sz w:val="20"/>
          <w:szCs w:val="20"/>
          <w:color w:val="auto"/>
        </w:rPr>
      </w:pPr>
    </w:p>
    <w:p>
      <w:pPr>
        <w:ind w:left="840" w:hanging="511"/>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Preparation, Significant Accounting Policies and further</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Accounting Topics</w:t>
            </w:r>
          </w:p>
        </w:tc>
        <w:tc>
          <w:tcPr>
            <w:tcW w:w="3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2"/>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6600" w:type="dxa"/>
            <w:vAlign w:val="bottom"/>
          </w:tcPr>
          <w:p>
            <w:pPr>
              <w:ind w:left="160"/>
              <w:spacing w:after="0"/>
              <w:rPr>
                <w:sz w:val="20"/>
                <w:szCs w:val="20"/>
                <w:color w:val="auto"/>
              </w:rPr>
            </w:pPr>
            <w:r>
              <w:rPr>
                <w:rFonts w:ascii="Arial" w:cs="Arial" w:eastAsia="Arial" w:hAnsi="Arial"/>
                <w:sz w:val="18"/>
                <w:szCs w:val="18"/>
                <w:color w:val="auto"/>
              </w:rPr>
              <w:t>Revenues from Contracts with Customers</w:t>
            </w:r>
          </w:p>
        </w:tc>
        <w:tc>
          <w:tcPr>
            <w:tcW w:w="3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6600" w:type="dxa"/>
            <w:vAlign w:val="bottom"/>
          </w:tcPr>
          <w:p>
            <w:pPr>
              <w:ind w:left="160"/>
              <w:spacing w:after="0"/>
              <w:rPr>
                <w:sz w:val="20"/>
                <w:szCs w:val="20"/>
                <w:color w:val="auto"/>
              </w:rPr>
            </w:pPr>
            <w:r>
              <w:rPr>
                <w:rFonts w:ascii="Arial" w:cs="Arial" w:eastAsia="Arial" w:hAnsi="Arial"/>
                <w:sz w:val="18"/>
                <w:szCs w:val="18"/>
                <w:color w:val="auto"/>
              </w:rPr>
              <w:t>Income and Expenses</w:t>
            </w:r>
          </w:p>
        </w:tc>
        <w:tc>
          <w:tcPr>
            <w:tcW w:w="3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66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660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6600" w:type="dxa"/>
            <w:vAlign w:val="bottom"/>
          </w:tcPr>
          <w:p>
            <w:pPr>
              <w:ind w:left="160"/>
              <w:spacing w:after="0"/>
              <w:rPr>
                <w:sz w:val="20"/>
                <w:szCs w:val="20"/>
                <w:color w:val="auto"/>
              </w:rPr>
            </w:pPr>
            <w:r>
              <w:rPr>
                <w:rFonts w:ascii="Arial" w:cs="Arial" w:eastAsia="Arial" w:hAnsi="Arial"/>
                <w:sz w:val="18"/>
                <w:szCs w:val="18"/>
                <w:color w:val="auto"/>
              </w:rPr>
              <w:t>Financial Assets and Financial Liabilities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6600" w:type="dxa"/>
            <w:vAlign w:val="bottom"/>
          </w:tcPr>
          <w:p>
            <w:pPr>
              <w:ind w:left="160"/>
              <w:spacing w:after="0"/>
              <w:rPr>
                <w:sz w:val="20"/>
                <w:szCs w:val="20"/>
                <w:color w:val="auto"/>
              </w:rPr>
            </w:pPr>
            <w:r>
              <w:rPr>
                <w:rFonts w:ascii="Arial" w:cs="Arial" w:eastAsia="Arial" w:hAnsi="Arial"/>
                <w:sz w:val="18"/>
                <w:szCs w:val="18"/>
                <w:color w:val="auto"/>
              </w:rPr>
              <w:t>Issued Capital and Reserves</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6600" w:type="dxa"/>
            <w:vAlign w:val="bottom"/>
          </w:tcPr>
          <w:p>
            <w:pPr>
              <w:ind w:left="160"/>
              <w:spacing w:after="0"/>
              <w:rPr>
                <w:sz w:val="20"/>
                <w:szCs w:val="20"/>
                <w:color w:val="auto"/>
              </w:rPr>
            </w:pPr>
            <w:r>
              <w:rPr>
                <w:rFonts w:ascii="Arial" w:cs="Arial" w:eastAsia="Arial" w:hAnsi="Arial"/>
                <w:sz w:val="18"/>
                <w:szCs w:val="18"/>
                <w:color w:val="auto"/>
              </w:rPr>
              <w:t>Share-Based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6600" w:type="dxa"/>
            <w:vAlign w:val="bottom"/>
          </w:tcPr>
          <w:p>
            <w:pPr>
              <w:ind w:left="160"/>
              <w:spacing w:after="0"/>
              <w:rPr>
                <w:sz w:val="20"/>
                <w:szCs w:val="20"/>
                <w:color w:val="auto"/>
              </w:rPr>
            </w:pPr>
            <w:r>
              <w:rPr>
                <w:rFonts w:ascii="Arial" w:cs="Arial" w:eastAsia="Arial" w:hAnsi="Arial"/>
                <w:sz w:val="18"/>
                <w:szCs w:val="18"/>
                <w:color w:val="auto"/>
              </w:rPr>
              <w:t>Provisions</w:t>
            </w:r>
          </w:p>
        </w:tc>
        <w:tc>
          <w:tcPr>
            <w:tcW w:w="3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6600" w:type="dxa"/>
            <w:vAlign w:val="bottom"/>
          </w:tcPr>
          <w:p>
            <w:pPr>
              <w:ind w:left="160"/>
              <w:spacing w:after="0"/>
              <w:rPr>
                <w:sz w:val="20"/>
                <w:szCs w:val="20"/>
                <w:color w:val="auto"/>
              </w:rPr>
            </w:pPr>
            <w:r>
              <w:rPr>
                <w:rFonts w:ascii="Arial" w:cs="Arial" w:eastAsia="Arial" w:hAnsi="Arial"/>
                <w:sz w:val="18"/>
                <w:szCs w:val="18"/>
                <w:color w:val="auto"/>
              </w:rPr>
              <w:t>Contingencies</w:t>
            </w:r>
          </w:p>
        </w:tc>
        <w:tc>
          <w:tcPr>
            <w:tcW w:w="3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6600" w:type="dxa"/>
            <w:vAlign w:val="bottom"/>
          </w:tcPr>
          <w:p>
            <w:pPr>
              <w:ind w:left="160"/>
              <w:spacing w:after="0"/>
              <w:rPr>
                <w:sz w:val="20"/>
                <w:szCs w:val="20"/>
                <w:color w:val="auto"/>
              </w:rPr>
            </w:pPr>
            <w:r>
              <w:rPr>
                <w:rFonts w:ascii="Arial" w:cs="Arial" w:eastAsia="Arial" w:hAnsi="Arial"/>
                <w:sz w:val="18"/>
                <w:szCs w:val="18"/>
                <w:color w:val="auto"/>
              </w:rPr>
              <w:t>Related Party Disclosures</w:t>
            </w:r>
          </w:p>
        </w:tc>
        <w:tc>
          <w:tcPr>
            <w:tcW w:w="33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360"/>
        <w:spacing w:after="0"/>
        <w:rPr>
          <w:sz w:val="20"/>
          <w:szCs w:val="20"/>
          <w:color w:val="auto"/>
        </w:rPr>
      </w:pPr>
      <w:r>
        <w:rPr>
          <w:rFonts w:ascii="Arial" w:cs="Arial" w:eastAsia="Arial" w:hAnsi="Arial"/>
          <w:sz w:val="32"/>
          <w:szCs w:val="32"/>
          <w:color w:val="005A64"/>
        </w:rPr>
        <w:t>OPERATING AND FINANCIAL REVIEW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3220" w:type="dxa"/>
            <w:vAlign w:val="bottom"/>
          </w:tcPr>
          <w:p>
            <w:pPr>
              <w:spacing w:after="0"/>
              <w:rPr>
                <w:sz w:val="24"/>
                <w:szCs w:val="24"/>
                <w:color w:val="auto"/>
              </w:rPr>
            </w:pPr>
          </w:p>
        </w:tc>
        <w:tc>
          <w:tcPr>
            <w:tcW w:w="7400" w:type="dxa"/>
            <w:vAlign w:val="bottom"/>
          </w:tcPr>
          <w:p>
            <w:pPr>
              <w:jc w:val="right"/>
              <w:ind w:right="3812"/>
              <w:spacing w:after="0"/>
              <w:rPr>
                <w:sz w:val="20"/>
                <w:szCs w:val="20"/>
                <w:color w:val="auto"/>
              </w:rPr>
            </w:pPr>
            <w:r>
              <w:rPr>
                <w:rFonts w:ascii="Arial" w:cs="Arial" w:eastAsia="Arial" w:hAnsi="Arial"/>
                <w:sz w:val="32"/>
                <w:szCs w:val="32"/>
                <w:color w:val="005A64"/>
              </w:rPr>
              <w:t>AND PROSPECTS</w:t>
            </w:r>
          </w:p>
        </w:tc>
      </w:tr>
      <w:tr>
        <w:trPr>
          <w:trHeight w:val="448"/>
        </w:trPr>
        <w:tc>
          <w:tcPr>
            <w:tcW w:w="3220" w:type="dxa"/>
            <w:vAlign w:val="bottom"/>
          </w:tcPr>
          <w:p>
            <w:pPr>
              <w:spacing w:after="0"/>
              <w:rPr>
                <w:sz w:val="20"/>
                <w:szCs w:val="20"/>
                <w:color w:val="auto"/>
              </w:rPr>
            </w:pPr>
            <w:r>
              <w:rPr>
                <w:rFonts w:ascii="Arial" w:cs="Arial" w:eastAsia="Arial" w:hAnsi="Arial"/>
                <w:sz w:val="18"/>
                <w:szCs w:val="18"/>
                <w:color w:val="auto"/>
              </w:rPr>
              <w:t>Operating Results</w:t>
            </w:r>
          </w:p>
        </w:tc>
        <w:tc>
          <w:tcPr>
            <w:tcW w:w="7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Liquidity and Capital Resources</w:t>
            </w:r>
          </w:p>
        </w:tc>
        <w:tc>
          <w:tcPr>
            <w:tcW w:w="7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Risk Factors</w:t>
            </w:r>
          </w:p>
        </w:tc>
        <w:tc>
          <w:tcPr>
            <w:tcW w:w="740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0920"/>
          </w:cols>
          <w:pgMar w:left="64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60"/>
        <w:spacing w:after="0"/>
        <w:tabs>
          <w:tab w:leader="none" w:pos="752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7"/>
          <w:szCs w:val="27"/>
          <w:b w:val="1"/>
          <w:bCs w:val="1"/>
          <w:color w:val="005A64"/>
        </w:rPr>
        <w:t>Unaudited Interim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23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005A64"/>
              </w:rPr>
              <w:t>Three months ended</w:t>
            </w:r>
          </w:p>
        </w:tc>
        <w:tc>
          <w:tcPr>
            <w:tcW w:w="80" w:type="dxa"/>
            <w:vAlign w:val="bottom"/>
          </w:tcPr>
          <w:p>
            <w:pPr>
              <w:spacing w:after="0"/>
              <w:rPr>
                <w:sz w:val="17"/>
                <w:szCs w:val="17"/>
                <w:color w:val="auto"/>
              </w:rPr>
            </w:pPr>
          </w:p>
        </w:tc>
        <w:tc>
          <w:tcPr>
            <w:tcW w:w="27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005A64"/>
              </w:rPr>
              <w:t>Nine months ended</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005A64"/>
              </w:rPr>
              <w:t>September 30,</w:t>
            </w:r>
          </w:p>
        </w:tc>
        <w:tc>
          <w:tcPr>
            <w:tcW w:w="80" w:type="dxa"/>
            <w:vAlign w:val="bottom"/>
          </w:tcPr>
          <w:p>
            <w:pPr>
              <w:spacing w:after="0"/>
              <w:rPr>
                <w:sz w:val="19"/>
                <w:szCs w:val="19"/>
                <w:color w:val="auto"/>
              </w:rPr>
            </w:pPr>
          </w:p>
        </w:tc>
        <w:tc>
          <w:tcPr>
            <w:tcW w:w="27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005A64"/>
              </w:rPr>
              <w:t>September 30,</w:t>
            </w:r>
          </w:p>
        </w:tc>
        <w:tc>
          <w:tcPr>
            <w:tcW w:w="0" w:type="dxa"/>
            <w:vAlign w:val="bottom"/>
          </w:tcPr>
          <w:p>
            <w:pPr>
              <w:spacing w:after="0"/>
              <w:rPr>
                <w:sz w:val="1"/>
                <w:szCs w:val="1"/>
                <w:color w:val="auto"/>
              </w:rPr>
            </w:pPr>
          </w:p>
        </w:tc>
      </w:tr>
      <w:tr>
        <w:trPr>
          <w:trHeight w:val="115"/>
        </w:trPr>
        <w:tc>
          <w:tcPr>
            <w:tcW w:w="3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0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i w:val="1"/>
                <w:iCs w:val="1"/>
                <w:color w:val="005A64"/>
              </w:rPr>
              <w:t>(in millions €, except per share data)</w:t>
            </w:r>
          </w:p>
        </w:tc>
        <w:tc>
          <w:tcPr>
            <w:tcW w:w="200" w:type="dxa"/>
            <w:vAlign w:val="bottom"/>
          </w:tcPr>
          <w:p>
            <w:pPr>
              <w:spacing w:after="0"/>
              <w:rPr>
                <w:sz w:val="21"/>
                <w:szCs w:val="21"/>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Note</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Revenues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1,244.8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895.3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1,561.1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2,340.0</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Cost of sales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(178.9)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(161.8)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(297.8)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(420.7)</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Research and development expenses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(550.3)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(497.9)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(1,642.4)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(1,205.3)</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Sales and marketing expenses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(18.1)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(46.6)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(44.7)</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 xml:space="preserve">General and administrative expenses </w:t>
            </w:r>
            <w:r>
              <w:rPr>
                <w:rFonts w:ascii="Arial" w:cs="Arial" w:eastAsia="Arial" w:hAnsi="Arial"/>
                <w:sz w:val="21"/>
                <w:szCs w:val="21"/>
                <w:color w:val="005A64"/>
                <w:vertAlign w:val="superscript"/>
              </w:rPr>
              <w:t>(1)</w:t>
            </w:r>
          </w:p>
        </w:tc>
        <w:tc>
          <w:tcPr>
            <w:tcW w:w="200" w:type="dxa"/>
            <w:vAlign w:val="bottom"/>
          </w:tcPr>
          <w:p>
            <w:pPr>
              <w:spacing w:after="0"/>
              <w:rPr>
                <w:sz w:val="21"/>
                <w:szCs w:val="21"/>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(132.4)</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(139.1)</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(420.3)</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(370.7)</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7FACB1"/>
            </w:tcBorders>
          </w:tcPr>
          <w:p>
            <w:pPr>
              <w:ind w:left="20"/>
              <w:spacing w:after="0" w:line="237" w:lineRule="exact"/>
              <w:rPr>
                <w:sz w:val="20"/>
                <w:szCs w:val="20"/>
                <w:color w:val="auto"/>
              </w:rPr>
            </w:pPr>
            <w:r>
              <w:rPr>
                <w:rFonts w:ascii="Arial" w:cs="Arial" w:eastAsia="Arial" w:hAnsi="Arial"/>
                <w:sz w:val="16"/>
                <w:szCs w:val="16"/>
                <w:color w:val="005A64"/>
              </w:rPr>
              <w:t xml:space="preserve">Other operating expenses </w:t>
            </w:r>
            <w:r>
              <w:rPr>
                <w:rFonts w:ascii="Arial" w:cs="Arial" w:eastAsia="Arial" w:hAnsi="Arial"/>
                <w:sz w:val="21"/>
                <w:szCs w:val="21"/>
                <w:color w:val="005A64"/>
                <w:vertAlign w:val="superscript"/>
              </w:rPr>
              <w:t>(1)</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(410.9)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(719.9)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(239.6)</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operating income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56.3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103.0</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105.2</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Operating profit / (loss)</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10.5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73.1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(1,462.9)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164.2</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income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156.2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156.3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498.8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363.2</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expenses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Profit / (Loss) before tax</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158.7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227.4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(978.9)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522.9</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taxes</w:t>
            </w:r>
          </w:p>
        </w:tc>
        <w:tc>
          <w:tcPr>
            <w:tcW w:w="20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(66.8)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54.1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(50.5)</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Net profit / (loss)</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198.1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160.6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(924.8)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472.4</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Earnings / (Loss) per share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Basic earnings / (loss) per share</w:t>
            </w:r>
          </w:p>
        </w:tc>
        <w:tc>
          <w:tcPr>
            <w:tcW w:w="200" w:type="dxa"/>
            <w:vAlign w:val="bottom"/>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0.82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0.67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(3.83)</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1.96</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Diluted earnings / (loss) per share</w:t>
            </w:r>
          </w:p>
        </w:tc>
        <w:tc>
          <w:tcPr>
            <w:tcW w:w="200" w:type="dxa"/>
            <w:vAlign w:val="bottom"/>
          </w:tcPr>
          <w:p>
            <w:pPr>
              <w:spacing w:after="0"/>
              <w:rPr>
                <w:sz w:val="20"/>
                <w:szCs w:val="20"/>
                <w:color w:val="auto"/>
              </w:rPr>
            </w:pPr>
          </w:p>
        </w:tc>
        <w:tc>
          <w:tcPr>
            <w:tcW w:w="124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136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0.81</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0.66</w:t>
            </w:r>
          </w:p>
        </w:tc>
        <w:tc>
          <w:tcPr>
            <w:tcW w:w="100" w:type="dxa"/>
            <w:vAlign w:val="bottom"/>
            <w:tcBorders>
              <w:right w:val="single" w:sz="8" w:color="BECD32"/>
            </w:tcBorders>
          </w:tcPr>
          <w:p>
            <w:pPr>
              <w:spacing w:after="0"/>
              <w:rPr>
                <w:sz w:val="20"/>
                <w:szCs w:val="20"/>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(3.83)</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1.94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72"/>
        <w:spacing w:after="0" w:line="227" w:lineRule="auto"/>
        <w:tabs>
          <w:tab w:leader="none" w:pos="352" w:val="left"/>
        </w:tabs>
        <w:numPr>
          <w:ilvl w:val="0"/>
          <w:numId w:val="2"/>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due to change in functional allocation of general and administrative expenses and other operating expenses (please see Note 4.2 for further details).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4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60"/>
        <w:spacing w:after="0"/>
        <w:tabs>
          <w:tab w:leader="none" w:pos="752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234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005A64"/>
              </w:rPr>
              <w:t>Three months ended</w:t>
            </w:r>
          </w:p>
        </w:tc>
        <w:tc>
          <w:tcPr>
            <w:tcW w:w="60" w:type="dxa"/>
            <w:vAlign w:val="bottom"/>
          </w:tcPr>
          <w:p>
            <w:pPr>
              <w:spacing w:after="0"/>
              <w:rPr>
                <w:sz w:val="17"/>
                <w:szCs w:val="17"/>
                <w:color w:val="auto"/>
              </w:rPr>
            </w:pPr>
          </w:p>
        </w:tc>
        <w:tc>
          <w:tcPr>
            <w:tcW w:w="27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005A64"/>
              </w:rPr>
              <w:t>Nine months ended</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005A64"/>
              </w:rPr>
              <w:t>September 30,</w:t>
            </w:r>
          </w:p>
        </w:tc>
        <w:tc>
          <w:tcPr>
            <w:tcW w:w="60" w:type="dxa"/>
            <w:vAlign w:val="bottom"/>
          </w:tcPr>
          <w:p>
            <w:pPr>
              <w:spacing w:after="0"/>
              <w:rPr>
                <w:sz w:val="19"/>
                <w:szCs w:val="19"/>
                <w:color w:val="auto"/>
              </w:rPr>
            </w:pPr>
          </w:p>
        </w:tc>
        <w:tc>
          <w:tcPr>
            <w:tcW w:w="27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005A64"/>
              </w:rPr>
              <w:t>September 30,</w:t>
            </w:r>
          </w:p>
        </w:tc>
        <w:tc>
          <w:tcPr>
            <w:tcW w:w="0" w:type="dxa"/>
            <w:vAlign w:val="bottom"/>
          </w:tcPr>
          <w:p>
            <w:pPr>
              <w:spacing w:after="0"/>
              <w:rPr>
                <w:sz w:val="1"/>
                <w:szCs w:val="1"/>
                <w:color w:val="auto"/>
              </w:rPr>
            </w:pPr>
          </w:p>
        </w:tc>
      </w:tr>
      <w:tr>
        <w:trPr>
          <w:trHeight w:val="115"/>
        </w:trPr>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2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40" w:type="dxa"/>
            <w:vAlign w:val="bottom"/>
            <w:tcBorders>
              <w:bottom w:val="single" w:sz="8" w:color="005A64"/>
            </w:tcBorders>
          </w:tcPr>
          <w:p>
            <w:pPr>
              <w:ind w:left="20"/>
              <w:spacing w:after="0"/>
              <w:rPr>
                <w:sz w:val="20"/>
                <w:szCs w:val="20"/>
                <w:color w:val="auto"/>
              </w:rPr>
            </w:pPr>
            <w:r>
              <w:rPr>
                <w:rFonts w:ascii="Arial" w:cs="Arial" w:eastAsia="Arial" w:hAnsi="Arial"/>
                <w:sz w:val="16"/>
                <w:szCs w:val="16"/>
                <w:i w:val="1"/>
                <w:iCs w:val="1"/>
                <w:color w:val="005A64"/>
              </w:rPr>
              <w:t>(in millions €)</w:t>
            </w:r>
          </w:p>
        </w:tc>
        <w:tc>
          <w:tcPr>
            <w:tcW w:w="180" w:type="dxa"/>
            <w:vAlign w:val="bottom"/>
          </w:tcPr>
          <w:p>
            <w:pPr>
              <w:spacing w:after="0"/>
              <w:rPr>
                <w:sz w:val="21"/>
                <w:szCs w:val="21"/>
                <w:color w:val="auto"/>
              </w:rPr>
            </w:pPr>
          </w:p>
        </w:tc>
        <w:tc>
          <w:tcPr>
            <w:tcW w:w="620" w:type="dxa"/>
            <w:vAlign w:val="bottom"/>
            <w:tcBorders>
              <w:bottom w:val="single" w:sz="8" w:color="005A64"/>
            </w:tcBorders>
          </w:tcPr>
          <w:p>
            <w:pPr>
              <w:ind w:left="260"/>
              <w:spacing w:after="0"/>
              <w:rPr>
                <w:sz w:val="20"/>
                <w:szCs w:val="20"/>
                <w:color w:val="auto"/>
              </w:rPr>
            </w:pPr>
            <w:r>
              <w:rPr>
                <w:rFonts w:ascii="Arial" w:cs="Arial" w:eastAsia="Arial" w:hAnsi="Arial"/>
                <w:sz w:val="16"/>
                <w:szCs w:val="16"/>
                <w:b w:val="1"/>
                <w:bCs w:val="1"/>
                <w:color w:val="005A64"/>
                <w:w w:val="95"/>
              </w:rPr>
              <w:t>Note</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Net profit / (loss)</w:t>
            </w:r>
          </w:p>
        </w:tc>
        <w:tc>
          <w:tcPr>
            <w:tcW w:w="1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198.1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160.6</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(924.8)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472.4</w:t>
            </w:r>
          </w:p>
        </w:tc>
        <w:tc>
          <w:tcPr>
            <w:tcW w:w="0" w:type="dxa"/>
            <w:vAlign w:val="bottom"/>
          </w:tcPr>
          <w:p>
            <w:pPr>
              <w:spacing w:after="0"/>
              <w:rPr>
                <w:sz w:val="1"/>
                <w:szCs w:val="1"/>
                <w:color w:val="auto"/>
              </w:rPr>
            </w:pPr>
          </w:p>
        </w:tc>
      </w:tr>
      <w:tr>
        <w:trPr>
          <w:trHeight w:val="234"/>
        </w:trPr>
        <w:tc>
          <w:tcPr>
            <w:tcW w:w="464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Exchange differences on translation of foreign operations</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(0.4)</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Net gain / (loss) on cash flow hedges</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(7.7)</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005A64"/>
              </w:rPr>
              <w:t>Net other comprehensive income / (loss) that may be</w:t>
            </w:r>
          </w:p>
        </w:tc>
        <w:tc>
          <w:tcPr>
            <w:tcW w:w="62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(12.0)</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(3.8)</w:t>
            </w:r>
          </w:p>
        </w:tc>
        <w:tc>
          <w:tcPr>
            <w:tcW w:w="120" w:type="dxa"/>
            <w:vAlign w:val="bottom"/>
            <w:tcBorders>
              <w:right w:val="single" w:sz="8" w:color="BECD32"/>
            </w:tcBorders>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11.7</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(0.4)</w:t>
            </w:r>
          </w:p>
        </w:tc>
        <w:tc>
          <w:tcPr>
            <w:tcW w:w="0" w:type="dxa"/>
            <w:vAlign w:val="bottom"/>
          </w:tcPr>
          <w:p>
            <w:pPr>
              <w:spacing w:after="0"/>
              <w:rPr>
                <w:sz w:val="1"/>
                <w:szCs w:val="1"/>
                <w:color w:val="auto"/>
              </w:rPr>
            </w:pPr>
          </w:p>
        </w:tc>
      </w:tr>
      <w:tr>
        <w:trPr>
          <w:trHeight w:val="115"/>
        </w:trPr>
        <w:tc>
          <w:tcPr>
            <w:tcW w:w="4640" w:type="dxa"/>
            <w:vAlign w:val="bottom"/>
            <w:vMerge w:val="restart"/>
          </w:tcPr>
          <w:p>
            <w:pPr>
              <w:ind w:left="20"/>
              <w:spacing w:after="0"/>
              <w:rPr>
                <w:sz w:val="20"/>
                <w:szCs w:val="20"/>
                <w:color w:val="auto"/>
              </w:rPr>
            </w:pPr>
            <w:r>
              <w:rPr>
                <w:rFonts w:ascii="Arial" w:cs="Arial" w:eastAsia="Arial" w:hAnsi="Arial"/>
                <w:sz w:val="16"/>
                <w:szCs w:val="16"/>
                <w:b w:val="1"/>
                <w:bCs w:val="1"/>
                <w:color w:val="005A64"/>
              </w:rPr>
              <w:t>reclassified to profit or loss in subsequent periods</w:t>
            </w:r>
          </w:p>
        </w:tc>
        <w:tc>
          <w:tcPr>
            <w:tcW w:w="18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40" w:type="dxa"/>
            <w:vAlign w:val="bottom"/>
            <w:tcBorders>
              <w:bottom w:val="single" w:sz="8" w:color="005A64"/>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140"/>
              <w:spacing w:after="0"/>
              <w:rPr>
                <w:sz w:val="20"/>
                <w:szCs w:val="20"/>
                <w:color w:val="auto"/>
              </w:rPr>
            </w:pPr>
            <w:r>
              <w:rPr>
                <w:rFonts w:ascii="Arial" w:cs="Arial" w:eastAsia="Arial" w:hAnsi="Arial"/>
                <w:sz w:val="16"/>
                <w:szCs w:val="16"/>
                <w:color w:val="005A64"/>
              </w:rPr>
              <w:t>Net gain / (loss) on equity instruments designated at fair value</w:t>
            </w:r>
          </w:p>
        </w:tc>
        <w:tc>
          <w:tcPr>
            <w:tcW w:w="62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005A64"/>
              </w:rPr>
              <w:t>0.7</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005A64"/>
              </w:rPr>
              <w:t>(4.8)</w:t>
            </w:r>
          </w:p>
        </w:tc>
        <w:tc>
          <w:tcPr>
            <w:tcW w:w="120" w:type="dxa"/>
            <w:vAlign w:val="bottom"/>
            <w:tcBorders>
              <w:right w:val="single" w:sz="8" w:color="BECD32"/>
            </w:tcBorders>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(108.3)</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005A64"/>
              </w:rPr>
              <w:t>(0.4)</w:t>
            </w:r>
          </w:p>
        </w:tc>
        <w:tc>
          <w:tcPr>
            <w:tcW w:w="0" w:type="dxa"/>
            <w:vAlign w:val="bottom"/>
          </w:tcPr>
          <w:p>
            <w:pPr>
              <w:spacing w:after="0"/>
              <w:rPr>
                <w:sz w:val="1"/>
                <w:szCs w:val="1"/>
                <w:color w:val="auto"/>
              </w:rPr>
            </w:pPr>
          </w:p>
        </w:tc>
      </w:tr>
      <w:tr>
        <w:trPr>
          <w:trHeight w:val="107"/>
        </w:trPr>
        <w:tc>
          <w:tcPr>
            <w:tcW w:w="4640" w:type="dxa"/>
            <w:vAlign w:val="bottom"/>
            <w:vMerge w:val="restart"/>
          </w:tcPr>
          <w:p>
            <w:pPr>
              <w:ind w:left="140"/>
              <w:spacing w:after="0"/>
              <w:rPr>
                <w:sz w:val="20"/>
                <w:szCs w:val="20"/>
                <w:color w:val="auto"/>
              </w:rPr>
            </w:pPr>
            <w:r>
              <w:rPr>
                <w:rFonts w:ascii="Arial" w:cs="Arial" w:eastAsia="Arial" w:hAnsi="Arial"/>
                <w:sz w:val="16"/>
                <w:szCs w:val="16"/>
                <w:color w:val="005A64"/>
              </w:rPr>
              <w:t>through other comprehensive income</w:t>
            </w:r>
          </w:p>
        </w:tc>
        <w:tc>
          <w:tcPr>
            <w:tcW w:w="18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640" w:type="dxa"/>
            <w:vAlign w:val="bottom"/>
            <w:tcBorders>
              <w:bottom w:val="single" w:sz="8" w:color="7FACB1"/>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2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005A64"/>
              </w:rPr>
              <w:t>Net other comprehensive income / (loss) that will not be</w:t>
            </w:r>
          </w:p>
        </w:tc>
        <w:tc>
          <w:tcPr>
            <w:tcW w:w="62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0.7</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(4.8)</w:t>
            </w:r>
          </w:p>
        </w:tc>
        <w:tc>
          <w:tcPr>
            <w:tcW w:w="120" w:type="dxa"/>
            <w:vAlign w:val="bottom"/>
            <w:tcBorders>
              <w:right w:val="single" w:sz="8" w:color="BECD32"/>
            </w:tcBorders>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A64"/>
              </w:rPr>
              <w:t>(108.3)</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(0.4)</w:t>
            </w:r>
          </w:p>
        </w:tc>
        <w:tc>
          <w:tcPr>
            <w:tcW w:w="0" w:type="dxa"/>
            <w:vAlign w:val="bottom"/>
          </w:tcPr>
          <w:p>
            <w:pPr>
              <w:spacing w:after="0"/>
              <w:rPr>
                <w:sz w:val="1"/>
                <w:szCs w:val="1"/>
                <w:color w:val="auto"/>
              </w:rPr>
            </w:pPr>
          </w:p>
        </w:tc>
      </w:tr>
      <w:tr>
        <w:trPr>
          <w:trHeight w:val="115"/>
        </w:trPr>
        <w:tc>
          <w:tcPr>
            <w:tcW w:w="4640" w:type="dxa"/>
            <w:vAlign w:val="bottom"/>
            <w:vMerge w:val="restart"/>
          </w:tcPr>
          <w:p>
            <w:pPr>
              <w:ind w:left="20"/>
              <w:spacing w:after="0"/>
              <w:rPr>
                <w:sz w:val="20"/>
                <w:szCs w:val="20"/>
                <w:color w:val="auto"/>
              </w:rPr>
            </w:pPr>
            <w:r>
              <w:rPr>
                <w:rFonts w:ascii="Arial" w:cs="Arial" w:eastAsia="Arial" w:hAnsi="Arial"/>
                <w:sz w:val="16"/>
                <w:szCs w:val="16"/>
                <w:b w:val="1"/>
                <w:bCs w:val="1"/>
                <w:color w:val="005A64"/>
              </w:rPr>
              <w:t>reclassified to profit or loss in subsequent periods</w:t>
            </w:r>
          </w:p>
        </w:tc>
        <w:tc>
          <w:tcPr>
            <w:tcW w:w="18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40" w:type="dxa"/>
            <w:vAlign w:val="bottom"/>
            <w:tcBorders>
              <w:bottom w:val="single" w:sz="8" w:color="005A64"/>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0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120" w:type="dxa"/>
            <w:vAlign w:val="bottom"/>
            <w:tcBorders>
              <w:right w:val="single" w:sz="8" w:color="BECD32"/>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Other comprehensive loss, net of tax</w:t>
            </w:r>
          </w:p>
        </w:tc>
        <w:tc>
          <w:tcPr>
            <w:tcW w:w="1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(8.6)</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(96.6)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(0.8)</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Comprehensive income / (loss), net of tax</w:t>
            </w:r>
          </w:p>
        </w:tc>
        <w:tc>
          <w:tcPr>
            <w:tcW w:w="1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186.8</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152.0</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(1,021.4)</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471.6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60"/>
        <w:spacing w:after="0"/>
        <w:tabs>
          <w:tab w:leader="none" w:pos="752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234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right w:val="single" w:sz="8" w:color="BECD32"/>
            </w:tcBorders>
          </w:tcPr>
          <w:p>
            <w:pPr>
              <w:spacing w:after="0"/>
              <w:rPr>
                <w:sz w:val="21"/>
                <w:szCs w:val="21"/>
                <w:color w:val="auto"/>
              </w:rPr>
            </w:pPr>
          </w:p>
        </w:tc>
        <w:tc>
          <w:tcPr>
            <w:tcW w:w="80" w:type="dxa"/>
            <w:vAlign w:val="bottom"/>
            <w:tcBorders>
              <w:top w:val="single" w:sz="8" w:color="BECD32"/>
            </w:tcBorders>
          </w:tcPr>
          <w:p>
            <w:pPr>
              <w:spacing w:after="0"/>
              <w:rPr>
                <w:sz w:val="21"/>
                <w:szCs w:val="21"/>
                <w:color w:val="auto"/>
              </w:rPr>
            </w:pPr>
          </w:p>
        </w:tc>
        <w:tc>
          <w:tcPr>
            <w:tcW w:w="1760" w:type="dxa"/>
            <w:vAlign w:val="bottom"/>
            <w:tcBorders>
              <w:top w:val="single" w:sz="8" w:color="BECD32"/>
              <w:right w:val="single" w:sz="8" w:color="BECD32"/>
            </w:tcBorders>
            <w:gridSpan w:val="2"/>
          </w:tcPr>
          <w:p>
            <w:pPr>
              <w:jc w:val="right"/>
              <w:ind w:right="120"/>
              <w:spacing w:after="0"/>
              <w:rPr>
                <w:sz w:val="20"/>
                <w:szCs w:val="20"/>
                <w:color w:val="auto"/>
              </w:rPr>
            </w:pPr>
            <w:r>
              <w:rPr>
                <w:rFonts w:ascii="Arial" w:cs="Arial" w:eastAsia="Arial" w:hAnsi="Arial"/>
                <w:sz w:val="16"/>
                <w:szCs w:val="16"/>
                <w:b w:val="1"/>
                <w:bCs w:val="1"/>
                <w:color w:val="005A64"/>
              </w:rPr>
              <w:t>September 30,</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5A64"/>
              </w:rPr>
              <w:t>December 31,</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6"/>
                <w:szCs w:val="16"/>
                <w:i w:val="1"/>
                <w:iCs w:val="1"/>
                <w:color w:val="005A64"/>
              </w:rPr>
              <w:t>(in millions €)</w:t>
            </w:r>
          </w:p>
        </w:tc>
        <w:tc>
          <w:tcPr>
            <w:tcW w:w="1060" w:type="dxa"/>
            <w:vAlign w:val="bottom"/>
          </w:tcPr>
          <w:p>
            <w:pPr>
              <w:spacing w:after="0"/>
              <w:rPr>
                <w:sz w:val="21"/>
                <w:szCs w:val="21"/>
                <w:color w:val="auto"/>
              </w:rPr>
            </w:pPr>
          </w:p>
        </w:tc>
        <w:tc>
          <w:tcPr>
            <w:tcW w:w="100" w:type="dxa"/>
            <w:vAlign w:val="bottom"/>
            <w:tcBorders>
              <w:right w:val="single" w:sz="8" w:color="BECD32"/>
            </w:tcBorders>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005A64"/>
              </w:rPr>
              <w:t>2023</w:t>
            </w:r>
          </w:p>
        </w:tc>
      </w:tr>
      <w:tr>
        <w:trPr>
          <w:trHeight w:val="247"/>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Assets</w:t>
            </w:r>
          </w:p>
        </w:tc>
        <w:tc>
          <w:tcPr>
            <w:tcW w:w="180" w:type="dxa"/>
            <w:vAlign w:val="bottom"/>
          </w:tcPr>
          <w:p>
            <w:pPr>
              <w:spacing w:after="0"/>
              <w:rPr>
                <w:sz w:val="21"/>
                <w:szCs w:val="21"/>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Note</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Borders>
              <w:bottom w:val="single" w:sz="8" w:color="005A64"/>
            </w:tcBorders>
          </w:tcPr>
          <w:p>
            <w:pPr>
              <w:spacing w:after="0"/>
              <w:rPr>
                <w:sz w:val="21"/>
                <w:szCs w:val="21"/>
                <w:color w:val="auto"/>
              </w:rPr>
            </w:pP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Non-current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Goodwill</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374.0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362.5</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intangible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873.9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804.1</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Property, plant and equipment</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917.4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757.2</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Right-of-use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242.0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214.4</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1,332.2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1,176.1</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84.8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83.4</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Deferred tax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90.7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81.3</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non-current assets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3,915.0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3,479.0</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Current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Inventories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303.1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357.7</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Trade and other receivables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988.0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2,155.7</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7,084.7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4,885.3</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275.8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285.8</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 assets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210.0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179.1</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Cash and cash equivalents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9,624.6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11,663.7</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current assets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18,486.2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19,527.3</w:t>
            </w:r>
          </w:p>
        </w:tc>
      </w:tr>
      <w:tr>
        <w:trPr>
          <w:trHeight w:val="236"/>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assets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22,401.2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23,006.3</w:t>
            </w:r>
          </w:p>
        </w:tc>
      </w:tr>
      <w:tr>
        <w:trPr>
          <w:trHeight w:val="4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Equity and liabilities</w:t>
            </w:r>
          </w:p>
        </w:tc>
        <w:tc>
          <w:tcPr>
            <w:tcW w:w="180" w:type="dxa"/>
            <w:vAlign w:val="bottom"/>
          </w:tcPr>
          <w:p>
            <w:pPr>
              <w:spacing w:after="0"/>
              <w:rPr>
                <w:sz w:val="24"/>
                <w:szCs w:val="24"/>
                <w:color w:val="auto"/>
              </w:rPr>
            </w:pPr>
          </w:p>
        </w:tc>
        <w:tc>
          <w:tcPr>
            <w:tcW w:w="1060" w:type="dxa"/>
            <w:vAlign w:val="bottom"/>
            <w:tcBorders>
              <w:bottom w:val="single" w:sz="8" w:color="005A64"/>
            </w:tcBorders>
          </w:tcPr>
          <w:p>
            <w:pPr>
              <w:spacing w:after="0"/>
              <w:rPr>
                <w:sz w:val="24"/>
                <w:szCs w:val="24"/>
                <w:color w:val="auto"/>
              </w:rPr>
            </w:pPr>
          </w:p>
        </w:tc>
        <w:tc>
          <w:tcPr>
            <w:tcW w:w="10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Borders>
              <w:bottom w:val="single" w:sz="8" w:color="005A64"/>
            </w:tcBorders>
          </w:tcPr>
          <w:p>
            <w:pPr>
              <w:spacing w:after="0"/>
              <w:rPr>
                <w:sz w:val="24"/>
                <w:szCs w:val="24"/>
                <w:color w:val="auto"/>
              </w:rPr>
            </w:pPr>
          </w:p>
        </w:tc>
        <w:tc>
          <w:tcPr>
            <w:tcW w:w="10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Borders>
              <w:bottom w:val="single" w:sz="8" w:color="005A64"/>
            </w:tcBorders>
          </w:tcPr>
          <w:p>
            <w:pPr>
              <w:spacing w:after="0"/>
              <w:rPr>
                <w:sz w:val="24"/>
                <w:szCs w:val="24"/>
                <w:color w:val="auto"/>
              </w:rPr>
            </w:pP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Equity</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Share capital</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248.6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248.6</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Capital reserve</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1,373.0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1,229.4</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Treasury shares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(10.8)</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Retained earnings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18,838.5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19,763.3</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reserves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(1,336.8)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(984.6)</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equity</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19,114.5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20,245.9</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Non-current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Lease liabilities, loans and borrowings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206.3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191.0</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38.8</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Provisions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8.8</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376.9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398.5</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90.4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13.1</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Deferred tax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39.7</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non-current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764.2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689.9</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Current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spacing w:after="0"/>
              <w:rPr>
                <w:sz w:val="20"/>
                <w:szCs w:val="20"/>
                <w:color w:val="auto"/>
              </w:rPr>
            </w:pPr>
          </w:p>
        </w:tc>
      </w:tr>
      <w:tr>
        <w:trPr>
          <w:trHeight w:val="234"/>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Lease liabilities, loans and borrowings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28.1</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Trade payables and other payables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762.6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354.0</w:t>
            </w:r>
          </w:p>
        </w:tc>
      </w:tr>
      <w:tr>
        <w:trPr>
          <w:trHeight w:val="237"/>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241.6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415.2</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363.6</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525.5</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Provisions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731.5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269.3</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236.0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353.3</w:t>
            </w:r>
          </w:p>
        </w:tc>
      </w:tr>
      <w:tr>
        <w:trPr>
          <w:trHeight w:val="236"/>
        </w:trPr>
        <w:tc>
          <w:tcPr>
            <w:tcW w:w="63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non-financial liabilities</w:t>
            </w:r>
          </w:p>
        </w:tc>
        <w:tc>
          <w:tcPr>
            <w:tcW w:w="180" w:type="dxa"/>
            <w:vAlign w:val="bottom"/>
          </w:tcPr>
          <w:p>
            <w:pPr>
              <w:spacing w:after="0"/>
              <w:rPr>
                <w:sz w:val="20"/>
                <w:szCs w:val="20"/>
                <w:color w:val="auto"/>
              </w:rPr>
            </w:pPr>
          </w:p>
        </w:tc>
        <w:tc>
          <w:tcPr>
            <w:tcW w:w="10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149.8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125.1</w:t>
            </w:r>
          </w:p>
        </w:tc>
      </w:tr>
      <w:tr>
        <w:trPr>
          <w:trHeight w:val="239"/>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current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2,522.5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2,070.5</w:t>
            </w:r>
          </w:p>
        </w:tc>
      </w:tr>
      <w:tr>
        <w:trPr>
          <w:trHeight w:val="237"/>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3,286.7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2,760.4</w:t>
            </w:r>
          </w:p>
        </w:tc>
      </w:tr>
      <w:tr>
        <w:trPr>
          <w:trHeight w:val="236"/>
        </w:trPr>
        <w:tc>
          <w:tcPr>
            <w:tcW w:w="63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equity and liabilities</w:t>
            </w:r>
          </w:p>
        </w:tc>
        <w:tc>
          <w:tcPr>
            <w:tcW w:w="180" w:type="dxa"/>
            <w:vAlign w:val="bottom"/>
          </w:tcPr>
          <w:p>
            <w:pPr>
              <w:spacing w:after="0"/>
              <w:rPr>
                <w:sz w:val="20"/>
                <w:szCs w:val="20"/>
                <w:color w:val="auto"/>
              </w:rPr>
            </w:pPr>
          </w:p>
        </w:tc>
        <w:tc>
          <w:tcPr>
            <w:tcW w:w="1060" w:type="dxa"/>
            <w:vAlign w:val="bottom"/>
            <w:tcBorders>
              <w:bottom w:val="single" w:sz="8" w:color="005A64"/>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17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22,401.2</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23,006.3</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ectPr>
          <w:pgSz w:w="11900" w:h="16838" w:orient="portrait"/>
          <w:cols w:equalWidth="0" w:num="1">
            <w:col w:w="11240"/>
          </w:cols>
          <w:pgMar w:left="320" w:top="34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341" w:right="339" w:bottom="0" w:gutter="0" w:footer="0" w:header="0"/>
          <w:type w:val="continuous"/>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760"/>
        <w:spacing w:after="0"/>
        <w:tabs>
          <w:tab w:leader="none" w:pos="78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234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005A64"/>
              </w:rPr>
              <w:t>(in millions €, unaudited)</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005A64"/>
              </w:rPr>
              <w:t>Note</w:t>
            </w:r>
          </w:p>
        </w:tc>
        <w:tc>
          <w:tcPr>
            <w:tcW w:w="60" w:type="dxa"/>
            <w:vAlign w:val="bottom"/>
          </w:tcPr>
          <w:p>
            <w:pPr>
              <w:spacing w:after="0"/>
              <w:rPr>
                <w:sz w:val="17"/>
                <w:szCs w:val="17"/>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005A64"/>
              </w:rPr>
              <w:t>Share capital</w:t>
            </w: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005A64"/>
              </w:rPr>
              <w:t>Capital reserve</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Treasury</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Retained</w:t>
            </w:r>
          </w:p>
        </w:tc>
        <w:tc>
          <w:tcPr>
            <w:tcW w:w="13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05A64"/>
              </w:rPr>
              <w:t>Other reserves</w:t>
            </w: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Total equity</w:t>
            </w:r>
          </w:p>
        </w:tc>
        <w:tc>
          <w:tcPr>
            <w:tcW w:w="0" w:type="dxa"/>
            <w:vAlign w:val="bottom"/>
          </w:tcPr>
          <w:p>
            <w:pPr>
              <w:spacing w:after="0"/>
              <w:rPr>
                <w:sz w:val="1"/>
                <w:szCs w:val="1"/>
                <w:color w:val="auto"/>
              </w:rPr>
            </w:pPr>
          </w:p>
        </w:tc>
      </w:tr>
      <w:tr>
        <w:trPr>
          <w:trHeight w:val="115"/>
        </w:trPr>
        <w:tc>
          <w:tcPr>
            <w:tcW w:w="238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shares</w:t>
            </w:r>
          </w:p>
        </w:tc>
        <w:tc>
          <w:tcPr>
            <w:tcW w:w="160" w:type="dxa"/>
            <w:vAlign w:val="bottom"/>
            <w:vMerge w:val="restart"/>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earnings</w:t>
            </w:r>
          </w:p>
        </w:tc>
        <w:tc>
          <w:tcPr>
            <w:tcW w:w="160" w:type="dxa"/>
            <w:vAlign w:val="bottom"/>
            <w:vMerge w:val="restart"/>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005A64"/>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40" w:type="dxa"/>
            <w:vAlign w:val="bottom"/>
            <w:tcBorders>
              <w:bottom w:val="single" w:sz="8" w:color="005A64"/>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As of January 1, 2023</w:t>
            </w:r>
          </w:p>
        </w:tc>
        <w:tc>
          <w:tcPr>
            <w:tcW w:w="160" w:type="dxa"/>
            <w:vAlign w:val="bottom"/>
          </w:tcPr>
          <w:p>
            <w:pPr>
              <w:spacing w:after="0"/>
              <w:rPr>
                <w:sz w:val="20"/>
                <w:szCs w:val="20"/>
                <w:color w:val="auto"/>
              </w:rPr>
            </w:pPr>
          </w:p>
        </w:tc>
        <w:tc>
          <w:tcPr>
            <w:tcW w:w="520" w:type="dxa"/>
            <w:vAlign w:val="bottom"/>
            <w:tcBorders>
              <w:bottom w:val="single" w:sz="8" w:color="005A64"/>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1,828.2</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(5.3)</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18,833.0</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(848.9)</w:t>
            </w:r>
          </w:p>
        </w:tc>
        <w:tc>
          <w:tcPr>
            <w:tcW w:w="1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20,055.6</w:t>
            </w:r>
          </w:p>
        </w:tc>
        <w:tc>
          <w:tcPr>
            <w:tcW w:w="0" w:type="dxa"/>
            <w:vAlign w:val="bottom"/>
          </w:tcPr>
          <w:p>
            <w:pPr>
              <w:spacing w:after="0"/>
              <w:rPr>
                <w:sz w:val="1"/>
                <w:szCs w:val="1"/>
                <w:color w:val="auto"/>
              </w:rPr>
            </w:pPr>
          </w:p>
        </w:tc>
      </w:tr>
      <w:tr>
        <w:trPr>
          <w:trHeight w:val="234"/>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Net income</w:t>
            </w:r>
          </w:p>
        </w:tc>
        <w:tc>
          <w:tcPr>
            <w:tcW w:w="16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472.4</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472.4</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comprehensive loss</w:t>
            </w:r>
          </w:p>
        </w:tc>
        <w:tc>
          <w:tcPr>
            <w:tcW w:w="16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(0.8)</w:t>
            </w:r>
          </w:p>
        </w:tc>
        <w:tc>
          <w:tcPr>
            <w:tcW w:w="1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(0.8)</w:t>
            </w:r>
          </w:p>
        </w:tc>
        <w:tc>
          <w:tcPr>
            <w:tcW w:w="0" w:type="dxa"/>
            <w:vAlign w:val="bottom"/>
          </w:tcPr>
          <w:p>
            <w:pPr>
              <w:spacing w:after="0"/>
              <w:rPr>
                <w:sz w:val="1"/>
                <w:szCs w:val="1"/>
                <w:color w:val="auto"/>
              </w:rPr>
            </w:pP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005A64"/>
              </w:rPr>
              <w:t>Total comprehensive profit /</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005A64"/>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005A64"/>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005A64"/>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472.4</w:t>
            </w:r>
          </w:p>
        </w:tc>
        <w:tc>
          <w:tcPr>
            <w:tcW w:w="1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(0.8)</w:t>
            </w:r>
          </w:p>
        </w:tc>
        <w:tc>
          <w:tcPr>
            <w:tcW w:w="16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471.6</w:t>
            </w:r>
          </w:p>
        </w:tc>
        <w:tc>
          <w:tcPr>
            <w:tcW w:w="0" w:type="dxa"/>
            <w:vAlign w:val="bottom"/>
          </w:tcPr>
          <w:p>
            <w:pPr>
              <w:spacing w:after="0"/>
              <w:rPr>
                <w:sz w:val="1"/>
                <w:szCs w:val="1"/>
                <w:color w:val="auto"/>
              </w:rPr>
            </w:pPr>
          </w:p>
        </w:tc>
      </w:tr>
      <w:tr>
        <w:trPr>
          <w:trHeight w:val="115"/>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005A64"/>
              </w:rPr>
              <w:t>(loss)</w:t>
            </w:r>
          </w:p>
        </w:tc>
        <w:tc>
          <w:tcPr>
            <w:tcW w:w="16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220" w:type="dxa"/>
            <w:vAlign w:val="bottom"/>
            <w:tcBorders>
              <w:bottom w:val="single" w:sz="8" w:color="005A64"/>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52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005A64"/>
            </w:tcBorders>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005A64"/>
              </w:rPr>
              <w:t>Treasury shares used for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005A64"/>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005A64"/>
              </w:rPr>
              <w:t>102.6</w:t>
            </w:r>
          </w:p>
        </w:tc>
        <w:tc>
          <w:tcPr>
            <w:tcW w:w="1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005A64"/>
              </w:rPr>
              <w:t>1.1</w:t>
            </w:r>
          </w:p>
        </w:tc>
        <w:tc>
          <w:tcPr>
            <w:tcW w:w="160" w:type="dxa"/>
            <w:vAlign w:val="bottom"/>
          </w:tcPr>
          <w:p>
            <w:pPr>
              <w:spacing w:after="0"/>
              <w:rPr>
                <w:sz w:val="18"/>
                <w:szCs w:val="18"/>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005A64"/>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005A64"/>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005A64"/>
              </w:rPr>
              <w:t>103.7</w:t>
            </w:r>
          </w:p>
        </w:tc>
        <w:tc>
          <w:tcPr>
            <w:tcW w:w="0" w:type="dxa"/>
            <w:vAlign w:val="bottom"/>
          </w:tcPr>
          <w:p>
            <w:pPr>
              <w:spacing w:after="0"/>
              <w:rPr>
                <w:sz w:val="1"/>
                <w:szCs w:val="1"/>
                <w:color w:val="auto"/>
              </w:rPr>
            </w:pPr>
          </w:p>
        </w:tc>
      </w:tr>
      <w:tr>
        <w:trPr>
          <w:trHeight w:val="189"/>
        </w:trPr>
        <w:tc>
          <w:tcPr>
            <w:tcW w:w="2380" w:type="dxa"/>
            <w:vAlign w:val="bottom"/>
            <w:gridSpan w:val="2"/>
          </w:tcPr>
          <w:p>
            <w:pPr>
              <w:ind w:left="20"/>
              <w:spacing w:after="0"/>
              <w:rPr>
                <w:sz w:val="20"/>
                <w:szCs w:val="20"/>
                <w:color w:val="auto"/>
              </w:rPr>
            </w:pPr>
            <w:r>
              <w:rPr>
                <w:rFonts w:ascii="Arial" w:cs="Arial" w:eastAsia="Arial" w:hAnsi="Arial"/>
                <w:sz w:val="16"/>
                <w:szCs w:val="16"/>
                <w:color w:val="005A64"/>
              </w:rPr>
              <w:t>acquisition of business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combination</w:t>
            </w:r>
          </w:p>
        </w:tc>
        <w:tc>
          <w:tcPr>
            <w:tcW w:w="160" w:type="dxa"/>
            <w:vAlign w:val="bottom"/>
          </w:tcPr>
          <w:p>
            <w:pPr>
              <w:spacing w:after="0"/>
              <w:rPr>
                <w:sz w:val="19"/>
                <w:szCs w:val="19"/>
                <w:color w:val="auto"/>
              </w:rPr>
            </w:pPr>
          </w:p>
        </w:tc>
        <w:tc>
          <w:tcPr>
            <w:tcW w:w="520" w:type="dxa"/>
            <w:vAlign w:val="bottom"/>
            <w:tcBorders>
              <w:bottom w:val="single" w:sz="8" w:color="7FACB1"/>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bottom w:val="single" w:sz="8" w:color="7FACB1"/>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7FACB1"/>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7FACB1"/>
            </w:tcBorders>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7FACB1"/>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7FACB1"/>
            </w:tcBorders>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Share repurchase program</w:t>
            </w:r>
          </w:p>
        </w:tc>
        <w:tc>
          <w:tcPr>
            <w:tcW w:w="16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(731.6)</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(6.9)</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(738.5)</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Share-based payments</w:t>
            </w:r>
          </w:p>
        </w:tc>
        <w:tc>
          <w:tcPr>
            <w:tcW w:w="16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29.2</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0.3</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(24.3)</w:t>
            </w:r>
          </w:p>
        </w:tc>
        <w:tc>
          <w:tcPr>
            <w:tcW w:w="1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5.2</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Deferred taxes</w:t>
            </w:r>
          </w:p>
        </w:tc>
        <w:tc>
          <w:tcPr>
            <w:tcW w:w="16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(30.8)</w:t>
            </w:r>
          </w:p>
        </w:tc>
        <w:tc>
          <w:tcPr>
            <w:tcW w:w="1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(30.8)</w:t>
            </w:r>
          </w:p>
        </w:tc>
        <w:tc>
          <w:tcPr>
            <w:tcW w:w="0" w:type="dxa"/>
            <w:vAlign w:val="bottom"/>
          </w:tcPr>
          <w:p>
            <w:pPr>
              <w:spacing w:after="0"/>
              <w:rPr>
                <w:sz w:val="1"/>
                <w:szCs w:val="1"/>
                <w:color w:val="auto"/>
              </w:rPr>
            </w:pPr>
          </w:p>
        </w:tc>
      </w:tr>
      <w:tr>
        <w:trPr>
          <w:trHeight w:val="239"/>
        </w:trPr>
        <w:tc>
          <w:tcPr>
            <w:tcW w:w="22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As of September 30, 2023</w:t>
            </w:r>
          </w:p>
        </w:tc>
        <w:tc>
          <w:tcPr>
            <w:tcW w:w="160" w:type="dxa"/>
            <w:vAlign w:val="bottom"/>
          </w:tcPr>
          <w:p>
            <w:pPr>
              <w:spacing w:after="0"/>
              <w:rPr>
                <w:sz w:val="20"/>
                <w:szCs w:val="20"/>
                <w:color w:val="auto"/>
              </w:rPr>
            </w:pPr>
          </w:p>
        </w:tc>
        <w:tc>
          <w:tcPr>
            <w:tcW w:w="520" w:type="dxa"/>
            <w:vAlign w:val="bottom"/>
            <w:tcBorders>
              <w:bottom w:val="single" w:sz="8" w:color="005A64"/>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1,228.4</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(10.8)</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19,305.4</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(904.8)</w:t>
            </w:r>
          </w:p>
        </w:tc>
        <w:tc>
          <w:tcPr>
            <w:tcW w:w="1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19,866.8</w:t>
            </w:r>
          </w:p>
        </w:tc>
        <w:tc>
          <w:tcPr>
            <w:tcW w:w="0" w:type="dxa"/>
            <w:vAlign w:val="bottom"/>
          </w:tcPr>
          <w:p>
            <w:pPr>
              <w:spacing w:after="0"/>
              <w:rPr>
                <w:sz w:val="1"/>
                <w:szCs w:val="1"/>
                <w:color w:val="auto"/>
              </w:rPr>
            </w:pPr>
          </w:p>
        </w:tc>
      </w:tr>
      <w:tr>
        <w:trPr>
          <w:trHeight w:val="493"/>
        </w:trPr>
        <w:tc>
          <w:tcPr>
            <w:tcW w:w="22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As of January 1, 2024</w:t>
            </w:r>
          </w:p>
        </w:tc>
        <w:tc>
          <w:tcPr>
            <w:tcW w:w="160" w:type="dxa"/>
            <w:vAlign w:val="bottom"/>
          </w:tcPr>
          <w:p>
            <w:pPr>
              <w:spacing w:after="0"/>
              <w:rPr>
                <w:sz w:val="24"/>
                <w:szCs w:val="24"/>
                <w:color w:val="auto"/>
              </w:rPr>
            </w:pPr>
          </w:p>
        </w:tc>
        <w:tc>
          <w:tcPr>
            <w:tcW w:w="520" w:type="dxa"/>
            <w:vAlign w:val="bottom"/>
            <w:tcBorders>
              <w:bottom w:val="single" w:sz="8" w:color="005A64"/>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Borders>
              <w:bottom w:val="single" w:sz="8" w:color="BECE33"/>
            </w:tcBorders>
          </w:tcPr>
          <w:p>
            <w:pPr>
              <w:spacing w:after="0"/>
              <w:rPr>
                <w:sz w:val="24"/>
                <w:szCs w:val="24"/>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1,229.4</w:t>
            </w:r>
          </w:p>
        </w:tc>
        <w:tc>
          <w:tcPr>
            <w:tcW w:w="160" w:type="dxa"/>
            <w:vAlign w:val="bottom"/>
            <w:tcBorders>
              <w:bottom w:val="single" w:sz="8" w:color="BECE33"/>
            </w:tcBorders>
          </w:tcPr>
          <w:p>
            <w:pPr>
              <w:spacing w:after="0"/>
              <w:rPr>
                <w:sz w:val="24"/>
                <w:szCs w:val="24"/>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(10.8)</w:t>
            </w:r>
          </w:p>
        </w:tc>
        <w:tc>
          <w:tcPr>
            <w:tcW w:w="160" w:type="dxa"/>
            <w:vAlign w:val="bottom"/>
            <w:tcBorders>
              <w:bottom w:val="single" w:sz="8" w:color="BECE33"/>
            </w:tcBorders>
          </w:tcPr>
          <w:p>
            <w:pPr>
              <w:spacing w:after="0"/>
              <w:rPr>
                <w:sz w:val="24"/>
                <w:szCs w:val="24"/>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19,763.3</w:t>
            </w:r>
          </w:p>
        </w:tc>
        <w:tc>
          <w:tcPr>
            <w:tcW w:w="160" w:type="dxa"/>
            <w:vAlign w:val="bottom"/>
            <w:tcBorders>
              <w:bottom w:val="single" w:sz="8" w:color="BECE33"/>
            </w:tcBorders>
          </w:tcPr>
          <w:p>
            <w:pPr>
              <w:spacing w:after="0"/>
              <w:rPr>
                <w:sz w:val="24"/>
                <w:szCs w:val="24"/>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(984.6)</w:t>
            </w:r>
          </w:p>
        </w:tc>
        <w:tc>
          <w:tcPr>
            <w:tcW w:w="160" w:type="dxa"/>
            <w:vAlign w:val="bottom"/>
            <w:tcBorders>
              <w:bottom w:val="single" w:sz="8" w:color="BECE33"/>
            </w:tcBorders>
          </w:tcPr>
          <w:p>
            <w:pPr>
              <w:spacing w:after="0"/>
              <w:rPr>
                <w:sz w:val="24"/>
                <w:szCs w:val="24"/>
                <w:color w:val="auto"/>
              </w:rPr>
            </w:pPr>
          </w:p>
        </w:tc>
        <w:tc>
          <w:tcPr>
            <w:tcW w:w="126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20,245.9</w:t>
            </w:r>
          </w:p>
        </w:tc>
        <w:tc>
          <w:tcPr>
            <w:tcW w:w="0" w:type="dxa"/>
            <w:vAlign w:val="bottom"/>
          </w:tcPr>
          <w:p>
            <w:pPr>
              <w:spacing w:after="0"/>
              <w:rPr>
                <w:sz w:val="1"/>
                <w:szCs w:val="1"/>
                <w:color w:val="auto"/>
              </w:rPr>
            </w:pPr>
          </w:p>
        </w:tc>
      </w:tr>
      <w:tr>
        <w:trPr>
          <w:trHeight w:val="234"/>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Net loss</w:t>
            </w:r>
          </w:p>
        </w:tc>
        <w:tc>
          <w:tcPr>
            <w:tcW w:w="16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(924.8)</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60" w:type="dxa"/>
            <w:vAlign w:val="bottom"/>
            <w:tcBorders>
              <w:bottom w:val="single" w:sz="8" w:color="7FACB1"/>
              <w:right w:val="single" w:sz="8" w:color="BECE33"/>
            </w:tcBorders>
          </w:tcPr>
          <w:p>
            <w:pPr>
              <w:jc w:val="right"/>
              <w:spacing w:after="0"/>
              <w:rPr>
                <w:sz w:val="20"/>
                <w:szCs w:val="20"/>
                <w:color w:val="auto"/>
              </w:rPr>
            </w:pPr>
            <w:r>
              <w:rPr>
                <w:rFonts w:ascii="Arial" w:cs="Arial" w:eastAsia="Arial" w:hAnsi="Arial"/>
                <w:sz w:val="16"/>
                <w:szCs w:val="16"/>
                <w:color w:val="005A64"/>
              </w:rPr>
              <w:t>(924.8)</w:t>
            </w:r>
          </w:p>
        </w:tc>
        <w:tc>
          <w:tcPr>
            <w:tcW w:w="0" w:type="dxa"/>
            <w:vAlign w:val="bottom"/>
          </w:tcPr>
          <w:p>
            <w:pPr>
              <w:spacing w:after="0"/>
              <w:rPr>
                <w:sz w:val="1"/>
                <w:szCs w:val="1"/>
                <w:color w:val="auto"/>
              </w:rPr>
            </w:pPr>
          </w:p>
        </w:tc>
      </w:tr>
      <w:tr>
        <w:trPr>
          <w:trHeight w:val="236"/>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comprehensive loss</w:t>
            </w:r>
          </w:p>
        </w:tc>
        <w:tc>
          <w:tcPr>
            <w:tcW w:w="16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(96.6)</w:t>
            </w:r>
          </w:p>
        </w:tc>
        <w:tc>
          <w:tcPr>
            <w:tcW w:w="160" w:type="dxa"/>
            <w:vAlign w:val="bottom"/>
          </w:tcPr>
          <w:p>
            <w:pPr>
              <w:spacing w:after="0"/>
              <w:rPr>
                <w:sz w:val="20"/>
                <w:szCs w:val="20"/>
                <w:color w:val="auto"/>
              </w:rPr>
            </w:pPr>
          </w:p>
        </w:tc>
        <w:tc>
          <w:tcPr>
            <w:tcW w:w="1260" w:type="dxa"/>
            <w:vAlign w:val="bottom"/>
            <w:tcBorders>
              <w:bottom w:val="single" w:sz="8" w:color="7FACB1"/>
              <w:right w:val="single" w:sz="8" w:color="BECE33"/>
            </w:tcBorders>
          </w:tcPr>
          <w:p>
            <w:pPr>
              <w:jc w:val="right"/>
              <w:spacing w:after="0"/>
              <w:rPr>
                <w:sz w:val="20"/>
                <w:szCs w:val="20"/>
                <w:color w:val="auto"/>
              </w:rPr>
            </w:pPr>
            <w:r>
              <w:rPr>
                <w:rFonts w:ascii="Arial" w:cs="Arial" w:eastAsia="Arial" w:hAnsi="Arial"/>
                <w:sz w:val="16"/>
                <w:szCs w:val="16"/>
                <w:color w:val="005A64"/>
              </w:rPr>
              <w:t>(96.6)</w:t>
            </w:r>
          </w:p>
        </w:tc>
        <w:tc>
          <w:tcPr>
            <w:tcW w:w="0" w:type="dxa"/>
            <w:vAlign w:val="bottom"/>
          </w:tcPr>
          <w:p>
            <w:pPr>
              <w:spacing w:after="0"/>
              <w:rPr>
                <w:sz w:val="1"/>
                <w:szCs w:val="1"/>
                <w:color w:val="auto"/>
              </w:rPr>
            </w:pPr>
          </w:p>
        </w:tc>
      </w:tr>
      <w:tr>
        <w:trPr>
          <w:trHeight w:val="239"/>
        </w:trPr>
        <w:tc>
          <w:tcPr>
            <w:tcW w:w="22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comprehensive loss</w:t>
            </w:r>
          </w:p>
        </w:tc>
        <w:tc>
          <w:tcPr>
            <w:tcW w:w="160" w:type="dxa"/>
            <w:vAlign w:val="bottom"/>
          </w:tcPr>
          <w:p>
            <w:pPr>
              <w:spacing w:after="0"/>
              <w:rPr>
                <w:sz w:val="20"/>
                <w:szCs w:val="20"/>
                <w:color w:val="auto"/>
              </w:rPr>
            </w:pPr>
          </w:p>
        </w:tc>
        <w:tc>
          <w:tcPr>
            <w:tcW w:w="520" w:type="dxa"/>
            <w:vAlign w:val="bottom"/>
            <w:tcBorders>
              <w:bottom w:val="single" w:sz="8" w:color="005A64"/>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w:t>
            </w:r>
          </w:p>
        </w:tc>
        <w:tc>
          <w:tcPr>
            <w:tcW w:w="16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(924.8)</w:t>
            </w:r>
          </w:p>
        </w:tc>
        <w:tc>
          <w:tcPr>
            <w:tcW w:w="160" w:type="dxa"/>
            <w:vAlign w:val="bottom"/>
          </w:tcPr>
          <w:p>
            <w:pPr>
              <w:spacing w:after="0"/>
              <w:rPr>
                <w:sz w:val="20"/>
                <w:szCs w:val="2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(96.6)</w:t>
            </w:r>
          </w:p>
        </w:tc>
        <w:tc>
          <w:tcPr>
            <w:tcW w:w="160" w:type="dxa"/>
            <w:vAlign w:val="bottom"/>
          </w:tcPr>
          <w:p>
            <w:pPr>
              <w:spacing w:after="0"/>
              <w:rPr>
                <w:sz w:val="20"/>
                <w:szCs w:val="20"/>
                <w:color w:val="auto"/>
              </w:rPr>
            </w:pPr>
          </w:p>
        </w:tc>
        <w:tc>
          <w:tcPr>
            <w:tcW w:w="1260" w:type="dxa"/>
            <w:vAlign w:val="bottom"/>
            <w:tcBorders>
              <w:bottom w:val="single" w:sz="8" w:color="005A64"/>
              <w:right w:val="single" w:sz="8" w:color="BECE33"/>
            </w:tcBorders>
          </w:tcPr>
          <w:p>
            <w:pPr>
              <w:jc w:val="right"/>
              <w:spacing w:after="0"/>
              <w:rPr>
                <w:sz w:val="20"/>
                <w:szCs w:val="20"/>
                <w:color w:val="auto"/>
              </w:rPr>
            </w:pPr>
            <w:r>
              <w:rPr>
                <w:rFonts w:ascii="Arial" w:cs="Arial" w:eastAsia="Arial" w:hAnsi="Arial"/>
                <w:sz w:val="16"/>
                <w:szCs w:val="16"/>
                <w:b w:val="1"/>
                <w:bCs w:val="1"/>
                <w:color w:val="005A64"/>
              </w:rPr>
              <w:t>(1,021.4)</w:t>
            </w:r>
          </w:p>
        </w:tc>
        <w:tc>
          <w:tcPr>
            <w:tcW w:w="0" w:type="dxa"/>
            <w:vAlign w:val="bottom"/>
          </w:tcPr>
          <w:p>
            <w:pPr>
              <w:spacing w:after="0"/>
              <w:rPr>
                <w:sz w:val="1"/>
                <w:szCs w:val="1"/>
                <w:color w:val="auto"/>
              </w:rPr>
            </w:pPr>
          </w:p>
        </w:tc>
      </w:tr>
      <w:tr>
        <w:trPr>
          <w:trHeight w:val="234"/>
        </w:trPr>
        <w:tc>
          <w:tcPr>
            <w:tcW w:w="222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Share-based payments</w:t>
            </w:r>
          </w:p>
        </w:tc>
        <w:tc>
          <w:tcPr>
            <w:tcW w:w="160" w:type="dxa"/>
            <w:vAlign w:val="bottom"/>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w:t>
            </w:r>
          </w:p>
        </w:tc>
        <w:tc>
          <w:tcPr>
            <w:tcW w:w="10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143.6</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16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(255.6)</w:t>
            </w:r>
          </w:p>
        </w:tc>
        <w:tc>
          <w:tcPr>
            <w:tcW w:w="160" w:type="dxa"/>
            <w:vAlign w:val="bottom"/>
          </w:tcPr>
          <w:p>
            <w:pPr>
              <w:spacing w:after="0"/>
              <w:rPr>
                <w:sz w:val="20"/>
                <w:szCs w:val="20"/>
                <w:color w:val="auto"/>
              </w:rPr>
            </w:pPr>
          </w:p>
        </w:tc>
        <w:tc>
          <w:tcPr>
            <w:tcW w:w="1260" w:type="dxa"/>
            <w:vAlign w:val="bottom"/>
            <w:tcBorders>
              <w:bottom w:val="single" w:sz="8" w:color="7FACB1"/>
              <w:right w:val="single" w:sz="8" w:color="BECE33"/>
            </w:tcBorders>
          </w:tcPr>
          <w:p>
            <w:pPr>
              <w:jc w:val="right"/>
              <w:spacing w:after="0"/>
              <w:rPr>
                <w:sz w:val="20"/>
                <w:szCs w:val="20"/>
                <w:color w:val="auto"/>
              </w:rPr>
            </w:pPr>
            <w:r>
              <w:rPr>
                <w:rFonts w:ascii="Arial" w:cs="Arial" w:eastAsia="Arial" w:hAnsi="Arial"/>
                <w:sz w:val="16"/>
                <w:szCs w:val="16"/>
                <w:color w:val="005A64"/>
              </w:rPr>
              <w:t>(110.0)</w:t>
            </w:r>
          </w:p>
        </w:tc>
        <w:tc>
          <w:tcPr>
            <w:tcW w:w="0" w:type="dxa"/>
            <w:vAlign w:val="bottom"/>
          </w:tcPr>
          <w:p>
            <w:pPr>
              <w:spacing w:after="0"/>
              <w:rPr>
                <w:sz w:val="1"/>
                <w:szCs w:val="1"/>
                <w:color w:val="auto"/>
              </w:rPr>
            </w:pPr>
          </w:p>
        </w:tc>
      </w:tr>
      <w:tr>
        <w:trPr>
          <w:trHeight w:val="239"/>
        </w:trPr>
        <w:tc>
          <w:tcPr>
            <w:tcW w:w="222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As of September 30, 2024</w:t>
            </w:r>
          </w:p>
        </w:tc>
        <w:tc>
          <w:tcPr>
            <w:tcW w:w="160" w:type="dxa"/>
            <w:vAlign w:val="bottom"/>
          </w:tcPr>
          <w:p>
            <w:pPr>
              <w:spacing w:after="0"/>
              <w:rPr>
                <w:sz w:val="20"/>
                <w:szCs w:val="20"/>
                <w:color w:val="auto"/>
              </w:rPr>
            </w:pPr>
          </w:p>
        </w:tc>
        <w:tc>
          <w:tcPr>
            <w:tcW w:w="520" w:type="dxa"/>
            <w:vAlign w:val="bottom"/>
            <w:tcBorders>
              <w:bottom w:val="single" w:sz="8" w:color="005A64"/>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128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248.6</w:t>
            </w:r>
          </w:p>
        </w:tc>
        <w:tc>
          <w:tcPr>
            <w:tcW w:w="160" w:type="dxa"/>
            <w:vAlign w:val="bottom"/>
            <w:tcBorders>
              <w:bottom w:val="single" w:sz="8" w:color="BECE33"/>
            </w:tcBorders>
          </w:tcPr>
          <w:p>
            <w:pPr>
              <w:spacing w:after="0"/>
              <w:rPr>
                <w:sz w:val="20"/>
                <w:szCs w:val="20"/>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1,373.0</w:t>
            </w:r>
          </w:p>
        </w:tc>
        <w:tc>
          <w:tcPr>
            <w:tcW w:w="160" w:type="dxa"/>
            <w:vAlign w:val="bottom"/>
            <w:tcBorders>
              <w:bottom w:val="single" w:sz="8" w:color="BECE33"/>
            </w:tcBorders>
          </w:tcPr>
          <w:p>
            <w:pPr>
              <w:spacing w:after="0"/>
              <w:rPr>
                <w:sz w:val="20"/>
                <w:szCs w:val="20"/>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(8.8)</w:t>
            </w:r>
          </w:p>
        </w:tc>
        <w:tc>
          <w:tcPr>
            <w:tcW w:w="160" w:type="dxa"/>
            <w:vAlign w:val="bottom"/>
            <w:tcBorders>
              <w:bottom w:val="single" w:sz="8" w:color="BECE33"/>
            </w:tcBorders>
          </w:tcPr>
          <w:p>
            <w:pPr>
              <w:spacing w:after="0"/>
              <w:rPr>
                <w:sz w:val="20"/>
                <w:szCs w:val="20"/>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18,838.5</w:t>
            </w:r>
          </w:p>
        </w:tc>
        <w:tc>
          <w:tcPr>
            <w:tcW w:w="160" w:type="dxa"/>
            <w:vAlign w:val="bottom"/>
            <w:tcBorders>
              <w:bottom w:val="single" w:sz="8" w:color="BECE33"/>
            </w:tcBorders>
          </w:tcPr>
          <w:p>
            <w:pPr>
              <w:spacing w:after="0"/>
              <w:rPr>
                <w:sz w:val="20"/>
                <w:szCs w:val="20"/>
                <w:color w:val="auto"/>
              </w:rPr>
            </w:pPr>
          </w:p>
        </w:tc>
        <w:tc>
          <w:tcPr>
            <w:tcW w:w="122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(1,336.8)</w:t>
            </w:r>
          </w:p>
        </w:tc>
        <w:tc>
          <w:tcPr>
            <w:tcW w:w="160" w:type="dxa"/>
            <w:vAlign w:val="bottom"/>
            <w:tcBorders>
              <w:bottom w:val="single" w:sz="8" w:color="BECE33"/>
            </w:tcBorders>
          </w:tcPr>
          <w:p>
            <w:pPr>
              <w:spacing w:after="0"/>
              <w:rPr>
                <w:sz w:val="20"/>
                <w:szCs w:val="20"/>
                <w:color w:val="auto"/>
              </w:rPr>
            </w:pPr>
          </w:p>
        </w:tc>
        <w:tc>
          <w:tcPr>
            <w:tcW w:w="1260" w:type="dxa"/>
            <w:vAlign w:val="bottom"/>
            <w:tcBorders>
              <w:bottom w:val="single" w:sz="8" w:color="BECE33"/>
              <w:right w:val="single" w:sz="8" w:color="BECE33"/>
            </w:tcBorders>
          </w:tcPr>
          <w:p>
            <w:pPr>
              <w:jc w:val="right"/>
              <w:spacing w:after="0"/>
              <w:rPr>
                <w:sz w:val="20"/>
                <w:szCs w:val="20"/>
                <w:color w:val="auto"/>
              </w:rPr>
            </w:pPr>
            <w:r>
              <w:rPr>
                <w:rFonts w:ascii="Arial" w:cs="Arial" w:eastAsia="Arial" w:hAnsi="Arial"/>
                <w:sz w:val="16"/>
                <w:szCs w:val="16"/>
                <w:b w:val="1"/>
                <w:bCs w:val="1"/>
                <w:color w:val="005A64"/>
              </w:rPr>
              <w:t>19,114.5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34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234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005A64"/>
              </w:rPr>
              <w:t>Three months ended</w:t>
            </w:r>
          </w:p>
        </w:tc>
        <w:tc>
          <w:tcPr>
            <w:tcW w:w="80" w:type="dxa"/>
            <w:vAlign w:val="bottom"/>
          </w:tcPr>
          <w:p>
            <w:pPr>
              <w:spacing w:after="0"/>
              <w:rPr>
                <w:sz w:val="15"/>
                <w:szCs w:val="15"/>
                <w:color w:val="auto"/>
              </w:rPr>
            </w:pPr>
          </w:p>
        </w:tc>
        <w:tc>
          <w:tcPr>
            <w:tcW w:w="23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005A64"/>
              </w:rPr>
              <w:t>Nine months ended</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5"/>
          </w:tcPr>
          <w:p>
            <w:pPr>
              <w:ind w:left="660"/>
              <w:spacing w:after="0"/>
              <w:rPr>
                <w:sz w:val="20"/>
                <w:szCs w:val="20"/>
                <w:color w:val="auto"/>
              </w:rPr>
            </w:pPr>
            <w:r>
              <w:rPr>
                <w:rFonts w:ascii="Arial" w:cs="Arial" w:eastAsia="Arial" w:hAnsi="Arial"/>
                <w:sz w:val="14"/>
                <w:szCs w:val="14"/>
                <w:b w:val="1"/>
                <w:bCs w:val="1"/>
                <w:color w:val="005A64"/>
              </w:rPr>
              <w:t>September 30,</w:t>
            </w:r>
          </w:p>
        </w:tc>
        <w:tc>
          <w:tcPr>
            <w:tcW w:w="80" w:type="dxa"/>
            <w:vAlign w:val="bottom"/>
          </w:tcPr>
          <w:p>
            <w:pPr>
              <w:spacing w:after="0"/>
              <w:rPr>
                <w:sz w:val="17"/>
                <w:szCs w:val="17"/>
                <w:color w:val="auto"/>
              </w:rPr>
            </w:pPr>
          </w:p>
        </w:tc>
        <w:tc>
          <w:tcPr>
            <w:tcW w:w="232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005A64"/>
              </w:rPr>
              <w:t>September 30,</w:t>
            </w:r>
          </w:p>
        </w:tc>
        <w:tc>
          <w:tcPr>
            <w:tcW w:w="0" w:type="dxa"/>
            <w:vAlign w:val="bottom"/>
          </w:tcPr>
          <w:p>
            <w:pPr>
              <w:spacing w:after="0"/>
              <w:rPr>
                <w:sz w:val="1"/>
                <w:szCs w:val="1"/>
                <w:color w:val="auto"/>
              </w:rPr>
            </w:pPr>
          </w:p>
        </w:tc>
      </w:tr>
      <w:tr>
        <w:trPr>
          <w:trHeight w:val="124"/>
        </w:trPr>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2023</w:t>
            </w:r>
          </w:p>
        </w:tc>
        <w:tc>
          <w:tcPr>
            <w:tcW w:w="100" w:type="dxa"/>
            <w:vAlign w:val="bottom"/>
          </w:tcPr>
          <w:p>
            <w:pPr>
              <w:spacing w:after="0"/>
              <w:rPr>
                <w:sz w:val="10"/>
                <w:szCs w:val="10"/>
                <w:color w:val="auto"/>
              </w:rPr>
            </w:pPr>
          </w:p>
        </w:tc>
        <w:tc>
          <w:tcPr>
            <w:tcW w:w="11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2023</w:t>
            </w:r>
          </w:p>
        </w:tc>
        <w:tc>
          <w:tcPr>
            <w:tcW w:w="0" w:type="dxa"/>
            <w:vAlign w:val="bottom"/>
          </w:tcPr>
          <w:p>
            <w:pPr>
              <w:spacing w:after="0"/>
              <w:rPr>
                <w:sz w:val="1"/>
                <w:szCs w:val="1"/>
                <w:color w:val="auto"/>
              </w:rPr>
            </w:pPr>
          </w:p>
        </w:tc>
      </w:tr>
      <w:tr>
        <w:trPr>
          <w:trHeight w:val="207"/>
        </w:trPr>
        <w:tc>
          <w:tcPr>
            <w:tcW w:w="620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2024</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2024</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i w:val="1"/>
                <w:iCs w:val="1"/>
                <w:color w:val="005A64"/>
              </w:rPr>
              <w:t>(in millions €)</w:t>
            </w:r>
          </w:p>
        </w:tc>
        <w:tc>
          <w:tcPr>
            <w:tcW w:w="80" w:type="dxa"/>
            <w:vAlign w:val="bottom"/>
          </w:tcPr>
          <w:p>
            <w:pPr>
              <w:spacing w:after="0"/>
              <w:rPr>
                <w:sz w:val="19"/>
                <w:szCs w:val="19"/>
                <w:color w:val="auto"/>
              </w:rPr>
            </w:pPr>
          </w:p>
        </w:tc>
        <w:tc>
          <w:tcPr>
            <w:tcW w:w="1180" w:type="dxa"/>
            <w:vAlign w:val="bottom"/>
            <w:tcBorders>
              <w:right w:val="single" w:sz="8" w:color="BECD32"/>
            </w:tcBorders>
            <w:gridSpan w:val="2"/>
          </w:tcPr>
          <w:p>
            <w:pPr>
              <w:ind w:left="320"/>
              <w:spacing w:after="0"/>
              <w:rPr>
                <w:sz w:val="20"/>
                <w:szCs w:val="20"/>
                <w:color w:val="auto"/>
              </w:rPr>
            </w:pPr>
            <w:r>
              <w:rPr>
                <w:rFonts w:ascii="Arial" w:cs="Arial" w:eastAsia="Arial" w:hAnsi="Arial"/>
                <w:sz w:val="14"/>
                <w:szCs w:val="14"/>
                <w:i w:val="1"/>
                <w:iCs w:val="1"/>
                <w:color w:val="005A64"/>
              </w:rPr>
              <w:t>(unaudited)</w:t>
            </w:r>
          </w:p>
        </w:tc>
        <w:tc>
          <w:tcPr>
            <w:tcW w:w="60" w:type="dxa"/>
            <w:vAlign w:val="bottom"/>
          </w:tcPr>
          <w:p>
            <w:pPr>
              <w:spacing w:after="0"/>
              <w:rPr>
                <w:sz w:val="19"/>
                <w:szCs w:val="19"/>
                <w:color w:val="auto"/>
              </w:rPr>
            </w:pPr>
          </w:p>
        </w:tc>
        <w:tc>
          <w:tcPr>
            <w:tcW w:w="1180" w:type="dxa"/>
            <w:vAlign w:val="bottom"/>
            <w:tcBorders>
              <w:right w:val="single" w:sz="8" w:color="BECD32"/>
            </w:tcBorders>
            <w:gridSpan w:val="2"/>
          </w:tcPr>
          <w:p>
            <w:pPr>
              <w:ind w:left="320"/>
              <w:spacing w:after="0"/>
              <w:rPr>
                <w:sz w:val="20"/>
                <w:szCs w:val="20"/>
                <w:color w:val="auto"/>
              </w:rPr>
            </w:pPr>
            <w:r>
              <w:rPr>
                <w:rFonts w:ascii="Arial" w:cs="Arial" w:eastAsia="Arial" w:hAnsi="Arial"/>
                <w:sz w:val="14"/>
                <w:szCs w:val="14"/>
                <w:i w:val="1"/>
                <w:iCs w:val="1"/>
                <w:color w:val="005A64"/>
              </w:rPr>
              <w:t>(unaudited)</w:t>
            </w:r>
          </w:p>
        </w:tc>
        <w:tc>
          <w:tcPr>
            <w:tcW w:w="80" w:type="dxa"/>
            <w:vAlign w:val="bottom"/>
          </w:tcPr>
          <w:p>
            <w:pPr>
              <w:spacing w:after="0"/>
              <w:rPr>
                <w:sz w:val="19"/>
                <w:szCs w:val="19"/>
                <w:color w:val="auto"/>
              </w:rPr>
            </w:pPr>
          </w:p>
        </w:tc>
        <w:tc>
          <w:tcPr>
            <w:tcW w:w="1180" w:type="dxa"/>
            <w:vAlign w:val="bottom"/>
            <w:tcBorders>
              <w:right w:val="single" w:sz="8" w:color="BECD32"/>
            </w:tcBorders>
            <w:gridSpan w:val="2"/>
          </w:tcPr>
          <w:p>
            <w:pPr>
              <w:ind w:left="320"/>
              <w:spacing w:after="0"/>
              <w:rPr>
                <w:sz w:val="20"/>
                <w:szCs w:val="20"/>
                <w:color w:val="auto"/>
              </w:rPr>
            </w:pPr>
            <w:r>
              <w:rPr>
                <w:rFonts w:ascii="Arial" w:cs="Arial" w:eastAsia="Arial" w:hAnsi="Arial"/>
                <w:sz w:val="14"/>
                <w:szCs w:val="14"/>
                <w:i w:val="1"/>
                <w:iCs w:val="1"/>
                <w:color w:val="005A64"/>
              </w:rPr>
              <w:t>(unaudited)</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005A64"/>
              </w:rPr>
              <w:t>(unaudited)</w:t>
            </w:r>
          </w:p>
        </w:tc>
        <w:tc>
          <w:tcPr>
            <w:tcW w:w="0" w:type="dxa"/>
            <w:vAlign w:val="bottom"/>
          </w:tcPr>
          <w:p>
            <w:pPr>
              <w:spacing w:after="0"/>
              <w:rPr>
                <w:sz w:val="1"/>
                <w:szCs w:val="1"/>
                <w:color w:val="auto"/>
              </w:rPr>
            </w:pPr>
          </w:p>
        </w:tc>
      </w:tr>
      <w:tr>
        <w:trPr>
          <w:trHeight w:val="22"/>
        </w:trPr>
        <w:tc>
          <w:tcPr>
            <w:tcW w:w="6200" w:type="dxa"/>
            <w:vAlign w:val="bottom"/>
            <w:tcBorders>
              <w:bottom w:val="single" w:sz="8" w:color="005A64"/>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005A64"/>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Operating activities</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7FACB1"/>
            </w:tcBorders>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7FACB1"/>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Net profit / (loss)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198.1</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160.6</w:t>
            </w:r>
          </w:p>
        </w:tc>
        <w:tc>
          <w:tcPr>
            <w:tcW w:w="100" w:type="dxa"/>
            <w:vAlign w:val="bottom"/>
            <w:tcBorders>
              <w:right w:val="single" w:sz="8" w:color="BECD32"/>
            </w:tcBorders>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(924.8)</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472.4</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Income taxes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(39.4)</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66.8</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(54.1)</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50.5</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620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Profit / (Loss) before tax</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158.7</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227.4</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(978.9)</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522.9</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Adjustments to reconcile profit before tax to net cash flows:</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Depreciation and amortization of property, plant, equipment, intangible assets and right-of-use</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005A64"/>
              </w:rPr>
              <w:t>44.4</w:t>
            </w:r>
          </w:p>
        </w:tc>
        <w:tc>
          <w:tcPr>
            <w:tcW w:w="120" w:type="dxa"/>
            <w:vAlign w:val="bottom"/>
            <w:tcBorders>
              <w:right w:val="single" w:sz="8" w:color="BECD32"/>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005A64"/>
              </w:rPr>
              <w:t>41.3</w:t>
            </w:r>
          </w:p>
        </w:tc>
        <w:tc>
          <w:tcPr>
            <w:tcW w:w="100" w:type="dxa"/>
            <w:vAlign w:val="bottom"/>
            <w:tcBorders>
              <w:right w:val="single" w:sz="8" w:color="BECD32"/>
            </w:tcBorders>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132.6</w:t>
            </w:r>
          </w:p>
        </w:tc>
        <w:tc>
          <w:tcPr>
            <w:tcW w:w="10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005A64"/>
              </w:rPr>
              <w:t>104.6</w:t>
            </w:r>
          </w:p>
        </w:tc>
        <w:tc>
          <w:tcPr>
            <w:tcW w:w="0" w:type="dxa"/>
            <w:vAlign w:val="bottom"/>
          </w:tcPr>
          <w:p>
            <w:pPr>
              <w:spacing w:after="0"/>
              <w:rPr>
                <w:sz w:val="1"/>
                <w:szCs w:val="1"/>
                <w:color w:val="auto"/>
              </w:rPr>
            </w:pPr>
          </w:p>
        </w:tc>
      </w:tr>
      <w:tr>
        <w:trPr>
          <w:trHeight w:val="96"/>
        </w:trPr>
        <w:tc>
          <w:tcPr>
            <w:tcW w:w="6320" w:type="dxa"/>
            <w:vAlign w:val="bottom"/>
            <w:tcBorders>
              <w:right w:val="single" w:sz="8" w:color="BECD32"/>
            </w:tcBorders>
            <w:gridSpan w:val="2"/>
            <w:vMerge w:val="restart"/>
          </w:tcPr>
          <w:p>
            <w:pPr>
              <w:ind w:left="140"/>
              <w:spacing w:after="0"/>
              <w:rPr>
                <w:sz w:val="20"/>
                <w:szCs w:val="20"/>
                <w:color w:val="auto"/>
              </w:rPr>
            </w:pPr>
            <w:r>
              <w:rPr>
                <w:rFonts w:ascii="Arial" w:cs="Arial" w:eastAsia="Arial" w:hAnsi="Arial"/>
                <w:sz w:val="14"/>
                <w:szCs w:val="14"/>
                <w:color w:val="005A64"/>
              </w:rPr>
              <w:t>assets</w:t>
            </w:r>
          </w:p>
        </w:tc>
        <w:tc>
          <w:tcPr>
            <w:tcW w:w="1140" w:type="dxa"/>
            <w:vAlign w:val="bottom"/>
            <w:gridSpan w:val="2"/>
            <w:vMerge w:val="continue"/>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20" w:type="dxa"/>
            <w:vAlign w:val="bottom"/>
            <w:tcBorders>
              <w:right w:val="single" w:sz="8" w:color="BECD32"/>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Share-based payment expenses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40.9</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15.5</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77.4</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37.2</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Net foreign exchange differences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(35.5)</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(20.4)</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(77.4)</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(364.3)</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(Gain) / Loss on disposal of property, plant and equipment</w:t>
            </w:r>
          </w:p>
        </w:tc>
        <w:tc>
          <w:tcPr>
            <w:tcW w:w="8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4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3.3</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(0.2)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3.6</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Finance income excluding foreign exchange differences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(156.2)</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(148.5)</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(498.8)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(357.4)</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Finance expense excluding foreign exchange differences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5.3</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2.0</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14.8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4.5</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Government grants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(14.6)</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(26.8)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(3.0)</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Unrealized (gain) / loss on derivative instruments at fair value through profit or loss</w:t>
            </w:r>
            <w:r>
              <w:rPr>
                <w:rFonts w:ascii="Arial" w:cs="Arial" w:eastAsia="Arial" w:hAnsi="Arial"/>
                <w:sz w:val="9"/>
                <w:szCs w:val="9"/>
                <w:color w:val="005A64"/>
              </w:rPr>
              <w:t>(1)</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(6.0)</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(3.5)</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0.7</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196.7</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620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Working capital adjustments:</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7FACB1"/>
            </w:tcBorders>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7FACB1"/>
            </w:tcBorders>
          </w:tcPr>
          <w:p>
            <w:pPr>
              <w:spacing w:after="0"/>
              <w:rPr>
                <w:sz w:val="18"/>
                <w:szCs w:val="18"/>
                <w:color w:val="auto"/>
              </w:rPr>
            </w:pP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7FACB1"/>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Decrease / (Increase) in trade and other receivables, contract assets and other assets</w:t>
            </w:r>
            <w:r>
              <w:rPr>
                <w:rFonts w:ascii="Arial" w:cs="Arial" w:eastAsia="Arial" w:hAnsi="Arial"/>
                <w:sz w:val="9"/>
                <w:szCs w:val="9"/>
                <w:color w:val="005A64"/>
              </w:rPr>
              <w:t>(1)</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(830.2)</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631.2</w:t>
            </w:r>
          </w:p>
        </w:tc>
        <w:tc>
          <w:tcPr>
            <w:tcW w:w="100" w:type="dxa"/>
            <w:vAlign w:val="bottom"/>
            <w:tcBorders>
              <w:right w:val="single" w:sz="8" w:color="BECD32"/>
            </w:tcBorders>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1,267.6</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5,662.0</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Decrease in inventories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37.0</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33.2</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54.6</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23.9</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320" w:type="dxa"/>
            <w:vAlign w:val="bottom"/>
            <w:tcBorders>
              <w:right w:val="single" w:sz="8" w:color="BECD32"/>
            </w:tcBorders>
            <w:gridSpan w:val="2"/>
          </w:tcPr>
          <w:p>
            <w:pPr>
              <w:ind w:left="140"/>
              <w:spacing w:after="0"/>
              <w:rPr>
                <w:sz w:val="20"/>
                <w:szCs w:val="20"/>
                <w:color w:val="auto"/>
              </w:rPr>
            </w:pPr>
            <w:r>
              <w:rPr>
                <w:rFonts w:ascii="Arial" w:cs="Arial" w:eastAsia="Arial" w:hAnsi="Arial"/>
                <w:sz w:val="14"/>
                <w:szCs w:val="14"/>
                <w:color w:val="005A64"/>
              </w:rPr>
              <w:t>(Decrease) / Increase in trade payables, other financial liabilities, other liabilities, contract</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005A64"/>
              </w:rPr>
              <w:t>117.9</w:t>
            </w:r>
          </w:p>
        </w:tc>
        <w:tc>
          <w:tcPr>
            <w:tcW w:w="120" w:type="dxa"/>
            <w:vAlign w:val="bottom"/>
            <w:tcBorders>
              <w:right w:val="single" w:sz="8" w:color="BECD32"/>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005A64"/>
              </w:rPr>
              <w:t>(25.0)</w:t>
            </w:r>
          </w:p>
        </w:tc>
        <w:tc>
          <w:tcPr>
            <w:tcW w:w="100" w:type="dxa"/>
            <w:vAlign w:val="bottom"/>
            <w:tcBorders>
              <w:right w:val="single" w:sz="8" w:color="BECD32"/>
            </w:tcBorders>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590.7</w:t>
            </w:r>
          </w:p>
        </w:tc>
        <w:tc>
          <w:tcPr>
            <w:tcW w:w="10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005A64"/>
              </w:rPr>
              <w:t>(293.9)</w:t>
            </w:r>
          </w:p>
        </w:tc>
        <w:tc>
          <w:tcPr>
            <w:tcW w:w="0" w:type="dxa"/>
            <w:vAlign w:val="bottom"/>
          </w:tcPr>
          <w:p>
            <w:pPr>
              <w:spacing w:after="0"/>
              <w:rPr>
                <w:sz w:val="1"/>
                <w:szCs w:val="1"/>
                <w:color w:val="auto"/>
              </w:rPr>
            </w:pPr>
          </w:p>
        </w:tc>
      </w:tr>
      <w:tr>
        <w:trPr>
          <w:trHeight w:val="96"/>
        </w:trPr>
        <w:tc>
          <w:tcPr>
            <w:tcW w:w="6320" w:type="dxa"/>
            <w:vAlign w:val="bottom"/>
            <w:tcBorders>
              <w:right w:val="single" w:sz="8" w:color="BECD32"/>
            </w:tcBorders>
            <w:gridSpan w:val="2"/>
            <w:vMerge w:val="restart"/>
          </w:tcPr>
          <w:p>
            <w:pPr>
              <w:ind w:left="140"/>
              <w:spacing w:after="0"/>
              <w:rPr>
                <w:sz w:val="20"/>
                <w:szCs w:val="20"/>
                <w:color w:val="auto"/>
              </w:rPr>
            </w:pPr>
            <w:r>
              <w:rPr>
                <w:rFonts w:ascii="Arial" w:cs="Arial" w:eastAsia="Arial" w:hAnsi="Arial"/>
                <w:sz w:val="14"/>
                <w:szCs w:val="14"/>
                <w:color w:val="005A64"/>
              </w:rPr>
              <w:t>liabilities, refund liabilities and provisions</w:t>
            </w:r>
          </w:p>
        </w:tc>
        <w:tc>
          <w:tcPr>
            <w:tcW w:w="1140" w:type="dxa"/>
            <w:vAlign w:val="bottom"/>
            <w:gridSpan w:val="2"/>
            <w:vMerge w:val="continue"/>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20" w:type="dxa"/>
            <w:vAlign w:val="bottom"/>
            <w:tcBorders>
              <w:right w:val="single" w:sz="8" w:color="BECD32"/>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right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Interest received and realized gains from cash and cash equivalents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73.1</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70.3</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353.3</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166.4</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Interest paid and realized losses from cash and cash equivalents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(1.2)</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(6.9)</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(3.7)</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Income tax received / (paid), net</w:t>
            </w:r>
            <w:r>
              <w:rPr>
                <w:rFonts w:ascii="Arial" w:cs="Arial" w:eastAsia="Arial" w:hAnsi="Arial"/>
                <w:sz w:val="9"/>
                <w:szCs w:val="9"/>
                <w:color w:val="005A64"/>
              </w:rPr>
              <w:t>(1)</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(10.2)</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(190.8)</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(417.8)</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Share-based payments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(134.4)</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(4.2)</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(143.6)</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(761.2)</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Government grants received</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60.7</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102.7</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Net cash flows from / (used in) operating activities</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(638.9)</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811.2</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671.0</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4,520.5</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Investing activities</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Purchase of property, plant and equipment</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(72.8)</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(53.2)</w:t>
            </w:r>
          </w:p>
        </w:tc>
        <w:tc>
          <w:tcPr>
            <w:tcW w:w="100" w:type="dxa"/>
            <w:vAlign w:val="bottom"/>
            <w:tcBorders>
              <w:right w:val="single" w:sz="8" w:color="BECD32"/>
            </w:tcBorders>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(219.9)</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(165.6)</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Proceeds from sale of property, plant and equipment</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0.3</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(0.8)</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0.5</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(0.8)</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Purchase of intangible assets and right-of-use assets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(10.2)</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(97.2)</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(141.3)</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(348.9)</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Acquisition of subsidiaries and businesses, net of cash acquired</w:t>
            </w:r>
          </w:p>
        </w:tc>
        <w:tc>
          <w:tcPr>
            <w:tcW w:w="8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4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(336.9)</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(336.9)</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Investment in other financial assets</w:t>
            </w:r>
            <w:r>
              <w:rPr>
                <w:rFonts w:ascii="Arial" w:cs="Arial" w:eastAsia="Arial" w:hAnsi="Arial"/>
                <w:sz w:val="9"/>
                <w:szCs w:val="9"/>
                <w:color w:val="005A64"/>
              </w:rPr>
              <w:t>(1)</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(2,958.2)</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(1,047.1)</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(10,301.5)</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(3,710.2)</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Proceeds from maturity of other financial assets</w:t>
            </w:r>
            <w:r>
              <w:rPr>
                <w:rFonts w:ascii="Arial" w:cs="Arial" w:eastAsia="Arial" w:hAnsi="Arial"/>
                <w:sz w:val="9"/>
                <w:szCs w:val="9"/>
                <w:color w:val="005A64"/>
              </w:rPr>
              <w:t>(1)</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2,898.8</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303.0</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7,974.3</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303.0</w:t>
            </w:r>
          </w:p>
        </w:tc>
        <w:tc>
          <w:tcPr>
            <w:tcW w:w="0" w:type="dxa"/>
            <w:vAlign w:val="bottom"/>
          </w:tcPr>
          <w:p>
            <w:pPr>
              <w:spacing w:after="0"/>
              <w:rPr>
                <w:sz w:val="1"/>
                <w:szCs w:val="1"/>
                <w:color w:val="auto"/>
              </w:rPr>
            </w:pPr>
          </w:p>
        </w:tc>
      </w:tr>
      <w:tr>
        <w:trPr>
          <w:trHeight w:val="22"/>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620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Net cash flows used in investing activities</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(142.1)</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(1,232.2)</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(2,687.9)</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(4,259.4)</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7FACB1"/>
            </w:tcBorders>
          </w:tcPr>
          <w:p>
            <w:pPr>
              <w:ind w:left="20"/>
              <w:spacing w:after="0"/>
              <w:rPr>
                <w:sz w:val="20"/>
                <w:szCs w:val="20"/>
                <w:color w:val="auto"/>
              </w:rPr>
            </w:pPr>
            <w:r>
              <w:rPr>
                <w:rFonts w:ascii="Arial" w:cs="Arial" w:eastAsia="Arial" w:hAnsi="Arial"/>
                <w:sz w:val="14"/>
                <w:szCs w:val="14"/>
                <w:b w:val="1"/>
                <w:bCs w:val="1"/>
                <w:color w:val="3C9673"/>
              </w:rPr>
              <w:t>Financing activities</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7FACB1"/>
            </w:tcBorders>
          </w:tcPr>
          <w:p>
            <w:pPr>
              <w:spacing w:after="0"/>
              <w:rPr>
                <w:sz w:val="19"/>
                <w:szCs w:val="19"/>
                <w:color w:val="auto"/>
              </w:rPr>
            </w:pP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Proceeds from loans and borrowings</w:t>
            </w:r>
          </w:p>
        </w:tc>
        <w:tc>
          <w:tcPr>
            <w:tcW w:w="80" w:type="dxa"/>
            <w:vAlign w:val="bottom"/>
          </w:tcPr>
          <w:p>
            <w:pPr>
              <w:spacing w:after="0"/>
              <w:rPr>
                <w:sz w:val="18"/>
                <w:szCs w:val="18"/>
                <w:color w:val="auto"/>
              </w:rPr>
            </w:pPr>
          </w:p>
        </w:tc>
        <w:tc>
          <w:tcPr>
            <w:tcW w:w="1180" w:type="dxa"/>
            <w:vAlign w:val="bottom"/>
            <w:tcBorders>
              <w:right w:val="single" w:sz="8" w:color="BECD32"/>
            </w:tcBorders>
            <w:gridSpan w:val="2"/>
          </w:tcPr>
          <w:p>
            <w:pPr>
              <w:jc w:val="right"/>
              <w:ind w:right="14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0.1</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0.1</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Repayment of loans and borrowings</w:t>
            </w:r>
          </w:p>
        </w:tc>
        <w:tc>
          <w:tcPr>
            <w:tcW w:w="8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4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(0.1)</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(2.3)</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(0.1)</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Payments related to lease liabilities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(7.9)</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(9.3)</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(36.3)</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(28.0)</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Share repurchase program</w:t>
            </w:r>
          </w:p>
        </w:tc>
        <w:tc>
          <w:tcPr>
            <w:tcW w:w="8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4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(301.7)</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(737.7)</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Net cash flows used in financing activities</w:t>
            </w:r>
          </w:p>
        </w:tc>
        <w:tc>
          <w:tcPr>
            <w:tcW w:w="12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(7.9)</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(311.0)</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(38.6)</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(765.7)</w:t>
            </w:r>
          </w:p>
        </w:tc>
        <w:tc>
          <w:tcPr>
            <w:tcW w:w="0" w:type="dxa"/>
            <w:vAlign w:val="bottom"/>
          </w:tcPr>
          <w:p>
            <w:pPr>
              <w:spacing w:after="0"/>
              <w:rPr>
                <w:sz w:val="1"/>
                <w:szCs w:val="1"/>
                <w:color w:val="auto"/>
              </w:rPr>
            </w:pPr>
          </w:p>
        </w:tc>
      </w:tr>
      <w:tr>
        <w:trPr>
          <w:trHeight w:val="208"/>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Net decrease in cash and cash equivalents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(788.9)</w:t>
            </w:r>
          </w:p>
        </w:tc>
        <w:tc>
          <w:tcPr>
            <w:tcW w:w="120" w:type="dxa"/>
            <w:vAlign w:val="bottom"/>
            <w:tcBorders>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(732.0)</w:t>
            </w:r>
          </w:p>
        </w:tc>
        <w:tc>
          <w:tcPr>
            <w:tcW w:w="100" w:type="dxa"/>
            <w:vAlign w:val="bottom"/>
            <w:tcBorders>
              <w:right w:val="single" w:sz="8" w:color="BECD32"/>
            </w:tcBorders>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(2,055.5)</w:t>
            </w:r>
          </w:p>
        </w:tc>
        <w:tc>
          <w:tcPr>
            <w:tcW w:w="100" w:type="dxa"/>
            <w:vAlign w:val="bottom"/>
            <w:tcBorders>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(504.6)</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Change in cash and cash equivalents resulting from exchange rate differences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(2.3)</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61.2</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125.3</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Change in cash and cash equivalents resulting from other valuation effects</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39.1</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4"/>
                <w:szCs w:val="14"/>
                <w:color w:val="005A64"/>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15.2</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6320" w:type="dxa"/>
            <w:vAlign w:val="bottom"/>
            <w:tcBorders>
              <w:right w:val="single" w:sz="8" w:color="BECD32"/>
            </w:tcBorders>
            <w:gridSpan w:val="2"/>
          </w:tcPr>
          <w:p>
            <w:pPr>
              <w:ind w:left="20"/>
              <w:spacing w:after="0"/>
              <w:rPr>
                <w:sz w:val="20"/>
                <w:szCs w:val="20"/>
                <w:color w:val="auto"/>
              </w:rPr>
            </w:pPr>
            <w:r>
              <w:rPr>
                <w:rFonts w:ascii="Arial" w:cs="Arial" w:eastAsia="Arial" w:hAnsi="Arial"/>
                <w:sz w:val="14"/>
                <w:szCs w:val="14"/>
                <w:color w:val="005A64"/>
              </w:rPr>
              <w:t>Cash and cash equivalents at the beginning of the period</w:t>
            </w: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10,376.7</w:t>
            </w:r>
          </w:p>
        </w:tc>
        <w:tc>
          <w:tcPr>
            <w:tcW w:w="120" w:type="dxa"/>
            <w:vAlign w:val="bottom"/>
            <w:tcBorders>
              <w:right w:val="single" w:sz="8" w:color="BECD32"/>
            </w:tcBorders>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14,166.6</w:t>
            </w:r>
          </w:p>
        </w:tc>
        <w:tc>
          <w:tcPr>
            <w:tcW w:w="100" w:type="dxa"/>
            <w:vAlign w:val="bottom"/>
            <w:tcBorders>
              <w:right w:val="single" w:sz="8" w:color="BECD32"/>
            </w:tcBorders>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005A64"/>
              </w:rPr>
              <w:t>11,663.7</w:t>
            </w:r>
          </w:p>
        </w:tc>
        <w:tc>
          <w:tcPr>
            <w:tcW w:w="10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005A64"/>
              </w:rPr>
              <w:t>13,875.1</w:t>
            </w:r>
          </w:p>
        </w:tc>
        <w:tc>
          <w:tcPr>
            <w:tcW w:w="0" w:type="dxa"/>
            <w:vAlign w:val="bottom"/>
          </w:tcPr>
          <w:p>
            <w:pPr>
              <w:spacing w:after="0"/>
              <w:rPr>
                <w:sz w:val="1"/>
                <w:szCs w:val="1"/>
                <w:color w:val="auto"/>
              </w:rPr>
            </w:pPr>
          </w:p>
        </w:tc>
      </w:tr>
      <w:tr>
        <w:trPr>
          <w:trHeight w:val="21"/>
        </w:trPr>
        <w:tc>
          <w:tcPr>
            <w:tcW w:w="620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12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7FACB1"/>
            </w:tcBorders>
          </w:tcPr>
          <w:p>
            <w:pPr>
              <w:spacing w:after="0" w:line="20" w:lineRule="exact"/>
              <w:rPr>
                <w:sz w:val="1"/>
                <w:szCs w:val="1"/>
                <w:color w:val="auto"/>
              </w:rPr>
            </w:pPr>
          </w:p>
        </w:tc>
        <w:tc>
          <w:tcPr>
            <w:tcW w:w="100" w:type="dxa"/>
            <w:vAlign w:val="bottom"/>
            <w:tcBorders>
              <w:right w:val="single" w:sz="8" w:color="BECD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6200" w:type="dxa"/>
            <w:vAlign w:val="bottom"/>
            <w:tcBorders>
              <w:bottom w:val="single" w:sz="8" w:color="005A64"/>
            </w:tcBorders>
          </w:tcPr>
          <w:p>
            <w:pPr>
              <w:ind w:left="20"/>
              <w:spacing w:after="0"/>
              <w:rPr>
                <w:sz w:val="20"/>
                <w:szCs w:val="20"/>
                <w:color w:val="auto"/>
              </w:rPr>
            </w:pPr>
            <w:r>
              <w:rPr>
                <w:rFonts w:ascii="Arial" w:cs="Arial" w:eastAsia="Arial" w:hAnsi="Arial"/>
                <w:sz w:val="14"/>
                <w:szCs w:val="14"/>
                <w:b w:val="1"/>
                <w:bCs w:val="1"/>
                <w:color w:val="005A64"/>
              </w:rPr>
              <w:t>Cash and cash equivalents as of September 30</w:t>
            </w:r>
          </w:p>
        </w:tc>
        <w:tc>
          <w:tcPr>
            <w:tcW w:w="120" w:type="dxa"/>
            <w:vAlign w:val="bottom"/>
            <w:tcBorders>
              <w:right w:val="single" w:sz="8" w:color="BECD32"/>
            </w:tcBorders>
          </w:tcPr>
          <w:p>
            <w:pPr>
              <w:spacing w:after="0"/>
              <w:rPr>
                <w:sz w:val="18"/>
                <w:szCs w:val="18"/>
                <w:color w:val="auto"/>
              </w:rPr>
            </w:pPr>
          </w:p>
        </w:tc>
        <w:tc>
          <w:tcPr>
            <w:tcW w:w="1140" w:type="dxa"/>
            <w:vAlign w:val="bottom"/>
            <w:tcBorders>
              <w:bottom w:val="single" w:sz="8" w:color="BECD32"/>
            </w:tcBorders>
            <w:gridSpan w:val="2"/>
          </w:tcPr>
          <w:p>
            <w:pPr>
              <w:jc w:val="right"/>
              <w:spacing w:after="0"/>
              <w:rPr>
                <w:sz w:val="20"/>
                <w:szCs w:val="20"/>
                <w:color w:val="auto"/>
              </w:rPr>
            </w:pPr>
            <w:r>
              <w:rPr>
                <w:rFonts w:ascii="Arial" w:cs="Arial" w:eastAsia="Arial" w:hAnsi="Arial"/>
                <w:sz w:val="14"/>
                <w:szCs w:val="14"/>
                <w:b w:val="1"/>
                <w:bCs w:val="1"/>
                <w:color w:val="005A64"/>
              </w:rPr>
              <w:t>9,624.6</w:t>
            </w:r>
          </w:p>
        </w:tc>
        <w:tc>
          <w:tcPr>
            <w:tcW w:w="120" w:type="dxa"/>
            <w:vAlign w:val="bottom"/>
            <w:tcBorders>
              <w:bottom w:val="single" w:sz="8" w:color="BECD32"/>
              <w:right w:val="single" w:sz="8" w:color="BECD32"/>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13,495.8</w:t>
            </w:r>
          </w:p>
        </w:tc>
        <w:tc>
          <w:tcPr>
            <w:tcW w:w="100" w:type="dxa"/>
            <w:vAlign w:val="bottom"/>
            <w:tcBorders>
              <w:right w:val="single" w:sz="8" w:color="BECD32"/>
            </w:tcBorders>
          </w:tcPr>
          <w:p>
            <w:pPr>
              <w:spacing w:after="0"/>
              <w:rPr>
                <w:sz w:val="18"/>
                <w:szCs w:val="18"/>
                <w:color w:val="auto"/>
              </w:rPr>
            </w:pPr>
          </w:p>
        </w:tc>
        <w:tc>
          <w:tcPr>
            <w:tcW w:w="1160" w:type="dxa"/>
            <w:vAlign w:val="bottom"/>
            <w:tcBorders>
              <w:bottom w:val="single" w:sz="8" w:color="BECD32"/>
            </w:tcBorders>
            <w:gridSpan w:val="2"/>
          </w:tcPr>
          <w:p>
            <w:pPr>
              <w:jc w:val="right"/>
              <w:spacing w:after="0"/>
              <w:rPr>
                <w:sz w:val="20"/>
                <w:szCs w:val="20"/>
                <w:color w:val="auto"/>
              </w:rPr>
            </w:pPr>
            <w:r>
              <w:rPr>
                <w:rFonts w:ascii="Arial" w:cs="Arial" w:eastAsia="Arial" w:hAnsi="Arial"/>
                <w:sz w:val="14"/>
                <w:szCs w:val="14"/>
                <w:b w:val="1"/>
                <w:bCs w:val="1"/>
                <w:color w:val="005A64"/>
              </w:rPr>
              <w:t>9,624.6</w:t>
            </w:r>
          </w:p>
        </w:tc>
        <w:tc>
          <w:tcPr>
            <w:tcW w:w="100" w:type="dxa"/>
            <w:vAlign w:val="bottom"/>
            <w:tcBorders>
              <w:bottom w:val="single" w:sz="8" w:color="BECD32"/>
              <w:right w:val="single" w:sz="8" w:color="BECD32"/>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13,495.8</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relate to reclassifications within the cash flows from operating and investing activities,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interim condensed consolidated financial statements.</w:t>
      </w:r>
    </w:p>
    <w:p>
      <w:pPr>
        <w:sectPr>
          <w:pgSz w:w="11900" w:h="16838" w:orient="portrait"/>
          <w:cols w:equalWidth="0" w:num="1">
            <w:col w:w="11240"/>
          </w:cols>
          <w:pgMar w:left="320" w:top="341" w:right="339" w:bottom="4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341" w:right="339" w:bottom="473"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2" w:lineRule="auto"/>
        <w:rPr>
          <w:sz w:val="20"/>
          <w:szCs w:val="20"/>
          <w:color w:val="auto"/>
        </w:rPr>
      </w:pPr>
      <w:r>
        <w:rPr>
          <w:rFonts w:ascii="Arial" w:cs="Arial" w:eastAsia="Arial" w:hAnsi="Arial"/>
          <w:sz w:val="27"/>
          <w:szCs w:val="27"/>
          <w:b w:val="1"/>
          <w:bCs w:val="1"/>
          <w:color w:val="005A64"/>
        </w:rPr>
        <w:t>Selected Explanatory Notes to the Unaudited Interim Condensed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 Corporate Information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International Financial Reporting Standards, or IFRS, as issued by the International Accounting Standards Board. References to the “Company”, “BioNTech”, “Group”, “we”, “us” and “our” refer to BioNTech SE and its consolidated subsidiaries.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 and major global health burden. Our fully integrated model combines decades of research in immunology, translational drug discovery and development, a technology agnostic innovation engine, GMP manufacturing, and commercial capabilities to rapidly discover, develop and commercialize our marketed product and other candidate vaccines and therapies. We have built a broad toolkit across multiple technology platforms, including a diverse range of potentially first-in-class therapeutic approaches. This includes investigational mRNA vaccines and therapeutics, cell and gene therapies, targeted antibodies and small molecule immunomodulators.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unaudited interim condensed consolidated financial statements as of and for the three and nine months ended September 30, 2024 were authorized for issuance in accordance with a resolution of the Audit Committee of our Supervisory Board on October 31, 2024.</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2. Basis of Preparation, Significant Accounting Policies and further Accounting Topics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Basis of Preparation and Principles of Consolidation</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accompanying unaudited interim condensed consolidated financial statements as of and for the three and nine months ended September 30, 2024 have been prepared in accordance with International Accounting Standard (IAS) 34 Interim Financial Reporting.</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2023.</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prepare and present our unaudited interim condensed consolidated financial statements in Euros and round numbers to millions of Euros. Accordingly, numerical figures shown as totals in some tables may not be exact arithmetic aggregations of the figures that preceded them and figures presented in the explanatory notes may not add up to the rounded arithmetic aggregations.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unaudited interim condensed consolidated financial statements as of and for the three and nine months ended September 30, 2024 include BioNTech SE and its subsidiaries. All intercompany transactions and balances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Significant Accounting Judgments, Estimates and Assumptions and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unaudited interim condensed consolidated financial statements requires our management to make judgments, estimates and assumptions that affect the reported amounts of revenues, expenses, assets and liabilities and the accompanying disclosures. This includes but is not limited to our judgment relating to our collaboration with Pfizer, Inc., or Pfizer, as described under the subheading “Pfizer Agreement Characteristics” in Note 3 to our audited consolidated financial statements as of and for the year ended December 31, 2023. In order to determine our share of the collaboration partner’s gross profits, we used certain information from the collaboration partner, including revenues from the sale of products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4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certain other sharable expense items, some of which is based on preliminary data shared between the partners.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further includes but is not limited to judgments relating to the impairment tests of our goodwill and intangible assets, as the outcome of these tests is highly dependent on management’s assumptions regarding future cash flow projections, which require significant judgments and assumptions about future developments. They can be affected by a variety of factors, including but not limited to peak sales assumptions, clinical trial success rates and/or estimation of weighted-average cost of capital. Changes to the assumptions underlying our goodwill and intangible assets impairment assessments could require material adjustments to the carrying amount of our recognized goodwill and intangible assets and may lead to impairment charges recognized in our condensed consolidated statements of profit or loss.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continually evaluates judgments and estimates, including those related to contingencies, revenues and expenses. Management bases its judgments and estimates on parameters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accounting policies adopted in the preparation of the unaudited interim condensed consolidated financial statements are consistent with those followed in the preparation of our audited consolidated financial statements as of and for the year ended December 31, 2023, except for income taxes, which are accounted for using the expected annual tax rate in our unaudited interim condensed consolidated financial statements (see Note 5).</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we recognize acquired contractual rights to cash flows from the sale of patent-protected biopharmaceutical products by unrelated biopharmaceutical companies as royalty assets. Since we do not own the intellectual property or have the right to commercialize the underlying products, royalty assets are recognized as financial assets measured at fair value through profit and loss. We recognize day one gains and losses only when the fair value is evidenced by a quoted price in an active market for the same instrument or is based on a valuation technique that only uses data from observable markets. In all other cases, we defer the difference between the fair value at initial recognition and the transaction price. After initial recognition, we recognize that deferred difference as a gain or loss only to the extent that it arises from a change in a factor that market participants would take into account when pricing the asset or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Standards Applied for the First Time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IFRS standards applied for the first time as of January 1, 2024, as disclosed in the notes to the audited consolidated financial statements as of and for the year ended December 31, 2023, had no impact on our unaudited interim condensed consolidated financial statements as of and for the three and nine months ended September 30, 2024.</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3. Revenues from Contracts with Customers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Disaggregated information on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the disaggregation of our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005A64"/>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rPr>
              <w:t>Nine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September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005A64"/>
              </w:rPr>
              <w:t>September 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1"/>
                <w:szCs w:val="11"/>
                <w:color w:val="auto"/>
              </w:rPr>
            </w:pPr>
          </w:p>
        </w:tc>
        <w:tc>
          <w:tcPr>
            <w:tcW w:w="1360" w:type="dxa"/>
            <w:vAlign w:val="bottom"/>
            <w:tcBorders>
              <w:bottom w:val="single" w:sz="8" w:color="BECD32"/>
            </w:tcBorders>
            <w:gridSpan w:val="2"/>
          </w:tcPr>
          <w:p>
            <w:pPr>
              <w:spacing w:after="0"/>
              <w:rPr>
                <w:sz w:val="11"/>
                <w:szCs w:val="11"/>
                <w:color w:val="auto"/>
              </w:rPr>
            </w:pPr>
          </w:p>
        </w:tc>
        <w:tc>
          <w:tcPr>
            <w:tcW w:w="10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005A64"/>
            </w:tcBorders>
          </w:tcPr>
          <w:p>
            <w:pPr>
              <w:spacing w:after="0"/>
              <w:rPr>
                <w:sz w:val="20"/>
                <w:szCs w:val="20"/>
                <w:color w:val="auto"/>
              </w:rPr>
            </w:pPr>
          </w:p>
        </w:tc>
        <w:tc>
          <w:tcPr>
            <w:tcW w:w="58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1,113.9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885.0</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1,310.0</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2,306.7</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130.9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10.3</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251.1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33.3</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1,244.8</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895.3</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1,561.1</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005A64"/>
            </w:tcBorders>
          </w:tcPr>
          <w:p>
            <w:pPr>
              <w:spacing w:after="0"/>
              <w:rPr>
                <w:sz w:val="20"/>
                <w:szCs w:val="20"/>
                <w:color w:val="auto"/>
              </w:rPr>
            </w:pPr>
          </w:p>
        </w:tc>
        <w:tc>
          <w:tcPr>
            <w:tcW w:w="5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2,340.0</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005A64"/>
        </w:rPr>
        <w:t>COVID-19 Vaccine Revenues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nine months ended September 30, 2024, and 2023, COVID-19 vaccine revenues were recognized from the supply and sales of our COVID-19 vaccine worldwide, mainly comprising our share of</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341"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collaboration partner’s gross profit derived from sales in the collaboration partner’s territory. Overall, our COVID-19 vaccine revenues amounted to €1,113.9 million and €1,310.0 million during the three and nine months ended September 30, 2024, respectively. During the three and nine months ended September 30, 2023, COVID-19 vaccine revenues amounted to € 885.0 million and € 2,306.7 million, respectively. The year-to-date change compared to the comparative prior year period was mainly due to lower revenues from the sales of our COVID-19 vaccines worldwide resulting from lower sales demand during the nine months ended September 30, 2024. During the three months ended September 30, 2024, our sales were higher compared to the prior year period, which were largely driven by the earlier approvals received for our variant-adapted COVID-19 vaccines in 2024. Our COVID-19 vaccine revenues are subject to seasonal effects in the fall / winter of the northern hemisphere.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Other Revenues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nine months ended September 30, 2024, our other revenues were mainly derived from a pandemic preparedness contract with the German government effectively supplemented in the three months ended March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contracts with customers were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3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3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5" w:lineRule="exact"/>
        <w:rPr>
          <w:sz w:val="20"/>
          <w:szCs w:val="20"/>
          <w:color w:val="auto"/>
        </w:rPr>
      </w:pPr>
    </w:p>
    <w:p>
      <w:pPr>
        <w:ind w:left="140" w:right="1520"/>
        <w:spacing w:after="0" w:line="334" w:lineRule="auto"/>
        <w:rPr>
          <w:sz w:val="20"/>
          <w:szCs w:val="20"/>
          <w:color w:val="auto"/>
        </w:rPr>
      </w:pPr>
      <w:r>
        <w:rPr>
          <w:rFonts w:ascii="Arial" w:cs="Arial" w:eastAsia="Arial" w:hAnsi="Arial"/>
          <w:sz w:val="16"/>
          <w:szCs w:val="16"/>
          <w:i w:val="1"/>
          <w:iCs w:val="1"/>
          <w:color w:val="005A64"/>
        </w:rPr>
        <w:t>Goods and services transferred at a point in time Goods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437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3437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ind w:left="140"/>
        <w:spacing w:after="0" w:line="266" w:lineRule="auto"/>
        <w:rPr>
          <w:sz w:val="20"/>
          <w:szCs w:val="20"/>
          <w:color w:val="auto"/>
        </w:rPr>
      </w:pPr>
      <w:r>
        <w:rPr>
          <w:rFonts w:ascii="Arial" w:cs="Arial" w:eastAsia="Arial" w:hAnsi="Arial"/>
          <w:sz w:val="16"/>
          <w:szCs w:val="16"/>
          <w:i w:val="1"/>
          <w:iCs w:val="1"/>
          <w:color w:val="005A64"/>
        </w:rPr>
        <w:t xml:space="preserve">Revenue recognition applying the sales-based or usage-based royalty recognition constraint model </w:t>
      </w:r>
      <w:r>
        <w:rPr>
          <w:rFonts w:ascii="Arial" w:cs="Arial" w:eastAsia="Arial" w:hAnsi="Arial"/>
          <w:sz w:val="21"/>
          <w:szCs w:val="21"/>
          <w:i w:val="1"/>
          <w:iCs w:val="1"/>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43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37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218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005A64"/>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rPr>
              <w:t>Nine months ended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18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September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2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005A64"/>
              </w:rPr>
              <w:t>September 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2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34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BECD32"/>
            </w:tcBorders>
          </w:tcPr>
          <w:p>
            <w:pPr>
              <w:spacing w:after="0"/>
              <w:rPr>
                <w:sz w:val="20"/>
                <w:szCs w:val="20"/>
                <w:color w:val="auto"/>
              </w:rPr>
            </w:pPr>
          </w:p>
        </w:tc>
        <w:tc>
          <w:tcPr>
            <w:tcW w:w="124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005A64"/>
              <w:bottom w:val="single" w:sz="8" w:color="7FACB1"/>
            </w:tcBorders>
          </w:tcPr>
          <w:p>
            <w:pPr>
              <w:spacing w:after="0"/>
              <w:rPr>
                <w:sz w:val="20"/>
                <w:szCs w:val="20"/>
                <w:color w:val="auto"/>
              </w:rPr>
            </w:pPr>
          </w:p>
        </w:tc>
        <w:tc>
          <w:tcPr>
            <w:tcW w:w="50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005A64"/>
              <w:bottom w:val="single" w:sz="8" w:color="7FACB1"/>
            </w:tcBorders>
          </w:tcPr>
          <w:p>
            <w:pPr>
              <w:spacing w:after="0"/>
              <w:rPr>
                <w:sz w:val="20"/>
                <w:szCs w:val="20"/>
                <w:color w:val="auto"/>
              </w:rPr>
            </w:pPr>
          </w:p>
        </w:tc>
        <w:tc>
          <w:tcPr>
            <w:tcW w:w="580" w:type="dxa"/>
            <w:vAlign w:val="bottom"/>
            <w:tcBorders>
              <w:top w:val="single" w:sz="8" w:color="005A64"/>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247.0</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184.9</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301.6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410.4</w:t>
            </w:r>
          </w:p>
        </w:tc>
        <w:tc>
          <w:tcPr>
            <w:tcW w:w="0" w:type="dxa"/>
            <w:vAlign w:val="bottom"/>
          </w:tcPr>
          <w:p>
            <w:pPr>
              <w:spacing w:after="0"/>
              <w:rPr>
                <w:sz w:val="1"/>
                <w:szCs w:val="1"/>
                <w:color w:val="auto"/>
              </w:rPr>
            </w:pPr>
          </w:p>
        </w:tc>
      </w:tr>
      <w:tr>
        <w:trPr>
          <w:trHeight w:val="236"/>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124.8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3.4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231.7</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i w:val="1"/>
                <w:iCs w:val="1"/>
                <w:color w:val="005A64"/>
              </w:rPr>
              <w:t>12.7</w:t>
            </w:r>
          </w:p>
        </w:tc>
        <w:tc>
          <w:tcPr>
            <w:tcW w:w="0" w:type="dxa"/>
            <w:vAlign w:val="bottom"/>
          </w:tcPr>
          <w:p>
            <w:pPr>
              <w:spacing w:after="0"/>
              <w:rPr>
                <w:sz w:val="1"/>
                <w:szCs w:val="1"/>
                <w:color w:val="auto"/>
              </w:rPr>
            </w:pPr>
          </w:p>
        </w:tc>
      </w:tr>
      <w:tr>
        <w:trPr>
          <w:trHeight w:val="322"/>
        </w:trPr>
        <w:tc>
          <w:tcPr>
            <w:tcW w:w="134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i w:val="1"/>
                <w:iCs w:val="1"/>
                <w:color w:val="005A64"/>
              </w:rPr>
              <w:t>873.0</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i w:val="1"/>
                <w:iCs w:val="1"/>
                <w:color w:val="005A64"/>
              </w:rPr>
              <w:t>707.0</w:t>
            </w:r>
          </w:p>
        </w:tc>
        <w:tc>
          <w:tcPr>
            <w:tcW w:w="120" w:type="dxa"/>
            <w:vAlign w:val="bottom"/>
            <w:tcBorders>
              <w:right w:val="single" w:sz="8" w:color="BECD32"/>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i w:val="1"/>
                <w:iCs w:val="1"/>
                <w:color w:val="005A64"/>
              </w:rPr>
              <w:t>1,027.8</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005A64"/>
              </w:rPr>
              <w:t>1,916.9</w:t>
            </w:r>
          </w:p>
        </w:tc>
        <w:tc>
          <w:tcPr>
            <w:tcW w:w="0" w:type="dxa"/>
            <w:vAlign w:val="bottom"/>
          </w:tcPr>
          <w:p>
            <w:pPr>
              <w:spacing w:after="0"/>
              <w:rPr>
                <w:sz w:val="1"/>
                <w:szCs w:val="1"/>
                <w:color w:val="auto"/>
              </w:rPr>
            </w:pPr>
          </w:p>
        </w:tc>
      </w:tr>
      <w:tr>
        <w:trPr>
          <w:trHeight w:val="123"/>
        </w:trPr>
        <w:tc>
          <w:tcPr>
            <w:tcW w:w="100" w:type="dxa"/>
            <w:vAlign w:val="bottom"/>
            <w:tcBorders>
              <w:left w:val="single" w:sz="8" w:color="BECD32"/>
            </w:tcBorders>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7FACB1"/>
            </w:tcBorders>
          </w:tcPr>
          <w:p>
            <w:pPr>
              <w:spacing w:after="0"/>
              <w:rPr>
                <w:sz w:val="10"/>
                <w:szCs w:val="10"/>
                <w:color w:val="auto"/>
              </w:rPr>
            </w:pPr>
          </w:p>
        </w:tc>
        <w:tc>
          <w:tcPr>
            <w:tcW w:w="50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7FACB1"/>
            </w:tcBorders>
          </w:tcPr>
          <w:p>
            <w:pPr>
              <w:spacing w:after="0"/>
              <w:rPr>
                <w:sz w:val="10"/>
                <w:szCs w:val="10"/>
                <w:color w:val="auto"/>
              </w:rPr>
            </w:pPr>
          </w:p>
        </w:tc>
        <w:tc>
          <w:tcPr>
            <w:tcW w:w="58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34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1,244.8</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895.3</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1,561.1</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005A64"/>
            </w:tcBorders>
          </w:tcPr>
          <w:p>
            <w:pPr>
              <w:spacing w:after="0"/>
              <w:rPr>
                <w:sz w:val="20"/>
                <w:szCs w:val="20"/>
                <w:color w:val="auto"/>
              </w:rPr>
            </w:pPr>
          </w:p>
        </w:tc>
        <w:tc>
          <w:tcPr>
            <w:tcW w:w="5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2,340.0</w:t>
            </w: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2">
            <w:col w:w="5140" w:space="420"/>
            <w:col w:w="5680"/>
          </w:cols>
          <w:pgMar w:left="320" w:top="341" w:right="339" w:bottom="1440" w:gutter="0" w:footer="0" w:header="0"/>
          <w:type w:val="continuous"/>
        </w:sectPr>
      </w:pPr>
    </w:p>
    <w:p>
      <w:pPr>
        <w:ind w:left="320" w:hanging="312"/>
        <w:spacing w:after="0"/>
        <w:tabs>
          <w:tab w:leader="none" w:pos="320" w:val="left"/>
        </w:tabs>
        <w:numPr>
          <w:ilvl w:val="0"/>
          <w:numId w:val="4"/>
        </w:numPr>
        <w:rPr>
          <w:rFonts w:ascii="Arial" w:cs="Arial" w:eastAsia="Arial" w:hAnsi="Arial"/>
          <w:sz w:val="21"/>
          <w:szCs w:val="21"/>
          <w:color w:val="005A64"/>
          <w:vertAlign w:val="superscript"/>
        </w:rPr>
      </w:pPr>
      <w:r>
        <w:rPr>
          <w:rFonts w:ascii="Arial" w:cs="Arial" w:eastAsia="Arial" w:hAnsi="Arial"/>
          <w:sz w:val="16"/>
          <w:szCs w:val="16"/>
          <w:color w:val="005A64"/>
        </w:rPr>
        <w:t>Represents sales based on the share of the collaboration partners’ gross profit.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4. Income and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4.1 General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Cost of Sales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cost of sales increased by €17.1 million, or 11%, from €161.8 million during the three months ended September 30, 2023 to €178.9 million during the three months ended September 30, 2024, and decreased by €122.9 million, or 29%, from €420.7 million during the nine months ended September 30, 2023 to €297.8 million during the nine months ended September 30, 2024. While we recognized lower cost of sales from our decreased COVID-19 vaccine sales in our territories, particularly Germany, changes in our cost of sales were additionally impacted by expenses arising from inventory write-downs to net realizable value amounting to €39.7 million and €103.3 million during the three and nine months ended September 30, 2024, respectively, compared to €46.2 million and €96.1 million during the three and nine months ended September 30, 2023, respectively (adjustments to prior-year figures relate to reclassifications). The inventories valued at net realizable value in our consolidated statement of financial position as of September 30, 2024 take contractual compensation payments into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005A64"/>
        </w:rPr>
        <w:t>Research and Development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expenses increased by €52.4 million, or 11%, from €497.9 million during the three months ended September 30, 2023 to €550.3 million during the three months ended September 30, 2024, and increased by €437.1 million, or 36%, from €1,205.3 million during the nine months ended September 30, 2023 to €1,642.4 million during the nine months ended September 30, 2024. The increase was mainly driven by advancing key pipeline candidates, such as our antibody drug conjugate, or ADC, antibody and individualized cancer-immunotherapy product candidates. Further contributions to the increase came from higher personnel expenses resulting from an increase in headcount.</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34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005A64"/>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and administrative expenses decreased by €6.7 million, or 5%, from €139.1 million during the three months ended September 30, 2023 to €132.4 million during the three months ended September 30, 2024, and increased by €49.6 million, or 13%, from €370.7 million during the nine months ended September 30, 2023 to €420.3 million during the nine months ended September 30, 2024. The year-to-date increase compared to the comparative prior year period was primarily due to increased headcount and higher personnel expenses as a result. A reduction in external services led to a slight decrease in total general and administrative expenses during the three months ended September 30, 2024, compared to the comparative prior year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4.2 Other Operating Expenses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operating expenses recognized during the three and nine months ended September 30, 2024, and 2023,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005A64"/>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005A64"/>
              </w:rPr>
              <w:t>Nine months ended</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005A64"/>
              </w:rPr>
              <w:t>September 30,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September 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60" w:type="dxa"/>
            <w:vAlign w:val="bottom"/>
            <w:tcBorders>
              <w:bottom w:val="single" w:sz="8" w:color="BECE33"/>
            </w:tcBorders>
          </w:tcPr>
          <w:p>
            <w:pPr>
              <w:spacing w:after="0"/>
              <w:rPr>
                <w:sz w:val="10"/>
                <w:szCs w:val="10"/>
                <w:color w:val="auto"/>
              </w:rPr>
            </w:pPr>
          </w:p>
        </w:tc>
        <w:tc>
          <w:tcPr>
            <w:tcW w:w="1240" w:type="dxa"/>
            <w:vAlign w:val="bottom"/>
            <w:tcBorders>
              <w:bottom w:val="single" w:sz="8" w:color="BECE33"/>
            </w:tcBorders>
          </w:tcPr>
          <w:p>
            <w:pPr>
              <w:spacing w:after="0"/>
              <w:rPr>
                <w:sz w:val="10"/>
                <w:szCs w:val="10"/>
                <w:color w:val="auto"/>
              </w:rPr>
            </w:pPr>
          </w:p>
        </w:tc>
        <w:tc>
          <w:tcPr>
            <w:tcW w:w="100" w:type="dxa"/>
            <w:vAlign w:val="bottom"/>
            <w:tcBorders>
              <w:bottom w:val="single" w:sz="8" w:color="BECE33"/>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20" w:type="dxa"/>
            <w:vAlign w:val="bottom"/>
            <w:tcBorders>
              <w:bottom w:val="single" w:sz="8" w:color="BECE33"/>
            </w:tcBorders>
            <w:gridSpan w:val="2"/>
          </w:tcPr>
          <w:p>
            <w:pPr>
              <w:spacing w:after="0"/>
              <w:rPr>
                <w:sz w:val="10"/>
                <w:szCs w:val="10"/>
                <w:color w:val="auto"/>
              </w:rPr>
            </w:pPr>
          </w:p>
        </w:tc>
        <w:tc>
          <w:tcPr>
            <w:tcW w:w="100" w:type="dxa"/>
            <w:vAlign w:val="bottom"/>
            <w:tcBorders>
              <w:bottom w:val="single" w:sz="8" w:color="BECE33"/>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left w:val="single" w:sz="8" w:color="BECE33"/>
            </w:tcBorders>
          </w:tcPr>
          <w:p>
            <w:pPr>
              <w:jc w:val="right"/>
              <w:spacing w:after="0"/>
              <w:rPr>
                <w:sz w:val="20"/>
                <w:szCs w:val="20"/>
                <w:color w:val="auto"/>
              </w:rPr>
            </w:pPr>
            <w:r>
              <w:rPr>
                <w:rFonts w:ascii="Arial" w:cs="Arial" w:eastAsia="Arial" w:hAnsi="Arial"/>
                <w:sz w:val="16"/>
                <w:szCs w:val="16"/>
                <w:b w:val="1"/>
                <w:bCs w:val="1"/>
                <w:color w:val="005A64"/>
              </w:rPr>
              <w:t>2</w:t>
            </w: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6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Contractual disputes</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365.9</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605.0</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Litigation costs</w:t>
            </w:r>
            <w:r>
              <w:rPr>
                <w:rFonts w:ascii="Arial" w:cs="Arial" w:eastAsia="Arial" w:hAnsi="Arial"/>
                <w:sz w:val="21"/>
                <w:szCs w:val="21"/>
                <w:color w:val="005A64"/>
                <w:vertAlign w:val="superscript"/>
              </w:rPr>
              <w:t>(1)</w:t>
            </w:r>
          </w:p>
        </w:tc>
        <w:tc>
          <w:tcPr>
            <w:tcW w:w="100" w:type="dxa"/>
            <w:vAlign w:val="bottom"/>
          </w:tcPr>
          <w:p>
            <w:pPr>
              <w:spacing w:after="0"/>
              <w:rPr>
                <w:sz w:val="21"/>
                <w:szCs w:val="21"/>
                <w:color w:val="auto"/>
              </w:rPr>
            </w:pPr>
          </w:p>
        </w:tc>
        <w:tc>
          <w:tcPr>
            <w:tcW w:w="160" w:type="dxa"/>
            <w:vAlign w:val="bottom"/>
            <w:tcBorders>
              <w:left w:val="single" w:sz="8" w:color="BECE33"/>
            </w:tcBorders>
          </w:tcPr>
          <w:p>
            <w:pPr>
              <w:spacing w:after="0"/>
              <w:rPr>
                <w:sz w:val="21"/>
                <w:szCs w:val="21"/>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41.2</w:t>
            </w:r>
          </w:p>
        </w:tc>
        <w:tc>
          <w:tcPr>
            <w:tcW w:w="10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Borders>
              <w:bottom w:val="single" w:sz="8" w:color="7FACB1"/>
            </w:tcBorders>
          </w:tcPr>
          <w:p>
            <w:pPr>
              <w:spacing w:after="0"/>
              <w:rPr>
                <w:sz w:val="21"/>
                <w:szCs w:val="21"/>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5.4</w:t>
            </w:r>
          </w:p>
        </w:tc>
        <w:tc>
          <w:tcPr>
            <w:tcW w:w="12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84.1</w:t>
            </w:r>
          </w:p>
        </w:tc>
        <w:tc>
          <w:tcPr>
            <w:tcW w:w="10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7FACB1"/>
            </w:tcBorders>
          </w:tcPr>
          <w:p>
            <w:pPr>
              <w:spacing w:after="0"/>
              <w:rPr>
                <w:sz w:val="21"/>
                <w:szCs w:val="21"/>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Loss on derivative instruments at fair value through profit or loss</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26.2</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Foreign exchange differences, net</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26.1</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213.8</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w:t>
            </w:r>
          </w:p>
        </w:tc>
        <w:tc>
          <w:tcPr>
            <w:tcW w:w="100" w:type="dxa"/>
            <w:vAlign w:val="bottom"/>
          </w:tcPr>
          <w:p>
            <w:pPr>
              <w:spacing w:after="0"/>
              <w:rPr>
                <w:sz w:val="20"/>
                <w:szCs w:val="20"/>
                <w:color w:val="auto"/>
              </w:rPr>
            </w:pPr>
          </w:p>
        </w:tc>
        <w:tc>
          <w:tcPr>
            <w:tcW w:w="16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5.3</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4.6</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9.9</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w:t>
            </w:r>
          </w:p>
        </w:tc>
        <w:tc>
          <w:tcPr>
            <w:tcW w:w="100" w:type="dxa"/>
            <w:vAlign w:val="bottom"/>
          </w:tcPr>
          <w:p>
            <w:pPr>
              <w:spacing w:after="0"/>
              <w:rPr>
                <w:sz w:val="20"/>
                <w:szCs w:val="20"/>
                <w:color w:val="auto"/>
              </w:rPr>
            </w:pPr>
          </w:p>
        </w:tc>
        <w:tc>
          <w:tcPr>
            <w:tcW w:w="160" w:type="dxa"/>
            <w:vAlign w:val="bottom"/>
            <w:tcBorders>
              <w:left w:val="single" w:sz="8" w:color="BECE33"/>
              <w:bottom w:val="single" w:sz="8" w:color="BECE33"/>
            </w:tcBorders>
          </w:tcPr>
          <w:p>
            <w:pPr>
              <w:spacing w:after="0"/>
              <w:rPr>
                <w:sz w:val="20"/>
                <w:szCs w:val="20"/>
                <w:color w:val="auto"/>
              </w:rPr>
            </w:pPr>
          </w:p>
        </w:tc>
        <w:tc>
          <w:tcPr>
            <w:tcW w:w="124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410.9</w:t>
            </w:r>
          </w:p>
        </w:tc>
        <w:tc>
          <w:tcPr>
            <w:tcW w:w="10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36.8</w:t>
            </w:r>
          </w:p>
        </w:tc>
        <w:tc>
          <w:tcPr>
            <w:tcW w:w="120" w:type="dxa"/>
            <w:vAlign w:val="bottom"/>
            <w:tcBorders>
              <w:right w:val="single" w:sz="8" w:color="BECE33"/>
            </w:tcBorders>
          </w:tcPr>
          <w:p>
            <w:pPr>
              <w:spacing w:after="0"/>
              <w:rPr>
                <w:sz w:val="20"/>
                <w:szCs w:val="20"/>
                <w:color w:val="auto"/>
              </w:rPr>
            </w:pPr>
          </w:p>
        </w:tc>
        <w:tc>
          <w:tcPr>
            <w:tcW w:w="132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719.9</w:t>
            </w:r>
          </w:p>
        </w:tc>
        <w:tc>
          <w:tcPr>
            <w:tcW w:w="10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239.6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80" w:hanging="272"/>
        <w:spacing w:after="0" w:line="227" w:lineRule="auto"/>
        <w:tabs>
          <w:tab w:leader="none" w:pos="336" w:val="left"/>
        </w:tabs>
        <w:numPr>
          <w:ilvl w:val="0"/>
          <w:numId w:val="5"/>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relate to reclassifying legal costs in connection with certain litigation as other operating expenses, rather than general and administrative expenses, to reflect changes in reporting.</w:t>
      </w:r>
    </w:p>
    <w:p>
      <w:pPr>
        <w:spacing w:after="0" w:line="20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and nine months ended September 30, 2024, other operating expenses increased compared to each of the three and nine months ended September 30, 2023, primarily due to expenses incurred in connection with contractual disputes (see Note 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4.3 Other Operating Income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Other operating income recognized during the three and nine months ended September 30, 2024, and 2023,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63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Foreign exchange differences,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Gain on derivative instruments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20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005A64"/>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rPr>
              <w:t>Nine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005A64"/>
              </w:rPr>
              <w:t>September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rPr>
              <w:t>September 30,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BECD32"/>
            </w:tcBorders>
          </w:tcPr>
          <w:p>
            <w:pPr>
              <w:spacing w:after="0"/>
              <w:rPr>
                <w:sz w:val="11"/>
                <w:szCs w:val="11"/>
                <w:color w:val="auto"/>
              </w:rPr>
            </w:pPr>
          </w:p>
        </w:tc>
        <w:tc>
          <w:tcPr>
            <w:tcW w:w="1240" w:type="dxa"/>
            <w:vAlign w:val="bottom"/>
            <w:tcBorders>
              <w:bottom w:val="single" w:sz="8" w:color="BECD32"/>
            </w:tcBorders>
          </w:tcPr>
          <w:p>
            <w:pPr>
              <w:spacing w:after="0"/>
              <w:rPr>
                <w:sz w:val="11"/>
                <w:szCs w:val="11"/>
                <w:color w:val="auto"/>
              </w:rPr>
            </w:pPr>
          </w:p>
        </w:tc>
        <w:tc>
          <w:tcPr>
            <w:tcW w:w="10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30.8</w:t>
            </w:r>
          </w:p>
        </w:tc>
        <w:tc>
          <w:tcPr>
            <w:tcW w:w="10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600" w:type="dxa"/>
            <w:vAlign w:val="bottom"/>
            <w:tcBorders>
              <w:bottom w:val="single" w:sz="8" w:color="7FACB1"/>
              <w:right w:val="single" w:sz="8" w:color="BECD32"/>
            </w:tcBorders>
            <w:gridSpan w:val="2"/>
          </w:tcPr>
          <w:p>
            <w:pPr>
              <w:jc w:val="right"/>
              <w:ind w:right="140"/>
              <w:spacing w:after="0"/>
              <w:rPr>
                <w:sz w:val="20"/>
                <w:szCs w:val="20"/>
                <w:color w:val="auto"/>
              </w:rPr>
            </w:pPr>
            <w:r>
              <w:rPr>
                <w:rFonts w:ascii="Arial" w:cs="Arial" w:eastAsia="Arial" w:hAnsi="Arial"/>
                <w:sz w:val="16"/>
                <w:szCs w:val="16"/>
                <w:color w:val="005A64"/>
              </w:rPr>
              <w:t>—</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6"/>
                <w:szCs w:val="16"/>
                <w:color w:val="005A64"/>
              </w:rPr>
              <w:t>65.2</w:t>
            </w:r>
          </w:p>
        </w:tc>
        <w:tc>
          <w:tcPr>
            <w:tcW w:w="12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6"/>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14.7</w:t>
            </w:r>
          </w:p>
        </w:tc>
        <w:tc>
          <w:tcPr>
            <w:tcW w:w="10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600" w:type="dxa"/>
            <w:vAlign w:val="bottom"/>
            <w:tcBorders>
              <w:bottom w:val="single" w:sz="8" w:color="7FACB1"/>
              <w:right w:val="single" w:sz="8" w:color="BECD32"/>
            </w:tcBorders>
            <w:gridSpan w:val="2"/>
          </w:tcPr>
          <w:p>
            <w:pPr>
              <w:jc w:val="right"/>
              <w:ind w:right="140"/>
              <w:spacing w:after="0"/>
              <w:rPr>
                <w:sz w:val="20"/>
                <w:szCs w:val="20"/>
                <w:color w:val="auto"/>
              </w:rPr>
            </w:pPr>
            <w:r>
              <w:rPr>
                <w:rFonts w:ascii="Arial" w:cs="Arial" w:eastAsia="Arial" w:hAnsi="Arial"/>
                <w:sz w:val="16"/>
                <w:szCs w:val="16"/>
                <w:color w:val="005A64"/>
              </w:rPr>
              <w:t>—</w:t>
            </w: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6"/>
                <w:szCs w:val="16"/>
                <w:color w:val="005A64"/>
              </w:rPr>
              <w:t>26.9</w:t>
            </w:r>
          </w:p>
        </w:tc>
        <w:tc>
          <w:tcPr>
            <w:tcW w:w="12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7"/>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5.7</w:t>
            </w:r>
          </w:p>
        </w:tc>
        <w:tc>
          <w:tcPr>
            <w:tcW w:w="10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17.3</w:t>
            </w:r>
          </w:p>
        </w:tc>
        <w:tc>
          <w:tcPr>
            <w:tcW w:w="120" w:type="dxa"/>
            <w:vAlign w:val="bottom"/>
            <w:tcBorders>
              <w:bottom w:val="single" w:sz="8" w:color="7FACB1"/>
              <w:right w:val="single" w:sz="8" w:color="BECD32"/>
            </w:tcBorders>
          </w:tcPr>
          <w:p>
            <w:pPr>
              <w:spacing w:after="0"/>
              <w:rPr>
                <w:sz w:val="20"/>
                <w:szCs w:val="20"/>
                <w:color w:val="auto"/>
              </w:rPr>
            </w:pPr>
          </w:p>
        </w:tc>
        <w:tc>
          <w:tcPr>
            <w:tcW w:w="60" w:type="dxa"/>
            <w:vAlign w:val="bottom"/>
            <w:tcBorders>
              <w:bottom w:val="single" w:sz="8" w:color="7FACB1"/>
            </w:tcBorders>
          </w:tcPr>
          <w:p>
            <w:pPr>
              <w:spacing w:after="0"/>
              <w:rPr>
                <w:sz w:val="20"/>
                <w:szCs w:val="20"/>
                <w:color w:val="auto"/>
              </w:rPr>
            </w:pPr>
          </w:p>
        </w:tc>
        <w:tc>
          <w:tcPr>
            <w:tcW w:w="1380" w:type="dxa"/>
            <w:vAlign w:val="bottom"/>
            <w:tcBorders>
              <w:bottom w:val="single" w:sz="8" w:color="7FACB1"/>
              <w:right w:val="single" w:sz="8" w:color="BECD32"/>
            </w:tcBorders>
            <w:gridSpan w:val="2"/>
          </w:tcPr>
          <w:p>
            <w:pPr>
              <w:jc w:val="right"/>
              <w:ind w:right="140"/>
              <w:spacing w:after="0"/>
              <w:rPr>
                <w:sz w:val="20"/>
                <w:szCs w:val="20"/>
                <w:color w:val="auto"/>
              </w:rPr>
            </w:pPr>
            <w:r>
              <w:rPr>
                <w:rFonts w:ascii="Arial" w:cs="Arial" w:eastAsia="Arial" w:hAnsi="Arial"/>
                <w:sz w:val="16"/>
                <w:szCs w:val="16"/>
                <w:color w:val="005A64"/>
              </w:rPr>
              <w:t>—</w:t>
            </w:r>
          </w:p>
        </w:tc>
        <w:tc>
          <w:tcPr>
            <w:tcW w:w="800" w:type="dxa"/>
            <w:vAlign w:val="bottom"/>
            <w:tcBorders>
              <w:bottom w:val="single" w:sz="8" w:color="7FACB1"/>
            </w:tcBorders>
            <w:gridSpan w:val="2"/>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71.8</w:t>
            </w:r>
          </w:p>
        </w:tc>
        <w:tc>
          <w:tcPr>
            <w:tcW w:w="0" w:type="dxa"/>
            <w:vAlign w:val="bottom"/>
          </w:tcPr>
          <w:p>
            <w:pPr>
              <w:spacing w:after="0"/>
              <w:rPr>
                <w:sz w:val="1"/>
                <w:szCs w:val="1"/>
                <w:color w:val="auto"/>
              </w:rPr>
            </w:pPr>
          </w:p>
        </w:tc>
      </w:tr>
      <w:tr>
        <w:trPr>
          <w:trHeight w:val="236"/>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5.1</w:t>
            </w:r>
          </w:p>
        </w:tc>
        <w:tc>
          <w:tcPr>
            <w:tcW w:w="10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10.5</w:t>
            </w:r>
          </w:p>
        </w:tc>
        <w:tc>
          <w:tcPr>
            <w:tcW w:w="120" w:type="dxa"/>
            <w:vAlign w:val="bottom"/>
            <w:tcBorders>
              <w:bottom w:val="single" w:sz="8" w:color="7FACB1"/>
              <w:right w:val="single" w:sz="8" w:color="BECD32"/>
            </w:tcBorders>
          </w:tcPr>
          <w:p>
            <w:pPr>
              <w:spacing w:after="0"/>
              <w:rPr>
                <w:sz w:val="20"/>
                <w:szCs w:val="20"/>
                <w:color w:val="auto"/>
              </w:rPr>
            </w:pPr>
          </w:p>
        </w:tc>
        <w:tc>
          <w:tcPr>
            <w:tcW w:w="1320" w:type="dxa"/>
            <w:vAlign w:val="bottom"/>
            <w:tcBorders>
              <w:bottom w:val="single" w:sz="8" w:color="7FACB1"/>
            </w:tcBorders>
            <w:gridSpan w:val="2"/>
          </w:tcPr>
          <w:p>
            <w:pPr>
              <w:jc w:val="right"/>
              <w:spacing w:after="0"/>
              <w:rPr>
                <w:sz w:val="20"/>
                <w:szCs w:val="20"/>
                <w:color w:val="auto"/>
              </w:rPr>
            </w:pPr>
            <w:r>
              <w:rPr>
                <w:rFonts w:ascii="Arial" w:cs="Arial" w:eastAsia="Arial" w:hAnsi="Arial"/>
                <w:sz w:val="16"/>
                <w:szCs w:val="16"/>
                <w:color w:val="005A64"/>
              </w:rPr>
              <w:t>10.9</w:t>
            </w:r>
          </w:p>
        </w:tc>
        <w:tc>
          <w:tcPr>
            <w:tcW w:w="120" w:type="dxa"/>
            <w:vAlign w:val="bottom"/>
            <w:tcBorders>
              <w:bottom w:val="single" w:sz="8" w:color="7FACB1"/>
              <w:right w:val="single" w:sz="8" w:color="BECD32"/>
            </w:tcBorders>
          </w:tcPr>
          <w:p>
            <w:pPr>
              <w:spacing w:after="0"/>
              <w:rPr>
                <w:sz w:val="20"/>
                <w:szCs w:val="20"/>
                <w:color w:val="auto"/>
              </w:rPr>
            </w:pPr>
          </w:p>
        </w:tc>
        <w:tc>
          <w:tcPr>
            <w:tcW w:w="80" w:type="dxa"/>
            <w:vAlign w:val="bottom"/>
            <w:tcBorders>
              <w:bottom w:val="single" w:sz="8" w:color="7FACB1"/>
            </w:tcBorders>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33.4</w:t>
            </w:r>
          </w:p>
        </w:tc>
        <w:tc>
          <w:tcPr>
            <w:tcW w:w="0" w:type="dxa"/>
            <w:vAlign w:val="bottom"/>
          </w:tcPr>
          <w:p>
            <w:pPr>
              <w:spacing w:after="0"/>
              <w:rPr>
                <w:sz w:val="1"/>
                <w:szCs w:val="1"/>
                <w:color w:val="auto"/>
              </w:rPr>
            </w:pPr>
          </w:p>
        </w:tc>
      </w:tr>
      <w:tr>
        <w:trPr>
          <w:trHeight w:val="239"/>
        </w:trPr>
        <w:tc>
          <w:tcPr>
            <w:tcW w:w="100" w:type="dxa"/>
            <w:vAlign w:val="bottom"/>
            <w:tcBorders>
              <w:left w:val="single" w:sz="8" w:color="BECD32"/>
              <w:bottom w:val="single" w:sz="8" w:color="BECD32"/>
            </w:tcBorders>
          </w:tcPr>
          <w:p>
            <w:pPr>
              <w:spacing w:after="0"/>
              <w:rPr>
                <w:sz w:val="20"/>
                <w:szCs w:val="20"/>
                <w:color w:val="auto"/>
              </w:rPr>
            </w:pPr>
          </w:p>
        </w:tc>
        <w:tc>
          <w:tcPr>
            <w:tcW w:w="1240" w:type="dxa"/>
            <w:vAlign w:val="bottom"/>
            <w:tcBorders>
              <w:bottom w:val="single" w:sz="8" w:color="BECD32"/>
            </w:tcBorders>
          </w:tcPr>
          <w:p>
            <w:pPr>
              <w:jc w:val="right"/>
              <w:spacing w:after="0"/>
              <w:rPr>
                <w:sz w:val="20"/>
                <w:szCs w:val="20"/>
                <w:color w:val="auto"/>
              </w:rPr>
            </w:pPr>
            <w:r>
              <w:rPr>
                <w:rFonts w:ascii="Arial" w:cs="Arial" w:eastAsia="Arial" w:hAnsi="Arial"/>
                <w:sz w:val="16"/>
                <w:szCs w:val="16"/>
                <w:b w:val="1"/>
                <w:bCs w:val="1"/>
                <w:color w:val="005A64"/>
              </w:rPr>
              <w:t>56.3</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27.8</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103.0</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40" w:space="720"/>
            <w:col w:w="5680"/>
          </w:cols>
          <w:pgMar w:left="320" w:top="341" w:right="339" w:bottom="1440" w:gutter="0" w:footer="0" w:header="0"/>
          <w:type w:val="continuous"/>
        </w:sectPr>
      </w:pP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foreign exchange differences in the prior year comparative period included in operating income primarily arose from remeasuring our U.S. dollar-denominated trade receivables, which mainly relate to our COVID-19 collaboration with Pfizer, our U.S. dollar-denominated trade payables and our U.S. dollar-denominated other financial liabilities, which mainly relate to obligations incurred from our license agreements.</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341"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2024, the amount of our grants deferred in our unaudited interim condensed consolidated financial statements amounted to €86.5 million compared to €5.9 million as of December 31,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4.4 Finance Result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finance result recognized during the three and nine months ended September 30, 2024, and 2023,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005A64"/>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rPr>
              <w:t>Nine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rPr>
              <w:t>September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rPr>
              <w:t>September 30,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46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1"/>
                <w:szCs w:val="11"/>
                <w:color w:val="auto"/>
              </w:rPr>
            </w:pPr>
          </w:p>
        </w:tc>
        <w:tc>
          <w:tcPr>
            <w:tcW w:w="1340" w:type="dxa"/>
            <w:vAlign w:val="bottom"/>
            <w:tcBorders>
              <w:bottom w:val="single" w:sz="8" w:color="BECE33"/>
            </w:tcBorders>
            <w:gridSpan w:val="2"/>
          </w:tcPr>
          <w:p>
            <w:pPr>
              <w:spacing w:after="0"/>
              <w:rPr>
                <w:sz w:val="11"/>
                <w:szCs w:val="11"/>
                <w:color w:val="auto"/>
              </w:rPr>
            </w:pPr>
          </w:p>
        </w:tc>
        <w:tc>
          <w:tcPr>
            <w:tcW w:w="100" w:type="dxa"/>
            <w:vAlign w:val="bottom"/>
            <w:tcBorders>
              <w:bottom w:val="single" w:sz="8" w:color="BECE33"/>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E33"/>
            </w:tcBorders>
            <w:gridSpan w:val="2"/>
          </w:tcPr>
          <w:p>
            <w:pPr>
              <w:spacing w:after="0"/>
              <w:rPr>
                <w:sz w:val="11"/>
                <w:szCs w:val="11"/>
                <w:color w:val="auto"/>
              </w:rPr>
            </w:pPr>
          </w:p>
        </w:tc>
        <w:tc>
          <w:tcPr>
            <w:tcW w:w="120" w:type="dxa"/>
            <w:vAlign w:val="bottom"/>
            <w:tcBorders>
              <w:bottom w:val="single" w:sz="8" w:color="BECE33"/>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6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Finance result</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005A64"/>
              </w:rPr>
              <w:t>Finance income</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156.2</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156.3</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498.8</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363.2</w:t>
            </w:r>
          </w:p>
        </w:tc>
        <w:tc>
          <w:tcPr>
            <w:tcW w:w="0" w:type="dxa"/>
            <w:vAlign w:val="bottom"/>
          </w:tcPr>
          <w:p>
            <w:pPr>
              <w:spacing w:after="0"/>
              <w:rPr>
                <w:sz w:val="1"/>
                <w:szCs w:val="1"/>
                <w:color w:val="auto"/>
              </w:rPr>
            </w:pPr>
          </w:p>
        </w:tc>
      </w:tr>
      <w:tr>
        <w:trPr>
          <w:trHeight w:val="234"/>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Gains from financial instruments</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156.2</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148.5</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498.8</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357.4</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Foreign exchange differences, net</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7.8</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5.8</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005A64"/>
              </w:rPr>
              <w:t>Finance expenses</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(8.0)</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(2.0)</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(14.8)</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005A64"/>
              </w:rPr>
              <w:t>(4.5)</w:t>
            </w:r>
          </w:p>
        </w:tc>
        <w:tc>
          <w:tcPr>
            <w:tcW w:w="0" w:type="dxa"/>
            <w:vAlign w:val="bottom"/>
          </w:tcPr>
          <w:p>
            <w:pPr>
              <w:spacing w:after="0"/>
              <w:rPr>
                <w:sz w:val="1"/>
                <w:szCs w:val="1"/>
                <w:color w:val="auto"/>
              </w:rPr>
            </w:pPr>
          </w:p>
        </w:tc>
      </w:tr>
      <w:tr>
        <w:trPr>
          <w:trHeight w:val="234"/>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Foreign exchange differences, net</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7FACB1"/>
            </w:tcBorders>
          </w:tcPr>
          <w:p>
            <w:pPr>
              <w:ind w:left="140"/>
              <w:spacing w:after="0"/>
              <w:rPr>
                <w:sz w:val="20"/>
                <w:szCs w:val="20"/>
                <w:color w:val="auto"/>
              </w:rPr>
            </w:pPr>
            <w:r>
              <w:rPr>
                <w:rFonts w:ascii="Arial" w:cs="Arial" w:eastAsia="Arial" w:hAnsi="Arial"/>
                <w:sz w:val="16"/>
                <w:szCs w:val="16"/>
                <w:color w:val="005A64"/>
              </w:rPr>
              <w:t>Other</w:t>
            </w:r>
          </w:p>
        </w:tc>
        <w:tc>
          <w:tcPr>
            <w:tcW w:w="100" w:type="dxa"/>
            <w:vAlign w:val="bottom"/>
          </w:tcPr>
          <w:p>
            <w:pPr>
              <w:spacing w:after="0"/>
              <w:rPr>
                <w:sz w:val="20"/>
                <w:szCs w:val="20"/>
                <w:color w:val="auto"/>
              </w:rPr>
            </w:pPr>
          </w:p>
        </w:tc>
        <w:tc>
          <w:tcPr>
            <w:tcW w:w="100" w:type="dxa"/>
            <w:vAlign w:val="bottom"/>
            <w:tcBorders>
              <w:left w:val="single" w:sz="8" w:color="BECE33"/>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(5.3)</w:t>
            </w:r>
          </w:p>
        </w:tc>
        <w:tc>
          <w:tcPr>
            <w:tcW w:w="10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(14.8)</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finance result</w:t>
            </w:r>
          </w:p>
        </w:tc>
        <w:tc>
          <w:tcPr>
            <w:tcW w:w="100" w:type="dxa"/>
            <w:vAlign w:val="bottom"/>
          </w:tcPr>
          <w:p>
            <w:pPr>
              <w:spacing w:after="0"/>
              <w:rPr>
                <w:sz w:val="20"/>
                <w:szCs w:val="20"/>
                <w:color w:val="auto"/>
              </w:rPr>
            </w:pPr>
          </w:p>
        </w:tc>
        <w:tc>
          <w:tcPr>
            <w:tcW w:w="1340" w:type="dxa"/>
            <w:vAlign w:val="bottom"/>
            <w:tcBorders>
              <w:left w:val="single" w:sz="8" w:color="BECE33"/>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148.2</w:t>
            </w:r>
          </w:p>
        </w:tc>
        <w:tc>
          <w:tcPr>
            <w:tcW w:w="10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154.3</w:t>
            </w:r>
          </w:p>
        </w:tc>
        <w:tc>
          <w:tcPr>
            <w:tcW w:w="120" w:type="dxa"/>
            <w:vAlign w:val="bottom"/>
            <w:tcBorders>
              <w:right w:val="single" w:sz="8" w:color="BECE33"/>
            </w:tcBorders>
          </w:tcPr>
          <w:p>
            <w:pPr>
              <w:spacing w:after="0"/>
              <w:rPr>
                <w:sz w:val="20"/>
                <w:szCs w:val="20"/>
                <w:color w:val="auto"/>
              </w:rPr>
            </w:pPr>
          </w:p>
        </w:tc>
        <w:tc>
          <w:tcPr>
            <w:tcW w:w="132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484.0</w:t>
            </w:r>
          </w:p>
        </w:tc>
        <w:tc>
          <w:tcPr>
            <w:tcW w:w="120" w:type="dxa"/>
            <w:vAlign w:val="bottom"/>
            <w:tcBorders>
              <w:bottom w:val="single" w:sz="8" w:color="BECE33"/>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358.7</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nine months ended September 30, 2024, and 2023, the finance result was mainly derived from returns such as interests and sales resulting from our financial investments as well as fair value adjustments of our money market funds.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5. Income Taxes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2024 and 2023, income taxes were calculated based on the best estimate of the weighted average annual income tax rates expected for the full financial years (estimated annual effective income tax rates) on ordinary income before tax adjusted by the tax effect of any discrete items. The income tax asset represents the portion of prepayments for corporate income taxes and trade taxes in Germany that have been estimated for the full financial year 2024 but not yet offset by income tax expenses calculated for the nine months ended September 30, 2024. For the nine months ended September 30, 2024, our effective income tax rate was approximately 5.5%. For the nine months ended September 30, 2023, our effective income tax rate was approximately 9.7%.</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the effective income tax rate was mainly driven by the expected negative result for 2024 and management’s assessment of the requirements in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 As of September 30, 2024, it is considered highly probable that taxable profits for the U.S. tax group will be available against which the deferred tax assets can be utilized in the near future, fulfilling the requirements set out by IAS 12. In accordance with IAS 12, a total deferred tax income of €38.2 million was recognized in the interim condensed consolidated statements of profit or loss with respect to share-based payment programs during the nine months ended September 30, 2024.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mandatory exception to recognizing and disclosing information about deferred tax assets and liabilities arising from Pillar Two income taxes. Furthermore, we reviewed the corporate structure in light of the introduction of Pillar Two Model Rules in various jurisdictions. Since the Group’s relevant effective tax rate calculated for Pillar Two Purposes is mainly above 15% in all jurisdictions in which it operates, it has been determined that the Group is not materially subject to Pillar Two “top-up” taxes. Therefore, the consolidated financial statements for the three and nine months ended September 30, 2024 do not include further information otherwise required by paragraphs 88B and 88C of IAS 12.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4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income taxes recognized during the three and nine months ended September 30, 2024, and 2023,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005A64"/>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rPr>
              <w:t>Nine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005A64"/>
              </w:rPr>
              <w:t>September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005A64"/>
              </w:rPr>
              <w:t>September 30,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1"/>
                <w:szCs w:val="11"/>
                <w:color w:val="auto"/>
              </w:rPr>
            </w:pPr>
          </w:p>
        </w:tc>
        <w:tc>
          <w:tcPr>
            <w:tcW w:w="1360" w:type="dxa"/>
            <w:vAlign w:val="bottom"/>
            <w:tcBorders>
              <w:bottom w:val="single" w:sz="8" w:color="BECD32"/>
            </w:tcBorders>
            <w:gridSpan w:val="2"/>
          </w:tcPr>
          <w:p>
            <w:pPr>
              <w:spacing w:after="0"/>
              <w:rPr>
                <w:sz w:val="11"/>
                <w:szCs w:val="11"/>
                <w:color w:val="auto"/>
              </w:rPr>
            </w:pPr>
          </w:p>
        </w:tc>
        <w:tc>
          <w:tcPr>
            <w:tcW w:w="10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Current income taxes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44.0</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87.5</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Deferred taxes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(30.9)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7FACB1"/>
            </w:tcBorders>
          </w:tcPr>
          <w:p>
            <w:pPr>
              <w:spacing w:after="0"/>
              <w:rPr>
                <w:sz w:val="20"/>
                <w:szCs w:val="20"/>
                <w:color w:val="auto"/>
              </w:rPr>
            </w:pPr>
          </w:p>
        </w:tc>
        <w:tc>
          <w:tcPr>
            <w:tcW w:w="4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22.8</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(52.1)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7FACB1"/>
            </w:tcBorders>
          </w:tcPr>
          <w:p>
            <w:pPr>
              <w:spacing w:after="0"/>
              <w:rPr>
                <w:sz w:val="20"/>
                <w:szCs w:val="20"/>
                <w:color w:val="auto"/>
              </w:rPr>
            </w:pPr>
          </w:p>
        </w:tc>
        <w:tc>
          <w:tcPr>
            <w:tcW w:w="5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(37.0)</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Income taxes expenses / (income)</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(39.4)</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66.8</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(54.1)</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005A64"/>
            </w:tcBorders>
          </w:tcPr>
          <w:p>
            <w:pPr>
              <w:spacing w:after="0"/>
              <w:rPr>
                <w:sz w:val="20"/>
                <w:szCs w:val="20"/>
                <w:color w:val="auto"/>
              </w:rPr>
            </w:pPr>
          </w:p>
        </w:tc>
        <w:tc>
          <w:tcPr>
            <w:tcW w:w="5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50.5</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6. Other Intangible Assets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examine the existence of indications of impairment using various factors, particularly deviations from sales forecasts and the analysis of changes in medium-term planning. The identification of indications of impairment takes place with the involvement of the responsible departments, taking external and internal information sources into consideration.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15, 2024, the U.S. Food and Drug Administration, or FDA, lifted the partial clinical hold that was placed on the Phase 1 trial of our partner, MediLink Therapeutics (Suzhou) Co., Ltd, or MediLink, evaluating BNT326/YL202 (NCT05653752), which was announced on June 17, 2024. BNT326/YL202 is a Human Epidermal Growth Factor Receptor 3, or HER3,-targeting antibody-drug conjugate, or ADC, candidate that is being developed in collaboration between us and MediLink. Trial recruitment was re-initiated.</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this information, we determined that the triggering event previously identified during the three months ended June 30, 2024 in connection with the asset related to the product candidate BNT326/YL202 no longer existed.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and our partner OncoC4, Inc., or OncoC4, collaborating in the development of a next-generation anti-CTLA-4 antibody candidate, or BNT316/ONC-392 (gotistobart), decided to proactively pause enrollment of new patients in the OncoC4-sponsored two-stage, open-label, randomized Phase 3 trial, PRESERVE-003 (NCT05671510), and informed the FDA of a possible variance in population results for further alignment. The decision was based on the recent assessment of the trial data by the independent data monitoring committee. The trial evaluates the efficacy and safety of the antibody candidate BNT316/ONC-392 as monotherapy in patients with metastatic NSCLC that progressed under previous PD-(L)1-inhibitor treatment. Patients already enrolled in this trial continue to receive treatments. In addition, trials evaluating BNT316/ONC-392 in other indications remain unaffected.</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this information, during the three months ended September 30, 2024, we identified a triggering event in connection with the asset related to the product candidate BNT316/ONC-392 and performed an impairment test. As a result of the analysis, we did not identify an impairment for this asset.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4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7. Financial Assets and Financial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Financial Assets and Liabilities at Amortized Cost and at Fair Value through OCI and Profit or Loss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Set out below is an overview of financial assets and liabilities at amortized cost and at fair value through OCI and profit or loss,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gridSpan w:val="2"/>
          </w:tcPr>
          <w:p>
            <w:pPr>
              <w:ind w:left="20"/>
              <w:spacing w:after="0"/>
              <w:rPr>
                <w:sz w:val="20"/>
                <w:szCs w:val="20"/>
                <w:color w:val="auto"/>
              </w:rPr>
            </w:pPr>
            <w:r>
              <w:rPr>
                <w:rFonts w:ascii="Arial" w:cs="Arial" w:eastAsia="Arial" w:hAnsi="Arial"/>
                <w:sz w:val="13"/>
                <w:szCs w:val="13"/>
                <w:b w:val="1"/>
                <w:bCs w:val="1"/>
                <w:color w:val="005A64"/>
              </w:rPr>
              <w:t>September 30, 2024</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900" w:type="dxa"/>
            <w:vAlign w:val="bottom"/>
            <w:tcBorders>
              <w:bottom w:val="single" w:sz="8" w:color="BECE33"/>
            </w:tcBorders>
          </w:tcPr>
          <w:p>
            <w:pPr>
              <w:spacing w:after="0"/>
              <w:rPr>
                <w:sz w:val="24"/>
                <w:szCs w:val="24"/>
                <w:color w:val="auto"/>
              </w:rPr>
            </w:pPr>
          </w:p>
        </w:tc>
        <w:tc>
          <w:tcPr>
            <w:tcW w:w="1260" w:type="dxa"/>
            <w:vAlign w:val="bottom"/>
            <w:tcBorders>
              <w:bottom w:val="single" w:sz="8" w:color="BECE33"/>
            </w:tcBorders>
            <w:gridSpan w:val="3"/>
          </w:tcPr>
          <w:p>
            <w:pPr>
              <w:spacing w:after="0"/>
              <w:rPr>
                <w:sz w:val="24"/>
                <w:szCs w:val="24"/>
                <w:color w:val="auto"/>
              </w:rPr>
            </w:pPr>
          </w:p>
        </w:tc>
        <w:tc>
          <w:tcPr>
            <w:tcW w:w="900" w:type="dxa"/>
            <w:vAlign w:val="bottom"/>
            <w:tcBorders>
              <w:bottom w:val="single" w:sz="8" w:color="BECE33"/>
            </w:tcBorders>
          </w:tcPr>
          <w:p>
            <w:pPr>
              <w:spacing w:after="0"/>
              <w:rPr>
                <w:sz w:val="24"/>
                <w:szCs w:val="24"/>
                <w:color w:val="auto"/>
              </w:rPr>
            </w:pPr>
          </w:p>
        </w:tc>
        <w:tc>
          <w:tcPr>
            <w:tcW w:w="180" w:type="dxa"/>
            <w:vAlign w:val="bottom"/>
            <w:tcBorders>
              <w:bottom w:val="single" w:sz="8" w:color="BECE33"/>
            </w:tcBorders>
          </w:tcPr>
          <w:p>
            <w:pPr>
              <w:spacing w:after="0"/>
              <w:rPr>
                <w:sz w:val="24"/>
                <w:szCs w:val="24"/>
                <w:color w:val="auto"/>
              </w:rPr>
            </w:pPr>
          </w:p>
        </w:tc>
        <w:tc>
          <w:tcPr>
            <w:tcW w:w="980" w:type="dxa"/>
            <w:vAlign w:val="bottom"/>
            <w:tcBorders>
              <w:bottom w:val="single" w:sz="8" w:color="BECE33"/>
            </w:tcBorders>
          </w:tcPr>
          <w:p>
            <w:pPr>
              <w:spacing w:after="0"/>
              <w:rPr>
                <w:sz w:val="24"/>
                <w:szCs w:val="24"/>
                <w:color w:val="auto"/>
              </w:rPr>
            </w:pPr>
          </w:p>
        </w:tc>
        <w:tc>
          <w:tcPr>
            <w:tcW w:w="180" w:type="dxa"/>
            <w:vAlign w:val="bottom"/>
            <w:tcBorders>
              <w:bottom w:val="single" w:sz="8" w:color="BECE33"/>
            </w:tcBorders>
          </w:tcPr>
          <w:p>
            <w:pPr>
              <w:spacing w:after="0"/>
              <w:rPr>
                <w:sz w:val="24"/>
                <w:szCs w:val="24"/>
                <w:color w:val="auto"/>
              </w:rPr>
            </w:pPr>
          </w:p>
        </w:tc>
        <w:tc>
          <w:tcPr>
            <w:tcW w:w="1160" w:type="dxa"/>
            <w:vAlign w:val="bottom"/>
            <w:tcBorders>
              <w:bottom w:val="single" w:sz="8" w:color="BECE33"/>
            </w:tcBorders>
            <w:gridSpan w:val="2"/>
          </w:tcPr>
          <w:p>
            <w:pPr>
              <w:spacing w:after="0"/>
              <w:rPr>
                <w:sz w:val="24"/>
                <w:szCs w:val="24"/>
                <w:color w:val="auto"/>
              </w:rPr>
            </w:pPr>
          </w:p>
        </w:tc>
        <w:tc>
          <w:tcPr>
            <w:tcW w:w="980" w:type="dxa"/>
            <w:vAlign w:val="bottom"/>
            <w:tcBorders>
              <w:bottom w:val="single" w:sz="8" w:color="BECE33"/>
            </w:tcBorders>
          </w:tcPr>
          <w:p>
            <w:pPr>
              <w:spacing w:after="0"/>
              <w:rPr>
                <w:sz w:val="24"/>
                <w:szCs w:val="24"/>
                <w:color w:val="auto"/>
              </w:rPr>
            </w:pPr>
          </w:p>
        </w:tc>
        <w:tc>
          <w:tcPr>
            <w:tcW w:w="180" w:type="dxa"/>
            <w:vAlign w:val="bottom"/>
            <w:tcBorders>
              <w:bottom w:val="single" w:sz="8" w:color="BECE33"/>
            </w:tcBorders>
          </w:tcPr>
          <w:p>
            <w:pPr>
              <w:spacing w:after="0"/>
              <w:rPr>
                <w:sz w:val="24"/>
                <w:szCs w:val="24"/>
                <w:color w:val="auto"/>
              </w:rPr>
            </w:pPr>
          </w:p>
        </w:tc>
        <w:tc>
          <w:tcPr>
            <w:tcW w:w="920" w:type="dxa"/>
            <w:vAlign w:val="bottom"/>
            <w:tcBorders>
              <w:bottom w:val="single" w:sz="8" w:color="BECE33"/>
            </w:tcBorders>
          </w:tcPr>
          <w:p>
            <w:pPr>
              <w:spacing w:after="0"/>
              <w:rPr>
                <w:sz w:val="24"/>
                <w:szCs w:val="24"/>
                <w:color w:val="auto"/>
              </w:rPr>
            </w:pPr>
          </w:p>
        </w:tc>
        <w:tc>
          <w:tcPr>
            <w:tcW w:w="100" w:type="dxa"/>
            <w:vAlign w:val="bottom"/>
            <w:tcBorders>
              <w:bottom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gridSpan w:val="3"/>
          </w:tcPr>
          <w:p>
            <w:pPr>
              <w:ind w:left="120"/>
              <w:spacing w:after="0"/>
              <w:rPr>
                <w:sz w:val="20"/>
                <w:szCs w:val="20"/>
                <w:color w:val="auto"/>
              </w:rPr>
            </w:pPr>
            <w:r>
              <w:rPr>
                <w:rFonts w:ascii="Arial" w:cs="Arial" w:eastAsia="Arial" w:hAnsi="Arial"/>
                <w:sz w:val="13"/>
                <w:szCs w:val="13"/>
                <w:b w:val="1"/>
                <w:bCs w:val="1"/>
                <w:color w:val="005A64"/>
              </w:rPr>
              <w:t>Carrying amount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005A64"/>
              </w:rPr>
              <w:t>Fair value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20" w:type="dxa"/>
            <w:vAlign w:val="bottom"/>
            <w:vMerge w:val="restart"/>
          </w:tcPr>
          <w:p>
            <w:pPr>
              <w:ind w:left="20"/>
              <w:spacing w:after="0"/>
              <w:rPr>
                <w:sz w:val="20"/>
                <w:szCs w:val="20"/>
                <w:color w:val="auto"/>
              </w:rPr>
            </w:pPr>
            <w:r>
              <w:rPr>
                <w:rFonts w:ascii="Arial" w:cs="Arial" w:eastAsia="Arial" w:hAnsi="Arial"/>
                <w:sz w:val="13"/>
                <w:szCs w:val="13"/>
                <w:i w:val="1"/>
                <w:iCs w:val="1"/>
                <w:color w:val="005A64"/>
              </w:rPr>
              <w:t>(in millions €)</w:t>
            </w:r>
          </w:p>
        </w:tc>
        <w:tc>
          <w:tcPr>
            <w:tcW w:w="100" w:type="dxa"/>
            <w:vAlign w:val="bottom"/>
            <w:tcBorders>
              <w:right w:val="single" w:sz="8" w:color="BECD32"/>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005A64"/>
            </w:tcBorders>
            <w:vMerge w:val="restart"/>
          </w:tcPr>
          <w:p>
            <w:pPr>
              <w:jc w:val="right"/>
              <w:spacing w:after="0"/>
              <w:rPr>
                <w:sz w:val="20"/>
                <w:szCs w:val="20"/>
                <w:color w:val="auto"/>
              </w:rPr>
            </w:pPr>
            <w:r>
              <w:rPr>
                <w:rFonts w:ascii="Arial" w:cs="Arial" w:eastAsia="Arial" w:hAnsi="Arial"/>
                <w:sz w:val="13"/>
                <w:szCs w:val="13"/>
                <w:b w:val="1"/>
                <w:bCs w:val="1"/>
                <w:color w:val="005A64"/>
              </w:rPr>
              <w:t>Current</w:t>
            </w:r>
          </w:p>
        </w:tc>
        <w:tc>
          <w:tcPr>
            <w:tcW w:w="180" w:type="dxa"/>
            <w:vAlign w:val="bottom"/>
            <w:tcBorders>
              <w:top w:val="single" w:sz="8" w:color="005A64"/>
            </w:tcBorders>
          </w:tcPr>
          <w:p>
            <w:pPr>
              <w:spacing w:after="0"/>
              <w:rPr>
                <w:sz w:val="14"/>
                <w:szCs w:val="14"/>
                <w:color w:val="auto"/>
              </w:rPr>
            </w:pPr>
          </w:p>
        </w:tc>
        <w:tc>
          <w:tcPr>
            <w:tcW w:w="900" w:type="dxa"/>
            <w:vAlign w:val="bottom"/>
            <w:tcBorders>
              <w:top w:val="single" w:sz="8" w:color="005A64"/>
            </w:tcBorders>
            <w:vMerge w:val="restart"/>
          </w:tcPr>
          <w:p>
            <w:pPr>
              <w:jc w:val="right"/>
              <w:spacing w:after="0"/>
              <w:rPr>
                <w:sz w:val="20"/>
                <w:szCs w:val="20"/>
                <w:color w:val="auto"/>
              </w:rPr>
            </w:pPr>
            <w:r>
              <w:rPr>
                <w:rFonts w:ascii="Arial" w:cs="Arial" w:eastAsia="Arial" w:hAnsi="Arial"/>
                <w:sz w:val="13"/>
                <w:szCs w:val="13"/>
                <w:b w:val="1"/>
                <w:bCs w:val="1"/>
                <w:color w:val="005A64"/>
              </w:rPr>
              <w:t>Non-current</w:t>
            </w:r>
          </w:p>
        </w:tc>
        <w:tc>
          <w:tcPr>
            <w:tcW w:w="180" w:type="dxa"/>
            <w:vAlign w:val="bottom"/>
            <w:tcBorders>
              <w:top w:val="single" w:sz="8" w:color="005A64"/>
            </w:tcBorders>
            <w:vMerge w:val="restart"/>
          </w:tcPr>
          <w:p>
            <w:pPr>
              <w:spacing w:after="0"/>
              <w:rPr>
                <w:sz w:val="14"/>
                <w:szCs w:val="14"/>
                <w:color w:val="auto"/>
              </w:rPr>
            </w:pPr>
          </w:p>
        </w:tc>
        <w:tc>
          <w:tcPr>
            <w:tcW w:w="900" w:type="dxa"/>
            <w:vAlign w:val="bottom"/>
            <w:tcBorders>
              <w:top w:val="single" w:sz="8" w:color="005A64"/>
            </w:tcBorders>
            <w:vMerge w:val="restart"/>
          </w:tcPr>
          <w:p>
            <w:pPr>
              <w:jc w:val="right"/>
              <w:spacing w:after="0"/>
              <w:rPr>
                <w:sz w:val="20"/>
                <w:szCs w:val="20"/>
                <w:color w:val="auto"/>
              </w:rPr>
            </w:pPr>
            <w:r>
              <w:rPr>
                <w:rFonts w:ascii="Arial" w:cs="Arial" w:eastAsia="Arial" w:hAnsi="Arial"/>
                <w:sz w:val="13"/>
                <w:szCs w:val="13"/>
                <w:b w:val="1"/>
                <w:bCs w:val="1"/>
                <w:color w:val="005A64"/>
              </w:rPr>
              <w:t>Total</w:t>
            </w:r>
          </w:p>
        </w:tc>
        <w:tc>
          <w:tcPr>
            <w:tcW w:w="180" w:type="dxa"/>
            <w:vAlign w:val="bottom"/>
            <w:vMerge w:val="restart"/>
          </w:tcPr>
          <w:p>
            <w:pPr>
              <w:spacing w:after="0"/>
              <w:rPr>
                <w:sz w:val="14"/>
                <w:szCs w:val="14"/>
                <w:color w:val="auto"/>
              </w:rPr>
            </w:pPr>
          </w:p>
        </w:tc>
        <w:tc>
          <w:tcPr>
            <w:tcW w:w="1160" w:type="dxa"/>
            <w:vAlign w:val="bottom"/>
            <w:tcBorders>
              <w:top w:val="single" w:sz="8" w:color="005A64"/>
            </w:tcBorders>
            <w:gridSpan w:val="2"/>
          </w:tcPr>
          <w:p>
            <w:pPr>
              <w:jc w:val="right"/>
              <w:ind w:right="200"/>
              <w:spacing w:after="0"/>
              <w:rPr>
                <w:sz w:val="20"/>
                <w:szCs w:val="20"/>
                <w:color w:val="auto"/>
              </w:rPr>
            </w:pPr>
            <w:r>
              <w:rPr>
                <w:rFonts w:ascii="Arial" w:cs="Arial" w:eastAsia="Arial" w:hAnsi="Arial"/>
                <w:sz w:val="13"/>
                <w:szCs w:val="13"/>
                <w:b w:val="1"/>
                <w:bCs w:val="1"/>
                <w:color w:val="005A64"/>
              </w:rPr>
              <w:t>Level 1 (Fair</w:t>
            </w:r>
          </w:p>
        </w:tc>
        <w:tc>
          <w:tcPr>
            <w:tcW w:w="1160" w:type="dxa"/>
            <w:vAlign w:val="bottom"/>
            <w:tcBorders>
              <w:top w:val="single" w:sz="8" w:color="005A64"/>
            </w:tcBorders>
            <w:gridSpan w:val="2"/>
          </w:tcPr>
          <w:p>
            <w:pPr>
              <w:jc w:val="right"/>
              <w:ind w:right="200"/>
              <w:spacing w:after="0"/>
              <w:rPr>
                <w:sz w:val="20"/>
                <w:szCs w:val="20"/>
                <w:color w:val="auto"/>
              </w:rPr>
            </w:pPr>
            <w:r>
              <w:rPr>
                <w:rFonts w:ascii="Arial" w:cs="Arial" w:eastAsia="Arial" w:hAnsi="Arial"/>
                <w:sz w:val="13"/>
                <w:szCs w:val="13"/>
                <w:b w:val="1"/>
                <w:bCs w:val="1"/>
                <w:color w:val="005A64"/>
              </w:rPr>
              <w:t>Level 2 (Fair</w:t>
            </w:r>
          </w:p>
        </w:tc>
        <w:tc>
          <w:tcPr>
            <w:tcW w:w="980" w:type="dxa"/>
            <w:vAlign w:val="bottom"/>
            <w:tcBorders>
              <w:top w:val="single" w:sz="8" w:color="005A64"/>
            </w:tcBorders>
          </w:tcPr>
          <w:p>
            <w:pPr>
              <w:jc w:val="right"/>
              <w:spacing w:after="0"/>
              <w:rPr>
                <w:sz w:val="20"/>
                <w:szCs w:val="20"/>
                <w:color w:val="auto"/>
              </w:rPr>
            </w:pPr>
            <w:r>
              <w:rPr>
                <w:rFonts w:ascii="Arial" w:cs="Arial" w:eastAsia="Arial" w:hAnsi="Arial"/>
                <w:sz w:val="13"/>
                <w:szCs w:val="13"/>
                <w:b w:val="1"/>
                <w:bCs w:val="1"/>
                <w:color w:val="005A64"/>
              </w:rPr>
              <w:t>Level 3 (Fair</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005A64"/>
              </w:rPr>
              <w:t>Total</w:t>
            </w:r>
          </w:p>
        </w:tc>
        <w:tc>
          <w:tcPr>
            <w:tcW w:w="100" w:type="dxa"/>
            <w:vAlign w:val="bottom"/>
            <w:tcBorders>
              <w:right w:val="single" w:sz="8" w:color="BECE33"/>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005A64"/>
            </w:tcBorders>
            <w:vMerge w:val="continue"/>
          </w:tcPr>
          <w:p>
            <w:pPr>
              <w:spacing w:after="0"/>
              <w:rPr>
                <w:sz w:val="15"/>
                <w:szCs w:val="15"/>
                <w:color w:val="auto"/>
              </w:rPr>
            </w:pPr>
          </w:p>
        </w:tc>
        <w:tc>
          <w:tcPr>
            <w:tcW w:w="100" w:type="dxa"/>
            <w:vAlign w:val="bottom"/>
            <w:tcBorders>
              <w:right w:val="single" w:sz="8" w:color="BECD32"/>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005A64"/>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005A64"/>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00" w:type="dxa"/>
            <w:vAlign w:val="bottom"/>
            <w:tcBorders>
              <w:bottom w:val="single" w:sz="8" w:color="005A64"/>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180" w:type="dxa"/>
            <w:vAlign w:val="bottom"/>
          </w:tcPr>
          <w:p>
            <w:pPr>
              <w:spacing w:after="0"/>
              <w:rPr>
                <w:sz w:val="15"/>
                <w:szCs w:val="15"/>
                <w:color w:val="auto"/>
              </w:rPr>
            </w:pPr>
          </w:p>
        </w:tc>
        <w:tc>
          <w:tcPr>
            <w:tcW w:w="98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180" w:type="dxa"/>
            <w:vAlign w:val="bottom"/>
          </w:tcPr>
          <w:p>
            <w:pPr>
              <w:spacing w:after="0"/>
              <w:rPr>
                <w:sz w:val="15"/>
                <w:szCs w:val="15"/>
                <w:color w:val="auto"/>
              </w:rPr>
            </w:pPr>
          </w:p>
        </w:tc>
        <w:tc>
          <w:tcPr>
            <w:tcW w:w="980" w:type="dxa"/>
            <w:vAlign w:val="bottom"/>
            <w:tcBorders>
              <w:bottom w:val="single" w:sz="8" w:color="005A64"/>
            </w:tcBorders>
          </w:tcPr>
          <w:p>
            <w:pPr>
              <w:jc w:val="right"/>
              <w:spacing w:after="0"/>
              <w:rPr>
                <w:sz w:val="20"/>
                <w:szCs w:val="20"/>
                <w:color w:val="auto"/>
              </w:rPr>
            </w:pPr>
            <w:r>
              <w:rPr>
                <w:rFonts w:ascii="Arial" w:cs="Arial" w:eastAsia="Arial" w:hAnsi="Arial"/>
                <w:sz w:val="13"/>
                <w:szCs w:val="13"/>
                <w:b w:val="1"/>
                <w:bCs w:val="1"/>
                <w:color w:val="005A64"/>
              </w:rPr>
              <w:t>value)</w:t>
            </w:r>
          </w:p>
        </w:tc>
        <w:tc>
          <w:tcPr>
            <w:tcW w:w="180" w:type="dxa"/>
            <w:vAlign w:val="bottom"/>
          </w:tcPr>
          <w:p>
            <w:pPr>
              <w:spacing w:after="0"/>
              <w:rPr>
                <w:sz w:val="15"/>
                <w:szCs w:val="15"/>
                <w:color w:val="auto"/>
              </w:rPr>
            </w:pPr>
          </w:p>
        </w:tc>
        <w:tc>
          <w:tcPr>
            <w:tcW w:w="920" w:type="dxa"/>
            <w:vAlign w:val="bottom"/>
            <w:tcBorders>
              <w:bottom w:val="single" w:sz="8" w:color="005A64"/>
            </w:tcBorders>
            <w:vMerge w:val="continue"/>
          </w:tcPr>
          <w:p>
            <w:pPr>
              <w:spacing w:after="0"/>
              <w:rPr>
                <w:sz w:val="15"/>
                <w:szCs w:val="15"/>
                <w:color w:val="auto"/>
              </w:rPr>
            </w:pPr>
          </w:p>
        </w:tc>
        <w:tc>
          <w:tcPr>
            <w:tcW w:w="100" w:type="dxa"/>
            <w:vAlign w:val="bottom"/>
            <w:tcBorders>
              <w:right w:val="single" w:sz="8" w:color="BECE3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2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assets subsequently measured at fair value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through profit or loss</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Foreign exchange forward contracts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5.8</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5.8</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5.8</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5.8</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Security investments disclosed as cash and cash</w:t>
            </w:r>
          </w:p>
        </w:tc>
        <w:tc>
          <w:tcPr>
            <w:tcW w:w="980" w:type="dxa"/>
            <w:vAlign w:val="bottom"/>
            <w:gridSpan w:val="2"/>
            <w:vMerge w:val="restart"/>
          </w:tcPr>
          <w:p>
            <w:pPr>
              <w:jc w:val="right"/>
              <w:spacing w:after="0"/>
              <w:rPr>
                <w:sz w:val="20"/>
                <w:szCs w:val="20"/>
                <w:color w:val="auto"/>
              </w:rPr>
            </w:pPr>
            <w:r>
              <w:rPr>
                <w:rFonts w:ascii="Arial" w:cs="Arial" w:eastAsia="Arial" w:hAnsi="Arial"/>
                <w:sz w:val="13"/>
                <w:szCs w:val="13"/>
                <w:color w:val="005A64"/>
              </w:rPr>
              <w:t>5,350.2</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005A64"/>
              </w:rPr>
              <w:t>5,350.2</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005A64"/>
              </w:rPr>
              <w:t>5,350.2</w:t>
            </w:r>
          </w:p>
        </w:tc>
        <w:tc>
          <w:tcPr>
            <w:tcW w:w="180" w:type="dxa"/>
            <w:vAlign w:val="bottom"/>
          </w:tcPr>
          <w:p>
            <w:pPr>
              <w:spacing w:after="0"/>
              <w:rPr>
                <w:sz w:val="14"/>
                <w:szCs w:val="14"/>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005A64"/>
              </w:rPr>
              <w:t>5,350.2</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320" w:type="dxa"/>
            <w:vAlign w:val="bottom"/>
            <w:vMerge w:val="restart"/>
          </w:tcPr>
          <w:p>
            <w:pPr>
              <w:ind w:left="140"/>
              <w:spacing w:after="0"/>
              <w:rPr>
                <w:sz w:val="20"/>
                <w:szCs w:val="20"/>
                <w:color w:val="auto"/>
              </w:rPr>
            </w:pPr>
            <w:r>
              <w:rPr>
                <w:rFonts w:ascii="Arial" w:cs="Arial" w:eastAsia="Arial" w:hAnsi="Arial"/>
                <w:sz w:val="13"/>
                <w:szCs w:val="13"/>
                <w:color w:val="005A64"/>
              </w:rPr>
              <w:t>equivalents</w:t>
            </w:r>
          </w:p>
        </w:tc>
        <w:tc>
          <w:tcPr>
            <w:tcW w:w="100" w:type="dxa"/>
            <w:vAlign w:val="bottom"/>
            <w:tcBorders>
              <w:right w:val="single" w:sz="8" w:color="BECD32"/>
            </w:tcBorders>
            <w:vMerge w:val="restart"/>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Borders>
              <w:right w:val="single" w:sz="8" w:color="BECD32"/>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320" w:type="dxa"/>
            <w:vAlign w:val="bottom"/>
            <w:tcBorders>
              <w:bottom w:val="single" w:sz="8" w:color="7FACB1"/>
            </w:tcBorders>
            <w:vMerge w:val="continue"/>
          </w:tcPr>
          <w:p>
            <w:pPr>
              <w:spacing w:after="0"/>
              <w:rPr>
                <w:sz w:val="8"/>
                <w:szCs w:val="8"/>
                <w:color w:val="auto"/>
              </w:rPr>
            </w:pPr>
          </w:p>
        </w:tc>
        <w:tc>
          <w:tcPr>
            <w:tcW w:w="100" w:type="dxa"/>
            <w:vAlign w:val="bottom"/>
            <w:tcBorders>
              <w:right w:val="single" w:sz="8" w:color="BECD32"/>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bottom w:val="single" w:sz="8" w:color="7FACB1"/>
            </w:tcBorders>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Other financial assets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43.4</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43.4</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43.4</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005A64"/>
              </w:rPr>
              <w:t>43.4</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42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assets subsequently measured at fair value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through OCI</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Non-listed equity investments</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2.2</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2.2</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2.2</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005A64"/>
              </w:rPr>
              <w:t>2.2</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Listed equity investments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131.4</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131.4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005A64"/>
              </w:rPr>
              <w:t>131.4</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131.4</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42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assets subsequently measured at amortized</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costs</w:t>
            </w:r>
            <w:r>
              <w:rPr>
                <w:rFonts w:ascii="Arial" w:cs="Arial" w:eastAsia="Arial" w:hAnsi="Arial"/>
                <w:sz w:val="16"/>
                <w:szCs w:val="16"/>
                <w:b w:val="1"/>
                <w:bCs w:val="1"/>
                <w:color w:val="3C9673"/>
                <w:vertAlign w:val="superscript"/>
              </w:rPr>
              <w:t>(1)</w:t>
            </w:r>
          </w:p>
        </w:tc>
        <w:tc>
          <w:tcPr>
            <w:tcW w:w="10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7FACB1"/>
            </w:tcBorders>
          </w:tcPr>
          <w:p>
            <w:pPr>
              <w:spacing w:after="0"/>
              <w:rPr>
                <w:sz w:val="16"/>
                <w:szCs w:val="16"/>
                <w:color w:val="auto"/>
              </w:rPr>
            </w:pPr>
          </w:p>
        </w:tc>
        <w:tc>
          <w:tcPr>
            <w:tcW w:w="100" w:type="dxa"/>
            <w:vAlign w:val="bottom"/>
            <w:tcBorders>
              <w:right w:val="single" w:sz="8" w:color="BECD32"/>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Security investments disclosed as other financial assets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7,078.0</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1,137.2</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8,215.2</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8,215.2</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Security investments disclosed as cash and cash</w:t>
            </w:r>
          </w:p>
        </w:tc>
        <w:tc>
          <w:tcPr>
            <w:tcW w:w="980" w:type="dxa"/>
            <w:vAlign w:val="bottom"/>
            <w:gridSpan w:val="2"/>
            <w:vMerge w:val="restart"/>
          </w:tcPr>
          <w:p>
            <w:pPr>
              <w:jc w:val="right"/>
              <w:spacing w:after="0"/>
              <w:rPr>
                <w:sz w:val="20"/>
                <w:szCs w:val="20"/>
                <w:color w:val="auto"/>
              </w:rPr>
            </w:pPr>
            <w:r>
              <w:rPr>
                <w:rFonts w:ascii="Arial" w:cs="Arial" w:eastAsia="Arial" w:hAnsi="Arial"/>
                <w:sz w:val="13"/>
                <w:szCs w:val="13"/>
                <w:color w:val="005A64"/>
              </w:rPr>
              <w:t>3,745.0</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005A64"/>
              </w:rPr>
              <w:t>3,745.0</w:t>
            </w:r>
          </w:p>
        </w:tc>
        <w:tc>
          <w:tcPr>
            <w:tcW w:w="180" w:type="dxa"/>
            <w:vAlign w:val="bottom"/>
          </w:tcPr>
          <w:p>
            <w:pPr>
              <w:spacing w:after="0"/>
              <w:rPr>
                <w:sz w:val="14"/>
                <w:szCs w:val="14"/>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005A64"/>
              </w:rPr>
              <w:t>3,745.0</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320" w:type="dxa"/>
            <w:vAlign w:val="bottom"/>
            <w:vMerge w:val="restart"/>
          </w:tcPr>
          <w:p>
            <w:pPr>
              <w:ind w:left="140"/>
              <w:spacing w:after="0"/>
              <w:rPr>
                <w:sz w:val="20"/>
                <w:szCs w:val="20"/>
                <w:color w:val="auto"/>
              </w:rPr>
            </w:pPr>
            <w:r>
              <w:rPr>
                <w:rFonts w:ascii="Arial" w:cs="Arial" w:eastAsia="Arial" w:hAnsi="Arial"/>
                <w:sz w:val="13"/>
                <w:szCs w:val="13"/>
                <w:color w:val="005A64"/>
              </w:rPr>
              <w:t>equivalents</w:t>
            </w:r>
          </w:p>
        </w:tc>
        <w:tc>
          <w:tcPr>
            <w:tcW w:w="100" w:type="dxa"/>
            <w:vAlign w:val="bottom"/>
            <w:tcBorders>
              <w:right w:val="single" w:sz="8" w:color="BECD32"/>
            </w:tcBorders>
            <w:vMerge w:val="restart"/>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Borders>
              <w:right w:val="single" w:sz="8" w:color="BECD32"/>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320" w:type="dxa"/>
            <w:vAlign w:val="bottom"/>
            <w:tcBorders>
              <w:bottom w:val="single" w:sz="8" w:color="7FACB1"/>
            </w:tcBorders>
            <w:vMerge w:val="continue"/>
          </w:tcPr>
          <w:p>
            <w:pPr>
              <w:spacing w:after="0"/>
              <w:rPr>
                <w:sz w:val="8"/>
                <w:szCs w:val="8"/>
                <w:color w:val="auto"/>
              </w:rPr>
            </w:pPr>
          </w:p>
        </w:tc>
        <w:tc>
          <w:tcPr>
            <w:tcW w:w="100" w:type="dxa"/>
            <w:vAlign w:val="bottom"/>
            <w:tcBorders>
              <w:right w:val="single" w:sz="8" w:color="BECD32"/>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7FACB1"/>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bottom w:val="single" w:sz="8" w:color="7FACB1"/>
            </w:tcBorders>
          </w:tcPr>
          <w:p>
            <w:pPr>
              <w:spacing w:after="0"/>
              <w:rPr>
                <w:sz w:val="8"/>
                <w:szCs w:val="8"/>
                <w:color w:val="auto"/>
              </w:rPr>
            </w:pPr>
          </w:p>
        </w:tc>
        <w:tc>
          <w:tcPr>
            <w:tcW w:w="100" w:type="dxa"/>
            <w:vAlign w:val="bottom"/>
            <w:tcBorders>
              <w:right w:val="single" w:sz="8" w:color="BECD32"/>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Cash at banks and on hand</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529.4</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529.4</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529.4</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Trade and other receivables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988.0</w:t>
            </w: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988.0</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988.0</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Other financial assets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0.9</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18.0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18.9</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18.9</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42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liabilities subsequently measured at fair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value</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Foreign exchange forward contracts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6.2</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6.2</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6.2</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6.2</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Contingent consideration</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43.3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43.3</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43.3</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005A64"/>
              </w:rPr>
              <w:t>43.3</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42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liabilities subsequently measured at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amortized costs</w:t>
            </w:r>
            <w:r>
              <w:rPr>
                <w:rFonts w:ascii="Arial" w:cs="Arial" w:eastAsia="Arial" w:hAnsi="Arial"/>
                <w:sz w:val="16"/>
                <w:szCs w:val="16"/>
                <w:b w:val="1"/>
                <w:bCs w:val="1"/>
                <w:color w:val="3C9673"/>
                <w:vertAlign w:val="superscript"/>
              </w:rPr>
              <w:t>(1)</w:t>
            </w:r>
          </w:p>
        </w:tc>
        <w:tc>
          <w:tcPr>
            <w:tcW w:w="10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7FACB1"/>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7FACB1"/>
            </w:tcBorders>
          </w:tcPr>
          <w:p>
            <w:pPr>
              <w:spacing w:after="0"/>
              <w:rPr>
                <w:sz w:val="16"/>
                <w:szCs w:val="16"/>
                <w:color w:val="auto"/>
              </w:rPr>
            </w:pPr>
          </w:p>
        </w:tc>
        <w:tc>
          <w:tcPr>
            <w:tcW w:w="100" w:type="dxa"/>
            <w:vAlign w:val="bottom"/>
            <w:tcBorders>
              <w:right w:val="single" w:sz="8" w:color="BECD32"/>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Loans and borrowings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w:t>
            </w: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02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3"/>
                <w:szCs w:val="13"/>
                <w:color w:val="005A64"/>
              </w:rPr>
              <w:t>—</w:t>
            </w: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Trade payables and other payables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762.6</w:t>
            </w: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762.6</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762.6</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Other financial liabilities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235.4</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1.0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236.4</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236.4</w:t>
            </w: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420" w:type="dxa"/>
            <w:vAlign w:val="bottom"/>
            <w:tcBorders>
              <w:right w:val="single" w:sz="8" w:color="BECD32"/>
            </w:tcBorders>
            <w:gridSpan w:val="2"/>
          </w:tcPr>
          <w:p>
            <w:pPr>
              <w:ind w:left="20"/>
              <w:spacing w:after="0"/>
              <w:rPr>
                <w:sz w:val="20"/>
                <w:szCs w:val="20"/>
                <w:color w:val="auto"/>
              </w:rPr>
            </w:pPr>
            <w:r>
              <w:rPr>
                <w:rFonts w:ascii="Arial" w:cs="Arial" w:eastAsia="Arial" w:hAnsi="Arial"/>
                <w:sz w:val="13"/>
                <w:szCs w:val="13"/>
                <w:b w:val="1"/>
                <w:bCs w:val="1"/>
                <w:color w:val="3C9673"/>
              </w:rPr>
              <w:t>Financial liabilities subsequently not measured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according to IFRS 9</w:t>
            </w:r>
          </w:p>
        </w:tc>
        <w:tc>
          <w:tcPr>
            <w:tcW w:w="10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bottom w:val="single" w:sz="8" w:color="7FACB1"/>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7FACB1"/>
            </w:tcBorders>
          </w:tcPr>
          <w:p>
            <w:pPr>
              <w:spacing w:after="0"/>
              <w:rPr>
                <w:sz w:val="15"/>
                <w:szCs w:val="15"/>
                <w:color w:val="auto"/>
              </w:rPr>
            </w:pP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20" w:type="dxa"/>
            <w:vAlign w:val="bottom"/>
            <w:tcBorders>
              <w:right w:val="single" w:sz="8" w:color="BECD32"/>
            </w:tcBorders>
            <w:gridSpan w:val="2"/>
          </w:tcPr>
          <w:p>
            <w:pPr>
              <w:ind w:left="140"/>
              <w:spacing w:after="0"/>
              <w:rPr>
                <w:sz w:val="20"/>
                <w:szCs w:val="20"/>
                <w:color w:val="auto"/>
              </w:rPr>
            </w:pPr>
            <w:r>
              <w:rPr>
                <w:rFonts w:ascii="Arial" w:cs="Arial" w:eastAsia="Arial" w:hAnsi="Arial"/>
                <w:sz w:val="13"/>
                <w:szCs w:val="13"/>
                <w:color w:val="005A64"/>
              </w:rPr>
              <w:t>Lease liabilities</w:t>
            </w:r>
          </w:p>
        </w:tc>
        <w:tc>
          <w:tcPr>
            <w:tcW w:w="980" w:type="dxa"/>
            <w:vAlign w:val="bottom"/>
            <w:gridSpan w:val="2"/>
          </w:tcPr>
          <w:p>
            <w:pPr>
              <w:jc w:val="right"/>
              <w:spacing w:after="0"/>
              <w:rPr>
                <w:sz w:val="20"/>
                <w:szCs w:val="20"/>
                <w:color w:val="auto"/>
              </w:rPr>
            </w:pPr>
            <w:r>
              <w:rPr>
                <w:rFonts w:ascii="Arial" w:cs="Arial" w:eastAsia="Arial" w:hAnsi="Arial"/>
                <w:sz w:val="13"/>
                <w:szCs w:val="13"/>
                <w:color w:val="005A64"/>
              </w:rPr>
              <w:t>37.4</w:t>
            </w:r>
          </w:p>
        </w:tc>
        <w:tc>
          <w:tcPr>
            <w:tcW w:w="1080" w:type="dxa"/>
            <w:vAlign w:val="bottom"/>
            <w:gridSpan w:val="2"/>
          </w:tcPr>
          <w:p>
            <w:pPr>
              <w:jc w:val="right"/>
              <w:spacing w:after="0"/>
              <w:rPr>
                <w:sz w:val="20"/>
                <w:szCs w:val="20"/>
                <w:color w:val="auto"/>
              </w:rPr>
            </w:pPr>
            <w:r>
              <w:rPr>
                <w:rFonts w:ascii="Arial" w:cs="Arial" w:eastAsia="Arial" w:hAnsi="Arial"/>
                <w:sz w:val="13"/>
                <w:szCs w:val="13"/>
                <w:color w:val="005A64"/>
              </w:rPr>
              <w:t>206.3</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243.7</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20" w:type="dxa"/>
            <w:vAlign w:val="bottom"/>
          </w:tcPr>
          <w:p>
            <w:pPr>
              <w:jc w:val="right"/>
              <w:spacing w:after="0"/>
              <w:rPr>
                <w:sz w:val="20"/>
                <w:szCs w:val="20"/>
                <w:color w:val="auto"/>
              </w:rPr>
            </w:pPr>
            <w:r>
              <w:rPr>
                <w:rFonts w:ascii="Arial" w:cs="Arial" w:eastAsia="Arial" w:hAnsi="Arial"/>
                <w:sz w:val="13"/>
                <w:szCs w:val="13"/>
                <w:color w:val="005A64"/>
              </w:rPr>
              <w:t>243.7</w:t>
            </w:r>
          </w:p>
        </w:tc>
        <w:tc>
          <w:tcPr>
            <w:tcW w:w="100" w:type="dxa"/>
            <w:vAlign w:val="bottom"/>
            <w:tcBorders>
              <w:right w:val="single" w:sz="8" w:color="BECD32"/>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32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9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920" w:type="dxa"/>
            <w:vAlign w:val="bottom"/>
            <w:tcBorders>
              <w:bottom w:val="single" w:sz="8" w:color="BECE33"/>
            </w:tcBorders>
          </w:tcPr>
          <w:p>
            <w:pPr>
              <w:spacing w:after="0"/>
              <w:rPr>
                <w:sz w:val="2"/>
                <w:szCs w:val="2"/>
                <w:color w:val="auto"/>
              </w:rPr>
            </w:pPr>
          </w:p>
        </w:tc>
        <w:tc>
          <w:tcPr>
            <w:tcW w:w="100" w:type="dxa"/>
            <w:vAlign w:val="bottom"/>
            <w:tcBorders>
              <w:bottom w:val="single" w:sz="8" w:color="BECE33"/>
              <w:right w:val="single" w:sz="8" w:color="BECD3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1"/>
          <w:szCs w:val="21"/>
          <w:color w:val="005A64"/>
          <w:vertAlign w:val="superscript"/>
        </w:rPr>
      </w:pPr>
      <w:r>
        <w:rPr>
          <w:rFonts w:ascii="Arial" w:cs="Arial" w:eastAsia="Arial" w:hAnsi="Arial"/>
          <w:sz w:val="16"/>
          <w:szCs w:val="16"/>
          <w:color w:val="005A64"/>
        </w:rPr>
        <w:t>Fair values for financial assets and liabilities at amortized costs are not disclosed as the book values represent a reasonable approximation.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2024, the non-listed and listed equity investments increased by €80.5 million compared to year-end 2023 mainly due to our investment in Autolus Therapeutics plc in February 2024 and offsetting subsequent fair value changes amounting to €(108.3) million in the first half of 2024.</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 developments in our financial assets and liabilities mainly resulted from growth and reallocation of existing capital. This led to a decrease of €2,095.9 million in security investments subsequently measured at fair value through profit and loss (money market funds) and an increase of €2,225.5 million in security investments subsequently measured at amortized costs (e.g. bonds, commercial paper) compared to year-end 2023.</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34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1234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A64"/>
        </w:rPr>
        <w:t>December 31, 2023</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1602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5" w:lineRule="exact"/>
        <w:rPr>
          <w:sz w:val="20"/>
          <w:szCs w:val="20"/>
          <w:color w:val="auto"/>
        </w:rPr>
      </w:pPr>
    </w:p>
    <w:p>
      <w:pPr>
        <w:ind w:left="20"/>
        <w:spacing w:after="0" w:line="274" w:lineRule="auto"/>
        <w:rPr>
          <w:sz w:val="20"/>
          <w:szCs w:val="20"/>
          <w:color w:val="auto"/>
        </w:rPr>
      </w:pPr>
      <w:r>
        <w:rPr>
          <w:rFonts w:ascii="Arial" w:cs="Arial" w:eastAsia="Arial" w:hAnsi="Arial"/>
          <w:sz w:val="13"/>
          <w:szCs w:val="13"/>
          <w:b w:val="1"/>
          <w:bCs w:val="1"/>
          <w:color w:val="3C9673"/>
        </w:rPr>
        <w:t>Financial assets subsequently measured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160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 w:lineRule="exact"/>
        <w:rPr>
          <w:sz w:val="20"/>
          <w:szCs w:val="20"/>
          <w:color w:val="auto"/>
        </w:rPr>
      </w:pPr>
    </w:p>
    <w:p>
      <w:pPr>
        <w:ind w:left="140" w:right="340"/>
        <w:spacing w:after="0" w:line="264" w:lineRule="auto"/>
        <w:rPr>
          <w:sz w:val="20"/>
          <w:szCs w:val="20"/>
          <w:color w:val="auto"/>
        </w:rPr>
      </w:pPr>
      <w:r>
        <w:rPr>
          <w:rFonts w:ascii="Arial" w:cs="Arial" w:eastAsia="Arial" w:hAnsi="Arial"/>
          <w:sz w:val="13"/>
          <w:szCs w:val="13"/>
          <w:color w:val="005A64"/>
        </w:rPr>
        <w:t>Security investments disclosed as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160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20"/>
        <w:spacing w:after="0" w:line="274" w:lineRule="auto"/>
        <w:rPr>
          <w:sz w:val="20"/>
          <w:szCs w:val="20"/>
          <w:color w:val="auto"/>
        </w:rPr>
      </w:pPr>
      <w:r>
        <w:rPr>
          <w:rFonts w:ascii="Arial" w:cs="Arial" w:eastAsia="Arial" w:hAnsi="Arial"/>
          <w:sz w:val="13"/>
          <w:szCs w:val="13"/>
          <w:b w:val="1"/>
          <w:bCs w:val="1"/>
          <w:color w:val="3C9673"/>
        </w:rPr>
        <w:t>Financial assets subsequently measured at fair value through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160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1280" w:type="dxa"/>
            <w:vAlign w:val="bottom"/>
            <w:gridSpan w:val="3"/>
          </w:tcPr>
          <w:p>
            <w:pPr>
              <w:ind w:left="140"/>
              <w:spacing w:after="0"/>
              <w:rPr>
                <w:sz w:val="20"/>
                <w:szCs w:val="20"/>
                <w:color w:val="auto"/>
              </w:rPr>
            </w:pPr>
            <w:r>
              <w:rPr>
                <w:rFonts w:ascii="Arial" w:cs="Arial" w:eastAsia="Arial" w:hAnsi="Arial"/>
                <w:sz w:val="13"/>
                <w:szCs w:val="13"/>
                <w:b w:val="1"/>
                <w:bCs w:val="1"/>
                <w:color w:val="005A64"/>
              </w:rPr>
              <w:t>Carrying amount</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005A64"/>
              </w:rPr>
              <w:t>Fair value</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
        </w:trPr>
        <w:tc>
          <w:tcPr>
            <w:tcW w:w="880" w:type="dxa"/>
            <w:vAlign w:val="bottom"/>
            <w:tcBorders>
              <w:bottom w:val="single" w:sz="8" w:color="005A64"/>
            </w:tcBorders>
          </w:tcPr>
          <w:p>
            <w:pPr>
              <w:spacing w:after="0" w:line="20" w:lineRule="exact"/>
              <w:rPr>
                <w:sz w:val="1"/>
                <w:szCs w:val="1"/>
                <w:color w:val="auto"/>
              </w:rPr>
            </w:pPr>
          </w:p>
        </w:tc>
        <w:tc>
          <w:tcPr>
            <w:tcW w:w="200" w:type="dxa"/>
            <w:vAlign w:val="bottom"/>
            <w:tcBorders>
              <w:bottom w:val="single" w:sz="8" w:color="005A64"/>
            </w:tcBorders>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200" w:type="dxa"/>
            <w:vAlign w:val="bottom"/>
            <w:tcBorders>
              <w:bottom w:val="single" w:sz="8" w:color="005A64"/>
            </w:tcBorders>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005A64"/>
            </w:tcBorders>
            <w:gridSpan w:val="2"/>
          </w:tcPr>
          <w:p>
            <w:pPr>
              <w:spacing w:after="0" w:line="20" w:lineRule="exact"/>
              <w:rPr>
                <w:sz w:val="1"/>
                <w:szCs w:val="1"/>
                <w:color w:val="auto"/>
              </w:rPr>
            </w:pPr>
          </w:p>
        </w:tc>
        <w:tc>
          <w:tcPr>
            <w:tcW w:w="1160" w:type="dxa"/>
            <w:vAlign w:val="bottom"/>
            <w:tcBorders>
              <w:bottom w:val="single" w:sz="8" w:color="005A64"/>
            </w:tcBorders>
            <w:gridSpan w:val="2"/>
          </w:tcPr>
          <w:p>
            <w:pPr>
              <w:spacing w:after="0" w:line="20" w:lineRule="exact"/>
              <w:rPr>
                <w:sz w:val="1"/>
                <w:szCs w:val="1"/>
                <w:color w:val="auto"/>
              </w:rPr>
            </w:pPr>
          </w:p>
        </w:tc>
        <w:tc>
          <w:tcPr>
            <w:tcW w:w="980" w:type="dxa"/>
            <w:vAlign w:val="bottom"/>
            <w:tcBorders>
              <w:bottom w:val="single" w:sz="8" w:color="005A64"/>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51"/>
        </w:trPr>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Level 1 (Fair</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Level 2 (Fair</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Level 3 (Fair</w:t>
            </w:r>
          </w:p>
        </w:tc>
        <w:tc>
          <w:tcPr>
            <w:tcW w:w="900" w:type="dxa"/>
            <w:vAlign w:val="bottom"/>
          </w:tcPr>
          <w:p>
            <w:pPr>
              <w:spacing w:after="0"/>
              <w:rPr>
                <w:sz w:val="13"/>
                <w:szCs w:val="13"/>
                <w:color w:val="auto"/>
              </w:rPr>
            </w:pPr>
          </w:p>
        </w:tc>
      </w:tr>
      <w:tr>
        <w:trPr>
          <w:trHeight w:val="172"/>
        </w:trPr>
        <w:tc>
          <w:tcPr>
            <w:tcW w:w="880" w:type="dxa"/>
            <w:vAlign w:val="bottom"/>
          </w:tcPr>
          <w:p>
            <w:pPr>
              <w:jc w:val="right"/>
              <w:spacing w:after="0"/>
              <w:rPr>
                <w:sz w:val="20"/>
                <w:szCs w:val="20"/>
                <w:color w:val="auto"/>
              </w:rPr>
            </w:pPr>
            <w:r>
              <w:rPr>
                <w:rFonts w:ascii="Arial" w:cs="Arial" w:eastAsia="Arial" w:hAnsi="Arial"/>
                <w:sz w:val="13"/>
                <w:szCs w:val="13"/>
                <w:b w:val="1"/>
                <w:bCs w:val="1"/>
                <w:color w:val="005A64"/>
              </w:rPr>
              <w:t>Current</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Non-current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Total</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value)</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value)</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005A64"/>
              </w:rPr>
              <w:t>value)</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005A64"/>
              </w:rPr>
              <w:t>Total</w:t>
            </w:r>
          </w:p>
        </w:tc>
      </w:tr>
      <w:tr>
        <w:trPr>
          <w:trHeight w:val="22"/>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44"/>
        </w:trPr>
        <w:tc>
          <w:tcPr>
            <w:tcW w:w="880" w:type="dxa"/>
            <w:vAlign w:val="bottom"/>
            <w:tcBorders>
              <w:top w:val="single" w:sz="8" w:color="005A64"/>
              <w:bottom w:val="single" w:sz="8" w:color="7FACB1"/>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005A64"/>
              <w:bottom w:val="single" w:sz="8" w:color="7FACB1"/>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005A64"/>
              <w:bottom w:val="single" w:sz="8" w:color="7FACB1"/>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005A64"/>
              <w:bottom w:val="single" w:sz="8" w:color="7FACB1"/>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005A64"/>
              <w:bottom w:val="single" w:sz="8" w:color="7FACB1"/>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005A64"/>
              <w:bottom w:val="single" w:sz="8" w:color="7FACB1"/>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top w:val="single" w:sz="8" w:color="005A64"/>
              <w:bottom w:val="single" w:sz="8" w:color="7FACB1"/>
            </w:tcBorders>
          </w:tcPr>
          <w:p>
            <w:pPr>
              <w:spacing w:after="0"/>
              <w:rPr>
                <w:sz w:val="24"/>
                <w:szCs w:val="24"/>
                <w:color w:val="auto"/>
              </w:rPr>
            </w:pPr>
          </w:p>
        </w:tc>
      </w:tr>
      <w:tr>
        <w:trPr>
          <w:trHeight w:val="236"/>
        </w:trPr>
        <w:tc>
          <w:tcPr>
            <w:tcW w:w="880" w:type="dxa"/>
            <w:vAlign w:val="bottom"/>
          </w:tcPr>
          <w:p>
            <w:pPr>
              <w:jc w:val="right"/>
              <w:spacing w:after="0"/>
              <w:rPr>
                <w:sz w:val="20"/>
                <w:szCs w:val="20"/>
                <w:color w:val="auto"/>
              </w:rPr>
            </w:pPr>
            <w:r>
              <w:rPr>
                <w:rFonts w:ascii="Arial" w:cs="Arial" w:eastAsia="Arial" w:hAnsi="Arial"/>
                <w:sz w:val="13"/>
                <w:szCs w:val="13"/>
                <w:color w:val="005A64"/>
              </w:rPr>
              <w:t>7,446.1</w:t>
            </w: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7,446.1</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005A64"/>
              </w:rPr>
              <w:t>7,446.1</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7,446.1</w:t>
            </w:r>
          </w:p>
        </w:tc>
      </w:tr>
      <w:tr>
        <w:trPr>
          <w:trHeight w:val="108"/>
        </w:trPr>
        <w:tc>
          <w:tcPr>
            <w:tcW w:w="880" w:type="dxa"/>
            <w:vAlign w:val="bottom"/>
            <w:tcBorders>
              <w:bottom w:val="single" w:sz="8" w:color="7FACB1"/>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7FACB1"/>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7FACB1"/>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7FACB1"/>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7FACB1"/>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4843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3220" w:space="380"/>
            <w:col w:w="764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Non-listed equity investments</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27.1</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27.1</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27.1</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27.1</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Listed equity investments</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26.0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26.0</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005A64"/>
              </w:rPr>
              <w:t>26.0</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26.0</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6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3C9673"/>
              </w:rPr>
              <w:t>Financial assets subsequently measured at amortized</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40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costs</w:t>
            </w:r>
            <w:r>
              <w:rPr>
                <w:rFonts w:ascii="Arial" w:cs="Arial" w:eastAsia="Arial" w:hAnsi="Arial"/>
                <w:sz w:val="16"/>
                <w:szCs w:val="16"/>
                <w:b w:val="1"/>
                <w:bCs w:val="1"/>
                <w:color w:val="3C9673"/>
                <w:vertAlign w:val="superscript"/>
              </w:rPr>
              <w:t>(1)</w:t>
            </w:r>
          </w:p>
        </w:tc>
        <w:tc>
          <w:tcPr>
            <w:tcW w:w="2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7FACB1"/>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7FACB1"/>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7FACB1"/>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Security investments disclosed as other financial assets</w:t>
            </w:r>
          </w:p>
        </w:tc>
        <w:tc>
          <w:tcPr>
            <w:tcW w:w="880" w:type="dxa"/>
            <w:vAlign w:val="bottom"/>
          </w:tcPr>
          <w:p>
            <w:pPr>
              <w:jc w:val="right"/>
              <w:spacing w:after="0"/>
              <w:rPr>
                <w:sz w:val="20"/>
                <w:szCs w:val="20"/>
                <w:color w:val="auto"/>
              </w:rPr>
            </w:pPr>
            <w:r>
              <w:rPr>
                <w:rFonts w:ascii="Arial" w:cs="Arial" w:eastAsia="Arial" w:hAnsi="Arial"/>
                <w:sz w:val="13"/>
                <w:szCs w:val="13"/>
                <w:color w:val="005A64"/>
              </w:rPr>
              <w:t>4,885.1</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1,104.6</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5,989.7</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5,989.7</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Security investments disclosed as cash and cash</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005A64"/>
              </w:rPr>
              <w:t>3,764.5</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005A64"/>
              </w:rPr>
              <w:t>3,764.5</w:t>
            </w:r>
          </w:p>
        </w:tc>
        <w:tc>
          <w:tcPr>
            <w:tcW w:w="20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005A64"/>
              </w:rPr>
              <w:t>3,764.5</w:t>
            </w:r>
          </w:p>
        </w:tc>
        <w:tc>
          <w:tcPr>
            <w:tcW w:w="0" w:type="dxa"/>
            <w:vAlign w:val="bottom"/>
          </w:tcPr>
          <w:p>
            <w:pPr>
              <w:spacing w:after="0"/>
              <w:rPr>
                <w:sz w:val="1"/>
                <w:szCs w:val="1"/>
                <w:color w:val="auto"/>
              </w:rPr>
            </w:pPr>
          </w:p>
        </w:tc>
      </w:tr>
      <w:tr>
        <w:trPr>
          <w:trHeight w:val="85"/>
        </w:trPr>
        <w:tc>
          <w:tcPr>
            <w:tcW w:w="3600" w:type="dxa"/>
            <w:vAlign w:val="bottom"/>
            <w:gridSpan w:val="2"/>
            <w:vMerge w:val="restart"/>
          </w:tcPr>
          <w:p>
            <w:pPr>
              <w:ind w:left="140"/>
              <w:spacing w:after="0"/>
              <w:rPr>
                <w:sz w:val="20"/>
                <w:szCs w:val="20"/>
                <w:color w:val="auto"/>
              </w:rPr>
            </w:pPr>
            <w:r>
              <w:rPr>
                <w:rFonts w:ascii="Arial" w:cs="Arial" w:eastAsia="Arial" w:hAnsi="Arial"/>
                <w:sz w:val="13"/>
                <w:szCs w:val="13"/>
                <w:color w:val="005A64"/>
              </w:rPr>
              <w:t>equivalents</w:t>
            </w:r>
          </w:p>
        </w:tc>
        <w:tc>
          <w:tcPr>
            <w:tcW w:w="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Cash at banks and on hand</w:t>
            </w:r>
          </w:p>
        </w:tc>
        <w:tc>
          <w:tcPr>
            <w:tcW w:w="880" w:type="dxa"/>
            <w:vAlign w:val="bottom"/>
          </w:tcPr>
          <w:p>
            <w:pPr>
              <w:jc w:val="right"/>
              <w:spacing w:after="0"/>
              <w:rPr>
                <w:sz w:val="20"/>
                <w:szCs w:val="20"/>
                <w:color w:val="auto"/>
              </w:rPr>
            </w:pPr>
            <w:r>
              <w:rPr>
                <w:rFonts w:ascii="Arial" w:cs="Arial" w:eastAsia="Arial" w:hAnsi="Arial"/>
                <w:sz w:val="13"/>
                <w:szCs w:val="13"/>
                <w:color w:val="005A64"/>
              </w:rPr>
              <w:t>453.1</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453.1</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453.1</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Trade and other receivables</w:t>
            </w:r>
          </w:p>
        </w:tc>
        <w:tc>
          <w:tcPr>
            <w:tcW w:w="880" w:type="dxa"/>
            <w:vAlign w:val="bottom"/>
          </w:tcPr>
          <w:p>
            <w:pPr>
              <w:jc w:val="right"/>
              <w:spacing w:after="0"/>
              <w:rPr>
                <w:sz w:val="20"/>
                <w:szCs w:val="20"/>
                <w:color w:val="auto"/>
              </w:rPr>
            </w:pPr>
            <w:r>
              <w:rPr>
                <w:rFonts w:ascii="Arial" w:cs="Arial" w:eastAsia="Arial" w:hAnsi="Arial"/>
                <w:sz w:val="13"/>
                <w:szCs w:val="13"/>
                <w:color w:val="005A64"/>
              </w:rPr>
              <w:t>2,155.7</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2,155.7</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2,155.7</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Other financial assets</w:t>
            </w:r>
          </w:p>
        </w:tc>
        <w:tc>
          <w:tcPr>
            <w:tcW w:w="880" w:type="dxa"/>
            <w:vAlign w:val="bottom"/>
          </w:tcPr>
          <w:p>
            <w:pPr>
              <w:jc w:val="right"/>
              <w:spacing w:after="0"/>
              <w:rPr>
                <w:sz w:val="20"/>
                <w:szCs w:val="20"/>
                <w:color w:val="auto"/>
              </w:rPr>
            </w:pPr>
            <w:r>
              <w:rPr>
                <w:rFonts w:ascii="Arial" w:cs="Arial" w:eastAsia="Arial" w:hAnsi="Arial"/>
                <w:sz w:val="13"/>
                <w:szCs w:val="13"/>
                <w:color w:val="005A64"/>
              </w:rPr>
              <w:t>0.2</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18.4</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18.6</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18.6</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600" w:type="dxa"/>
            <w:vAlign w:val="bottom"/>
            <w:gridSpan w:val="2"/>
          </w:tcPr>
          <w:p>
            <w:pPr>
              <w:ind w:left="20"/>
              <w:spacing w:after="0"/>
              <w:rPr>
                <w:sz w:val="20"/>
                <w:szCs w:val="20"/>
                <w:color w:val="auto"/>
              </w:rPr>
            </w:pPr>
            <w:r>
              <w:rPr>
                <w:rFonts w:ascii="Arial" w:cs="Arial" w:eastAsia="Arial" w:hAnsi="Arial"/>
                <w:sz w:val="13"/>
                <w:szCs w:val="13"/>
                <w:b w:val="1"/>
                <w:bCs w:val="1"/>
                <w:color w:val="3C9673"/>
              </w:rPr>
              <w:t>Financial liabilities subsequently measured at fair value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40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Foreign exchange forward contracts</w:t>
            </w:r>
          </w:p>
        </w:tc>
        <w:tc>
          <w:tcPr>
            <w:tcW w:w="880" w:type="dxa"/>
            <w:vAlign w:val="bottom"/>
          </w:tcPr>
          <w:p>
            <w:pPr>
              <w:jc w:val="right"/>
              <w:spacing w:after="0"/>
              <w:rPr>
                <w:sz w:val="20"/>
                <w:szCs w:val="20"/>
                <w:color w:val="auto"/>
              </w:rPr>
            </w:pPr>
            <w:r>
              <w:rPr>
                <w:rFonts w:ascii="Arial" w:cs="Arial" w:eastAsia="Arial" w:hAnsi="Arial"/>
                <w:sz w:val="13"/>
                <w:szCs w:val="13"/>
                <w:color w:val="005A64"/>
              </w:rPr>
              <w:t>0.4</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0.4</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0.4</w:t>
            </w: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0.4</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Contingent consideration</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38.8</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38.8</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80" w:type="dxa"/>
            <w:vAlign w:val="bottom"/>
          </w:tcPr>
          <w:p>
            <w:pPr>
              <w:jc w:val="right"/>
              <w:spacing w:after="0"/>
              <w:rPr>
                <w:sz w:val="20"/>
                <w:szCs w:val="20"/>
                <w:color w:val="auto"/>
              </w:rPr>
            </w:pPr>
            <w:r>
              <w:rPr>
                <w:rFonts w:ascii="Arial" w:cs="Arial" w:eastAsia="Arial" w:hAnsi="Arial"/>
                <w:sz w:val="13"/>
                <w:szCs w:val="13"/>
                <w:color w:val="005A64"/>
              </w:rPr>
              <w:t>38.8</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005A64"/>
              </w:rPr>
              <w:t>38.8</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6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3C9673"/>
              </w:rPr>
              <w:t>Financial liabilities subsequently measured at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400" w:type="dxa"/>
            <w:vAlign w:val="bottom"/>
            <w:tcBorders>
              <w:bottom w:val="single" w:sz="8" w:color="7FACB1"/>
            </w:tcBorders>
          </w:tcPr>
          <w:p>
            <w:pPr>
              <w:ind w:left="20"/>
              <w:spacing w:after="0"/>
              <w:rPr>
                <w:sz w:val="20"/>
                <w:szCs w:val="20"/>
                <w:color w:val="auto"/>
              </w:rPr>
            </w:pPr>
            <w:r>
              <w:rPr>
                <w:rFonts w:ascii="Arial" w:cs="Arial" w:eastAsia="Arial" w:hAnsi="Arial"/>
                <w:sz w:val="13"/>
                <w:szCs w:val="13"/>
                <w:b w:val="1"/>
                <w:bCs w:val="1"/>
                <w:color w:val="3C9673"/>
              </w:rPr>
              <w:t>amortized costs</w:t>
            </w:r>
            <w:r>
              <w:rPr>
                <w:rFonts w:ascii="Arial" w:cs="Arial" w:eastAsia="Arial" w:hAnsi="Arial"/>
                <w:sz w:val="16"/>
                <w:szCs w:val="16"/>
                <w:b w:val="1"/>
                <w:bCs w:val="1"/>
                <w:color w:val="3C9673"/>
                <w:vertAlign w:val="superscript"/>
              </w:rPr>
              <w:t>(1)</w:t>
            </w:r>
          </w:p>
        </w:tc>
        <w:tc>
          <w:tcPr>
            <w:tcW w:w="2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bottom w:val="single" w:sz="8" w:color="7FACB1"/>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7FACB1"/>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7FACB1"/>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Loans and borrowings</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2.3</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2.3</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2.3</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Trade payables and other payables</w:t>
            </w:r>
          </w:p>
        </w:tc>
        <w:tc>
          <w:tcPr>
            <w:tcW w:w="880" w:type="dxa"/>
            <w:vAlign w:val="bottom"/>
          </w:tcPr>
          <w:p>
            <w:pPr>
              <w:jc w:val="right"/>
              <w:spacing w:after="0"/>
              <w:rPr>
                <w:sz w:val="20"/>
                <w:szCs w:val="20"/>
                <w:color w:val="auto"/>
              </w:rPr>
            </w:pPr>
            <w:r>
              <w:rPr>
                <w:rFonts w:ascii="Arial" w:cs="Arial" w:eastAsia="Arial" w:hAnsi="Arial"/>
                <w:sz w:val="13"/>
                <w:szCs w:val="13"/>
                <w:color w:val="005A64"/>
              </w:rPr>
              <w:t>354.0</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354.0</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354.0</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Other financial liabilities</w:t>
            </w:r>
          </w:p>
        </w:tc>
        <w:tc>
          <w:tcPr>
            <w:tcW w:w="880" w:type="dxa"/>
            <w:vAlign w:val="bottom"/>
          </w:tcPr>
          <w:p>
            <w:pPr>
              <w:jc w:val="right"/>
              <w:spacing w:after="0"/>
              <w:rPr>
                <w:sz w:val="20"/>
                <w:szCs w:val="20"/>
                <w:color w:val="auto"/>
              </w:rPr>
            </w:pPr>
            <w:r>
              <w:rPr>
                <w:rFonts w:ascii="Arial" w:cs="Arial" w:eastAsia="Arial" w:hAnsi="Arial"/>
                <w:sz w:val="13"/>
                <w:szCs w:val="13"/>
                <w:color w:val="005A64"/>
              </w:rPr>
              <w:t>414.9</w:t>
            </w:r>
          </w:p>
        </w:tc>
        <w:tc>
          <w:tcPr>
            <w:tcW w:w="2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880" w:type="dxa"/>
            <w:vAlign w:val="bottom"/>
          </w:tcPr>
          <w:p>
            <w:pPr>
              <w:jc w:val="right"/>
              <w:spacing w:after="0"/>
              <w:rPr>
                <w:sz w:val="20"/>
                <w:szCs w:val="20"/>
                <w:color w:val="auto"/>
              </w:rPr>
            </w:pPr>
            <w:r>
              <w:rPr>
                <w:rFonts w:ascii="Arial" w:cs="Arial" w:eastAsia="Arial" w:hAnsi="Arial"/>
                <w:sz w:val="13"/>
                <w:szCs w:val="13"/>
                <w:color w:val="005A64"/>
              </w:rPr>
              <w:t>414.9</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414.9</w:t>
            </w:r>
          </w:p>
        </w:tc>
        <w:tc>
          <w:tcPr>
            <w:tcW w:w="0" w:type="dxa"/>
            <w:vAlign w:val="bottom"/>
          </w:tcPr>
          <w:p>
            <w:pPr>
              <w:spacing w:after="0"/>
              <w:rPr>
                <w:sz w:val="1"/>
                <w:szCs w:val="1"/>
                <w:color w:val="auto"/>
              </w:rPr>
            </w:pPr>
          </w:p>
        </w:tc>
      </w:tr>
      <w:tr>
        <w:trPr>
          <w:trHeight w:val="28"/>
        </w:trPr>
        <w:tc>
          <w:tcPr>
            <w:tcW w:w="340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20"/>
              <w:spacing w:after="0"/>
              <w:rPr>
                <w:sz w:val="20"/>
                <w:szCs w:val="20"/>
                <w:color w:val="auto"/>
              </w:rPr>
            </w:pPr>
            <w:r>
              <w:rPr>
                <w:rFonts w:ascii="Arial" w:cs="Arial" w:eastAsia="Arial" w:hAnsi="Arial"/>
                <w:sz w:val="13"/>
                <w:szCs w:val="13"/>
                <w:b w:val="1"/>
                <w:bCs w:val="1"/>
                <w:color w:val="3C9673"/>
              </w:rPr>
              <w:t>Financial liabilities subsequently not measured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00" w:type="dxa"/>
            <w:vAlign w:val="bottom"/>
            <w:gridSpan w:val="2"/>
          </w:tcPr>
          <w:p>
            <w:pPr>
              <w:ind w:left="20"/>
              <w:spacing w:after="0"/>
              <w:rPr>
                <w:sz w:val="20"/>
                <w:szCs w:val="20"/>
                <w:color w:val="auto"/>
              </w:rPr>
            </w:pPr>
            <w:r>
              <w:rPr>
                <w:rFonts w:ascii="Arial" w:cs="Arial" w:eastAsia="Arial" w:hAnsi="Arial"/>
                <w:sz w:val="13"/>
                <w:szCs w:val="13"/>
                <w:b w:val="1"/>
                <w:bCs w:val="1"/>
                <w:color w:val="3C9673"/>
              </w:rPr>
              <w:t>according to IFRS 9</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40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7FACB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7FACB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7FACB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600" w:type="dxa"/>
            <w:vAlign w:val="bottom"/>
            <w:gridSpan w:val="2"/>
          </w:tcPr>
          <w:p>
            <w:pPr>
              <w:ind w:left="140"/>
              <w:spacing w:after="0"/>
              <w:rPr>
                <w:sz w:val="20"/>
                <w:szCs w:val="20"/>
                <w:color w:val="auto"/>
              </w:rPr>
            </w:pPr>
            <w:r>
              <w:rPr>
                <w:rFonts w:ascii="Arial" w:cs="Arial" w:eastAsia="Arial" w:hAnsi="Arial"/>
                <w:sz w:val="13"/>
                <w:szCs w:val="13"/>
                <w:color w:val="005A64"/>
              </w:rPr>
              <w:t>Lease liabilities</w:t>
            </w:r>
          </w:p>
        </w:tc>
        <w:tc>
          <w:tcPr>
            <w:tcW w:w="880" w:type="dxa"/>
            <w:vAlign w:val="bottom"/>
          </w:tcPr>
          <w:p>
            <w:pPr>
              <w:jc w:val="right"/>
              <w:spacing w:after="0"/>
              <w:rPr>
                <w:sz w:val="20"/>
                <w:szCs w:val="20"/>
                <w:color w:val="auto"/>
              </w:rPr>
            </w:pPr>
            <w:r>
              <w:rPr>
                <w:rFonts w:ascii="Arial" w:cs="Arial" w:eastAsia="Arial" w:hAnsi="Arial"/>
                <w:sz w:val="13"/>
                <w:szCs w:val="13"/>
                <w:color w:val="005A64"/>
              </w:rPr>
              <w:t>28.1</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188.6</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005A64"/>
              </w:rPr>
              <w:t>216.7</w:t>
            </w:r>
          </w:p>
        </w:tc>
        <w:tc>
          <w:tcPr>
            <w:tcW w:w="2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005A64"/>
              </w:rPr>
              <w:t>—</w:t>
            </w:r>
          </w:p>
        </w:tc>
        <w:tc>
          <w:tcPr>
            <w:tcW w:w="900" w:type="dxa"/>
            <w:vAlign w:val="bottom"/>
          </w:tcPr>
          <w:p>
            <w:pPr>
              <w:jc w:val="right"/>
              <w:spacing w:after="0"/>
              <w:rPr>
                <w:sz w:val="20"/>
                <w:szCs w:val="20"/>
                <w:color w:val="auto"/>
              </w:rPr>
            </w:pPr>
            <w:r>
              <w:rPr>
                <w:rFonts w:ascii="Arial" w:cs="Arial" w:eastAsia="Arial" w:hAnsi="Arial"/>
                <w:sz w:val="13"/>
                <w:szCs w:val="13"/>
                <w:color w:val="005A64"/>
              </w:rPr>
              <w:t>216.7</w:t>
            </w:r>
          </w:p>
        </w:tc>
        <w:tc>
          <w:tcPr>
            <w:tcW w:w="0" w:type="dxa"/>
            <w:vAlign w:val="bottom"/>
          </w:tcPr>
          <w:p>
            <w:pPr>
              <w:spacing w:after="0"/>
              <w:rPr>
                <w:sz w:val="1"/>
                <w:szCs w:val="1"/>
                <w:color w:val="auto"/>
              </w:rPr>
            </w:pPr>
          </w:p>
        </w:tc>
      </w:tr>
      <w:tr>
        <w:trPr>
          <w:trHeight w:val="28"/>
        </w:trPr>
        <w:tc>
          <w:tcPr>
            <w:tcW w:w="340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21"/>
          <w:szCs w:val="21"/>
          <w:color w:val="005A64"/>
          <w:vertAlign w:val="superscript"/>
        </w:rPr>
      </w:pPr>
      <w:r>
        <w:rPr>
          <w:rFonts w:ascii="Arial" w:cs="Arial" w:eastAsia="Arial" w:hAnsi="Arial"/>
          <w:sz w:val="16"/>
          <w:szCs w:val="16"/>
          <w:color w:val="005A64"/>
        </w:rPr>
        <w:t>Fair values for financial assets and liabilities at amortized costs are not disclosed as the book values represent a reasonable approximation.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Equity investments designated at Fair Value through OCI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investments in equity securities measured at fair value through other comprehensive income comprise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63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64"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463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632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20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005A64"/>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005A64"/>
              </w:rPr>
              <w:t>Nine months ended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20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005A64"/>
              </w:rPr>
              <w:t>September 30,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005A64"/>
              </w:rPr>
              <w:t>September 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340" w:type="dxa"/>
            <w:vAlign w:val="bottom"/>
            <w:tcBorders>
              <w:bottom w:val="single" w:sz="8" w:color="BECD32"/>
            </w:tcBorders>
            <w:gridSpan w:val="2"/>
          </w:tcPr>
          <w:p>
            <w:pPr>
              <w:spacing w:after="0"/>
              <w:rPr>
                <w:sz w:val="11"/>
                <w:szCs w:val="11"/>
                <w:color w:val="auto"/>
              </w:rPr>
            </w:pPr>
          </w:p>
        </w:tc>
        <w:tc>
          <w:tcPr>
            <w:tcW w:w="10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1"/>
                <w:szCs w:val="11"/>
                <w:color w:val="auto"/>
              </w:rPr>
            </w:pPr>
          </w:p>
        </w:tc>
        <w:tc>
          <w:tcPr>
            <w:tcW w:w="1320" w:type="dxa"/>
            <w:vAlign w:val="bottom"/>
            <w:tcBorders>
              <w:bottom w:val="single" w:sz="8" w:color="BECD32"/>
            </w:tcBorders>
            <w:gridSpan w:val="2"/>
          </w:tcPr>
          <w:p>
            <w:pPr>
              <w:spacing w:after="0"/>
              <w:rPr>
                <w:sz w:val="11"/>
                <w:szCs w:val="11"/>
                <w:color w:val="auto"/>
              </w:rPr>
            </w:pPr>
          </w:p>
        </w:tc>
        <w:tc>
          <w:tcPr>
            <w:tcW w:w="120" w:type="dxa"/>
            <w:vAlign w:val="bottom"/>
            <w:tcBorders>
              <w:bottom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34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color w:val="005A64"/>
              </w:rPr>
              <w:t>0.7</w:t>
            </w:r>
          </w:p>
        </w:tc>
        <w:tc>
          <w:tcPr>
            <w:tcW w:w="10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005A64"/>
              </w:rPr>
              <w:t>(4.8)</w:t>
            </w:r>
          </w:p>
        </w:tc>
        <w:tc>
          <w:tcPr>
            <w:tcW w:w="120" w:type="dxa"/>
            <w:vAlign w:val="bottom"/>
            <w:tcBorders>
              <w:right w:val="single" w:sz="8" w:color="BECD32"/>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(108.3)</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005A64"/>
              </w:rPr>
              <w:t>(0.4)</w:t>
            </w:r>
          </w:p>
        </w:tc>
        <w:tc>
          <w:tcPr>
            <w:tcW w:w="0" w:type="dxa"/>
            <w:vAlign w:val="bottom"/>
          </w:tcPr>
          <w:p>
            <w:pPr>
              <w:spacing w:after="0"/>
              <w:rPr>
                <w:sz w:val="1"/>
                <w:szCs w:val="1"/>
                <w:color w:val="auto"/>
              </w:rPr>
            </w:pPr>
          </w:p>
        </w:tc>
      </w:tr>
      <w:tr>
        <w:trPr>
          <w:trHeight w:val="124"/>
        </w:trPr>
        <w:tc>
          <w:tcPr>
            <w:tcW w:w="100" w:type="dxa"/>
            <w:vAlign w:val="bottom"/>
            <w:tcBorders>
              <w:left w:val="single" w:sz="8" w:color="BECD32"/>
            </w:tcBorders>
          </w:tcPr>
          <w:p>
            <w:pPr>
              <w:spacing w:after="0"/>
              <w:rPr>
                <w:sz w:val="10"/>
                <w:szCs w:val="10"/>
                <w:color w:val="auto"/>
              </w:rPr>
            </w:pPr>
          </w:p>
        </w:tc>
        <w:tc>
          <w:tcPr>
            <w:tcW w:w="124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7FACB1"/>
            </w:tcBorders>
          </w:tcPr>
          <w:p>
            <w:pPr>
              <w:spacing w:after="0"/>
              <w:rPr>
                <w:sz w:val="10"/>
                <w:szCs w:val="10"/>
                <w:color w:val="auto"/>
              </w:rPr>
            </w:pPr>
          </w:p>
        </w:tc>
        <w:tc>
          <w:tcPr>
            <w:tcW w:w="48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Borders>
              <w:bottom w:val="single" w:sz="8" w:color="7FACB1"/>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7FACB1"/>
            </w:tcBorders>
          </w:tcPr>
          <w:p>
            <w:pPr>
              <w:spacing w:after="0"/>
              <w:rPr>
                <w:sz w:val="10"/>
                <w:szCs w:val="10"/>
                <w:color w:val="auto"/>
              </w:rPr>
            </w:pPr>
          </w:p>
        </w:tc>
        <w:tc>
          <w:tcPr>
            <w:tcW w:w="50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34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0.7</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005A64"/>
            </w:tcBorders>
          </w:tcPr>
          <w:p>
            <w:pPr>
              <w:spacing w:after="0"/>
              <w:rPr>
                <w:sz w:val="20"/>
                <w:szCs w:val="20"/>
                <w:color w:val="auto"/>
              </w:rPr>
            </w:pPr>
          </w:p>
        </w:tc>
        <w:tc>
          <w:tcPr>
            <w:tcW w:w="4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(4.8)</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(108.3)</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005A64"/>
            </w:tcBorders>
          </w:tcPr>
          <w:p>
            <w:pPr>
              <w:spacing w:after="0"/>
              <w:rPr>
                <w:sz w:val="20"/>
                <w:szCs w:val="20"/>
                <w:color w:val="auto"/>
              </w:rPr>
            </w:pPr>
          </w:p>
        </w:tc>
        <w:tc>
          <w:tcPr>
            <w:tcW w:w="5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60" w:space="500"/>
            <w:col w:w="568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34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Measurement of fair values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the valuation techniques used in measuring fair values for financial instruments in our consolidated statements of financial position, as well as the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543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Forward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15430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Non-listed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543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5430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5430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Contingent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5430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5430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wp:posOffset>
            </wp:positionV>
            <wp:extent cx="2682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9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005A64"/>
        </w:rPr>
        <w:t>Discounted cash flow using par method. Expected future cash flows based on foreign exchange forwards discounted over the respective remaining term of the contracts using the respective deposit interest rates and spot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26828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005A64"/>
        </w:rPr>
        <w:t>Quantitative and qualitative factors such as actual and forecasted results, cash position and financing round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2682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98" w:lineRule="exact"/>
        <w:rPr>
          <w:sz w:val="20"/>
          <w:szCs w:val="20"/>
          <w:color w:val="auto"/>
        </w:rPr>
      </w:pPr>
    </w:p>
    <w:p>
      <w:pPr>
        <w:jc w:val="both"/>
        <w:ind w:right="380"/>
        <w:spacing w:after="0" w:line="299" w:lineRule="auto"/>
        <w:rPr>
          <w:sz w:val="20"/>
          <w:szCs w:val="20"/>
          <w:color w:val="auto"/>
        </w:rPr>
      </w:pPr>
      <w:r>
        <w:rPr>
          <w:rFonts w:ascii="Arial" w:cs="Arial" w:eastAsia="Arial" w:hAnsi="Arial"/>
          <w:sz w:val="16"/>
          <w:szCs w:val="16"/>
          <w:color w:val="005A64"/>
        </w:rPr>
        <w:t>Stock prices of the listed companies and applicable exchange rates, if the listing is in a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26828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005A64"/>
        </w:rPr>
        <w:t>Quoted prices on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wp:posOffset>
            </wp:positionV>
            <wp:extent cx="26828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3" w:lineRule="exact"/>
        <w:rPr>
          <w:sz w:val="20"/>
          <w:szCs w:val="20"/>
          <w:color w:val="auto"/>
        </w:rPr>
      </w:pPr>
    </w:p>
    <w:p>
      <w:pPr>
        <w:spacing w:after="0" w:line="275" w:lineRule="auto"/>
        <w:rPr>
          <w:sz w:val="20"/>
          <w:szCs w:val="20"/>
          <w:color w:val="auto"/>
        </w:rPr>
      </w:pPr>
      <w:r>
        <w:rPr>
          <w:rFonts w:ascii="Arial" w:cs="Arial" w:eastAsia="Arial" w:hAnsi="Arial"/>
          <w:sz w:val="16"/>
          <w:szCs w:val="16"/>
          <w:color w:val="005A64"/>
        </w:rPr>
        <w:t>Present value of expected future payments and reflecting changes in expected achievement of underlying performance parameters and compounding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26828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005A64"/>
        </w:rPr>
        <w:t>Present value of expected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2682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1780"/>
        <w:spacing w:after="0" w:line="427" w:lineRule="auto"/>
        <w:rPr>
          <w:sz w:val="20"/>
          <w:szCs w:val="20"/>
          <w:color w:val="auto"/>
        </w:rPr>
      </w:pPr>
      <w:r>
        <w:rPr>
          <w:rFonts w:ascii="Arial" w:cs="Arial" w:eastAsia="Arial" w:hAnsi="Arial"/>
          <w:sz w:val="16"/>
          <w:szCs w:val="16"/>
          <w:b w:val="1"/>
          <w:bCs w:val="1"/>
          <w:color w:val="005A64"/>
        </w:rPr>
        <w:t xml:space="preserve">Significant unobservable inputs </w:t>
      </w:r>
      <w:r>
        <w:rPr>
          <w:rFonts w:ascii="Arial" w:cs="Arial" w:eastAsia="Arial" w:hAnsi="Arial"/>
          <w:sz w:val="16"/>
          <w:szCs w:val="16"/>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415925</wp:posOffset>
            </wp:positionV>
            <wp:extent cx="2691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-269240</wp:posOffset>
            </wp:positionV>
            <wp:extent cx="2691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5A64"/>
        </w:rPr>
        <w:t>– Actual and forecasted results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05A64"/>
        </w:rPr>
        <w:t>– Net Asset Value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005A64"/>
        </w:rPr>
        <w:t>– Cash position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5A64"/>
        </w:rPr>
        <w:t>– Nature and pricing indication of latest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27940</wp:posOffset>
            </wp:positionV>
            <wp:extent cx="2691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158115</wp:posOffset>
            </wp:positionV>
            <wp:extent cx="2691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2691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5A64"/>
        </w:rPr>
        <w:t>– Expected future payments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05A64"/>
        </w:rPr>
        <w:t>– Applied cost of capital</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005A64"/>
        </w:rPr>
        <w:t>– Expected future cash flows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005A64"/>
        </w:rPr>
        <w:t>– Applied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2691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17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-269240</wp:posOffset>
            </wp:positionV>
            <wp:extent cx="2691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40" w:space="480"/>
            <w:col w:w="4100" w:space="280"/>
            <w:col w:w="4240"/>
          </w:cols>
          <w:pgMar w:left="320" w:top="341" w:right="3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Recurring Fair Values (Level 3)</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shows the recurring fair value measurement of contingent consideration and royalty assets as well as the effect of the measurements on our unaudited interim condensed consolidated statements of profit or loss for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0637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063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effect on profit or loss - Finance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29210</wp:posOffset>
            </wp:positionV>
            <wp:extent cx="13798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29210</wp:posOffset>
            </wp:positionV>
            <wp:extent cx="13798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29210</wp:posOffset>
            </wp:positionV>
            <wp:extent cx="13798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192405</wp:posOffset>
            </wp:positionV>
            <wp:extent cx="13798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29210</wp:posOffset>
            </wp:positionV>
            <wp:extent cx="13798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29210</wp:posOffset>
            </wp:positionV>
            <wp:extent cx="13798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29210</wp:posOffset>
            </wp:positionV>
            <wp:extent cx="13798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005A64"/>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29210</wp:posOffset>
            </wp:positionV>
            <wp:extent cx="13798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29210</wp:posOffset>
            </wp:positionV>
            <wp:extent cx="13798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005A6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29210</wp:posOffset>
            </wp:positionV>
            <wp:extent cx="1379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005A64"/>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192405</wp:posOffset>
            </wp:positionV>
            <wp:extent cx="13798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29210</wp:posOffset>
            </wp:positionV>
            <wp:extent cx="13798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0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005A6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29210</wp:posOffset>
            </wp:positionV>
            <wp:extent cx="13798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005A64"/>
        </w:rPr>
        <w:t>(38.8)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29210</wp:posOffset>
            </wp:positionV>
            <wp:extent cx="13798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3"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005A64"/>
        </w:rPr>
        <w:t>(38.8)</w:t>
      </w:r>
    </w:p>
    <w:p>
      <w:pPr>
        <w:spacing w:after="0" w:line="39" w:lineRule="exact"/>
        <w:rPr>
          <w:sz w:val="20"/>
          <w:szCs w:val="20"/>
          <w:color w:val="auto"/>
        </w:rPr>
      </w:pPr>
    </w:p>
    <w:p>
      <w:pPr>
        <w:sectPr>
          <w:pgSz w:w="11900" w:h="16838" w:orient="portrait"/>
          <w:cols w:equalWidth="0" w:num="3">
            <w:col w:w="6780" w:space="720"/>
            <w:col w:w="1260" w:space="400"/>
            <w:col w:w="2080"/>
          </w:cols>
          <w:pgMar w:left="320" w:top="341" w:right="339" w:bottom="1440" w:gutter="0" w:footer="0" w:header="0"/>
          <w:type w:val="continuous"/>
        </w:sectPr>
      </w:pP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effect on profit or loss - Finance income /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deferred effects on other non-financial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Net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5A64"/>
        </w:rPr>
        <w:t>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3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8"/>
        </w:trPr>
        <w:tc>
          <w:tcPr>
            <w:tcW w:w="100" w:type="dxa"/>
            <w:vAlign w:val="bottom"/>
            <w:tcBorders>
              <w:top w:val="single" w:sz="8" w:color="BECE33"/>
              <w:left w:val="single" w:sz="8" w:color="BECE33"/>
            </w:tcBorders>
          </w:tcPr>
          <w:p>
            <w:pPr>
              <w:spacing w:after="0"/>
              <w:rPr>
                <w:sz w:val="20"/>
                <w:szCs w:val="20"/>
                <w:color w:val="auto"/>
              </w:rPr>
            </w:pPr>
          </w:p>
        </w:tc>
        <w:tc>
          <w:tcPr>
            <w:tcW w:w="2160" w:type="dxa"/>
            <w:vAlign w:val="bottom"/>
            <w:tcBorders>
              <w:top w:val="single" w:sz="8" w:color="BECE33"/>
              <w:bottom w:val="single" w:sz="8" w:color="7FACB1"/>
            </w:tcBorders>
          </w:tcPr>
          <w:p>
            <w:pPr>
              <w:jc w:val="right"/>
              <w:spacing w:after="0"/>
              <w:rPr>
                <w:sz w:val="20"/>
                <w:szCs w:val="20"/>
                <w:color w:val="auto"/>
              </w:rPr>
            </w:pPr>
            <w:r>
              <w:rPr>
                <w:rFonts w:ascii="Arial" w:cs="Arial" w:eastAsia="Arial" w:hAnsi="Arial"/>
                <w:sz w:val="16"/>
                <w:szCs w:val="16"/>
                <w:color w:val="005A64"/>
              </w:rPr>
              <w:t>37.7</w:t>
            </w:r>
          </w:p>
        </w:tc>
        <w:tc>
          <w:tcPr>
            <w:tcW w:w="200" w:type="dxa"/>
            <w:vAlign w:val="bottom"/>
            <w:tcBorders>
              <w:top w:val="single" w:sz="8" w:color="BECE33"/>
            </w:tcBorders>
          </w:tcPr>
          <w:p>
            <w:pPr>
              <w:spacing w:after="0"/>
              <w:rPr>
                <w:sz w:val="20"/>
                <w:szCs w:val="20"/>
                <w:color w:val="auto"/>
              </w:rPr>
            </w:pPr>
          </w:p>
        </w:tc>
        <w:tc>
          <w:tcPr>
            <w:tcW w:w="2180" w:type="dxa"/>
            <w:vAlign w:val="bottom"/>
            <w:tcBorders>
              <w:top w:val="single" w:sz="8" w:color="BECE33"/>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top w:val="single" w:sz="8" w:color="BECE33"/>
              <w:right w:val="single" w:sz="8" w:color="BECE33"/>
            </w:tcBorders>
          </w:tcPr>
          <w:p>
            <w:pPr>
              <w:spacing w:after="0"/>
              <w:rPr>
                <w:sz w:val="20"/>
                <w:szCs w:val="20"/>
                <w:color w:val="auto"/>
              </w:rPr>
            </w:pPr>
          </w:p>
        </w:tc>
      </w:tr>
      <w:tr>
        <w:trPr>
          <w:trHeight w:val="237"/>
        </w:trPr>
        <w:tc>
          <w:tcPr>
            <w:tcW w:w="100" w:type="dxa"/>
            <w:vAlign w:val="bottom"/>
            <w:tcBorders>
              <w:left w:val="single" w:sz="8" w:color="BECE33"/>
            </w:tcBorders>
          </w:tcPr>
          <w:p>
            <w:pPr>
              <w:spacing w:after="0"/>
              <w:rPr>
                <w:sz w:val="20"/>
                <w:szCs w:val="20"/>
                <w:color w:val="auto"/>
              </w:rPr>
            </w:pPr>
          </w:p>
        </w:tc>
        <w:tc>
          <w:tcPr>
            <w:tcW w:w="2360" w:type="dxa"/>
            <w:vAlign w:val="bottom"/>
            <w:gridSpan w:val="2"/>
          </w:tcPr>
          <w:p>
            <w:pPr>
              <w:jc w:val="right"/>
              <w:ind w:right="200"/>
              <w:spacing w:after="0"/>
              <w:rPr>
                <w:sz w:val="20"/>
                <w:szCs w:val="20"/>
                <w:color w:val="auto"/>
              </w:rPr>
            </w:pPr>
            <w:r>
              <w:rPr>
                <w:rFonts w:ascii="Arial" w:cs="Arial" w:eastAsia="Arial" w:hAnsi="Arial"/>
                <w:sz w:val="16"/>
                <w:szCs w:val="16"/>
                <w:color w:val="005A64"/>
              </w:rPr>
              <w:t>—</w:t>
            </w:r>
          </w:p>
        </w:tc>
        <w:tc>
          <w:tcPr>
            <w:tcW w:w="2280" w:type="dxa"/>
            <w:vAlign w:val="bottom"/>
            <w:tcBorders>
              <w:right w:val="single" w:sz="8" w:color="BECE33"/>
            </w:tcBorders>
            <w:gridSpan w:val="2"/>
          </w:tcPr>
          <w:p>
            <w:pPr>
              <w:jc w:val="right"/>
              <w:ind w:right="120"/>
              <w:spacing w:after="0"/>
              <w:rPr>
                <w:sz w:val="20"/>
                <w:szCs w:val="20"/>
                <w:color w:val="auto"/>
              </w:rPr>
            </w:pPr>
            <w:r>
              <w:rPr>
                <w:rFonts w:ascii="Arial" w:cs="Arial" w:eastAsia="Arial" w:hAnsi="Arial"/>
                <w:sz w:val="16"/>
                <w:szCs w:val="16"/>
                <w:color w:val="005A64"/>
              </w:rPr>
              <w:t>—</w:t>
            </w:r>
          </w:p>
        </w:tc>
      </w:tr>
      <w:tr>
        <w:trPr>
          <w:trHeight w:val="243"/>
        </w:trPr>
        <w:tc>
          <w:tcPr>
            <w:tcW w:w="100" w:type="dxa"/>
            <w:vAlign w:val="bottom"/>
            <w:tcBorders>
              <w:left w:val="single" w:sz="8" w:color="BECE33"/>
            </w:tcBorders>
          </w:tcPr>
          <w:p>
            <w:pPr>
              <w:spacing w:after="0"/>
              <w:rPr>
                <w:sz w:val="21"/>
                <w:szCs w:val="21"/>
                <w:color w:val="auto"/>
              </w:rPr>
            </w:pPr>
          </w:p>
        </w:tc>
        <w:tc>
          <w:tcPr>
            <w:tcW w:w="2160" w:type="dxa"/>
            <w:vAlign w:val="bottom"/>
            <w:tcBorders>
              <w:top w:val="single" w:sz="8" w:color="7FACB1"/>
              <w:bottom w:val="single" w:sz="8" w:color="7FACB1"/>
            </w:tcBorders>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tcBorders>
              <w:top w:val="single" w:sz="8" w:color="7FACB1"/>
              <w:bottom w:val="single" w:sz="8" w:color="7FACB1"/>
            </w:tcBorders>
          </w:tcPr>
          <w:p>
            <w:pPr>
              <w:spacing w:after="0"/>
              <w:rPr>
                <w:sz w:val="21"/>
                <w:szCs w:val="21"/>
                <w:color w:val="auto"/>
              </w:rPr>
            </w:pPr>
          </w:p>
        </w:tc>
        <w:tc>
          <w:tcPr>
            <w:tcW w:w="100" w:type="dxa"/>
            <w:vAlign w:val="bottom"/>
            <w:tcBorders>
              <w:right w:val="single" w:sz="8" w:color="BECE33"/>
            </w:tcBorders>
          </w:tcPr>
          <w:p>
            <w:pPr>
              <w:spacing w:after="0"/>
              <w:rPr>
                <w:sz w:val="21"/>
                <w:szCs w:val="21"/>
                <w:color w:val="auto"/>
              </w:rPr>
            </w:pPr>
          </w:p>
        </w:tc>
      </w:tr>
      <w:tr>
        <w:trPr>
          <w:trHeight w:val="230"/>
        </w:trPr>
        <w:tc>
          <w:tcPr>
            <w:tcW w:w="100" w:type="dxa"/>
            <w:vAlign w:val="bottom"/>
            <w:tcBorders>
              <w:left w:val="single" w:sz="8" w:color="BECE33"/>
            </w:tcBorders>
          </w:tcPr>
          <w:p>
            <w:pPr>
              <w:spacing w:after="0"/>
              <w:rPr>
                <w:sz w:val="20"/>
                <w:szCs w:val="20"/>
                <w:color w:val="auto"/>
              </w:rPr>
            </w:pPr>
          </w:p>
        </w:tc>
        <w:tc>
          <w:tcPr>
            <w:tcW w:w="2360" w:type="dxa"/>
            <w:vAlign w:val="bottom"/>
            <w:gridSpan w:val="2"/>
          </w:tcPr>
          <w:p>
            <w:pPr>
              <w:jc w:val="right"/>
              <w:ind w:right="200"/>
              <w:spacing w:after="0"/>
              <w:rPr>
                <w:sz w:val="20"/>
                <w:szCs w:val="20"/>
                <w:color w:val="auto"/>
              </w:rPr>
            </w:pPr>
            <w:r>
              <w:rPr>
                <w:rFonts w:ascii="Arial" w:cs="Arial" w:eastAsia="Arial" w:hAnsi="Arial"/>
                <w:sz w:val="16"/>
                <w:szCs w:val="16"/>
                <w:color w:val="005A64"/>
              </w:rPr>
              <w:t>—</w:t>
            </w:r>
          </w:p>
        </w:tc>
        <w:tc>
          <w:tcPr>
            <w:tcW w:w="2180" w:type="dxa"/>
            <w:vAlign w:val="bottom"/>
          </w:tcPr>
          <w:p>
            <w:pPr>
              <w:jc w:val="right"/>
              <w:spacing w:after="0"/>
              <w:rPr>
                <w:sz w:val="20"/>
                <w:szCs w:val="20"/>
                <w:color w:val="auto"/>
              </w:rPr>
            </w:pPr>
            <w:r>
              <w:rPr>
                <w:rFonts w:ascii="Arial" w:cs="Arial" w:eastAsia="Arial" w:hAnsi="Arial"/>
                <w:sz w:val="16"/>
                <w:szCs w:val="16"/>
                <w:color w:val="005A64"/>
              </w:rPr>
              <w:t>(4.5)</w:t>
            </w:r>
          </w:p>
        </w:tc>
        <w:tc>
          <w:tcPr>
            <w:tcW w:w="100" w:type="dxa"/>
            <w:vAlign w:val="bottom"/>
            <w:tcBorders>
              <w:right w:val="single" w:sz="8" w:color="BECE33"/>
            </w:tcBorders>
          </w:tcPr>
          <w:p>
            <w:pPr>
              <w:spacing w:after="0"/>
              <w:rPr>
                <w:sz w:val="20"/>
                <w:szCs w:val="20"/>
                <w:color w:val="auto"/>
              </w:rPr>
            </w:pPr>
          </w:p>
        </w:tc>
      </w:tr>
      <w:tr>
        <w:trPr>
          <w:trHeight w:val="243"/>
        </w:trPr>
        <w:tc>
          <w:tcPr>
            <w:tcW w:w="100" w:type="dxa"/>
            <w:vAlign w:val="bottom"/>
            <w:tcBorders>
              <w:left w:val="single" w:sz="8" w:color="BECE33"/>
            </w:tcBorders>
          </w:tcPr>
          <w:p>
            <w:pPr>
              <w:spacing w:after="0"/>
              <w:rPr>
                <w:sz w:val="21"/>
                <w:szCs w:val="21"/>
                <w:color w:val="auto"/>
              </w:rPr>
            </w:pPr>
          </w:p>
        </w:tc>
        <w:tc>
          <w:tcPr>
            <w:tcW w:w="2160" w:type="dxa"/>
            <w:vAlign w:val="bottom"/>
            <w:tcBorders>
              <w:top w:val="single" w:sz="8" w:color="7FACB1"/>
              <w:bottom w:val="single" w:sz="8" w:color="7FACB1"/>
            </w:tcBorders>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tcBorders>
              <w:top w:val="single" w:sz="8" w:color="7FACB1"/>
              <w:bottom w:val="single" w:sz="8" w:color="7FACB1"/>
            </w:tcBorders>
          </w:tcPr>
          <w:p>
            <w:pPr>
              <w:spacing w:after="0"/>
              <w:rPr>
                <w:sz w:val="21"/>
                <w:szCs w:val="21"/>
                <w:color w:val="auto"/>
              </w:rPr>
            </w:pPr>
          </w:p>
        </w:tc>
        <w:tc>
          <w:tcPr>
            <w:tcW w:w="100" w:type="dxa"/>
            <w:vAlign w:val="bottom"/>
            <w:tcBorders>
              <w:right w:val="single" w:sz="8" w:color="BECE33"/>
            </w:tcBorders>
          </w:tcPr>
          <w:p>
            <w:pPr>
              <w:spacing w:after="0"/>
              <w:rPr>
                <w:sz w:val="21"/>
                <w:szCs w:val="21"/>
                <w:color w:val="auto"/>
              </w:rPr>
            </w:pPr>
          </w:p>
        </w:tc>
      </w:tr>
      <w:tr>
        <w:trPr>
          <w:trHeight w:val="230"/>
        </w:trPr>
        <w:tc>
          <w:tcPr>
            <w:tcW w:w="100" w:type="dxa"/>
            <w:vAlign w:val="bottom"/>
            <w:tcBorders>
              <w:left w:val="single" w:sz="8" w:color="BECE33"/>
            </w:tcBorders>
          </w:tcPr>
          <w:p>
            <w:pPr>
              <w:spacing w:after="0"/>
              <w:rPr>
                <w:sz w:val="20"/>
                <w:szCs w:val="20"/>
                <w:color w:val="auto"/>
              </w:rPr>
            </w:pPr>
          </w:p>
        </w:tc>
        <w:tc>
          <w:tcPr>
            <w:tcW w:w="21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5.7</w:t>
            </w:r>
          </w:p>
        </w:tc>
        <w:tc>
          <w:tcPr>
            <w:tcW w:w="200" w:type="dxa"/>
            <w:vAlign w:val="bottom"/>
          </w:tcPr>
          <w:p>
            <w:pPr>
              <w:spacing w:after="0"/>
              <w:rPr>
                <w:sz w:val="20"/>
                <w:szCs w:val="20"/>
                <w:color w:val="auto"/>
              </w:rPr>
            </w:pPr>
          </w:p>
        </w:tc>
        <w:tc>
          <w:tcPr>
            <w:tcW w:w="21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00" w:type="dxa"/>
            <w:vAlign w:val="bottom"/>
            <w:tcBorders>
              <w:right w:val="single" w:sz="8" w:color="BECE33"/>
            </w:tcBorders>
          </w:tcPr>
          <w:p>
            <w:pPr>
              <w:spacing w:after="0"/>
              <w:rPr>
                <w:sz w:val="20"/>
                <w:szCs w:val="20"/>
                <w:color w:val="auto"/>
              </w:rPr>
            </w:pPr>
          </w:p>
        </w:tc>
      </w:tr>
      <w:tr>
        <w:trPr>
          <w:trHeight w:val="239"/>
        </w:trPr>
        <w:tc>
          <w:tcPr>
            <w:tcW w:w="2260" w:type="dxa"/>
            <w:vAlign w:val="bottom"/>
            <w:tcBorders>
              <w:left w:val="single" w:sz="8" w:color="BECE33"/>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43.4</w:t>
            </w:r>
          </w:p>
        </w:tc>
        <w:tc>
          <w:tcPr>
            <w:tcW w:w="200" w:type="dxa"/>
            <w:vAlign w:val="bottom"/>
            <w:tcBorders>
              <w:bottom w:val="single" w:sz="8" w:color="BECE33"/>
            </w:tcBorders>
          </w:tcPr>
          <w:p>
            <w:pPr>
              <w:spacing w:after="0"/>
              <w:rPr>
                <w:sz w:val="20"/>
                <w:szCs w:val="20"/>
                <w:color w:val="auto"/>
              </w:rPr>
            </w:pPr>
          </w:p>
        </w:tc>
        <w:tc>
          <w:tcPr>
            <w:tcW w:w="2180" w:type="dxa"/>
            <w:vAlign w:val="bottom"/>
            <w:tcBorders>
              <w:bottom w:val="single" w:sz="8" w:color="BECE33"/>
            </w:tcBorders>
          </w:tcPr>
          <w:p>
            <w:pPr>
              <w:jc w:val="right"/>
              <w:spacing w:after="0"/>
              <w:rPr>
                <w:sz w:val="20"/>
                <w:szCs w:val="20"/>
                <w:color w:val="auto"/>
              </w:rPr>
            </w:pPr>
            <w:r>
              <w:rPr>
                <w:rFonts w:ascii="Arial" w:cs="Arial" w:eastAsia="Arial" w:hAnsi="Arial"/>
                <w:sz w:val="16"/>
                <w:szCs w:val="16"/>
                <w:b w:val="1"/>
                <w:bCs w:val="1"/>
                <w:color w:val="005A64"/>
              </w:rPr>
              <w:t>(43.3)</w:t>
            </w:r>
          </w:p>
        </w:tc>
        <w:tc>
          <w:tcPr>
            <w:tcW w:w="100" w:type="dxa"/>
            <w:vAlign w:val="bottom"/>
            <w:tcBorders>
              <w:bottom w:val="single" w:sz="8" w:color="BECE33"/>
              <w:right w:val="single" w:sz="8" w:color="BECE33"/>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780" w:space="720"/>
            <w:col w:w="47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34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sensitivity of the fair values of contingent consideration to the significant, unobservable, variable input factors, with all other factors remaining constant, is shown in the following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Borders>
              <w:top w:val="single" w:sz="8" w:color="BECD32"/>
            </w:tcBorders>
          </w:tcPr>
          <w:p>
            <w:pPr>
              <w:spacing w:after="0"/>
              <w:rPr>
                <w:sz w:val="17"/>
                <w:szCs w:val="17"/>
                <w:color w:val="auto"/>
              </w:rPr>
            </w:pPr>
          </w:p>
        </w:tc>
        <w:tc>
          <w:tcPr>
            <w:tcW w:w="1760" w:type="dxa"/>
            <w:vAlign w:val="bottom"/>
            <w:tcBorders>
              <w:top w:val="single" w:sz="8" w:color="BECD32"/>
            </w:tcBorders>
          </w:tcPr>
          <w:p>
            <w:pPr>
              <w:spacing w:after="0"/>
              <w:rPr>
                <w:sz w:val="17"/>
                <w:szCs w:val="17"/>
                <w:color w:val="auto"/>
              </w:rPr>
            </w:pPr>
          </w:p>
        </w:tc>
        <w:tc>
          <w:tcPr>
            <w:tcW w:w="120" w:type="dxa"/>
            <w:vAlign w:val="bottom"/>
            <w:tcBorders>
              <w:top w:val="single" w:sz="8" w:color="BECD32"/>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5A64"/>
              </w:rPr>
              <w:t>Change in fair value with</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 with</w:t>
            </w:r>
          </w:p>
        </w:tc>
      </w:tr>
      <w:tr>
        <w:trPr>
          <w:trHeight w:val="189"/>
        </w:trPr>
        <w:tc>
          <w:tcPr>
            <w:tcW w:w="350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right w:val="single" w:sz="8" w:color="BECD32"/>
            </w:tcBorders>
            <w:gridSpan w:val="2"/>
          </w:tcPr>
          <w:p>
            <w:pPr>
              <w:jc w:val="right"/>
              <w:ind w:right="140"/>
              <w:spacing w:after="0"/>
              <w:rPr>
                <w:sz w:val="20"/>
                <w:szCs w:val="20"/>
                <w:color w:val="auto"/>
              </w:rPr>
            </w:pPr>
            <w:r>
              <w:rPr>
                <w:rFonts w:ascii="Arial" w:cs="Arial" w:eastAsia="Arial" w:hAnsi="Arial"/>
                <w:sz w:val="16"/>
                <w:szCs w:val="16"/>
                <w:b w:val="1"/>
                <w:bCs w:val="1"/>
                <w:color w:val="005A64"/>
              </w:rPr>
              <w:t>Change in</w:t>
            </w:r>
          </w:p>
        </w:tc>
        <w:tc>
          <w:tcPr>
            <w:tcW w:w="80" w:type="dxa"/>
            <w:vAlign w:val="bottom"/>
          </w:tcPr>
          <w:p>
            <w:pPr>
              <w:spacing w:after="0"/>
              <w:rPr>
                <w:sz w:val="16"/>
                <w:szCs w:val="16"/>
                <w:color w:val="auto"/>
              </w:rPr>
            </w:pPr>
          </w:p>
        </w:tc>
        <w:tc>
          <w:tcPr>
            <w:tcW w:w="2860" w:type="dxa"/>
            <w:vAlign w:val="bottom"/>
            <w:gridSpan w:val="2"/>
          </w:tcPr>
          <w:p>
            <w:pPr>
              <w:ind w:left="860"/>
              <w:spacing w:after="0"/>
              <w:rPr>
                <w:sz w:val="20"/>
                <w:szCs w:val="20"/>
                <w:color w:val="auto"/>
              </w:rPr>
            </w:pPr>
            <w:r>
              <w:rPr>
                <w:rFonts w:ascii="Arial" w:cs="Arial" w:eastAsia="Arial" w:hAnsi="Arial"/>
                <w:sz w:val="16"/>
                <w:szCs w:val="16"/>
                <w:b w:val="1"/>
                <w:bCs w:val="1"/>
                <w:color w:val="005A64"/>
              </w:rPr>
              <w:t>increasing input factor</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decreasing input factor</w:t>
            </w:r>
          </w:p>
        </w:tc>
      </w:tr>
      <w:tr>
        <w:trPr>
          <w:trHeight w:val="240"/>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Input factor</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assumptions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(in millions €)</w:t>
            </w:r>
          </w:p>
        </w:tc>
        <w:tc>
          <w:tcPr>
            <w:tcW w:w="180" w:type="dxa"/>
            <w:vAlign w:val="bottom"/>
          </w:tcPr>
          <w:p>
            <w:pPr>
              <w:spacing w:after="0"/>
              <w:rPr>
                <w:sz w:val="20"/>
                <w:szCs w:val="20"/>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(in millions €)</w:t>
            </w:r>
          </w:p>
        </w:tc>
      </w:tr>
      <w:tr>
        <w:trPr>
          <w:trHeight w:val="234"/>
        </w:trPr>
        <w:tc>
          <w:tcPr>
            <w:tcW w:w="35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Cash flow projections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10 %</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w:t>
            </w:r>
          </w:p>
        </w:tc>
        <w:tc>
          <w:tcPr>
            <w:tcW w:w="180" w:type="dxa"/>
            <w:vAlign w:val="bottom"/>
          </w:tcPr>
          <w:p>
            <w:pPr>
              <w:spacing w:after="0"/>
              <w:rPr>
                <w:sz w:val="20"/>
                <w:szCs w:val="20"/>
                <w:color w:val="auto"/>
              </w:rPr>
            </w:pPr>
          </w:p>
        </w:tc>
        <w:tc>
          <w:tcPr>
            <w:tcW w:w="27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w:t>
            </w:r>
          </w:p>
        </w:tc>
      </w:tr>
      <w:tr>
        <w:trPr>
          <w:trHeight w:val="237"/>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Discount rate</w:t>
            </w:r>
          </w:p>
        </w:tc>
        <w:tc>
          <w:tcPr>
            <w:tcW w:w="120" w:type="dxa"/>
            <w:vAlign w:val="bottom"/>
            <w:tcBorders>
              <w:right w:val="single" w:sz="8" w:color="BECD32"/>
            </w:tcBorders>
          </w:tcPr>
          <w:p>
            <w:pPr>
              <w:spacing w:after="0"/>
              <w:rPr>
                <w:sz w:val="20"/>
                <w:szCs w:val="20"/>
                <w:color w:val="auto"/>
              </w:rPr>
            </w:pPr>
          </w:p>
        </w:tc>
        <w:tc>
          <w:tcPr>
            <w:tcW w:w="18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1 %</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(0.6)</w:t>
            </w:r>
          </w:p>
        </w:tc>
        <w:tc>
          <w:tcPr>
            <w:tcW w:w="180" w:type="dxa"/>
            <w:vAlign w:val="bottom"/>
          </w:tcPr>
          <w:p>
            <w:pPr>
              <w:spacing w:after="0"/>
              <w:rPr>
                <w:sz w:val="20"/>
                <w:szCs w:val="20"/>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0.6</w:t>
            </w: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sensitivity of the fair values of royalty assets to the significant, unobservable, variable input factors, with all other factors remaining constant, is shown in the following 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20" w:type="dxa"/>
            <w:vAlign w:val="bottom"/>
            <w:tcBorders>
              <w:right w:val="single" w:sz="8" w:color="BECD32"/>
            </w:tcBorders>
          </w:tcPr>
          <w:p>
            <w:pPr>
              <w:spacing w:after="0"/>
              <w:rPr>
                <w:sz w:val="18"/>
                <w:szCs w:val="18"/>
                <w:color w:val="auto"/>
              </w:rPr>
            </w:pPr>
          </w:p>
        </w:tc>
        <w:tc>
          <w:tcPr>
            <w:tcW w:w="80" w:type="dxa"/>
            <w:vAlign w:val="bottom"/>
            <w:tcBorders>
              <w:top w:val="single" w:sz="8" w:color="BECD32"/>
            </w:tcBorders>
          </w:tcPr>
          <w:p>
            <w:pPr>
              <w:spacing w:after="0"/>
              <w:rPr>
                <w:sz w:val="18"/>
                <w:szCs w:val="18"/>
                <w:color w:val="auto"/>
              </w:rPr>
            </w:pPr>
          </w:p>
        </w:tc>
        <w:tc>
          <w:tcPr>
            <w:tcW w:w="1880" w:type="dxa"/>
            <w:vAlign w:val="bottom"/>
            <w:tcBorders>
              <w:top w:val="single" w:sz="8" w:color="BECD32"/>
              <w:right w:val="single" w:sz="8" w:color="BECD32"/>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005A64"/>
              </w:rPr>
              <w:t>Change in</w:t>
            </w:r>
          </w:p>
        </w:tc>
        <w:tc>
          <w:tcPr>
            <w:tcW w:w="80" w:type="dxa"/>
            <w:vAlign w:val="bottom"/>
          </w:tcPr>
          <w:p>
            <w:pPr>
              <w:spacing w:after="0"/>
              <w:rPr>
                <w:sz w:val="18"/>
                <w:szCs w:val="18"/>
                <w:color w:val="auto"/>
              </w:rPr>
            </w:pPr>
          </w:p>
        </w:tc>
        <w:tc>
          <w:tcPr>
            <w:tcW w:w="2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005A64"/>
              </w:rPr>
              <w:t>Change in fair value with</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 with</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right w:val="single" w:sz="8" w:color="BECD32"/>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2"/>
          </w:tcPr>
          <w:p>
            <w:pPr>
              <w:ind w:left="860"/>
              <w:spacing w:after="0"/>
              <w:rPr>
                <w:sz w:val="20"/>
                <w:szCs w:val="20"/>
                <w:color w:val="auto"/>
              </w:rPr>
            </w:pPr>
            <w:r>
              <w:rPr>
                <w:rFonts w:ascii="Arial" w:cs="Arial" w:eastAsia="Arial" w:hAnsi="Arial"/>
                <w:sz w:val="16"/>
                <w:szCs w:val="16"/>
                <w:b w:val="1"/>
                <w:bCs w:val="1"/>
                <w:color w:val="005A64"/>
              </w:rPr>
              <w:t>increasing input factor</w:t>
            </w:r>
          </w:p>
        </w:tc>
        <w:tc>
          <w:tcPr>
            <w:tcW w:w="2700" w:type="dxa"/>
            <w:vAlign w:val="bottom"/>
          </w:tcPr>
          <w:p>
            <w:pPr>
              <w:jc w:val="right"/>
              <w:spacing w:after="0"/>
              <w:rPr>
                <w:sz w:val="20"/>
                <w:szCs w:val="20"/>
                <w:color w:val="auto"/>
              </w:rPr>
            </w:pPr>
            <w:r>
              <w:rPr>
                <w:rFonts w:ascii="Arial" w:cs="Arial" w:eastAsia="Arial" w:hAnsi="Arial"/>
                <w:sz w:val="16"/>
                <w:szCs w:val="16"/>
                <w:b w:val="1"/>
                <w:bCs w:val="1"/>
                <w:color w:val="005A64"/>
              </w:rPr>
              <w:t>decreasing input factor</w:t>
            </w:r>
          </w:p>
        </w:tc>
        <w:tc>
          <w:tcPr>
            <w:tcW w:w="0" w:type="dxa"/>
            <w:vAlign w:val="bottom"/>
          </w:tcPr>
          <w:p>
            <w:pPr>
              <w:spacing w:after="0"/>
              <w:rPr>
                <w:sz w:val="1"/>
                <w:szCs w:val="1"/>
                <w:color w:val="auto"/>
              </w:rPr>
            </w:pPr>
          </w:p>
        </w:tc>
      </w:tr>
      <w:tr>
        <w:trPr>
          <w:trHeight w:val="226"/>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Input factor</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assumptions</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(in millions €)</w:t>
            </w:r>
          </w:p>
        </w:tc>
        <w:tc>
          <w:tcPr>
            <w:tcW w:w="180" w:type="dxa"/>
            <w:vAlign w:val="bottom"/>
          </w:tcPr>
          <w:p>
            <w:pPr>
              <w:spacing w:after="0"/>
              <w:rPr>
                <w:sz w:val="19"/>
                <w:szCs w:val="19"/>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(in millions €)</w:t>
            </w:r>
          </w:p>
        </w:tc>
        <w:tc>
          <w:tcPr>
            <w:tcW w:w="0" w:type="dxa"/>
            <w:vAlign w:val="bottom"/>
          </w:tcPr>
          <w:p>
            <w:pPr>
              <w:spacing w:after="0"/>
              <w:rPr>
                <w:sz w:val="1"/>
                <w:szCs w:val="1"/>
                <w:color w:val="auto"/>
              </w:rPr>
            </w:pPr>
          </w:p>
        </w:tc>
      </w:tr>
      <w:tr>
        <w:trPr>
          <w:trHeight w:val="234"/>
        </w:trPr>
        <w:tc>
          <w:tcPr>
            <w:tcW w:w="35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Cash flow projections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10 %</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5.4</w:t>
            </w:r>
          </w:p>
        </w:tc>
        <w:tc>
          <w:tcPr>
            <w:tcW w:w="180" w:type="dxa"/>
            <w:vAlign w:val="bottom"/>
          </w:tcPr>
          <w:p>
            <w:pPr>
              <w:spacing w:after="0"/>
              <w:rPr>
                <w:sz w:val="20"/>
                <w:szCs w:val="20"/>
                <w:color w:val="auto"/>
              </w:rPr>
            </w:pPr>
          </w:p>
        </w:tc>
        <w:tc>
          <w:tcPr>
            <w:tcW w:w="27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(5.4)</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Discount rate</w:t>
            </w:r>
          </w:p>
        </w:tc>
        <w:tc>
          <w:tcPr>
            <w:tcW w:w="120" w:type="dxa"/>
            <w:vAlign w:val="bottom"/>
            <w:tcBorders>
              <w:right w:val="single" w:sz="8" w:color="BECD32"/>
            </w:tcBorders>
          </w:tcPr>
          <w:p>
            <w:pPr>
              <w:spacing w:after="0"/>
              <w:rPr>
                <w:sz w:val="20"/>
                <w:szCs w:val="20"/>
                <w:color w:val="auto"/>
              </w:rPr>
            </w:pPr>
          </w:p>
        </w:tc>
        <w:tc>
          <w:tcPr>
            <w:tcW w:w="18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1 %</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(3.6)</w:t>
            </w:r>
          </w:p>
        </w:tc>
        <w:tc>
          <w:tcPr>
            <w:tcW w:w="180" w:type="dxa"/>
            <w:vAlign w:val="bottom"/>
          </w:tcPr>
          <w:p>
            <w:pPr>
              <w:spacing w:after="0"/>
              <w:rPr>
                <w:sz w:val="20"/>
                <w:szCs w:val="20"/>
                <w:color w:val="auto"/>
              </w:rPr>
            </w:pPr>
          </w:p>
        </w:tc>
        <w:tc>
          <w:tcPr>
            <w:tcW w:w="270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4.0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estimated fair value of non-listed equity investments would, for example, increase (decrease) if the price of the latest financing round of the respective investment were to increase (decrease) and the overall company value were higher (lower).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 Management Activities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 changes have occurred regarding our risk management activities as disclosed in the notes to our audited consolidated financial statements included in our Annual Report on Form 20-F as of and for the year ended December 31, 2023.</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8. Issued Capital and Reserves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2024, the number of shares outstanding was 239,739,752. This amount excludes 8,812,448 shares held in treasury. As of December 31, 2023, the number of shares outstanding was 237,725,735, excluding 10,826,465 shares held in treasury.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9. Share-Based 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Chief Executive Officer Grant (Equity-Settled)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Description of Share-Based Payments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we granted Prof. Ugur Sahin, M.D., an option to purchase 4,374,963 of our ordinary shares, subject to his continued employment with us, under the ESOP 2019 program. All of these option rights vested and became exercisable in 2023, and were exercised on August 9, 2024 with an exercise price for each option of €13.74 ($15.00) calculated using the foreign exchange rate published by the German Central Bank (Deutsche Bundesbank) on the exercise date and by applying the effective exercise cap and the maximum cap mechanism as disclosed in the notes to our audited consolidated financial statements included in our Annual Report on Form 20-F as of and for the year ended December 31, 2023. The closing price of one American Depositary Share, or ADS, representing one ordinary share of BioNTech on Nasdaq on the settlement date converted from U.S. Dollars to Euro using the exchange rate published by the German Central Bank (Deutsche Bundesbank) on the same day was €73.68 and led to an intrinsic value of the exercised options of €259.5 million.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Supervisory Board determined in August 2024 that settlements under the ESOP would be made by delivery of ordinary shares (in the form of ADSs) equal to the net value of the exercised option rights after deduction of (i) the exercise price and (ii) the applicable wage taxes (including solidarity surcharge thereon and church tax, if applicable) and social security contributions resulting from the exercise. The respective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34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number of ADSs was settled with treasury shares. The applicable wage taxes (including solidarity surcharge thereon and church tax, if applicable) and social security contributions resulting from and withheld upon the exercise amounted to €123.2 million and were paid by us in September 2024 in cash directly to the respective authorities. The settlement mechanism decision neither changed the rights as such nor changed the classification of the grant as equity-settled. As a result of the settlement, no additional share-based payments under IFRS 2 were recorded in this quarter.</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10.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234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0" w:type="dxa"/>
            <w:vAlign w:val="bottom"/>
            <w:tcBorders>
              <w:bottom w:val="single" w:sz="8" w:color="005A64"/>
            </w:tcBorders>
          </w:tcPr>
          <w:p>
            <w:pPr>
              <w:ind w:left="2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Borders>
              <w:right w:val="single" w:sz="8" w:color="BECE33"/>
            </w:tcBorders>
          </w:tcPr>
          <w:p>
            <w:pPr>
              <w:spacing w:after="0"/>
              <w:rPr>
                <w:sz w:val="21"/>
                <w:szCs w:val="21"/>
                <w:color w:val="auto"/>
              </w:rPr>
            </w:pPr>
          </w:p>
        </w:tc>
        <w:tc>
          <w:tcPr>
            <w:tcW w:w="80" w:type="dxa"/>
            <w:vAlign w:val="bottom"/>
            <w:tcBorders>
              <w:top w:val="single" w:sz="8" w:color="BECE33"/>
            </w:tcBorders>
          </w:tcPr>
          <w:p>
            <w:pPr>
              <w:spacing w:after="0"/>
              <w:rPr>
                <w:sz w:val="21"/>
                <w:szCs w:val="21"/>
                <w:color w:val="auto"/>
              </w:rPr>
            </w:pPr>
          </w:p>
        </w:tc>
        <w:tc>
          <w:tcPr>
            <w:tcW w:w="2120" w:type="dxa"/>
            <w:vAlign w:val="bottom"/>
            <w:tcBorders>
              <w:top w:val="single" w:sz="8" w:color="BECE33"/>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September 30, 2024</w:t>
            </w:r>
          </w:p>
        </w:tc>
        <w:tc>
          <w:tcPr>
            <w:tcW w:w="120" w:type="dxa"/>
            <w:vAlign w:val="bottom"/>
            <w:tcBorders>
              <w:top w:val="single" w:sz="8" w:color="BECE33"/>
              <w:right w:val="single" w:sz="8" w:color="BECE33"/>
            </w:tcBorders>
          </w:tcPr>
          <w:p>
            <w:pPr>
              <w:spacing w:after="0"/>
              <w:rPr>
                <w:sz w:val="21"/>
                <w:szCs w:val="21"/>
                <w:color w:val="auto"/>
              </w:rPr>
            </w:pPr>
          </w:p>
        </w:tc>
        <w:tc>
          <w:tcPr>
            <w:tcW w:w="60" w:type="dxa"/>
            <w:vAlign w:val="bottom"/>
          </w:tcPr>
          <w:p>
            <w:pPr>
              <w:spacing w:after="0"/>
              <w:rPr>
                <w:sz w:val="21"/>
                <w:szCs w:val="21"/>
                <w:color w:val="auto"/>
              </w:rPr>
            </w:pPr>
          </w:p>
        </w:tc>
        <w:tc>
          <w:tcPr>
            <w:tcW w:w="21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December 31, 2023</w:t>
            </w:r>
          </w:p>
        </w:tc>
      </w:tr>
      <w:tr>
        <w:trPr>
          <w:trHeight w:val="234"/>
        </w:trPr>
        <w:tc>
          <w:tcPr>
            <w:tcW w:w="66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Contractual disputes</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605.0</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118.2</w:t>
            </w:r>
          </w:p>
        </w:tc>
      </w:tr>
      <w:tr>
        <w:trPr>
          <w:trHeight w:val="237"/>
        </w:trPr>
        <w:tc>
          <w:tcPr>
            <w:tcW w:w="66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Obligations from onerous CMO contracts</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50.7</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80.2</w:t>
            </w:r>
          </w:p>
        </w:tc>
      </w:tr>
      <w:tr>
        <w:trPr>
          <w:trHeight w:val="237"/>
        </w:trPr>
        <w:tc>
          <w:tcPr>
            <w:tcW w:w="66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84.3</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79.7</w:t>
            </w:r>
          </w:p>
        </w:tc>
      </w:tr>
      <w:tr>
        <w:trPr>
          <w:trHeight w:val="239"/>
        </w:trPr>
        <w:tc>
          <w:tcPr>
            <w:tcW w:w="660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740.0</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278.1</w:t>
            </w:r>
          </w:p>
        </w:tc>
      </w:tr>
      <w:tr>
        <w:trPr>
          <w:trHeight w:val="234"/>
        </w:trPr>
        <w:tc>
          <w:tcPr>
            <w:tcW w:w="660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Total current</w:t>
            </w:r>
          </w:p>
        </w:tc>
        <w:tc>
          <w:tcPr>
            <w:tcW w:w="120" w:type="dxa"/>
            <w:vAlign w:val="bottom"/>
            <w:tcBorders>
              <w:right w:val="single" w:sz="8" w:color="BECE33"/>
            </w:tcBorders>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731.5</w:t>
            </w:r>
          </w:p>
        </w:tc>
        <w:tc>
          <w:tcPr>
            <w:tcW w:w="12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269.3</w:t>
            </w:r>
          </w:p>
        </w:tc>
      </w:tr>
      <w:tr>
        <w:trPr>
          <w:trHeight w:val="237"/>
        </w:trPr>
        <w:tc>
          <w:tcPr>
            <w:tcW w:w="660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Total non-current</w:t>
            </w:r>
          </w:p>
        </w:tc>
        <w:tc>
          <w:tcPr>
            <w:tcW w:w="120" w:type="dxa"/>
            <w:vAlign w:val="bottom"/>
            <w:tcBorders>
              <w:right w:val="single" w:sz="8" w:color="BECE33"/>
            </w:tcBorders>
          </w:tcPr>
          <w:p>
            <w:pPr>
              <w:spacing w:after="0"/>
              <w:rPr>
                <w:sz w:val="20"/>
                <w:szCs w:val="20"/>
                <w:color w:val="auto"/>
              </w:rPr>
            </w:pPr>
          </w:p>
        </w:tc>
        <w:tc>
          <w:tcPr>
            <w:tcW w:w="220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color w:val="005A64"/>
              </w:rPr>
              <w:t>8.5</w:t>
            </w:r>
          </w:p>
        </w:tc>
        <w:tc>
          <w:tcPr>
            <w:tcW w:w="120" w:type="dxa"/>
            <w:vAlign w:val="bottom"/>
            <w:tcBorders>
              <w:bottom w:val="single" w:sz="8" w:color="BECE33"/>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8.8</w:t>
            </w: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assessed ongoing contractual disputes with licensors and collaborators regarding, among other things, the interpretation of each party’s obligations or the amounts payable under the respective agreements. Our current provisions as of September 30, 2024 included €605.0 million related to such disputes. Significant judgment has been applied when considering the circumstances of these matters and the ultimate outcomes remain subject to significant uncertainties.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2024, our current provisions included €50.7 million (€80.2 million as of December 31, 2023) of obligations for production capacities derived from contracts with contract manufacturing organizations, or CMOs, that became redundant. The effects were driven by reducing production capacities as well as further fostering the global production network with our collaboration partners during the year ended December 31, 2023. The related expenses were recognized in cost of sales in our consolidated statements of profit or loss. The change of €29.5 million compared to December 31, 2023 related entirely to consumption.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2024, our current provisions included €84.3 million in other obligations mainly comprising cost share effects as well as inventor remunerations (€79.7 million as of December 31, 2023, mainly comprising inventor remunerations as well as customs and duties). The change of €4.6 million compared to December 31, 2023 related mainly to additions.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11. Contingencies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contingencies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in the normal course and conduct of our business, we may be involved in proceedings with third parties about considering, for example, the use and/or remuneration for use of such third party’s intellectual property. As of September 30, 2024, none of the intellectual property-related considerations outlined below, of which we have either been notified, or for which potential claims could be brought against us or our subsidiaries in the future, fulfill the criteria for recording a provision.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ongoing contractual disputes with licensors and collaborators regarding, among other things, the interpretation of each party’s obligations or the amounts payable under our agreements. We have recorded provisions for such matters to the extent that an economic outflow is deemed probable. As of September 30, 2024, certain amounts do not fulfill the criteria for recording a provision and represent contingencies.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34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scientific evidence and findings, actual and provable defectiveness and injury, and other matters. These complexities vary from matter to matter. As of September 30, 2024, none of these claims fulfill the criteria for recording a provision.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currently subject to certain claims by or on behalf of our shareholders. As of September 30, 2024, these claims do not fulfill the criteria for recording a provision.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Substantially all of our contingencies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line with IAS 37.92, we believe disclosure regarding the estimates of financial impact or regarding uncertainty as to the amount or maturity of provisions and contingent liabilities for certain legal cases would be prejudicial to us, and therefore we are omitting such disclosure herefrom. This is so as to not compromise the results of the proceedings or our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pending matters to which we are a party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Alnylam Proceedings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Arial" w:cs="Arial" w:eastAsia="Arial" w:hAnsi="Arial"/>
          <w:sz w:val="18"/>
          <w:szCs w:val="18"/>
          <w:i w:val="1"/>
          <w:iCs w:val="1"/>
          <w:color w:val="auto"/>
        </w:rPr>
        <w:t>Comirnaty</w:t>
      </w:r>
      <w:r>
        <w:rPr>
          <w:rFonts w:ascii="Arial" w:cs="Arial" w:eastAsia="Arial" w:hAnsi="Arial"/>
          <w:sz w:val="18"/>
          <w:szCs w:val="18"/>
          <w:color w:val="auto"/>
        </w:rPr>
        <w:t>, and seeking monetary relief,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which is currently expected to go to trial in July 2025.</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CureVac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EP’122, DE’961, DE‘974, DE’575, and EP’668</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July 2022, CureVac AG, or CureVac, filed a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EP1857122B1, or EP’122, and three Utility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4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Models DE202015009961U1, DE202015009974U1, and DE202021003575U1. In August 2022, CureVac added European Patent EP3708668B1, or EP’668, to its German lawsuit.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15, 2023, the Düsseldorf Regional Court held a hearing on infringement with respect to all five IP rights. At the hearing, the Court suspended its infringement ruling with respect to EP’122 until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EP’122 by the Federal Court of Justice. On June 7, 2024, CureVac waived DE’575 and withdrew this utility model from the infringement proceedings. On July 2, 2024, the EPO Opposition Division issued a preliminary opinion noting that it believes EP’668 is likely invalid, and set an oral hearing for March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EP’755, DE’123, and DE’130</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2023, CureVac SE filed a second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EP4023755B1, or EP’755, and two Utility Models DE202021004123U1, and DE202021004130U1. On June 7, 2024, CureVac waived DE’123 and withdrew this utility model from the infringement proceedings. A hearing on infringement with respect to EP’755 and DE’130 that was scheduled to occur in the Düsseldorf Regional Court on September 10, 2024 was rescheduled for July 2025. On July 24, 2024, the EPO Opposition Division issued a preliminary opinion noting that it believes EP’755 is likely invalid, and set an oral hearing for May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Nullity Proceedings – EP’122</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did not address any infringement of EP’122. The preliminary opinion is a preliminary assessment by the court of the merits of a claim, and is non-binding. On December 19, 2023, the Federal Patent Court held an oral hearing, after which it nullified EP’122. On April 30, 2024, the Federal Patent Court issued a judgment containing its written reasons for nullifying EP’122. On May 7, 2024, CureVac appealed the judgment, which is currently pending.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 DE’961, DE‘974, and DE’575</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2022, we filed cancellation actions seeking the cancellation of the three German Utility Models in the German Patent and Trademark Office. On December 27, 2023, the German Patent and Trademark Office issued a preliminary opinion that DE’974 is likely to be cancelled. On January 23, 2024, the German Patent and Trademark Office issued a preliminary opinion that DE’961 is likely to be cancelled.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DE’123 and DE’130</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July 2022, we and Pfizer filed a complaint for a declaratory judgment in the U.S. District Court for the District of Massachusetts, seeking a judgment of non-infringement by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of U.S. Patent Nos.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4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Currently, a three-week trial is scheduled to begin in early March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2022, we and Pfizer filed a declaration of non-infringement and revocation action against EP’122 and EP’668 in the Business and Property Courts of England and Wales, in the UK High Court of Justice, or the UK High Court. In October 2022, CureVac responded by filing a counterclaim alleging infringement of the EP’122 and EP’668 patents in the Business and Property Courts of England and Wales. On December 18, 2023, we and Pfizer amended our pleadings to add a claim for revocation and declarations of invalidity and non-infringement with respect to EP’755. The UK High Court held a trial on EP’668 and EP’755 between July 10, 2024 and July 24, 2024. On October 8, 2024, the UK High Court released a judgment finding both EP’668 and EP’755 invalid. The UK High Court is expected to hold a hearing before the end of the fourth quarter of 2024, during which hearing CureVac may apply for the right to appeal the judgment as to EP’668 and EP’755. On October 25, 2024, CureVac agreed to a final and unappealable revocation of the UK designation of EP’122 and to discontinue its counterclaim for infringement.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Moderna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Infringement Proceedings – EP’949 and EP’565</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two European patents, 3590949B1, or EP’949, and 3718565B1, or EP’565. On November 7, 2023, the Opposition Division of the EPO revoked EP’565 after a one-day oral hearing, and on December 7, 2023, it issued its written decision revoking EP’565. On December 8, 2023, the Opposition Division issued a preliminary opinion noting that it believes EP’949 is likely invalid. As a result of those developments in the EPO proceedings, the Düsseldorf Regional Court postponed its hearing on infringement, originally scheduled for December 12, 2023, to January 21, 2025. On February 7, 2024, Moderna appealed the Opposition Division’s revocation decision on EP’565, and the appeal is currently pending. On May 16, 2024, the Opposition Division decided that EP’949 is valid, in amended form, and issued its written decision regarding the same on July 8, 2024. BioNTech appealed this decision, and the appeal is currently pending.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2022, Moderna filed a lawsuit asserting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UK High Court held a trial between April 22, 2024, and May 21, 2024. On July 2, 2024, the UK High Court released two judgments. The first judgment concerns the validity of EP’949 and EP’565. In this first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34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 A hearing before the UK High Court is scheduled for September 25, 2024, where the parties are expected to apply for the right to appeal.</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UK High Court held a hearing on September 25, 2024, during which the Court granted Pfizer and BioNTech permission to appeal its judgment regarding the validity of EP’949, and denied Moderna permission to appeal its judgment regarding validity of EP’565. No party sought permission to appeal the UK High Court’s judgment on the patent pledge.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District Court Litigation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August 2022, Moderna filed a lawsuit in the U.S. District Court for the District of Massachusetts against us and our wholly owned subsidiaries BioNTech Manufacturing GmbH and BioNTech US Inc. and Pfizer Inc. alleging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’s infringement of U.S. Patent Nos. 10,898,574; 10,702,600 and 10,933,127 and seeking monetary relief. On April 12, 2024, the U.S. District Court for the District of Massachusetts stayed the litigation pending resolution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U.S. Patent Nos. 10,702,600 and 10,933,127.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 Partes Review</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August 2023, Pfizer and we filed petitions seeking inter partes review of U.S. Patent Nos. 10,702,600 and 10,933,127 before the United States Patent Trial and Appeal Board, or the PTAB. On March 6, 2024, the PTAB issued decisions instituting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on all challenged claims of U.S. Patent Nos. 10,702,600 and 10,933,127. An oral hearing on the merits is scheduled to occur in December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Netherlands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The District Court of the Hague held a hearing on October 6, 2023, on infringement and validity with respect to EP’949. On December 6, 2023, the Court found EP’949 to be invalid. On March 5, 2024, Moderna appealed this decision, and the appeal is pending. The EP’565 case has been stayed pending the outcome of Moderna’s appeal of the Opposition Division’s revocation of EP’565.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Ireland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Belgium</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In May 2023, Moderna filed a lawsuit against us, our wholly owned subsidiary BioNTech Manufacturing GmbH, Pfizer Inc. and Pfizer Manufacturing Belgium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in the Brussels Dutch-speaking Enterprise Court. On May 29, 2024, the parties filed a joint request to stay the proceedings, which was entered by the Enterprise Court.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34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matters constitute contingent liabilities as of the balance sheet date. However, it is currently impractical for us to estimate with sufficient reliability the respective contingent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Arbutus and Genevant Proceedings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Arial" w:cs="Arial" w:eastAsia="Arial" w:hAnsi="Arial"/>
          <w:sz w:val="18"/>
          <w:szCs w:val="18"/>
          <w:i w:val="1"/>
          <w:iCs w:val="1"/>
          <w:color w:val="auto"/>
        </w:rPr>
        <w:t>Comirnaty</w:t>
      </w:r>
      <w:r>
        <w:rPr>
          <w:rFonts w:ascii="Arial" w:cs="Arial" w:eastAsia="Arial" w:hAnsi="Arial"/>
          <w:sz w:val="18"/>
          <w:szCs w:val="18"/>
          <w:color w:val="auto"/>
        </w:rPr>
        <w:t>, and seeking monetary relief. This proceeding is currently pending.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GlaxoSmithKline Proceedings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b w:val="1"/>
          <w:bCs w:val="1"/>
          <w:color w:val="005A64"/>
        </w:rPr>
        <w:t>adewig Proceedings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Securities Exchange Act of 1934, as amended, or the Exchange Act, by stating that we were “well positioned” to remain a “market leader” in vaccines for the prevention of COVID-19 and by purportedly overstating demand for Comirnaty. Plaintiffs further allege that we failed to adapt our inventory to reflect the emergence of new COVID variants. On July 15, 2024, the case was transferred to the U.S. District Court for the Southern District of New York.</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allegations to be without merit and intend to vigorously defend our Company in this lawsuit. 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12. Related Party Disclosures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34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540" w:val="left"/>
        </w:tabs>
        <w:rPr>
          <w:sz w:val="20"/>
          <w:szCs w:val="20"/>
          <w:color w:val="auto"/>
        </w:rPr>
      </w:pPr>
      <w:r>
        <w:rPr>
          <w:rFonts w:ascii="Arial" w:cs="Arial" w:eastAsia="Arial" w:hAnsi="Arial"/>
          <w:sz w:val="13"/>
          <w:szCs w:val="13"/>
          <w:b w:val="1"/>
          <w:bCs w:val="1"/>
          <w:color w:val="005A64"/>
        </w:rPr>
        <w:t>Unaudited Interim Condensed Consolidated Financial Statements</w:t>
      </w:r>
      <w:r>
        <w:rPr>
          <w:sz w:val="20"/>
          <w:szCs w:val="20"/>
          <w:color w:val="auto"/>
        </w:rPr>
        <w:tab/>
      </w:r>
      <w:r>
        <w:rPr>
          <w:rFonts w:ascii="Arial" w:cs="Arial" w:eastAsia="Arial" w:hAnsi="Arial"/>
          <w:sz w:val="12"/>
          <w:szCs w:val="12"/>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ATHOS KG or entities controlled by them had no significant impact on our unaudited interim condensed consolidated financial statements as of and for the three and nine months ended September 30, 2024, compared to the details disclosed in Note 21 to our audited consolidated financial statements included in our Annual Report on Form 20-F as of and for the year ended December 31, 2023.</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Members of the Management Board and the Supervisory Board of BioNTech SE are related parties as key management personnel having authority and responsibility for planning, directing, and controlling the activities of BioNTech SE directly or indirectly. Information with regard to transactions with a member of BioNTech SE’s management is disclosed in Note 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4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7"/>
          <w:szCs w:val="27"/>
          <w:b w:val="1"/>
          <w:bCs w:val="1"/>
          <w:color w:val="005A64"/>
        </w:rPr>
        <w:t>Operating and Financial Review and Prospects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report, unless stated or the context otherwise requires, references to the “Company”, “BioNTech”, “Group”,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International Financial Reporting Standards, or IFRS, as issued by the International Accounting Standards Board,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elsewhere in this quarterly report for the three and nine months ended September 30, 2024.</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Overview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built a broad toolkit across multiple technology platforms, including a diverse range of potentially first-in-class therapeutic approaches. This includes investigational messenger ribonucleic acid, or mRNA vaccines, protein-based therapeutics (including targeted antibodies such as monoclonal, bispecific and antibody-drug conjugates, or ADCs), cell therapies and small molecules.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each platform to yield a pipeline of product candidates for further development. Our multi-technology combination of platforms and product candidates positions us as pioneers in the field of individualized, patient-centric therapeutic approaches in oncology and infectious diseases. We aim to expand this status into other disease areas in the future.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oncology, we endeavor to address the continuum of cancer disease. The root causes of cancer treatment failure are cancer heterogeneity and interindividual variability. Driven by random sequential mutations, every patient’s cancer is unique and within one patient’s tumor, every cell is different. Addressing these two challenges is the core of our strategy. To augment anti-tumor activity and to counteract resistance mechanisms we seek to combine compounds with non-overlapping, synergistic mechanisms of action.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infectious diseases, our product strategy is rooted in global social responsibility and our goal of contributing to equitable access to medicine.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Our approach has generated a robust and diversified product pipeline across a range of technologies in oncology and infectious disease, and has led to the approval of our first marketed product, </w:t>
      </w:r>
      <w:r>
        <w:rPr>
          <w:rFonts w:ascii="Arial" w:cs="Arial" w:eastAsia="Arial" w:hAnsi="Arial"/>
          <w:sz w:val="18"/>
          <w:szCs w:val="18"/>
          <w:i w:val="1"/>
          <w:iCs w:val="1"/>
          <w:color w:val="auto"/>
        </w:rPr>
        <w:t>Comirnaty</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Environmental, Social, and Governance (ESG)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BioNTech was founded out of a responsibility to patients and to society and this is still the vision that drives the Company. It gives grounds for BioNTech’s enhanced responsibility: for translating the Company’s science into the health of people worldwide and contributing to equitable access to innovative medicines, for environmental and climate protection, for respecting human rights and for fostering the full potential of all employees. BioNTech recognizes its responsibility as a corporate citizen and is committed to supporting its local communities and beyond through donations, sponsorships and volunteer activities.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BioNTech’s performance on environmental, social, and governance matters is regularly assessed by external rating agencies. BioNTech retained its “Prime” status from ISS ESG in the recently published assessment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34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results for 2024, placing BioNTech in the top 10% of all companies rated in the Pharmaceuticals and Biotechnology sector. In addition, BioNTech improved its overall rating from a B- to a B in the overall Corporate Rating 2024 on a scale from D- (lowest rating) to A+ (highest rating). ISS has extended its ESG Quality Score by the two categories “Social” and “Environment”, where BioNTech currently is rated with a 2 and 1 respectively. These scores indicate a company’s transparency with a focus on social and environmental matters on a scale from 1 (high disclosure) to 10 (low disclosure). Furthermore, BioNTech achieved a 5 in the "Governance” dimension of the ISS Quality Score on a risk scale ranging from 1 (low risk) to 10 (high risk).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the results of the yearly S&amp;P Corporate Sustainability Assessment (S&amp;P CSA) have been published recently: BioNTech received 52 out of 100 possible points in the 2024 assessment. Since 2022, BioNTech has been actively engaging in the comprehensive S&amp;P CSA rating process and has been listed as a participating company. For the third time in a row, the Company was able to significantly improve its result (2023: 45/100 points; 2022: 32/100 points).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BioNTech’s CSR Management, including the fields of action and the material CSR topics, is presented in detail in the separate 2023 Sustainability Report and made available online at www.biontech.com. More information about BioNTech’s performance in selected ESG ratings, BioNTech’s Human Rights Statement as well as further relevant information and material can also be found on the Company’s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 xml:space="preserve">Marketed Product: </w:t>
      </w:r>
      <w:r>
        <w:rPr>
          <w:rFonts w:ascii="Arial" w:cs="Arial" w:eastAsia="Arial" w:hAnsi="Arial"/>
          <w:sz w:val="18"/>
          <w:szCs w:val="18"/>
          <w:b w:val="1"/>
          <w:bCs w:val="1"/>
          <w:i w:val="1"/>
          <w:iCs w:val="1"/>
          <w:color w:val="005A64"/>
        </w:rPr>
        <w:t>Comirnaty</w:t>
      </w:r>
      <w:r>
        <w:rPr>
          <w:rFonts w:ascii="Arial" w:cs="Arial" w:eastAsia="Arial" w:hAnsi="Arial"/>
          <w:sz w:val="18"/>
          <w:szCs w:val="18"/>
          <w:b w:val="1"/>
          <w:bCs w:val="1"/>
          <w:color w:val="005A64"/>
        </w:rPr>
        <w:t>, our COVID-19 Vaccine Program (BNT162)</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COVID-19 vaccination has played an important role in saving lives and livelihoods across the world. Our commercial product, </w:t>
      </w:r>
      <w:r>
        <w:rPr>
          <w:rFonts w:ascii="Arial" w:cs="Arial" w:eastAsia="Arial" w:hAnsi="Arial"/>
          <w:sz w:val="18"/>
          <w:szCs w:val="18"/>
          <w:i w:val="1"/>
          <w:iCs w:val="1"/>
          <w:color w:val="auto"/>
        </w:rPr>
        <w:t>Comirnaty</w:t>
      </w:r>
      <w:r>
        <w:rPr>
          <w:rFonts w:ascii="Arial" w:cs="Arial" w:eastAsia="Arial" w:hAnsi="Arial"/>
          <w:sz w:val="18"/>
          <w:szCs w:val="18"/>
          <w:color w:val="auto"/>
        </w:rPr>
        <w:t>, was the first-ever approved mRNA-based product, and, to our knowledge, remains the fastest ever developed prophylactic vaccine from viral sampling to approval. As of December 2023, our COVID-19 vaccine products have been authorized or approved for emergency or temporary use or granted marketing authorization in more than 180 countries and regions worldwide. Our efforts have resulted in more than 4.8 billion doses shipped globally.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Under our collaboration with Pfizer, we are the Marketing Authorization Holder in the United States, the European Union, or EU, the UK, Canada and other countries. Additionally, we are the holder of emergency use authorizations or equivalents in the United States (jointly with Pfizer) and other countries for the COVID-19 vaccine program. Pfizer has marketing and distribution rights worldwide apart from Greater China, Germany, and Türkiye. We have the marketing and distribution rights to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in Germany and Türkiye.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our collaboration with Fosun Pharmaceutical Industrial Development, Co., Ltd, or Fosun Pharma, Fosun Pharma has marketing and distribution rights in Mainland China, Hong Kong Special Administrative Region, or SAR, Macau SAR and Taiwan region.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5A64"/>
        </w:rPr>
        <w:t>A. Commercial Updates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third quarter of 2024, we conducted the required preparation activities for COVID-19 vaccine adaptation and for the commercial launch of SARS-CoV-2 variant-adapted vaccines for the 2024/2025 vaccination season.</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2024/2025 fall and winter formulation for all eligible populations is available in multiple presentations: as pre-filled syringes, multi-dose vials and single-dose vials.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as SARS-CoV-2 continues to evolve, and the risk of severe COVID-19 disease and deaths persists, particularly for high-risk populations, there will be continued demand for primary and seasonal vaccinations, especially for at-risk and immunocompromised groups. We also expect to continue the transition from an advanced purchase agreement environment to commercial market ordering in more geographies, driven by updated regulatory recommendations to adapt COVID-19 vaccines to newly circulating variants or sublineages of SARS-CoV-2.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B. Clinical Development, Regulatory and Manufacturing Updates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Omicron JN.1 sublineages currently account for the majority of COVID-19 cases globally and are antigenically distant from prior circulating SARS-CoV-2 lineages, including Omicron XBB.1.5, Omicron BA.4/BA.5 and the original SARS-CoV-2 strain. Although Omicron XBB.1.5-adapted monovalent vaccines provided some protection against a range of outcomes from JN.1-related COVID-19 disease, evidence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34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suggests that vaccines better matched to currently circulating sublineages should provide improved protection against symptomatic and severe COVID-19 disease.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April 2024, the World Health Organization, or WHO, and the European Medicines Agency, or the EMA, followed by other health authorities, provided guidance highlighting evidence that updated vaccines targeting Omicron JN.1 or JN.1 sublineages may contribute to maintaining protection against COVID-19 during the upcoming fall and winter season. On June 27, 2024, the Committee for Medicinal Products for Human Use, or CHMP, of the EMA recommended marketing authorization for our and Pfizer’s Omicron JN.1-adapted monovalent COVID-19 vaccine for active immunization to prevent COVID-19 caused by SARS-CoV-2 in individuals six months of age and older. The adaptation was based on the recommendation from the WHO Technical Advisory Group on COVID-19 Vaccine Composition and the EMA’s Emergency Task Force, or ETF, to update COVID-19 vaccines to target the SARS-CoV-2 variant JN.1 for the 2024/2025 fall and winter vaccination campaign. On July 3, 2024, the European Commission, or EC, adopted an EC Decision in accordance with the CHMP’s recommendation. Shortly following the EC decision, the updated vaccine was made available for shipment to EU member states. On the same date, July 3, 2024, the EC adopted an EC Decision that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may be administered concomitantly with seasonal influenza vaccine in individuals 12 years of age and older and authorized a new presentation for the 30-mcg adapted vaccine, namely glass pre-filled syringe (refrigerated storage conditions). The EC also authorized glass pre-filled syringes, a new presentation of the vaccine that allows for refrigerated storage conditions. On September 19, 2024, the CHMP of the EMA also recommended marketing authorization for our and Pfizer’s Omicron KP.2-adapted monovalent COVID-19 vaccine for active immunization to prevent COVID-19 in individuals six months of age and older. Following the EC’s approval on September 26, 2024, we and Pfizer began shipments of our Omicron KP.2-adapted COVID-19 vaccine to EU member states that have specifically ordered this formulation with availability varying based on individual country government requests and national recommendations.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6, 2024, the U.S. Food and Drug Administration’s, or FDA’s, Vaccines and Related Biological Products Advisory Committee, or VRBPAC, issued guidance recommending the manufacturing of a JN.1-adapted monovalent COVID-19 vaccine for the 2024/2025 fall and winter seasons. On June 13, 2024, the FDA announced the KP.2 strain as the preferred JN.1-lineage for COVID-19 vaccines, if feasible. In June 2024, we and Pfizer submitted a regulatory application to the FDA for an Omicron JN.1-adapted monovalent vaccine and initiated a rolling supplemental Biologics Licensing Application, or sBLA, for an Omicron KP.2-adapted monovalent vaccine. On August 22, 2024, the FDA approved the sBLA for the companies’ Omicron KP.2-adapted 2024-2025 formula COVID-19 vaccine for individuals 12 years of age and older and granted emergency use authorization for individuals six months through 11 years of age. This season’s Pfizer and BioNTech COVID-19 vaccine was shipped promptly following approval and was made available in pharmacies, hospitals, and clinics across the U.S. On October 10, 2024, FDA approved the sBLA to include safety and immunogenicity data from a study in which individuals 18 through 64 years of age received COMIRNATY concomitantly with a seasonal influenza vaccine.</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24, 2024, the UK’s Medicines and Healthcare products Regulatory Agency, or MHRA, approved the companies’ Omicron JN.1-adapted vaccine and on October 10, 2024, the companies’ KP.2 adapted vaccine was also approved by the MHRA.</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and Pfizer have been manufacturing the Omicron JN.1-adapted monovalent COVID-19 vaccine at risk to ensure supply readiness ahead of the upcoming fall and winter seasons when the demand for COVID-19 vaccination is expected to increase. We and Pfizer intend to continue to monitor the evolving epidemiology of COVID-19 and remain prepared to develop modified vaccine formulas as the data support and as regulatory agencies recommend.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companies’ regulatory filings have been based on the full body of previous clinical, non-clinical, and real-world evidence supporting the safety and efficacy of the Pfizer-BioNTech COVID-19 vaccines. These applications also included manufacturing and non-clinical data showing that the KP.2- and JN.1-adapted monovalent COVID-19 vaccine generates a substantially improved response against multiple Omicron JN.1 sublineages, including KP.2, KP.3, and other currently circulating sublineages, compared with the companies’ Omicron XBB.1.5-adapted monovalent COVID-19 vaccine.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Pipeline of Product Candidates: Third Quarter of 2024 and Post Period-End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authorized product and clinical product candidates, organized by platform and 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1" w:right="3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20"/>
        <w:spacing w:after="0"/>
        <w:tabs>
          <w:tab w:leader="none" w:pos="726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234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p>
      <w:pPr>
        <w:spacing w:after="0" w:line="249" w:lineRule="exact"/>
        <w:rPr>
          <w:sz w:val="20"/>
          <w:szCs w:val="20"/>
          <w:color w:val="auto"/>
        </w:rPr>
      </w:pPr>
    </w:p>
    <w:p>
      <w:pPr>
        <w:spacing w:after="0"/>
        <w:tabs>
          <w:tab w:leader="none" w:pos="900" w:val="left"/>
        </w:tabs>
        <w:rPr>
          <w:sz w:val="20"/>
          <w:szCs w:val="20"/>
          <w:color w:val="auto"/>
        </w:rPr>
      </w:pPr>
      <w:r>
        <w:rPr>
          <w:rFonts w:ascii="Arial" w:cs="Arial" w:eastAsia="Arial" w:hAnsi="Arial"/>
          <w:sz w:val="9"/>
          <w:szCs w:val="9"/>
          <w:b w:val="1"/>
          <w:bCs w:val="1"/>
          <w:color w:val="005A64"/>
        </w:rPr>
        <w:t>Drug class</w:t>
      </w:r>
      <w:r>
        <w:rPr>
          <w:sz w:val="20"/>
          <w:szCs w:val="20"/>
          <w:color w:val="auto"/>
        </w:rPr>
        <w:tab/>
      </w:r>
      <w:r>
        <w:rPr>
          <w:rFonts w:ascii="Arial" w:cs="Arial" w:eastAsia="Arial" w:hAnsi="Arial"/>
          <w:sz w:val="8"/>
          <w:szCs w:val="8"/>
          <w:b w:val="1"/>
          <w:bCs w:val="1"/>
          <w:color w:val="005A64"/>
        </w:rPr>
        <w:t>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1465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8"/>
          <w:szCs w:val="8"/>
          <w:b w:val="1"/>
          <w:bCs w:val="1"/>
          <w:color w:val="005A64"/>
        </w:rPr>
        <w:t>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8058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460" w:type="dxa"/>
            <w:vAlign w:val="bottom"/>
            <w:vMerge w:val="restart"/>
          </w:tcPr>
          <w:p>
            <w:pPr>
              <w:spacing w:after="0"/>
              <w:rPr>
                <w:sz w:val="20"/>
                <w:szCs w:val="20"/>
                <w:color w:val="auto"/>
              </w:rPr>
            </w:pPr>
            <w:r>
              <w:rPr>
                <w:rFonts w:ascii="Arial" w:cs="Arial" w:eastAsia="Arial" w:hAnsi="Arial"/>
                <w:sz w:val="9"/>
                <w:szCs w:val="9"/>
                <w:b w:val="1"/>
                <w:bCs w:val="1"/>
                <w:color w:val="005A64"/>
              </w:rPr>
              <w:t>Indication (target)</w:t>
            </w:r>
          </w:p>
        </w:tc>
        <w:tc>
          <w:tcPr>
            <w:tcW w:w="1260" w:type="dxa"/>
            <w:vAlign w:val="bottom"/>
            <w:vMerge w:val="restart"/>
          </w:tcPr>
          <w:p>
            <w:pPr>
              <w:ind w:left="680"/>
              <w:spacing w:after="0"/>
              <w:rPr>
                <w:sz w:val="20"/>
                <w:szCs w:val="20"/>
                <w:color w:val="auto"/>
              </w:rPr>
            </w:pPr>
            <w:r>
              <w:rPr>
                <w:rFonts w:ascii="Arial" w:cs="Arial" w:eastAsia="Arial" w:hAnsi="Arial"/>
                <w:sz w:val="9"/>
                <w:szCs w:val="9"/>
                <w:b w:val="1"/>
                <w:bCs w:val="1"/>
                <w:color w:val="005A64"/>
              </w:rPr>
              <w:t>Phase 1</w:t>
            </w:r>
          </w:p>
        </w:tc>
        <w:tc>
          <w:tcPr>
            <w:tcW w:w="900" w:type="dxa"/>
            <w:vAlign w:val="bottom"/>
            <w:vMerge w:val="restart"/>
          </w:tcPr>
          <w:p>
            <w:pPr>
              <w:ind w:left="240"/>
              <w:spacing w:after="0"/>
              <w:rPr>
                <w:sz w:val="20"/>
                <w:szCs w:val="20"/>
                <w:color w:val="auto"/>
              </w:rPr>
            </w:pPr>
            <w:r>
              <w:rPr>
                <w:rFonts w:ascii="Arial" w:cs="Arial" w:eastAsia="Arial" w:hAnsi="Arial"/>
                <w:sz w:val="9"/>
                <w:szCs w:val="9"/>
                <w:b w:val="1"/>
                <w:bCs w:val="1"/>
                <w:color w:val="005A64"/>
              </w:rPr>
              <w:t>Phase 1/2</w:t>
            </w:r>
          </w:p>
        </w:tc>
        <w:tc>
          <w:tcPr>
            <w:tcW w:w="840" w:type="dxa"/>
            <w:vAlign w:val="bottom"/>
            <w:vMerge w:val="restart"/>
          </w:tcPr>
          <w:p>
            <w:pPr>
              <w:ind w:left="240"/>
              <w:spacing w:after="0"/>
              <w:rPr>
                <w:sz w:val="20"/>
                <w:szCs w:val="20"/>
                <w:color w:val="auto"/>
              </w:rPr>
            </w:pPr>
            <w:r>
              <w:rPr>
                <w:rFonts w:ascii="Arial" w:cs="Arial" w:eastAsia="Arial" w:hAnsi="Arial"/>
                <w:sz w:val="9"/>
                <w:szCs w:val="9"/>
                <w:b w:val="1"/>
                <w:bCs w:val="1"/>
                <w:color w:val="005A64"/>
              </w:rPr>
              <w:t>Phase 2</w:t>
            </w:r>
          </w:p>
        </w:tc>
        <w:tc>
          <w:tcPr>
            <w:tcW w:w="780" w:type="dxa"/>
            <w:vAlign w:val="bottom"/>
            <w:vMerge w:val="restart"/>
          </w:tcPr>
          <w:p>
            <w:pPr>
              <w:ind w:left="240"/>
              <w:spacing w:after="0"/>
              <w:rPr>
                <w:sz w:val="20"/>
                <w:szCs w:val="20"/>
                <w:color w:val="auto"/>
              </w:rPr>
            </w:pPr>
            <w:r>
              <w:rPr>
                <w:rFonts w:ascii="Arial" w:cs="Arial" w:eastAsia="Arial" w:hAnsi="Arial"/>
                <w:sz w:val="9"/>
                <w:szCs w:val="9"/>
                <w:b w:val="1"/>
                <w:bCs w:val="1"/>
                <w:color w:val="005A64"/>
              </w:rPr>
              <w:t>Phase 3</w:t>
            </w:r>
          </w:p>
        </w:tc>
        <w:tc>
          <w:tcPr>
            <w:tcW w:w="600" w:type="dxa"/>
            <w:vAlign w:val="bottom"/>
          </w:tcPr>
          <w:p>
            <w:pPr>
              <w:ind w:left="180"/>
              <w:spacing w:after="0"/>
              <w:rPr>
                <w:sz w:val="20"/>
                <w:szCs w:val="20"/>
                <w:color w:val="auto"/>
              </w:rPr>
            </w:pPr>
            <w:r>
              <w:rPr>
                <w:rFonts w:ascii="Arial" w:cs="Arial" w:eastAsia="Arial" w:hAnsi="Arial"/>
                <w:sz w:val="9"/>
                <w:szCs w:val="9"/>
                <w:b w:val="1"/>
                <w:bCs w:val="1"/>
                <w:color w:val="005A64"/>
                <w:w w:val="95"/>
              </w:rPr>
              <w:t>BioNTech</w:t>
            </w:r>
          </w:p>
        </w:tc>
        <w:tc>
          <w:tcPr>
            <w:tcW w:w="0" w:type="dxa"/>
            <w:vAlign w:val="bottom"/>
          </w:tcPr>
          <w:p>
            <w:pPr>
              <w:spacing w:after="0"/>
              <w:rPr>
                <w:sz w:val="1"/>
                <w:szCs w:val="1"/>
                <w:color w:val="auto"/>
              </w:rPr>
            </w:pPr>
          </w:p>
        </w:tc>
      </w:tr>
      <w:tr>
        <w:trPr>
          <w:trHeight w:val="162"/>
        </w:trPr>
        <w:tc>
          <w:tcPr>
            <w:tcW w:w="14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9"/>
                <w:szCs w:val="9"/>
                <w:b w:val="1"/>
                <w:bCs w:val="1"/>
                <w:color w:val="005A64"/>
              </w:rPr>
              <w:t>rights</w:t>
            </w:r>
            <w:r>
              <w:rPr>
                <w:rFonts w:ascii="Arial" w:cs="Arial" w:eastAsia="Arial" w:hAnsi="Arial"/>
                <w:sz w:val="11"/>
                <w:szCs w:val="11"/>
                <w:b w:val="1"/>
                <w:bCs w:val="1"/>
                <w:color w:val="005A64"/>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3968750" cy="278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68750" cy="278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Collaborator/Partner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829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4">
            <w:col w:w="1740" w:space="720"/>
            <w:col w:w="780" w:space="660"/>
            <w:col w:w="5840" w:space="560"/>
            <w:col w:w="920"/>
          </w:cols>
          <w:pgMar w:left="340" w:top="341" w:right="339" w:bottom="1440" w:gutter="0" w:footer="0" w:header="0"/>
          <w:type w:val="continuous"/>
        </w:sectPr>
      </w:pPr>
    </w:p>
    <w:p>
      <w:pPr>
        <w:spacing w:after="0" w:line="391" w:lineRule="exact"/>
        <w:rPr>
          <w:sz w:val="20"/>
          <w:szCs w:val="20"/>
          <w:color w:val="auto"/>
        </w:rPr>
      </w:pPr>
    </w:p>
    <w:p>
      <w:pPr>
        <w:ind w:left="920"/>
        <w:spacing w:after="0"/>
        <w:rPr>
          <w:sz w:val="20"/>
          <w:szCs w:val="20"/>
          <w:color w:val="auto"/>
        </w:rPr>
      </w:pPr>
      <w:r>
        <w:rPr>
          <w:rFonts w:ascii="Arial" w:cs="Arial" w:eastAsia="Arial" w:hAnsi="Arial"/>
          <w:sz w:val="8"/>
          <w:szCs w:val="8"/>
          <w:b w:val="1"/>
          <w:bCs w:val="1"/>
          <w:color w:val="005A64"/>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306705</wp:posOffset>
            </wp:positionV>
            <wp:extent cx="882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005A64"/>
        </w:rPr>
        <w:t>BNT111</w:t>
      </w:r>
    </w:p>
    <w:p>
      <w:pPr>
        <w:spacing w:after="0" w:line="165" w:lineRule="exact"/>
        <w:rPr>
          <w:sz w:val="20"/>
          <w:szCs w:val="20"/>
          <w:color w:val="auto"/>
        </w:rPr>
      </w:pPr>
    </w:p>
    <w:p>
      <w:pPr>
        <w:spacing w:after="0"/>
        <w:rPr>
          <w:sz w:val="20"/>
          <w:szCs w:val="20"/>
          <w:color w:val="auto"/>
        </w:rPr>
      </w:pPr>
      <w:r>
        <w:rPr>
          <w:rFonts w:ascii="Arial" w:cs="Arial" w:eastAsia="Arial" w:hAnsi="Arial"/>
          <w:sz w:val="8"/>
          <w:szCs w:val="8"/>
          <w:color w:val="005A64"/>
        </w:rPr>
        <w:t>BNT113</w:t>
      </w:r>
    </w:p>
    <w:p>
      <w:pPr>
        <w:spacing w:after="0" w:line="300" w:lineRule="exact"/>
        <w:rPr>
          <w:sz w:val="20"/>
          <w:szCs w:val="20"/>
          <w:color w:val="auto"/>
        </w:rPr>
      </w:pPr>
    </w:p>
    <w:p>
      <w:pPr>
        <w:spacing w:after="0"/>
        <w:rPr>
          <w:sz w:val="20"/>
          <w:szCs w:val="20"/>
          <w:color w:val="auto"/>
        </w:rPr>
      </w:pPr>
      <w:r>
        <w:rPr>
          <w:rFonts w:ascii="Arial" w:cs="Arial" w:eastAsia="Arial" w:hAnsi="Arial"/>
          <w:sz w:val="8"/>
          <w:szCs w:val="8"/>
          <w:color w:val="005A64"/>
        </w:rPr>
        <w:t>BNT116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144145</wp:posOffset>
            </wp:positionV>
            <wp:extent cx="8058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005A64"/>
        </w:rPr>
        <w:t>Advanced, R/R melanoma</w:t>
      </w:r>
    </w:p>
    <w:p>
      <w:pPr>
        <w:spacing w:after="0" w:line="99" w:lineRule="exact"/>
        <w:rPr>
          <w:sz w:val="20"/>
          <w:szCs w:val="20"/>
          <w:color w:val="auto"/>
        </w:rPr>
      </w:pPr>
    </w:p>
    <w:p>
      <w:pPr>
        <w:spacing w:after="0"/>
        <w:rPr>
          <w:sz w:val="20"/>
          <w:szCs w:val="20"/>
          <w:color w:val="auto"/>
        </w:rPr>
      </w:pPr>
      <w:r>
        <w:rPr>
          <w:rFonts w:ascii="Arial" w:cs="Arial" w:eastAsia="Arial" w:hAnsi="Arial"/>
          <w:sz w:val="8"/>
          <w:szCs w:val="8"/>
          <w:color w:val="005A64"/>
        </w:rPr>
        <w:t>Metastatic / R/R HPV16+ head and neck</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color w:val="005A64"/>
        </w:rPr>
        <w:t>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-39370</wp:posOffset>
            </wp:positionV>
            <wp:extent cx="1534160" cy="1739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34160" cy="173990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color w:val="005A64"/>
        </w:rPr>
        <w:t>1L metastatic NSCLC</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Advanced/metastatic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9"/>
          <w:szCs w:val="9"/>
          <w:color w:val="005A64"/>
        </w:rPr>
        <w:t>1L advanced melanoma</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8"/>
          <w:szCs w:val="8"/>
          <w:color w:val="005A64"/>
        </w:rPr>
        <w:t>Fully owned</w:t>
      </w:r>
      <w:r>
        <w:rPr>
          <w:rFonts w:ascii="Arial" w:cs="Arial" w:eastAsia="Arial" w:hAnsi="Arial"/>
          <w:sz w:val="10"/>
          <w:szCs w:val="10"/>
          <w:color w:val="005A64"/>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-70485</wp:posOffset>
            </wp:positionV>
            <wp:extent cx="2331720" cy="1739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31720" cy="1739900"/>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4">
            <w:col w:w="1740" w:space="720"/>
            <w:col w:w="720" w:space="720"/>
            <w:col w:w="4700" w:space="720"/>
            <w:col w:w="1900"/>
          </w:cols>
          <w:pgMar w:left="340" w:top="341" w:right="339" w:bottom="1440" w:gutter="0" w:footer="0" w:header="0"/>
          <w:type w:val="continuous"/>
        </w:sectPr>
      </w:pPr>
    </w:p>
    <w:p>
      <w:pPr>
        <w:spacing w:after="0"/>
        <w:rPr>
          <w:sz w:val="20"/>
          <w:szCs w:val="20"/>
          <w:color w:val="auto"/>
        </w:rPr>
      </w:pPr>
      <w:r>
        <w:rPr>
          <w:rFonts w:ascii="Arial" w:cs="Arial" w:eastAsia="Arial" w:hAnsi="Arial"/>
          <w:sz w:val="9"/>
          <w:szCs w:val="9"/>
          <w:b w:val="1"/>
          <w:bCs w:val="1"/>
          <w:color w:val="005A64"/>
        </w:rPr>
        <w:t>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757555</wp:posOffset>
            </wp:positionV>
            <wp:extent cx="4883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Cell</w:t>
      </w:r>
    </w:p>
    <w:p>
      <w:pPr>
        <w:spacing w:after="0" w:line="13" w:lineRule="exact"/>
        <w:rPr>
          <w:sz w:val="20"/>
          <w:szCs w:val="20"/>
          <w:color w:val="auto"/>
        </w:rPr>
      </w:pPr>
    </w:p>
    <w:p>
      <w:pPr>
        <w:spacing w:after="0"/>
        <w:rPr>
          <w:sz w:val="20"/>
          <w:szCs w:val="20"/>
          <w:color w:val="auto"/>
        </w:rPr>
      </w:pPr>
      <w:r>
        <w:rPr>
          <w:rFonts w:ascii="Arial" w:cs="Arial" w:eastAsia="Arial" w:hAnsi="Arial"/>
          <w:sz w:val="8"/>
          <w:szCs w:val="8"/>
          <w:b w:val="1"/>
          <w:bCs w:val="1"/>
          <w:color w:val="005A64"/>
        </w:rPr>
        <w:t>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4883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282575</wp:posOffset>
            </wp:positionV>
            <wp:extent cx="8826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CAR T cells + CARVac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8"/>
          <w:szCs w:val="8"/>
          <w:b w:val="1"/>
          <w:bCs w:val="1"/>
          <w:color w:val="005A64"/>
        </w:rPr>
        <w:t>Neoantigen-based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8826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9"/>
          <w:szCs w:val="9"/>
          <w:color w:val="005A64"/>
        </w:rPr>
        <w:t>BNT122 / RO7198457</w:t>
      </w:r>
    </w:p>
    <w:p>
      <w:pPr>
        <w:spacing w:after="0" w:line="13" w:lineRule="exact"/>
        <w:rPr>
          <w:sz w:val="20"/>
          <w:szCs w:val="20"/>
          <w:color w:val="auto"/>
        </w:rPr>
      </w:pPr>
    </w:p>
    <w:p>
      <w:pPr>
        <w:spacing w:after="0"/>
        <w:rPr>
          <w:sz w:val="20"/>
          <w:szCs w:val="20"/>
          <w:color w:val="auto"/>
        </w:rPr>
      </w:pPr>
      <w:r>
        <w:rPr>
          <w:rFonts w:ascii="Arial" w:cs="Arial" w:eastAsia="Arial" w:hAnsi="Arial"/>
          <w:sz w:val="8"/>
          <w:szCs w:val="8"/>
          <w:color w:val="005A64"/>
        </w:rPr>
        <w:t>(autogene cevumeran)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259080</wp:posOffset>
            </wp:positionV>
            <wp:extent cx="8058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9"/>
          <w:szCs w:val="9"/>
          <w:color w:val="005A64"/>
        </w:rPr>
        <w:t>BNT142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BNT152 + BNT153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BNT211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BNT221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9"/>
          <w:szCs w:val="9"/>
          <w:color w:val="005A64"/>
        </w:rPr>
        <w:t>BNT311 / GEN1046</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(acasunlimab)</w:t>
      </w:r>
    </w:p>
    <w:p>
      <w:pPr>
        <w:spacing w:after="0" w:line="105" w:lineRule="exact"/>
        <w:rPr>
          <w:sz w:val="20"/>
          <w:szCs w:val="20"/>
          <w:color w:val="auto"/>
        </w:rPr>
      </w:pPr>
    </w:p>
    <w:p>
      <w:pPr>
        <w:spacing w:after="0"/>
        <w:rPr>
          <w:sz w:val="20"/>
          <w:szCs w:val="20"/>
          <w:color w:val="auto"/>
        </w:rPr>
      </w:pPr>
      <w:r>
        <w:rPr>
          <w:rFonts w:ascii="Arial" w:cs="Arial" w:eastAsia="Arial" w:hAnsi="Arial"/>
          <w:sz w:val="9"/>
          <w:szCs w:val="9"/>
          <w:color w:val="005A64"/>
        </w:rPr>
        <w:t>BNT312 / GEN1042</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9"/>
          <w:szCs w:val="9"/>
          <w:color w:val="005A64"/>
        </w:rPr>
        <w:t>Adjuvant colorectal cancer</w:t>
      </w:r>
    </w:p>
    <w:p>
      <w:pPr>
        <w:spacing w:after="0" w:line="140" w:lineRule="exact"/>
        <w:rPr>
          <w:sz w:val="20"/>
          <w:szCs w:val="20"/>
          <w:color w:val="auto"/>
        </w:rPr>
      </w:pPr>
    </w:p>
    <w:p>
      <w:pPr>
        <w:spacing w:after="0"/>
        <w:rPr>
          <w:sz w:val="20"/>
          <w:szCs w:val="20"/>
          <w:color w:val="auto"/>
        </w:rPr>
      </w:pPr>
      <w:r>
        <w:rPr>
          <w:rFonts w:ascii="Arial" w:cs="Arial" w:eastAsia="Arial" w:hAnsi="Arial"/>
          <w:sz w:val="8"/>
          <w:szCs w:val="8"/>
          <w:color w:val="005A64"/>
        </w:rPr>
        <w:t>Adjuvant pancreatic ductal adenocarcinoma</w:t>
      </w:r>
    </w:p>
    <w:p>
      <w:pPr>
        <w:spacing w:after="0" w:line="151"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59690</wp:posOffset>
            </wp:positionV>
            <wp:extent cx="1200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(CD3×CLDN6)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(IL-7, IL-2)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(CLDN6)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005A64"/>
        </w:rPr>
        <w:t>Refractory metastatic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50800</wp:posOffset>
            </wp:positionV>
            <wp:extent cx="1200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9"/>
          <w:szCs w:val="9"/>
          <w:color w:val="005A64"/>
        </w:rPr>
        <w:t>aPD(L)1-R/R metastatic NSCLC (PD-L1×4-</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1BB)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-39370</wp:posOffset>
            </wp:positionV>
            <wp:extent cx="891540" cy="10839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91540" cy="108394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9"/>
          <w:szCs w:val="9"/>
          <w:color w:val="005A64"/>
        </w:rPr>
        <w:t>Multiple solid tumors (CD40×4-1BB)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-34290</wp:posOffset>
            </wp:positionV>
            <wp:extent cx="111125"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58420</wp:posOffset>
            </wp:positionV>
            <wp:extent cx="10541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-95250</wp:posOffset>
            </wp:positionV>
            <wp:extent cx="10541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8"/>
          <w:szCs w:val="8"/>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58420</wp:posOffset>
            </wp:positionV>
            <wp:extent cx="10541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8"/>
          <w:szCs w:val="8"/>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58420</wp:posOffset>
            </wp:positionV>
            <wp:extent cx="10541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8"/>
          <w:szCs w:val="8"/>
          <w:color w:val="005A64"/>
        </w:rPr>
        <w:t>Fully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178435</wp:posOffset>
            </wp:positionV>
            <wp:extent cx="33655" cy="10839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108394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178435</wp:posOffset>
            </wp:positionV>
            <wp:extent cx="33655" cy="10839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108394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178435</wp:posOffset>
            </wp:positionV>
            <wp:extent cx="34290" cy="10839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1083945"/>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58420</wp:posOffset>
            </wp:positionV>
            <wp:extent cx="10541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8"/>
          <w:szCs w:val="8"/>
          <w:color w:val="005A64"/>
        </w:rPr>
        <w:t xml:space="preserve">Genentech </w:t>
      </w:r>
      <w:r>
        <w:rPr>
          <w:rFonts w:ascii="Arial" w:cs="Arial" w:eastAsia="Arial" w:hAnsi="Arial"/>
          <w:sz w:val="10"/>
          <w:szCs w:val="10"/>
          <w:color w:val="005A64"/>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5829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742950</wp:posOffset>
            </wp:positionV>
            <wp:extent cx="5829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588645</wp:posOffset>
            </wp:positionV>
            <wp:extent cx="5829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5829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280035</wp:posOffset>
            </wp:positionV>
            <wp:extent cx="5829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986" w:lineRule="exact"/>
        <w:rPr>
          <w:sz w:val="20"/>
          <w:szCs w:val="20"/>
          <w:color w:val="auto"/>
        </w:rPr>
      </w:pPr>
    </w:p>
    <w:p>
      <w:pPr>
        <w:sectPr>
          <w:pgSz w:w="11900" w:h="16838" w:orient="portrait"/>
          <w:cols w:equalWidth="0" w:num="6">
            <w:col w:w="400" w:space="520"/>
            <w:col w:w="1080" w:space="460"/>
            <w:col w:w="900" w:space="540"/>
            <w:col w:w="4700" w:space="720"/>
            <w:col w:w="480" w:space="500"/>
            <w:col w:w="920"/>
          </w:cols>
          <w:pgMar w:left="34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358" w:lineRule="auto"/>
        <w:rPr>
          <w:sz w:val="20"/>
          <w:szCs w:val="20"/>
          <w:color w:val="auto"/>
        </w:rPr>
      </w:pPr>
      <w:r>
        <w:rPr>
          <w:rFonts w:ascii="Arial" w:cs="Arial" w:eastAsia="Arial" w:hAnsi="Arial"/>
          <w:sz w:val="8"/>
          <w:szCs w:val="8"/>
          <w:b w:val="1"/>
          <w:bCs w:val="1"/>
          <w:color w:val="005A64"/>
        </w:rPr>
        <w:t>Protein-based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1579880</wp:posOffset>
            </wp:positionV>
            <wp:extent cx="4883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SMI</w:t>
      </w:r>
      <w:r>
        <w:rPr>
          <w:rFonts w:ascii="Arial" w:cs="Arial" w:eastAsia="Arial" w:hAnsi="Arial"/>
          <w:sz w:val="11"/>
          <w:szCs w:val="11"/>
          <w:b w:val="1"/>
          <w:bCs w:val="1"/>
          <w:color w:val="005A64"/>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4883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Next-generation</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immune checkpoint</w:t>
      </w:r>
    </w:p>
    <w:p>
      <w:pPr>
        <w:spacing w:after="0" w:line="10"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modulators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8"/>
          <w:szCs w:val="8"/>
          <w:b w:val="1"/>
          <w:bCs w:val="1"/>
          <w:color w:val="005A64"/>
        </w:rPr>
        <w:t>Targeted cancer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161290</wp:posOffset>
            </wp:positionV>
            <wp:extent cx="8826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Antibody-drug conjugates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402590</wp:posOffset>
            </wp:positionV>
            <wp:extent cx="8826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Toll-like receptor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8826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005A64"/>
        </w:rPr>
        <w:t>BNT314 / GEN1059</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BNT315 / GEN1055</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BNT322 / GEN1056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8058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9"/>
          <w:szCs w:val="9"/>
          <w:color w:val="005A64"/>
        </w:rPr>
        <w:t>BNT316 / ONC-392</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(gotistobart)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268605</wp:posOffset>
            </wp:positionV>
            <wp:extent cx="8058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9"/>
          <w:szCs w:val="9"/>
          <w:color w:val="auto"/>
        </w:rPr>
        <w:t>BNT327/PM8002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196850</wp:posOffset>
            </wp:positionV>
            <wp:extent cx="8058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9"/>
          <w:szCs w:val="9"/>
          <w:color w:val="005A64"/>
        </w:rPr>
        <w:t>BNT327/PM8002 +</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BNT325/DB-1305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8058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9"/>
          <w:szCs w:val="9"/>
          <w:color w:val="005A64"/>
        </w:rPr>
        <w:t>BNT321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153670</wp:posOffset>
            </wp:positionV>
            <wp:extent cx="8058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376" w:lineRule="exact"/>
        <w:rPr>
          <w:sz w:val="20"/>
          <w:szCs w:val="20"/>
          <w:color w:val="auto"/>
        </w:rPr>
      </w:pPr>
    </w:p>
    <w:p>
      <w:pPr>
        <w:spacing w:after="0" w:line="347" w:lineRule="auto"/>
        <w:rPr>
          <w:sz w:val="20"/>
          <w:szCs w:val="20"/>
          <w:color w:val="auto"/>
        </w:rPr>
      </w:pPr>
      <w:r>
        <w:rPr>
          <w:rFonts w:ascii="Arial" w:cs="Arial" w:eastAsia="Arial" w:hAnsi="Arial"/>
          <w:sz w:val="8"/>
          <w:szCs w:val="8"/>
          <w:color w:val="005A64"/>
        </w:rPr>
        <w:t>BNT323 / DB-1303 (trastuzumab pamirtecan)</w:t>
      </w:r>
    </w:p>
    <w:p>
      <w:pPr>
        <w:spacing w:after="0" w:line="179" w:lineRule="exact"/>
        <w:rPr>
          <w:sz w:val="20"/>
          <w:szCs w:val="20"/>
          <w:color w:val="auto"/>
        </w:rPr>
      </w:pPr>
    </w:p>
    <w:p>
      <w:pPr>
        <w:spacing w:after="0"/>
        <w:rPr>
          <w:sz w:val="20"/>
          <w:szCs w:val="20"/>
          <w:color w:val="auto"/>
        </w:rPr>
      </w:pPr>
      <w:r>
        <w:rPr>
          <w:rFonts w:ascii="Arial" w:cs="Arial" w:eastAsia="Arial" w:hAnsi="Arial"/>
          <w:sz w:val="9"/>
          <w:szCs w:val="9"/>
          <w:color w:val="005A64"/>
        </w:rPr>
        <w:t>BNT324 / DB-1311</w:t>
      </w:r>
    </w:p>
    <w:p>
      <w:pPr>
        <w:spacing w:after="0" w:line="140" w:lineRule="exact"/>
        <w:rPr>
          <w:sz w:val="20"/>
          <w:szCs w:val="20"/>
          <w:color w:val="auto"/>
        </w:rPr>
      </w:pPr>
    </w:p>
    <w:p>
      <w:pPr>
        <w:spacing w:after="0"/>
        <w:rPr>
          <w:sz w:val="20"/>
          <w:szCs w:val="20"/>
          <w:color w:val="auto"/>
        </w:rPr>
      </w:pPr>
      <w:r>
        <w:rPr>
          <w:rFonts w:ascii="Arial" w:cs="Arial" w:eastAsia="Arial" w:hAnsi="Arial"/>
          <w:sz w:val="9"/>
          <w:szCs w:val="9"/>
          <w:color w:val="005A64"/>
        </w:rPr>
        <w:t>BNT325 / DB-1305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8058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9"/>
          <w:szCs w:val="9"/>
          <w:color w:val="005A64"/>
        </w:rPr>
        <w:t>BNT326 / YL202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8058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9"/>
          <w:szCs w:val="9"/>
          <w:color w:val="005A64"/>
        </w:rPr>
        <w:t>BNT411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8058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0"/>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 (EpCAM×4-1BB)</w:t>
            </w:r>
          </w:p>
        </w:tc>
        <w:tc>
          <w:tcPr>
            <w:tcW w:w="52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5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223"/>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 (OX40)</w:t>
            </w:r>
          </w:p>
        </w:tc>
        <w:tc>
          <w:tcPr>
            <w:tcW w:w="52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16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560" w:type="dxa"/>
            <w:vAlign w:val="bottom"/>
            <w:tcBorders>
              <w:bottom w:val="single" w:sz="8" w:color="3C9673"/>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w:t>
            </w:r>
          </w:p>
        </w:tc>
        <w:tc>
          <w:tcPr>
            <w:tcW w:w="520" w:type="dxa"/>
            <w:vAlign w:val="bottom"/>
            <w:tcBorders>
              <w:bottom w:val="single" w:sz="8" w:color="3C9673"/>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8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aPD(L)1-R/R metastatic NSCLC (CTLA-4)</w:t>
            </w:r>
          </w:p>
        </w:tc>
        <w:tc>
          <w:tcPr>
            <w:tcW w:w="52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5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60" w:type="dxa"/>
            <w:vAlign w:val="bottom"/>
            <w:tcBorders>
              <w:bottom w:val="single" w:sz="8" w:color="3C9673"/>
            </w:tcBorders>
          </w:tcPr>
          <w:p>
            <w:pPr>
              <w:spacing w:after="0"/>
              <w:rPr>
                <w:sz w:val="9"/>
                <w:szCs w:val="9"/>
                <w:color w:val="auto"/>
              </w:rPr>
            </w:pPr>
          </w:p>
        </w:tc>
        <w:tc>
          <w:tcPr>
            <w:tcW w:w="60" w:type="dxa"/>
            <w:vAlign w:val="bottom"/>
            <w:tcBorders>
              <w:bottom w:val="single" w:sz="8" w:color="3C9673"/>
            </w:tcBorders>
          </w:tcPr>
          <w:p>
            <w:pPr>
              <w:spacing w:after="0"/>
              <w:rPr>
                <w:sz w:val="9"/>
                <w:szCs w:val="9"/>
                <w:color w:val="auto"/>
              </w:rPr>
            </w:pPr>
          </w:p>
        </w:tc>
        <w:tc>
          <w:tcPr>
            <w:tcW w:w="5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54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Platinum-resistant ovarian cancer (CTLA-4)</w:t>
            </w:r>
          </w:p>
        </w:tc>
        <w:tc>
          <w:tcPr>
            <w:tcW w:w="52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16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56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160" w:type="dxa"/>
            <w:vAlign w:val="bottom"/>
            <w:tcBorders>
              <w:bottom w:val="single" w:sz="8" w:color="3C9673"/>
            </w:tcBorders>
          </w:tcPr>
          <w:p>
            <w:pPr>
              <w:spacing w:after="0"/>
              <w:rPr>
                <w:sz w:val="19"/>
                <w:szCs w:val="19"/>
                <w:color w:val="auto"/>
              </w:rPr>
            </w:pPr>
          </w:p>
        </w:tc>
        <w:tc>
          <w:tcPr>
            <w:tcW w:w="60" w:type="dxa"/>
            <w:vAlign w:val="bottom"/>
            <w:tcBorders>
              <w:bottom w:val="single" w:sz="8" w:color="3C9673"/>
            </w:tcBorders>
          </w:tcPr>
          <w:p>
            <w:pPr>
              <w:spacing w:after="0"/>
              <w:rPr>
                <w:sz w:val="19"/>
                <w:szCs w:val="19"/>
                <w:color w:val="auto"/>
              </w:rPr>
            </w:pPr>
          </w:p>
        </w:tc>
        <w:tc>
          <w:tcPr>
            <w:tcW w:w="540" w:type="dxa"/>
            <w:vAlign w:val="bottom"/>
            <w:tcBorders>
              <w:bottom w:val="single" w:sz="8" w:color="3C9673"/>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177"/>
        </w:trPr>
        <w:tc>
          <w:tcPr>
            <w:tcW w:w="2040" w:type="dxa"/>
            <w:vAlign w:val="bottom"/>
            <w:gridSpan w:val="2"/>
            <w:vMerge w:val="restart"/>
          </w:tcPr>
          <w:p>
            <w:pPr>
              <w:ind w:left="20"/>
              <w:spacing w:after="0"/>
              <w:rPr>
                <w:sz w:val="20"/>
                <w:szCs w:val="20"/>
                <w:color w:val="auto"/>
              </w:rPr>
            </w:pPr>
            <w:r>
              <w:rPr>
                <w:rFonts w:ascii="Arial" w:cs="Arial" w:eastAsia="Arial" w:hAnsi="Arial"/>
                <w:sz w:val="9"/>
                <w:szCs w:val="9"/>
                <w:color w:val="005A64"/>
              </w:rPr>
              <w:t>Metastatic castration-resistant prostate cancer</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4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2040" w:type="dxa"/>
            <w:vAlign w:val="bottom"/>
            <w:gridSpan w:val="2"/>
            <w:vMerge w:val="restart"/>
          </w:tcPr>
          <w:p>
            <w:pPr>
              <w:ind w:left="20"/>
              <w:spacing w:after="0"/>
              <w:rPr>
                <w:sz w:val="20"/>
                <w:szCs w:val="20"/>
                <w:color w:val="auto"/>
              </w:rPr>
            </w:pPr>
            <w:r>
              <w:rPr>
                <w:rFonts w:ascii="Arial" w:cs="Arial" w:eastAsia="Arial" w:hAnsi="Arial"/>
                <w:sz w:val="9"/>
                <w:szCs w:val="9"/>
                <w:color w:val="005A64"/>
              </w:rPr>
              <w:t>(CTLA-4)</w:t>
            </w:r>
          </w:p>
        </w:tc>
        <w:tc>
          <w:tcPr>
            <w:tcW w:w="520" w:type="dxa"/>
            <w:vAlign w:val="bottom"/>
            <w:shd w:val="clear" w:color="auto" w:fill="3C9673"/>
          </w:tcPr>
          <w:p>
            <w:pPr>
              <w:spacing w:after="0"/>
              <w:rPr>
                <w:sz w:val="5"/>
                <w:szCs w:val="5"/>
                <w:color w:val="auto"/>
              </w:rPr>
            </w:pPr>
          </w:p>
        </w:tc>
        <w:tc>
          <w:tcPr>
            <w:tcW w:w="80" w:type="dxa"/>
            <w:vAlign w:val="bottom"/>
            <w:shd w:val="clear" w:color="auto" w:fill="3C9673"/>
          </w:tcPr>
          <w:p>
            <w:pPr>
              <w:spacing w:after="0"/>
              <w:rPr>
                <w:sz w:val="5"/>
                <w:szCs w:val="5"/>
                <w:color w:val="auto"/>
              </w:rPr>
            </w:pPr>
          </w:p>
        </w:tc>
        <w:tc>
          <w:tcPr>
            <w:tcW w:w="160" w:type="dxa"/>
            <w:vAlign w:val="bottom"/>
            <w:tcBorders>
              <w:right w:val="single" w:sz="8" w:color="005A64"/>
            </w:tcBorders>
            <w:shd w:val="clear" w:color="auto" w:fill="3C9673"/>
          </w:tcPr>
          <w:p>
            <w:pPr>
              <w:spacing w:after="0"/>
              <w:rPr>
                <w:sz w:val="5"/>
                <w:szCs w:val="5"/>
                <w:color w:val="auto"/>
              </w:rPr>
            </w:pPr>
          </w:p>
        </w:tc>
        <w:tc>
          <w:tcPr>
            <w:tcW w:w="80" w:type="dxa"/>
            <w:vAlign w:val="bottom"/>
            <w:shd w:val="clear" w:color="auto" w:fill="3C9673"/>
          </w:tcPr>
          <w:p>
            <w:pPr>
              <w:spacing w:after="0"/>
              <w:rPr>
                <w:sz w:val="5"/>
                <w:szCs w:val="5"/>
                <w:color w:val="auto"/>
              </w:rPr>
            </w:pPr>
          </w:p>
        </w:tc>
        <w:tc>
          <w:tcPr>
            <w:tcW w:w="560" w:type="dxa"/>
            <w:vAlign w:val="bottom"/>
            <w:shd w:val="clear" w:color="auto" w:fill="3C9673"/>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005A64"/>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right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shd w:val="clear" w:color="auto" w:fill="005A64"/>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 (CTLA-4)</w:t>
            </w:r>
          </w:p>
        </w:tc>
        <w:tc>
          <w:tcPr>
            <w:tcW w:w="520" w:type="dxa"/>
            <w:vAlign w:val="bottom"/>
            <w:tcBorders>
              <w:bottom w:val="single" w:sz="8" w:color="3C9673"/>
            </w:tcBorders>
          </w:tcPr>
          <w:p>
            <w:pPr>
              <w:spacing w:after="0"/>
              <w:rPr>
                <w:sz w:val="15"/>
                <w:szCs w:val="15"/>
                <w:color w:val="auto"/>
              </w:rPr>
            </w:pPr>
          </w:p>
        </w:tc>
        <w:tc>
          <w:tcPr>
            <w:tcW w:w="80" w:type="dxa"/>
            <w:vAlign w:val="bottom"/>
            <w:tcBorders>
              <w:bottom w:val="single" w:sz="8" w:color="3C9673"/>
            </w:tcBorders>
          </w:tcPr>
          <w:p>
            <w:pPr>
              <w:spacing w:after="0"/>
              <w:rPr>
                <w:sz w:val="15"/>
                <w:szCs w:val="15"/>
                <w:color w:val="auto"/>
              </w:rPr>
            </w:pPr>
          </w:p>
        </w:tc>
        <w:tc>
          <w:tcPr>
            <w:tcW w:w="160" w:type="dxa"/>
            <w:vAlign w:val="bottom"/>
            <w:tcBorders>
              <w:bottom w:val="single" w:sz="8" w:color="3C9673"/>
            </w:tcBorders>
          </w:tcPr>
          <w:p>
            <w:pPr>
              <w:spacing w:after="0"/>
              <w:rPr>
                <w:sz w:val="15"/>
                <w:szCs w:val="15"/>
                <w:color w:val="auto"/>
              </w:rPr>
            </w:pPr>
          </w:p>
        </w:tc>
        <w:tc>
          <w:tcPr>
            <w:tcW w:w="80" w:type="dxa"/>
            <w:vAlign w:val="bottom"/>
            <w:tcBorders>
              <w:bottom w:val="single" w:sz="8" w:color="3C9673"/>
            </w:tcBorders>
          </w:tcPr>
          <w:p>
            <w:pPr>
              <w:spacing w:after="0"/>
              <w:rPr>
                <w:sz w:val="15"/>
                <w:szCs w:val="15"/>
                <w:color w:val="auto"/>
              </w:rPr>
            </w:pPr>
          </w:p>
        </w:tc>
        <w:tc>
          <w:tcPr>
            <w:tcW w:w="560" w:type="dxa"/>
            <w:vAlign w:val="bottom"/>
            <w:tcBorders>
              <w:bottom w:val="single" w:sz="8" w:color="3C9673"/>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40" w:type="dxa"/>
            <w:vAlign w:val="bottom"/>
            <w:gridSpan w:val="2"/>
          </w:tcPr>
          <w:p>
            <w:pPr>
              <w:ind w:left="20"/>
              <w:spacing w:after="0"/>
              <w:rPr>
                <w:sz w:val="20"/>
                <w:szCs w:val="20"/>
                <w:color w:val="auto"/>
              </w:rPr>
            </w:pPr>
            <w:r>
              <w:rPr>
                <w:rFonts w:ascii="Arial" w:cs="Arial" w:eastAsia="Arial" w:hAnsi="Arial"/>
                <w:sz w:val="9"/>
                <w:szCs w:val="9"/>
                <w:color w:val="auto"/>
              </w:rPr>
              <w:t>1L/2L+ ES-SCLC (PD-L1 x VEGF-A)</w:t>
            </w:r>
          </w:p>
        </w:tc>
        <w:tc>
          <w:tcPr>
            <w:tcW w:w="5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16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56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160" w:type="dxa"/>
            <w:vAlign w:val="bottom"/>
            <w:tcBorders>
              <w:bottom w:val="single" w:sz="8" w:color="3C9673"/>
            </w:tcBorders>
          </w:tcPr>
          <w:p>
            <w:pPr>
              <w:spacing w:after="0"/>
              <w:rPr>
                <w:sz w:val="14"/>
                <w:szCs w:val="14"/>
                <w:color w:val="auto"/>
              </w:rPr>
            </w:pPr>
          </w:p>
        </w:tc>
        <w:tc>
          <w:tcPr>
            <w:tcW w:w="60" w:type="dxa"/>
            <w:vAlign w:val="bottom"/>
            <w:tcBorders>
              <w:bottom w:val="single" w:sz="8" w:color="3C9673"/>
            </w:tcBorders>
          </w:tcPr>
          <w:p>
            <w:pPr>
              <w:spacing w:after="0"/>
              <w:rPr>
                <w:sz w:val="14"/>
                <w:szCs w:val="14"/>
                <w:color w:val="auto"/>
              </w:rPr>
            </w:pPr>
          </w:p>
        </w:tc>
        <w:tc>
          <w:tcPr>
            <w:tcW w:w="54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9"/>
                <w:szCs w:val="9"/>
                <w:color w:val="auto"/>
              </w:rPr>
              <w:t>Collaboration</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1L/2L metastatic TNBC (PD-L1 x VEGF-A)</w:t>
            </w:r>
          </w:p>
        </w:tc>
        <w:tc>
          <w:tcPr>
            <w:tcW w:w="52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16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560" w:type="dxa"/>
            <w:vAlign w:val="bottom"/>
            <w:tcBorders>
              <w:bottom w:val="single" w:sz="8" w:color="3C9673"/>
            </w:tcBorders>
          </w:tcPr>
          <w:p>
            <w:pPr>
              <w:spacing w:after="0"/>
              <w:rPr>
                <w:sz w:val="11"/>
                <w:szCs w:val="11"/>
                <w:color w:val="auto"/>
              </w:rPr>
            </w:pPr>
          </w:p>
        </w:tc>
        <w:tc>
          <w:tcPr>
            <w:tcW w:w="80" w:type="dxa"/>
            <w:vAlign w:val="bottom"/>
            <w:tcBorders>
              <w:bottom w:val="single" w:sz="8" w:color="3C9673"/>
            </w:tcBorders>
          </w:tcPr>
          <w:p>
            <w:pPr>
              <w:spacing w:after="0"/>
              <w:rPr>
                <w:sz w:val="11"/>
                <w:szCs w:val="11"/>
                <w:color w:val="auto"/>
              </w:rPr>
            </w:pPr>
          </w:p>
        </w:tc>
        <w:tc>
          <w:tcPr>
            <w:tcW w:w="160" w:type="dxa"/>
            <w:vAlign w:val="bottom"/>
            <w:tcBorders>
              <w:bottom w:val="single" w:sz="8" w:color="3C9673"/>
            </w:tcBorders>
          </w:tcPr>
          <w:p>
            <w:pPr>
              <w:spacing w:after="0"/>
              <w:rPr>
                <w:sz w:val="11"/>
                <w:szCs w:val="11"/>
                <w:color w:val="auto"/>
              </w:rPr>
            </w:pPr>
          </w:p>
        </w:tc>
        <w:tc>
          <w:tcPr>
            <w:tcW w:w="60" w:type="dxa"/>
            <w:vAlign w:val="bottom"/>
            <w:tcBorders>
              <w:bottom w:val="single" w:sz="8" w:color="3C9673"/>
            </w:tcBorders>
          </w:tcPr>
          <w:p>
            <w:pPr>
              <w:spacing w:after="0"/>
              <w:rPr>
                <w:sz w:val="11"/>
                <w:szCs w:val="11"/>
                <w:color w:val="auto"/>
              </w:rPr>
            </w:pPr>
          </w:p>
        </w:tc>
        <w:tc>
          <w:tcPr>
            <w:tcW w:w="540" w:type="dxa"/>
            <w:vAlign w:val="bottom"/>
            <w:tcBorders>
              <w:bottom w:val="single" w:sz="8" w:color="3C9673"/>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Borders>
              <w:bottom w:val="single" w:sz="8" w:color="DBDBDB"/>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DBDBDB"/>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w:t>
            </w:r>
          </w:p>
        </w:tc>
        <w:tc>
          <w:tcPr>
            <w:tcW w:w="52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160" w:type="dxa"/>
            <w:vAlign w:val="bottom"/>
            <w:tcBorders>
              <w:bottom w:val="single" w:sz="8" w:color="3C9673"/>
            </w:tcBorders>
          </w:tcPr>
          <w:p>
            <w:pPr>
              <w:spacing w:after="0"/>
              <w:rPr>
                <w:sz w:val="14"/>
                <w:szCs w:val="14"/>
                <w:color w:val="auto"/>
              </w:rPr>
            </w:pPr>
          </w:p>
        </w:tc>
        <w:tc>
          <w:tcPr>
            <w:tcW w:w="80" w:type="dxa"/>
            <w:vAlign w:val="bottom"/>
            <w:tcBorders>
              <w:bottom w:val="single" w:sz="8" w:color="3C9673"/>
            </w:tcBorders>
          </w:tcPr>
          <w:p>
            <w:pPr>
              <w:spacing w:after="0"/>
              <w:rPr>
                <w:sz w:val="14"/>
                <w:szCs w:val="14"/>
                <w:color w:val="auto"/>
              </w:rPr>
            </w:pPr>
          </w:p>
        </w:tc>
        <w:tc>
          <w:tcPr>
            <w:tcW w:w="560" w:type="dxa"/>
            <w:vAlign w:val="bottom"/>
            <w:tcBorders>
              <w:bottom w:val="single" w:sz="8" w:color="3C9673"/>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148"/>
        </w:trPr>
        <w:tc>
          <w:tcPr>
            <w:tcW w:w="1880" w:type="dxa"/>
            <w:vAlign w:val="bottom"/>
            <w:tcBorders>
              <w:bottom w:val="single" w:sz="8" w:color="DBDBDB"/>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bottom w:val="single" w:sz="8" w:color="DBDBDB"/>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Adjuvant pancreatic ductal adenocarcinoma</w:t>
            </w:r>
          </w:p>
        </w:tc>
        <w:tc>
          <w:tcPr>
            <w:tcW w:w="52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16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560" w:type="dxa"/>
            <w:vAlign w:val="bottom"/>
            <w:tcBorders>
              <w:bottom w:val="single" w:sz="8" w:color="3C9673"/>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5A64"/>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40" w:type="dxa"/>
            <w:vAlign w:val="bottom"/>
            <w:gridSpan w:val="2"/>
          </w:tcPr>
          <w:p>
            <w:pPr>
              <w:ind w:left="20"/>
              <w:spacing w:after="0" w:line="69" w:lineRule="exact"/>
              <w:rPr>
                <w:sz w:val="20"/>
                <w:szCs w:val="20"/>
                <w:color w:val="auto"/>
              </w:rPr>
            </w:pPr>
            <w:r>
              <w:rPr>
                <w:rFonts w:ascii="Arial" w:cs="Arial" w:eastAsia="Arial" w:hAnsi="Arial"/>
                <w:sz w:val="7"/>
                <w:szCs w:val="7"/>
                <w:color w:val="005A64"/>
              </w:rPr>
              <w:t>(sLea)</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restart"/>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Metastatic pancreatic cancer (sLea)</w:t>
            </w:r>
          </w:p>
        </w:tc>
        <w:tc>
          <w:tcPr>
            <w:tcW w:w="52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HR+/HER2-low metastatic breast cancer</w:t>
            </w:r>
          </w:p>
        </w:tc>
        <w:tc>
          <w:tcPr>
            <w:tcW w:w="52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16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56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160" w:type="dxa"/>
            <w:vAlign w:val="bottom"/>
            <w:tcBorders>
              <w:bottom w:val="single" w:sz="8" w:color="3C9673"/>
            </w:tcBorders>
          </w:tcPr>
          <w:p>
            <w:pPr>
              <w:spacing w:after="0"/>
              <w:rPr>
                <w:sz w:val="12"/>
                <w:szCs w:val="12"/>
                <w:color w:val="auto"/>
              </w:rPr>
            </w:pPr>
          </w:p>
        </w:tc>
        <w:tc>
          <w:tcPr>
            <w:tcW w:w="60" w:type="dxa"/>
            <w:vAlign w:val="bottom"/>
            <w:tcBorders>
              <w:bottom w:val="single" w:sz="8" w:color="3C9673"/>
            </w:tcBorders>
          </w:tcPr>
          <w:p>
            <w:pPr>
              <w:spacing w:after="0"/>
              <w:rPr>
                <w:sz w:val="12"/>
                <w:szCs w:val="12"/>
                <w:color w:val="auto"/>
              </w:rPr>
            </w:pPr>
          </w:p>
        </w:tc>
        <w:tc>
          <w:tcPr>
            <w:tcW w:w="54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140" w:type="dxa"/>
            <w:vAlign w:val="bottom"/>
            <w:tcBorders>
              <w:bottom w:val="single" w:sz="8" w:color="3C9673"/>
            </w:tcBorders>
          </w:tcPr>
          <w:p>
            <w:pPr>
              <w:spacing w:after="0"/>
              <w:rPr>
                <w:sz w:val="12"/>
                <w:szCs w:val="12"/>
                <w:color w:val="auto"/>
              </w:rPr>
            </w:pPr>
          </w:p>
        </w:tc>
        <w:tc>
          <w:tcPr>
            <w:tcW w:w="80" w:type="dxa"/>
            <w:vAlign w:val="bottom"/>
            <w:tcBorders>
              <w:bottom w:val="single" w:sz="8" w:color="3C9673"/>
            </w:tcBorders>
          </w:tcPr>
          <w:p>
            <w:pPr>
              <w:spacing w:after="0"/>
              <w:rPr>
                <w:sz w:val="12"/>
                <w:szCs w:val="12"/>
                <w:color w:val="auto"/>
              </w:rPr>
            </w:pPr>
          </w:p>
        </w:tc>
        <w:tc>
          <w:tcPr>
            <w:tcW w:w="540" w:type="dxa"/>
            <w:vAlign w:val="bottom"/>
            <w:tcBorders>
              <w:bottom w:val="single" w:sz="8" w:color="3C9673"/>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005A64"/>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40" w:type="dxa"/>
            <w:vAlign w:val="bottom"/>
            <w:gridSpan w:val="2"/>
          </w:tcPr>
          <w:p>
            <w:pPr>
              <w:ind w:left="20"/>
              <w:spacing w:after="0" w:line="69" w:lineRule="exact"/>
              <w:rPr>
                <w:sz w:val="20"/>
                <w:szCs w:val="20"/>
                <w:color w:val="auto"/>
              </w:rPr>
            </w:pPr>
            <w:r>
              <w:rPr>
                <w:rFonts w:ascii="Arial" w:cs="Arial" w:eastAsia="Arial" w:hAnsi="Arial"/>
                <w:sz w:val="7"/>
                <w:szCs w:val="7"/>
                <w:color w:val="005A64"/>
              </w:rPr>
              <w:t>(HER2)</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 (HER2)</w:t>
            </w:r>
          </w:p>
        </w:tc>
        <w:tc>
          <w:tcPr>
            <w:tcW w:w="520" w:type="dxa"/>
            <w:vAlign w:val="bottom"/>
            <w:tcBorders>
              <w:bottom w:val="single" w:sz="8" w:color="3C9673"/>
            </w:tcBorders>
          </w:tcPr>
          <w:p>
            <w:pPr>
              <w:spacing w:after="0"/>
              <w:rPr>
                <w:sz w:val="15"/>
                <w:szCs w:val="15"/>
                <w:color w:val="auto"/>
              </w:rPr>
            </w:pPr>
          </w:p>
        </w:tc>
        <w:tc>
          <w:tcPr>
            <w:tcW w:w="80" w:type="dxa"/>
            <w:vAlign w:val="bottom"/>
            <w:tcBorders>
              <w:bottom w:val="single" w:sz="8" w:color="3C9673"/>
            </w:tcBorders>
          </w:tcPr>
          <w:p>
            <w:pPr>
              <w:spacing w:after="0"/>
              <w:rPr>
                <w:sz w:val="15"/>
                <w:szCs w:val="15"/>
                <w:color w:val="auto"/>
              </w:rPr>
            </w:pPr>
          </w:p>
        </w:tc>
        <w:tc>
          <w:tcPr>
            <w:tcW w:w="160" w:type="dxa"/>
            <w:vAlign w:val="bottom"/>
            <w:tcBorders>
              <w:bottom w:val="single" w:sz="8" w:color="3C9673"/>
            </w:tcBorders>
          </w:tcPr>
          <w:p>
            <w:pPr>
              <w:spacing w:after="0"/>
              <w:rPr>
                <w:sz w:val="15"/>
                <w:szCs w:val="15"/>
                <w:color w:val="auto"/>
              </w:rPr>
            </w:pPr>
          </w:p>
        </w:tc>
        <w:tc>
          <w:tcPr>
            <w:tcW w:w="80" w:type="dxa"/>
            <w:vAlign w:val="bottom"/>
            <w:tcBorders>
              <w:bottom w:val="single" w:sz="8" w:color="3C9673"/>
            </w:tcBorders>
          </w:tcPr>
          <w:p>
            <w:pPr>
              <w:spacing w:after="0"/>
              <w:rPr>
                <w:sz w:val="15"/>
                <w:szCs w:val="15"/>
                <w:color w:val="auto"/>
              </w:rPr>
            </w:pPr>
          </w:p>
        </w:tc>
        <w:tc>
          <w:tcPr>
            <w:tcW w:w="560" w:type="dxa"/>
            <w:vAlign w:val="bottom"/>
            <w:tcBorders>
              <w:bottom w:val="single" w:sz="8" w:color="3C9673"/>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109"/>
        </w:trPr>
        <w:tc>
          <w:tcPr>
            <w:tcW w:w="2040" w:type="dxa"/>
            <w:vAlign w:val="bottom"/>
            <w:gridSpan w:val="2"/>
            <w:vMerge w:val="restart"/>
          </w:tcPr>
          <w:p>
            <w:pPr>
              <w:ind w:left="20"/>
              <w:spacing w:after="0"/>
              <w:rPr>
                <w:sz w:val="20"/>
                <w:szCs w:val="20"/>
                <w:color w:val="auto"/>
              </w:rPr>
            </w:pPr>
            <w:r>
              <w:rPr>
                <w:rFonts w:ascii="Arial" w:cs="Arial" w:eastAsia="Arial" w:hAnsi="Arial"/>
                <w:sz w:val="9"/>
                <w:szCs w:val="9"/>
                <w:color w:val="005A64"/>
              </w:rPr>
              <w:t>Multiple solid tumors (B7H3)</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40" w:type="dxa"/>
            <w:vAlign w:val="bottom"/>
            <w:gridSpan w:val="2"/>
            <w:vMerge w:val="continue"/>
          </w:tcPr>
          <w:p>
            <w:pPr>
              <w:spacing w:after="0"/>
              <w:rPr>
                <w:sz w:val="9"/>
                <w:szCs w:val="9"/>
                <w:color w:val="auto"/>
              </w:rPr>
            </w:pPr>
          </w:p>
        </w:tc>
        <w:tc>
          <w:tcPr>
            <w:tcW w:w="52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5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 (TROP2)</w:t>
            </w:r>
          </w:p>
        </w:tc>
        <w:tc>
          <w:tcPr>
            <w:tcW w:w="52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16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560" w:type="dxa"/>
            <w:vAlign w:val="bottom"/>
            <w:tcBorders>
              <w:bottom w:val="single" w:sz="8" w:color="3C9673"/>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8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40" w:type="dxa"/>
            <w:vAlign w:val="bottom"/>
            <w:gridSpan w:val="2"/>
            <w:vMerge w:val="restart"/>
          </w:tcPr>
          <w:p>
            <w:pPr>
              <w:ind w:left="20"/>
              <w:spacing w:after="0"/>
              <w:rPr>
                <w:sz w:val="20"/>
                <w:szCs w:val="20"/>
                <w:color w:val="auto"/>
              </w:rPr>
            </w:pPr>
            <w:r>
              <w:rPr>
                <w:rFonts w:ascii="Arial" w:cs="Arial" w:eastAsia="Arial" w:hAnsi="Arial"/>
                <w:sz w:val="9"/>
                <w:szCs w:val="9"/>
                <w:color w:val="005A64"/>
              </w:rPr>
              <w:t>Multiple solid tumors (HER3)</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82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81"/>
        </w:trPr>
        <w:tc>
          <w:tcPr>
            <w:tcW w:w="2040" w:type="dxa"/>
            <w:vAlign w:val="bottom"/>
            <w:gridSpan w:val="2"/>
            <w:vMerge w:val="continue"/>
          </w:tcPr>
          <w:p>
            <w:pPr>
              <w:spacing w:after="0"/>
              <w:rPr>
                <w:sz w:val="7"/>
                <w:szCs w:val="7"/>
                <w:color w:val="auto"/>
              </w:rPr>
            </w:pPr>
          </w:p>
        </w:tc>
        <w:tc>
          <w:tcPr>
            <w:tcW w:w="520" w:type="dxa"/>
            <w:vAlign w:val="bottom"/>
            <w:shd w:val="clear" w:color="auto" w:fill="3C9673"/>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005A64"/>
            </w:tcBorders>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88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8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005A64"/>
            </w:tcBorders>
          </w:tcPr>
          <w:p>
            <w:pPr>
              <w:spacing w:after="0"/>
              <w:rPr>
                <w:sz w:val="10"/>
                <w:szCs w:val="10"/>
                <w:color w:val="auto"/>
              </w:rPr>
            </w:pPr>
          </w:p>
        </w:tc>
        <w:tc>
          <w:tcPr>
            <w:tcW w:w="8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005A64"/>
            </w:tcBorders>
          </w:tcPr>
          <w:p>
            <w:pPr>
              <w:spacing w:after="0"/>
              <w:rPr>
                <w:sz w:val="10"/>
                <w:szCs w:val="10"/>
                <w:color w:val="auto"/>
              </w:rPr>
            </w:pPr>
          </w:p>
        </w:tc>
        <w:tc>
          <w:tcPr>
            <w:tcW w:w="80" w:type="dxa"/>
            <w:vAlign w:val="bottom"/>
            <w:tcBorders>
              <w:bottom w:val="single" w:sz="8" w:color="005A64"/>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005A64"/>
            </w:tcBorders>
          </w:tcPr>
          <w:p>
            <w:pPr>
              <w:spacing w:after="0"/>
              <w:rPr>
                <w:sz w:val="10"/>
                <w:szCs w:val="10"/>
                <w:color w:val="auto"/>
              </w:rPr>
            </w:pPr>
          </w:p>
        </w:tc>
        <w:tc>
          <w:tcPr>
            <w:tcW w:w="8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40" w:type="dxa"/>
            <w:vAlign w:val="bottom"/>
            <w:gridSpan w:val="2"/>
          </w:tcPr>
          <w:p>
            <w:pPr>
              <w:ind w:left="20"/>
              <w:spacing w:after="0"/>
              <w:rPr>
                <w:sz w:val="20"/>
                <w:szCs w:val="20"/>
                <w:color w:val="auto"/>
              </w:rPr>
            </w:pPr>
            <w:r>
              <w:rPr>
                <w:rFonts w:ascii="Arial" w:cs="Arial" w:eastAsia="Arial" w:hAnsi="Arial"/>
                <w:sz w:val="9"/>
                <w:szCs w:val="9"/>
                <w:color w:val="005A64"/>
              </w:rPr>
              <w:t>Multiple solid tumors (TLR7)</w:t>
            </w:r>
          </w:p>
        </w:tc>
        <w:tc>
          <w:tcPr>
            <w:tcW w:w="52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5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94"/>
        </w:trPr>
        <w:tc>
          <w:tcPr>
            <w:tcW w:w="18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-2630805</wp:posOffset>
            </wp:positionV>
            <wp:extent cx="1778635" cy="26358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78635" cy="263588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-2939415</wp:posOffset>
            </wp:positionV>
            <wp:extent cx="111125"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342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-3093720</wp:posOffset>
            </wp:positionV>
            <wp:extent cx="111125"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005A64"/>
        </w:rPr>
        <w:t>Genmab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5829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9"/>
          <w:szCs w:val="9"/>
          <w:color w:val="005A64"/>
        </w:rPr>
        <w:t>OncoC4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5829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9"/>
          <w:szCs w:val="9"/>
          <w:color w:val="auto"/>
        </w:rPr>
        <w:t>Biotheus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5829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336" w:lineRule="exact"/>
        <w:rPr>
          <w:sz w:val="20"/>
          <w:szCs w:val="20"/>
          <w:color w:val="auto"/>
        </w:rPr>
      </w:pPr>
    </w:p>
    <w:p>
      <w:pPr>
        <w:ind w:right="220"/>
        <w:spacing w:after="0" w:line="282" w:lineRule="auto"/>
        <w:rPr>
          <w:sz w:val="20"/>
          <w:szCs w:val="20"/>
          <w:color w:val="auto"/>
        </w:rPr>
      </w:pPr>
      <w:r>
        <w:rPr>
          <w:rFonts w:ascii="Arial" w:cs="Arial" w:eastAsia="Arial" w:hAnsi="Arial"/>
          <w:sz w:val="9"/>
          <w:szCs w:val="9"/>
          <w:color w:val="005A64"/>
        </w:rPr>
        <w:t>Biotheus / Duality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391160</wp:posOffset>
            </wp:positionV>
            <wp:extent cx="5829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39370</wp:posOffset>
            </wp:positionV>
            <wp:extent cx="5829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9"/>
          <w:szCs w:val="9"/>
          <w:color w:val="005A64"/>
        </w:rPr>
        <w:t>Duality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5829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9"/>
          <w:szCs w:val="9"/>
          <w:color w:val="005A64"/>
        </w:rPr>
        <w:t>MediLink</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5829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37465</wp:posOffset>
            </wp:positionV>
            <wp:extent cx="5829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515" w:lineRule="exact"/>
        <w:rPr>
          <w:sz w:val="20"/>
          <w:szCs w:val="20"/>
          <w:color w:val="auto"/>
        </w:rPr>
      </w:pPr>
    </w:p>
    <w:p>
      <w:pPr>
        <w:sectPr>
          <w:pgSz w:w="11900" w:h="16838" w:orient="portrait"/>
          <w:cols w:equalWidth="0" w:num="5">
            <w:col w:w="600" w:space="320"/>
            <w:col w:w="1160" w:space="380"/>
            <w:col w:w="1020" w:space="400"/>
            <w:col w:w="6240" w:space="180"/>
            <w:col w:w="920"/>
          </w:cols>
          <w:pgMar w:left="34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340" w:top="34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5A64"/>
        </w:rPr>
        <w:t>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2343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6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Drug class</w:t>
            </w:r>
          </w:p>
        </w:tc>
        <w:tc>
          <w:tcPr>
            <w:tcW w:w="140" w:type="dxa"/>
            <w:vAlign w:val="bottom"/>
          </w:tcPr>
          <w:p>
            <w:pPr>
              <w:spacing w:after="0"/>
              <w:rPr>
                <w:sz w:val="14"/>
                <w:szCs w:val="14"/>
                <w:color w:val="auto"/>
              </w:rPr>
            </w:pPr>
          </w:p>
        </w:tc>
        <w:tc>
          <w:tcPr>
            <w:tcW w:w="138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Product candidate</w:t>
            </w:r>
          </w:p>
        </w:tc>
        <w:tc>
          <w:tcPr>
            <w:tcW w:w="140" w:type="dxa"/>
            <w:vAlign w:val="bottom"/>
          </w:tcPr>
          <w:p>
            <w:pPr>
              <w:spacing w:after="0"/>
              <w:rPr>
                <w:sz w:val="14"/>
                <w:szCs w:val="14"/>
                <w:color w:val="auto"/>
              </w:rPr>
            </w:pPr>
          </w:p>
        </w:tc>
        <w:tc>
          <w:tcPr>
            <w:tcW w:w="146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Indication</w:t>
            </w:r>
          </w:p>
        </w:tc>
        <w:tc>
          <w:tcPr>
            <w:tcW w:w="160" w:type="dxa"/>
            <w:vAlign w:val="bottom"/>
          </w:tcPr>
          <w:p>
            <w:pPr>
              <w:spacing w:after="0"/>
              <w:rPr>
                <w:sz w:val="14"/>
                <w:szCs w:val="14"/>
                <w:color w:val="auto"/>
              </w:rPr>
            </w:pPr>
          </w:p>
        </w:tc>
        <w:tc>
          <w:tcPr>
            <w:tcW w:w="660" w:type="dxa"/>
            <w:vAlign w:val="bottom"/>
            <w:tcBorders>
              <w:bottom w:val="single" w:sz="8" w:color="005A64"/>
            </w:tcBorders>
          </w:tcPr>
          <w:p>
            <w:pPr>
              <w:ind w:left="200"/>
              <w:spacing w:after="0"/>
              <w:rPr>
                <w:sz w:val="20"/>
                <w:szCs w:val="20"/>
                <w:color w:val="auto"/>
              </w:rPr>
            </w:pPr>
            <w:r>
              <w:rPr>
                <w:rFonts w:ascii="Arial" w:cs="Arial" w:eastAsia="Arial" w:hAnsi="Arial"/>
                <w:sz w:val="9"/>
                <w:szCs w:val="9"/>
                <w:b w:val="1"/>
                <w:bCs w:val="1"/>
                <w:color w:val="005A64"/>
              </w:rPr>
              <w:t>Phase 1</w:t>
            </w:r>
          </w:p>
        </w:tc>
        <w:tc>
          <w:tcPr>
            <w:tcW w:w="80" w:type="dxa"/>
            <w:vAlign w:val="bottom"/>
            <w:tcBorders>
              <w:bottom w:val="single" w:sz="8" w:color="005A64"/>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005A64"/>
            </w:tcBorders>
          </w:tcPr>
          <w:p>
            <w:pPr>
              <w:ind w:left="160"/>
              <w:spacing w:after="0"/>
              <w:rPr>
                <w:sz w:val="20"/>
                <w:szCs w:val="20"/>
                <w:color w:val="auto"/>
              </w:rPr>
            </w:pPr>
            <w:r>
              <w:rPr>
                <w:rFonts w:ascii="Arial" w:cs="Arial" w:eastAsia="Arial" w:hAnsi="Arial"/>
                <w:sz w:val="9"/>
                <w:szCs w:val="9"/>
                <w:b w:val="1"/>
                <w:bCs w:val="1"/>
                <w:color w:val="005A64"/>
              </w:rPr>
              <w:t>Phase 1/2</w:t>
            </w:r>
          </w:p>
        </w:tc>
        <w:tc>
          <w:tcPr>
            <w:tcW w:w="80" w:type="dxa"/>
            <w:vAlign w:val="bottom"/>
            <w:tcBorders>
              <w:bottom w:val="single" w:sz="8" w:color="005A64"/>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005A64"/>
            </w:tcBorders>
          </w:tcPr>
          <w:p>
            <w:pPr>
              <w:ind w:left="200"/>
              <w:spacing w:after="0"/>
              <w:rPr>
                <w:sz w:val="20"/>
                <w:szCs w:val="20"/>
                <w:color w:val="auto"/>
              </w:rPr>
            </w:pPr>
            <w:r>
              <w:rPr>
                <w:rFonts w:ascii="Arial" w:cs="Arial" w:eastAsia="Arial" w:hAnsi="Arial"/>
                <w:sz w:val="9"/>
                <w:szCs w:val="9"/>
                <w:b w:val="1"/>
                <w:bCs w:val="1"/>
                <w:color w:val="005A64"/>
              </w:rPr>
              <w:t>Phase 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005A64"/>
            </w:tcBorders>
          </w:tcPr>
          <w:p>
            <w:pPr>
              <w:ind w:left="200"/>
              <w:spacing w:after="0"/>
              <w:rPr>
                <w:sz w:val="20"/>
                <w:szCs w:val="20"/>
                <w:color w:val="auto"/>
              </w:rPr>
            </w:pPr>
            <w:r>
              <w:rPr>
                <w:rFonts w:ascii="Arial" w:cs="Arial" w:eastAsia="Arial" w:hAnsi="Arial"/>
                <w:sz w:val="9"/>
                <w:szCs w:val="9"/>
                <w:b w:val="1"/>
                <w:bCs w:val="1"/>
                <w:color w:val="005A64"/>
              </w:rPr>
              <w:t>Phase 3</w:t>
            </w:r>
          </w:p>
        </w:tc>
        <w:tc>
          <w:tcPr>
            <w:tcW w:w="80" w:type="dxa"/>
            <w:vAlign w:val="bottom"/>
            <w:tcBorders>
              <w:bottom w:val="single" w:sz="8" w:color="005A64"/>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005A64"/>
            </w:tcBorders>
          </w:tcPr>
          <w:p>
            <w:pPr>
              <w:ind w:left="140"/>
              <w:spacing w:after="0"/>
              <w:rPr>
                <w:sz w:val="20"/>
                <w:szCs w:val="20"/>
                <w:color w:val="auto"/>
              </w:rPr>
            </w:pPr>
            <w:r>
              <w:rPr>
                <w:rFonts w:ascii="Arial" w:cs="Arial" w:eastAsia="Arial" w:hAnsi="Arial"/>
                <w:sz w:val="9"/>
                <w:szCs w:val="9"/>
                <w:b w:val="1"/>
                <w:bCs w:val="1"/>
                <w:color w:val="005A64"/>
              </w:rPr>
              <w:t>Commercial</w:t>
            </w:r>
          </w:p>
        </w:tc>
        <w:tc>
          <w:tcPr>
            <w:tcW w:w="80" w:type="dxa"/>
            <w:vAlign w:val="bottom"/>
            <w:tcBorders>
              <w:bottom w:val="single" w:sz="8" w:color="005A64"/>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005A64"/>
            </w:tcBorders>
          </w:tcPr>
          <w:p>
            <w:pPr>
              <w:ind w:left="20"/>
              <w:spacing w:after="0"/>
              <w:rPr>
                <w:sz w:val="20"/>
                <w:szCs w:val="20"/>
                <w:color w:val="auto"/>
              </w:rPr>
            </w:pPr>
            <w:r>
              <w:rPr>
                <w:rFonts w:ascii="Arial" w:cs="Arial" w:eastAsia="Arial" w:hAnsi="Arial"/>
                <w:sz w:val="9"/>
                <w:szCs w:val="9"/>
                <w:b w:val="1"/>
                <w:bCs w:val="1"/>
                <w:color w:val="005A64"/>
              </w:rPr>
              <w:t>BioNTech rights</w:t>
            </w:r>
            <w:r>
              <w:rPr>
                <w:rFonts w:ascii="Arial" w:cs="Arial" w:eastAsia="Arial" w:hAnsi="Arial"/>
                <w:sz w:val="11"/>
                <w:szCs w:val="11"/>
                <w:b w:val="1"/>
                <w:bCs w:val="1"/>
                <w:color w:val="005A64"/>
                <w:vertAlign w:val="superscript"/>
              </w:rPr>
              <w:t>(1)</w:t>
            </w:r>
          </w:p>
        </w:tc>
        <w:tc>
          <w:tcPr>
            <w:tcW w:w="0" w:type="dxa"/>
            <w:vAlign w:val="bottom"/>
          </w:tcPr>
          <w:p>
            <w:pPr>
              <w:spacing w:after="0"/>
              <w:rPr>
                <w:sz w:val="1"/>
                <w:szCs w:val="1"/>
                <w:color w:val="auto"/>
              </w:rPr>
            </w:pPr>
          </w:p>
        </w:tc>
      </w:tr>
      <w:tr>
        <w:trPr>
          <w:trHeight w:val="92"/>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9"/>
                <w:szCs w:val="9"/>
                <w:color w:val="005A64"/>
              </w:rPr>
              <w:t>BNT162b2</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COVID-19</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60" w:type="dxa"/>
            <w:vAlign w:val="bottom"/>
            <w:shd w:val="clear" w:color="auto" w:fill="005A64"/>
          </w:tcPr>
          <w:p>
            <w:pPr>
              <w:spacing w:after="0"/>
              <w:rPr>
                <w:sz w:val="7"/>
                <w:szCs w:val="7"/>
                <w:color w:val="auto"/>
              </w:rPr>
            </w:pPr>
          </w:p>
        </w:tc>
        <w:tc>
          <w:tcPr>
            <w:tcW w:w="80" w:type="dxa"/>
            <w:vAlign w:val="bottom"/>
            <w:shd w:val="clear" w:color="auto" w:fill="005A64"/>
          </w:tcPr>
          <w:p>
            <w:pPr>
              <w:spacing w:after="0"/>
              <w:rPr>
                <w:sz w:val="7"/>
                <w:szCs w:val="7"/>
                <w:color w:val="auto"/>
              </w:rPr>
            </w:pPr>
          </w:p>
        </w:tc>
        <w:tc>
          <w:tcPr>
            <w:tcW w:w="140" w:type="dxa"/>
            <w:vAlign w:val="bottom"/>
            <w:tcBorders>
              <w:right w:val="single" w:sz="8" w:color="005A64"/>
            </w:tcBorders>
            <w:shd w:val="clear" w:color="auto" w:fill="005A64"/>
          </w:tcPr>
          <w:p>
            <w:pPr>
              <w:spacing w:after="0"/>
              <w:rPr>
                <w:sz w:val="7"/>
                <w:szCs w:val="7"/>
                <w:color w:val="auto"/>
              </w:rPr>
            </w:pPr>
          </w:p>
        </w:tc>
        <w:tc>
          <w:tcPr>
            <w:tcW w:w="80" w:type="dxa"/>
            <w:vAlign w:val="bottom"/>
            <w:shd w:val="clear" w:color="auto" w:fill="005A64"/>
          </w:tcPr>
          <w:p>
            <w:pPr>
              <w:spacing w:after="0"/>
              <w:rPr>
                <w:sz w:val="7"/>
                <w:szCs w:val="7"/>
                <w:color w:val="auto"/>
              </w:rPr>
            </w:pPr>
          </w:p>
        </w:tc>
        <w:tc>
          <w:tcPr>
            <w:tcW w:w="660" w:type="dxa"/>
            <w:vAlign w:val="bottom"/>
            <w:shd w:val="clear" w:color="auto" w:fill="005A64"/>
          </w:tcPr>
          <w:p>
            <w:pPr>
              <w:spacing w:after="0"/>
              <w:rPr>
                <w:sz w:val="7"/>
                <w:szCs w:val="7"/>
                <w:color w:val="auto"/>
              </w:rPr>
            </w:pPr>
          </w:p>
        </w:tc>
        <w:tc>
          <w:tcPr>
            <w:tcW w:w="80" w:type="dxa"/>
            <w:vAlign w:val="bottom"/>
            <w:shd w:val="clear" w:color="auto" w:fill="005A64"/>
          </w:tcPr>
          <w:p>
            <w:pPr>
              <w:spacing w:after="0"/>
              <w:rPr>
                <w:sz w:val="7"/>
                <w:szCs w:val="7"/>
                <w:color w:val="auto"/>
              </w:rPr>
            </w:pPr>
          </w:p>
        </w:tc>
        <w:tc>
          <w:tcPr>
            <w:tcW w:w="140" w:type="dxa"/>
            <w:vAlign w:val="bottom"/>
            <w:tcBorders>
              <w:right w:val="single" w:sz="8" w:color="005A64"/>
            </w:tcBorders>
            <w:shd w:val="clear" w:color="auto" w:fill="005A64"/>
          </w:tcPr>
          <w:p>
            <w:pPr>
              <w:spacing w:after="0"/>
              <w:rPr>
                <w:sz w:val="7"/>
                <w:szCs w:val="7"/>
                <w:color w:val="auto"/>
              </w:rPr>
            </w:pPr>
          </w:p>
        </w:tc>
        <w:tc>
          <w:tcPr>
            <w:tcW w:w="80" w:type="dxa"/>
            <w:vAlign w:val="bottom"/>
            <w:shd w:val="clear" w:color="auto" w:fill="005A64"/>
          </w:tcPr>
          <w:p>
            <w:pPr>
              <w:spacing w:after="0"/>
              <w:rPr>
                <w:sz w:val="7"/>
                <w:szCs w:val="7"/>
                <w:color w:val="auto"/>
              </w:rPr>
            </w:pPr>
          </w:p>
        </w:tc>
        <w:tc>
          <w:tcPr>
            <w:tcW w:w="740" w:type="dxa"/>
            <w:vAlign w:val="bottom"/>
            <w:shd w:val="clear" w:color="auto" w:fill="005A64"/>
          </w:tcPr>
          <w:p>
            <w:pPr>
              <w:spacing w:after="0"/>
              <w:rPr>
                <w:sz w:val="7"/>
                <w:szCs w:val="7"/>
                <w:color w:val="auto"/>
              </w:rPr>
            </w:pPr>
          </w:p>
        </w:tc>
        <w:tc>
          <w:tcPr>
            <w:tcW w:w="140" w:type="dxa"/>
            <w:vAlign w:val="bottom"/>
            <w:tcBorders>
              <w:right w:val="single" w:sz="8" w:color="005A64"/>
            </w:tcBorders>
            <w:shd w:val="clear" w:color="auto" w:fill="005A64"/>
          </w:tcPr>
          <w:p>
            <w:pPr>
              <w:spacing w:after="0"/>
              <w:rPr>
                <w:sz w:val="7"/>
                <w:szCs w:val="7"/>
                <w:color w:val="auto"/>
              </w:rPr>
            </w:pPr>
          </w:p>
        </w:tc>
        <w:tc>
          <w:tcPr>
            <w:tcW w:w="80" w:type="dxa"/>
            <w:vAlign w:val="bottom"/>
            <w:shd w:val="clear" w:color="auto" w:fill="005A64"/>
          </w:tcPr>
          <w:p>
            <w:pPr>
              <w:spacing w:after="0"/>
              <w:rPr>
                <w:sz w:val="7"/>
                <w:szCs w:val="7"/>
                <w:color w:val="auto"/>
              </w:rPr>
            </w:pPr>
          </w:p>
        </w:tc>
        <w:tc>
          <w:tcPr>
            <w:tcW w:w="640" w:type="dxa"/>
            <w:vAlign w:val="bottom"/>
            <w:shd w:val="clear" w:color="auto" w:fill="005A64"/>
          </w:tcPr>
          <w:p>
            <w:pPr>
              <w:spacing w:after="0"/>
              <w:rPr>
                <w:sz w:val="7"/>
                <w:szCs w:val="7"/>
                <w:color w:val="auto"/>
              </w:rPr>
            </w:pPr>
          </w:p>
        </w:tc>
        <w:tc>
          <w:tcPr>
            <w:tcW w:w="80" w:type="dxa"/>
            <w:vAlign w:val="bottom"/>
            <w:shd w:val="clear" w:color="auto" w:fill="005A64"/>
          </w:tcPr>
          <w:p>
            <w:pPr>
              <w:spacing w:after="0"/>
              <w:rPr>
                <w:sz w:val="7"/>
                <w:szCs w:val="7"/>
                <w:color w:val="auto"/>
              </w:rPr>
            </w:pPr>
          </w:p>
        </w:tc>
        <w:tc>
          <w:tcPr>
            <w:tcW w:w="160" w:type="dxa"/>
            <w:vAlign w:val="bottom"/>
            <w:tcBorders>
              <w:right w:val="single" w:sz="8" w:color="005A64"/>
            </w:tcBorders>
            <w:shd w:val="clear" w:color="auto" w:fill="005A64"/>
          </w:tcPr>
          <w:p>
            <w:pPr>
              <w:spacing w:after="0"/>
              <w:rPr>
                <w:sz w:val="7"/>
                <w:szCs w:val="7"/>
                <w:color w:val="auto"/>
              </w:rPr>
            </w:pPr>
          </w:p>
        </w:tc>
        <w:tc>
          <w:tcPr>
            <w:tcW w:w="80" w:type="dxa"/>
            <w:vAlign w:val="bottom"/>
            <w:shd w:val="clear" w:color="auto" w:fill="005A64"/>
          </w:tcPr>
          <w:p>
            <w:pPr>
              <w:spacing w:after="0"/>
              <w:rPr>
                <w:sz w:val="7"/>
                <w:szCs w:val="7"/>
                <w:color w:val="auto"/>
              </w:rPr>
            </w:pPr>
          </w:p>
        </w:tc>
        <w:tc>
          <w:tcPr>
            <w:tcW w:w="7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Borders>
              <w:bottom w:val="single" w:sz="8" w:color="7FACB1"/>
            </w:tcBorders>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gridSpan w:val="2"/>
          </w:tcPr>
          <w:p>
            <w:pPr>
              <w:ind w:left="20"/>
              <w:spacing w:after="0"/>
              <w:rPr>
                <w:sz w:val="20"/>
                <w:szCs w:val="20"/>
                <w:color w:val="auto"/>
              </w:rPr>
            </w:pPr>
            <w:r>
              <w:rPr>
                <w:rFonts w:ascii="Arial" w:cs="Arial" w:eastAsia="Arial" w:hAnsi="Arial"/>
                <w:sz w:val="9"/>
                <w:szCs w:val="9"/>
                <w:color w:val="005A64"/>
              </w:rPr>
              <w:t>BNT162b5/6/7</w:t>
            </w:r>
          </w:p>
        </w:tc>
        <w:tc>
          <w:tcPr>
            <w:tcW w:w="1620" w:type="dxa"/>
            <w:vAlign w:val="bottom"/>
            <w:gridSpan w:val="2"/>
            <w:vMerge w:val="continue"/>
          </w:tcPr>
          <w:p>
            <w:pPr>
              <w:spacing w:after="0"/>
              <w:rPr>
                <w:sz w:val="9"/>
                <w:szCs w:val="9"/>
                <w:color w:val="auto"/>
              </w:rPr>
            </w:pPr>
          </w:p>
        </w:tc>
        <w:tc>
          <w:tcPr>
            <w:tcW w:w="6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740" w:type="dxa"/>
            <w:vAlign w:val="bottom"/>
            <w:tcBorders>
              <w:bottom w:val="single" w:sz="8" w:color="3C9673"/>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9"/>
                <w:szCs w:val="9"/>
                <w:color w:val="005A64"/>
              </w:rPr>
              <w:t>BNT162b + BNT162b4</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3C9673"/>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9"/>
                <w:szCs w:val="9"/>
                <w:color w:val="005A64"/>
              </w:rPr>
              <w:t>BNT162b2+BNT161</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COVID-19 – Influenza combination</w:t>
            </w:r>
          </w:p>
        </w:tc>
        <w:tc>
          <w:tcPr>
            <w:tcW w:w="66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14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66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14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740" w:type="dxa"/>
            <w:vAlign w:val="bottom"/>
            <w:tcBorders>
              <w:bottom w:val="single" w:sz="8" w:color="3C9673"/>
            </w:tcBorders>
          </w:tcPr>
          <w:p>
            <w:pPr>
              <w:spacing w:after="0"/>
              <w:rPr>
                <w:sz w:val="19"/>
                <w:szCs w:val="19"/>
                <w:color w:val="auto"/>
              </w:rPr>
            </w:pPr>
          </w:p>
        </w:tc>
        <w:tc>
          <w:tcPr>
            <w:tcW w:w="140" w:type="dxa"/>
            <w:vAlign w:val="bottom"/>
            <w:tcBorders>
              <w:bottom w:val="single" w:sz="8" w:color="3C9673"/>
            </w:tcBorders>
          </w:tcPr>
          <w:p>
            <w:pPr>
              <w:spacing w:after="0"/>
              <w:rPr>
                <w:sz w:val="19"/>
                <w:szCs w:val="19"/>
                <w:color w:val="auto"/>
              </w:rPr>
            </w:pPr>
          </w:p>
        </w:tc>
        <w:tc>
          <w:tcPr>
            <w:tcW w:w="80" w:type="dxa"/>
            <w:vAlign w:val="bottom"/>
            <w:tcBorders>
              <w:bottom w:val="single" w:sz="8" w:color="3C9673"/>
            </w:tcBorders>
          </w:tcPr>
          <w:p>
            <w:pPr>
              <w:spacing w:after="0"/>
              <w:rPr>
                <w:sz w:val="19"/>
                <w:szCs w:val="19"/>
                <w:color w:val="auto"/>
              </w:rPr>
            </w:pPr>
          </w:p>
        </w:tc>
        <w:tc>
          <w:tcPr>
            <w:tcW w:w="640" w:type="dxa"/>
            <w:vAlign w:val="bottom"/>
            <w:tcBorders>
              <w:bottom w:val="single" w:sz="8" w:color="3C9673"/>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005A64"/>
              </w:rPr>
              <w:t>mRNA</w:t>
            </w:r>
          </w:p>
        </w:tc>
        <w:tc>
          <w:tcPr>
            <w:tcW w:w="1520" w:type="dxa"/>
            <w:vAlign w:val="bottom"/>
            <w:gridSpan w:val="2"/>
            <w:vMerge w:val="restart"/>
          </w:tcPr>
          <w:p>
            <w:pPr>
              <w:ind w:left="20"/>
              <w:spacing w:after="0"/>
              <w:rPr>
                <w:sz w:val="20"/>
                <w:szCs w:val="20"/>
                <w:color w:val="auto"/>
              </w:rPr>
            </w:pPr>
            <w:r>
              <w:rPr>
                <w:rFonts w:ascii="Arial" w:cs="Arial" w:eastAsia="Arial" w:hAnsi="Arial"/>
                <w:sz w:val="9"/>
                <w:szCs w:val="9"/>
                <w:color w:val="005A64"/>
              </w:rPr>
              <w:t>BNT161</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Influenza</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r>
              <w:rPr>
                <w:rFonts w:ascii="Arial" w:cs="Arial" w:eastAsia="Arial" w:hAnsi="Arial"/>
                <w:sz w:val="14"/>
                <w:szCs w:val="14"/>
                <w:color w:val="005A64"/>
                <w:vertAlign w:val="superscript"/>
              </w:rPr>
              <w:t>(5)</w:t>
            </w:r>
          </w:p>
        </w:tc>
        <w:tc>
          <w:tcPr>
            <w:tcW w:w="0" w:type="dxa"/>
            <w:vAlign w:val="bottom"/>
          </w:tcPr>
          <w:p>
            <w:pPr>
              <w:spacing w:after="0"/>
              <w:rPr>
                <w:sz w:val="1"/>
                <w:szCs w:val="1"/>
                <w:color w:val="auto"/>
              </w:rPr>
            </w:pPr>
          </w:p>
        </w:tc>
      </w:tr>
      <w:tr>
        <w:trPr>
          <w:trHeight w:val="81"/>
        </w:trPr>
        <w:tc>
          <w:tcPr>
            <w:tcW w:w="900" w:type="dxa"/>
            <w:vAlign w:val="bottom"/>
            <w:gridSpan w:val="2"/>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60" w:type="dxa"/>
            <w:vAlign w:val="bottom"/>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660" w:type="dxa"/>
            <w:vAlign w:val="bottom"/>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74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640" w:type="dxa"/>
            <w:vAlign w:val="bottom"/>
            <w:shd w:val="clear" w:color="auto" w:fill="3C9673"/>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00" w:type="dxa"/>
            <w:vAlign w:val="bottom"/>
            <w:gridSpan w:val="2"/>
            <w:vMerge w:val="continue"/>
          </w:tcPr>
          <w:p>
            <w:pPr>
              <w:spacing w:after="0"/>
              <w:rPr>
                <w:sz w:val="11"/>
                <w:szCs w:val="11"/>
                <w:color w:val="auto"/>
              </w:rPr>
            </w:pPr>
          </w:p>
        </w:tc>
        <w:tc>
          <w:tcPr>
            <w:tcW w:w="13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7FACB1"/>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900" w:type="dxa"/>
            <w:vAlign w:val="bottom"/>
            <w:gridSpan w:val="2"/>
            <w:vMerge w:val="continue"/>
          </w:tcPr>
          <w:p>
            <w:pPr>
              <w:spacing w:after="0"/>
              <w:rPr>
                <w:sz w:val="5"/>
                <w:szCs w:val="5"/>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9"/>
                <w:szCs w:val="9"/>
                <w:color w:val="005A64"/>
              </w:rPr>
              <w:t>BNT163</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HSV</w:t>
            </w: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63"/>
        </w:trPr>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660" w:type="dxa"/>
            <w:vAlign w:val="bottom"/>
            <w:shd w:val="clear" w:color="auto" w:fill="3C9673"/>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Arial" w:cs="Arial" w:eastAsia="Arial" w:hAnsi="Arial"/>
                <w:sz w:val="9"/>
                <w:szCs w:val="9"/>
                <w:color w:val="005A64"/>
              </w:rPr>
              <w:t>BNT164</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Tuberculosis</w:t>
            </w:r>
            <w:r>
              <w:rPr>
                <w:rFonts w:ascii="Arial" w:cs="Arial" w:eastAsia="Arial" w:hAnsi="Arial"/>
                <w:sz w:val="11"/>
                <w:szCs w:val="11"/>
                <w:color w:val="005A64"/>
                <w:vertAlign w:val="superscript"/>
              </w:rPr>
              <w:t>(6)</w:t>
            </w:r>
          </w:p>
        </w:tc>
        <w:tc>
          <w:tcPr>
            <w:tcW w:w="660" w:type="dxa"/>
            <w:vAlign w:val="bottom"/>
            <w:tcBorders>
              <w:bottom w:val="single" w:sz="8" w:color="3C9673"/>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bottom w:val="single" w:sz="8" w:color="7FACB1"/>
            </w:tcBorders>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Borders>
              <w:bottom w:val="single" w:sz="8" w:color="7FACB1"/>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9"/>
                <w:szCs w:val="9"/>
                <w:color w:val="005A64"/>
              </w:rPr>
              <w:t>BNT165</w:t>
            </w:r>
          </w:p>
        </w:tc>
        <w:tc>
          <w:tcPr>
            <w:tcW w:w="1620" w:type="dxa"/>
            <w:vAlign w:val="bottom"/>
            <w:gridSpan w:val="2"/>
            <w:vMerge w:val="restart"/>
          </w:tcPr>
          <w:p>
            <w:pPr>
              <w:ind w:left="20"/>
              <w:spacing w:after="0"/>
              <w:rPr>
                <w:sz w:val="20"/>
                <w:szCs w:val="20"/>
                <w:color w:val="auto"/>
              </w:rPr>
            </w:pPr>
            <w:r>
              <w:rPr>
                <w:rFonts w:ascii="Arial" w:cs="Arial" w:eastAsia="Arial" w:hAnsi="Arial"/>
                <w:sz w:val="9"/>
                <w:szCs w:val="9"/>
                <w:color w:val="005A64"/>
              </w:rPr>
              <w:t>Malaria</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660" w:type="dxa"/>
            <w:vAlign w:val="bottom"/>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140" w:type="dxa"/>
            <w:vAlign w:val="bottom"/>
            <w:tcBorders>
              <w:right w:val="single" w:sz="8" w:color="005A64"/>
            </w:tcBorders>
            <w:shd w:val="clear" w:color="auto" w:fill="3C9673"/>
          </w:tcPr>
          <w:p>
            <w:pPr>
              <w:spacing w:after="0"/>
              <w:rPr>
                <w:sz w:val="7"/>
                <w:szCs w:val="7"/>
                <w:color w:val="auto"/>
              </w:rPr>
            </w:pPr>
          </w:p>
        </w:tc>
        <w:tc>
          <w:tcPr>
            <w:tcW w:w="80" w:type="dxa"/>
            <w:vAlign w:val="bottom"/>
            <w:shd w:val="clear" w:color="auto" w:fill="3C9673"/>
          </w:tcPr>
          <w:p>
            <w:pPr>
              <w:spacing w:after="0"/>
              <w:rPr>
                <w:sz w:val="7"/>
                <w:szCs w:val="7"/>
                <w:color w:val="auto"/>
              </w:rPr>
            </w:pPr>
          </w:p>
        </w:tc>
        <w:tc>
          <w:tcPr>
            <w:tcW w:w="660" w:type="dxa"/>
            <w:vAlign w:val="bottom"/>
            <w:shd w:val="clear" w:color="auto" w:fill="3C9673"/>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005A64"/>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 w:type="dxa"/>
            <w:vAlign w:val="bottom"/>
            <w:shd w:val="clear" w:color="auto" w:fill="005A64"/>
          </w:tcPr>
          <w:p>
            <w:pPr>
              <w:spacing w:after="0"/>
              <w:rPr>
                <w:sz w:val="7"/>
                <w:szCs w:val="7"/>
                <w:color w:val="auto"/>
              </w:rPr>
            </w:pPr>
          </w:p>
        </w:tc>
        <w:tc>
          <w:tcPr>
            <w:tcW w:w="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7FACB1"/>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7FACB1"/>
            </w:tcBorders>
          </w:tcPr>
          <w:p>
            <w:pPr>
              <w:spacing w:after="0"/>
              <w:rPr>
                <w:sz w:val="11"/>
                <w:szCs w:val="11"/>
                <w:color w:val="auto"/>
              </w:rPr>
            </w:pPr>
          </w:p>
        </w:tc>
        <w:tc>
          <w:tcPr>
            <w:tcW w:w="8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7FACB1"/>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gridSpan w:val="2"/>
          </w:tcPr>
          <w:p>
            <w:pPr>
              <w:ind w:left="20"/>
              <w:spacing w:after="0"/>
              <w:rPr>
                <w:sz w:val="20"/>
                <w:szCs w:val="20"/>
                <w:color w:val="auto"/>
              </w:rPr>
            </w:pPr>
            <w:r>
              <w:rPr>
                <w:rFonts w:ascii="Arial" w:cs="Arial" w:eastAsia="Arial" w:hAnsi="Arial"/>
                <w:sz w:val="9"/>
                <w:szCs w:val="9"/>
                <w:color w:val="005A64"/>
              </w:rPr>
              <w:t>BNT166</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Mpox</w:t>
            </w:r>
          </w:p>
        </w:tc>
        <w:tc>
          <w:tcPr>
            <w:tcW w:w="6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7FACB1"/>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7FACB1"/>
            </w:tcBorders>
          </w:tcPr>
          <w:p>
            <w:pPr>
              <w:spacing w:after="0"/>
              <w:rPr>
                <w:sz w:val="8"/>
                <w:szCs w:val="8"/>
                <w:color w:val="auto"/>
              </w:rPr>
            </w:pPr>
          </w:p>
        </w:tc>
        <w:tc>
          <w:tcPr>
            <w:tcW w:w="80" w:type="dxa"/>
            <w:vAlign w:val="bottom"/>
            <w:tcBorders>
              <w:bottom w:val="single" w:sz="8" w:color="7FACB1"/>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7FACB1"/>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gridSpan w:val="2"/>
          </w:tcPr>
          <w:p>
            <w:pPr>
              <w:ind w:left="20"/>
              <w:spacing w:after="0"/>
              <w:rPr>
                <w:sz w:val="20"/>
                <w:szCs w:val="20"/>
                <w:color w:val="auto"/>
              </w:rPr>
            </w:pPr>
            <w:r>
              <w:rPr>
                <w:rFonts w:ascii="Arial" w:cs="Arial" w:eastAsia="Arial" w:hAnsi="Arial"/>
                <w:sz w:val="9"/>
                <w:szCs w:val="9"/>
                <w:color w:val="005A64"/>
              </w:rPr>
              <w:t>BNT167</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Shingles</w:t>
            </w:r>
          </w:p>
        </w:tc>
        <w:tc>
          <w:tcPr>
            <w:tcW w:w="66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140" w:type="dxa"/>
            <w:vAlign w:val="bottom"/>
            <w:tcBorders>
              <w:bottom w:val="single" w:sz="8" w:color="3C9673"/>
            </w:tcBorders>
          </w:tcPr>
          <w:p>
            <w:pPr>
              <w:spacing w:after="0"/>
              <w:rPr>
                <w:sz w:val="9"/>
                <w:szCs w:val="9"/>
                <w:color w:val="auto"/>
              </w:rPr>
            </w:pPr>
          </w:p>
        </w:tc>
        <w:tc>
          <w:tcPr>
            <w:tcW w:w="80" w:type="dxa"/>
            <w:vAlign w:val="bottom"/>
            <w:tcBorders>
              <w:bottom w:val="single" w:sz="8" w:color="3C9673"/>
            </w:tcBorders>
          </w:tcPr>
          <w:p>
            <w:pPr>
              <w:spacing w:after="0"/>
              <w:rPr>
                <w:sz w:val="9"/>
                <w:szCs w:val="9"/>
                <w:color w:val="auto"/>
              </w:rPr>
            </w:pPr>
          </w:p>
        </w:tc>
        <w:tc>
          <w:tcPr>
            <w:tcW w:w="6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Collaboration</w:t>
            </w:r>
          </w:p>
        </w:tc>
        <w:tc>
          <w:tcPr>
            <w:tcW w:w="0" w:type="dxa"/>
            <w:vAlign w:val="bottom"/>
          </w:tcPr>
          <w:p>
            <w:pPr>
              <w:spacing w:after="0"/>
              <w:rPr>
                <w:sz w:val="1"/>
                <w:szCs w:val="1"/>
                <w:color w:val="auto"/>
              </w:rPr>
            </w:pPr>
          </w:p>
        </w:tc>
      </w:tr>
      <w:tr>
        <w:trPr>
          <w:trHeight w:val="94"/>
        </w:trPr>
        <w:tc>
          <w:tcPr>
            <w:tcW w:w="76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00" w:type="dxa"/>
            <w:vAlign w:val="bottom"/>
            <w:gridSpan w:val="2"/>
          </w:tcPr>
          <w:p>
            <w:pPr>
              <w:ind w:left="20"/>
              <w:spacing w:after="0"/>
              <w:rPr>
                <w:sz w:val="20"/>
                <w:szCs w:val="20"/>
                <w:color w:val="auto"/>
              </w:rPr>
            </w:pPr>
            <w:r>
              <w:rPr>
                <w:rFonts w:ascii="Arial" w:cs="Arial" w:eastAsia="Arial" w:hAnsi="Arial"/>
                <w:sz w:val="7"/>
                <w:szCs w:val="7"/>
                <w:b w:val="1"/>
                <w:bCs w:val="1"/>
                <w:color w:val="005A64"/>
              </w:rPr>
              <w:t>Protein-based</w:t>
            </w:r>
          </w:p>
        </w:tc>
        <w:tc>
          <w:tcPr>
            <w:tcW w:w="1520" w:type="dxa"/>
            <w:vAlign w:val="bottom"/>
            <w:gridSpan w:val="2"/>
          </w:tcPr>
          <w:p>
            <w:pPr>
              <w:ind w:left="20"/>
              <w:spacing w:after="0"/>
              <w:rPr>
                <w:sz w:val="20"/>
                <w:szCs w:val="20"/>
                <w:color w:val="auto"/>
              </w:rPr>
            </w:pPr>
            <w:r>
              <w:rPr>
                <w:rFonts w:ascii="Arial" w:cs="Arial" w:eastAsia="Arial" w:hAnsi="Arial"/>
                <w:sz w:val="9"/>
                <w:szCs w:val="9"/>
                <w:color w:val="005A64"/>
              </w:rPr>
              <w:t>BNT331</w:t>
            </w:r>
          </w:p>
        </w:tc>
        <w:tc>
          <w:tcPr>
            <w:tcW w:w="1620" w:type="dxa"/>
            <w:vAlign w:val="bottom"/>
            <w:gridSpan w:val="2"/>
          </w:tcPr>
          <w:p>
            <w:pPr>
              <w:ind w:left="20"/>
              <w:spacing w:after="0"/>
              <w:rPr>
                <w:sz w:val="20"/>
                <w:szCs w:val="20"/>
                <w:color w:val="auto"/>
              </w:rPr>
            </w:pPr>
            <w:r>
              <w:rPr>
                <w:rFonts w:ascii="Arial" w:cs="Arial" w:eastAsia="Arial" w:hAnsi="Arial"/>
                <w:sz w:val="9"/>
                <w:szCs w:val="9"/>
                <w:color w:val="005A64"/>
              </w:rPr>
              <w:t>Bacterial vaginosis</w:t>
            </w:r>
          </w:p>
        </w:tc>
        <w:tc>
          <w:tcPr>
            <w:tcW w:w="660" w:type="dxa"/>
            <w:vAlign w:val="bottom"/>
            <w:tcBorders>
              <w:bottom w:val="single" w:sz="8" w:color="3C9673"/>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ind w:left="20"/>
              <w:spacing w:after="0"/>
              <w:rPr>
                <w:sz w:val="20"/>
                <w:szCs w:val="20"/>
                <w:color w:val="auto"/>
              </w:rPr>
            </w:pPr>
            <w:r>
              <w:rPr>
                <w:rFonts w:ascii="Arial" w:cs="Arial" w:eastAsia="Arial" w:hAnsi="Arial"/>
                <w:sz w:val="9"/>
                <w:szCs w:val="9"/>
                <w:color w:val="005A64"/>
              </w:rPr>
              <w:t>Fully owned</w:t>
            </w:r>
          </w:p>
        </w:tc>
        <w:tc>
          <w:tcPr>
            <w:tcW w:w="0" w:type="dxa"/>
            <w:vAlign w:val="bottom"/>
          </w:tcPr>
          <w:p>
            <w:pPr>
              <w:spacing w:after="0"/>
              <w:rPr>
                <w:sz w:val="1"/>
                <w:szCs w:val="1"/>
                <w:color w:val="auto"/>
              </w:rPr>
            </w:pPr>
          </w:p>
        </w:tc>
      </w:tr>
      <w:tr>
        <w:trPr>
          <w:trHeight w:val="103"/>
        </w:trPr>
        <w:tc>
          <w:tcPr>
            <w:tcW w:w="760" w:type="dxa"/>
            <w:vAlign w:val="bottom"/>
            <w:tcBorders>
              <w:bottom w:val="single" w:sz="8" w:color="005A64"/>
            </w:tcBorders>
          </w:tcPr>
          <w:p>
            <w:pPr>
              <w:ind w:left="20"/>
              <w:spacing w:after="0"/>
              <w:rPr>
                <w:sz w:val="20"/>
                <w:szCs w:val="20"/>
                <w:color w:val="auto"/>
              </w:rPr>
            </w:pPr>
            <w:r>
              <w:rPr>
                <w:rFonts w:ascii="Arial" w:cs="Arial" w:eastAsia="Arial" w:hAnsi="Arial"/>
                <w:sz w:val="7"/>
                <w:szCs w:val="7"/>
                <w:b w:val="1"/>
                <w:bCs w:val="1"/>
                <w:color w:val="005A64"/>
              </w:rPr>
              <w:t>therapeutics</w:t>
            </w:r>
          </w:p>
        </w:tc>
        <w:tc>
          <w:tcPr>
            <w:tcW w:w="140" w:type="dxa"/>
            <w:vAlign w:val="bottom"/>
          </w:tcPr>
          <w:p>
            <w:pPr>
              <w:spacing w:after="0"/>
              <w:rPr>
                <w:sz w:val="8"/>
                <w:szCs w:val="8"/>
                <w:color w:val="auto"/>
              </w:rPr>
            </w:pPr>
          </w:p>
        </w:tc>
        <w:tc>
          <w:tcPr>
            <w:tcW w:w="13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005A64"/>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005A64"/>
            </w:tcBorders>
          </w:tcPr>
          <w:p>
            <w:pPr>
              <w:spacing w:after="0"/>
              <w:rPr>
                <w:sz w:val="8"/>
                <w:szCs w:val="8"/>
                <w:color w:val="auto"/>
              </w:rPr>
            </w:pPr>
          </w:p>
        </w:tc>
        <w:tc>
          <w:tcPr>
            <w:tcW w:w="8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-1974850</wp:posOffset>
            </wp:positionV>
            <wp:extent cx="2635885" cy="19799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35885" cy="1979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9"/>
          <w:szCs w:val="9"/>
          <w:b w:val="1"/>
          <w:bCs w:val="1"/>
          <w:color w:val="005A64"/>
        </w:rPr>
        <w:t>Collaborator/Partner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33655</wp:posOffset>
            </wp:positionV>
            <wp:extent cx="6940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color w:val="005A64"/>
        </w:rPr>
        <w:t>Fosun Pharma</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59690</wp:posOffset>
            </wp:positionV>
            <wp:extent cx="6940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85090</wp:posOffset>
            </wp:positionV>
            <wp:extent cx="6940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8"/>
          <w:szCs w:val="8"/>
          <w:color w:val="005A64"/>
        </w:rPr>
        <w:t>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58420</wp:posOffset>
            </wp:positionV>
            <wp:extent cx="6940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31" w:lineRule="exact"/>
        <w:rPr>
          <w:sz w:val="20"/>
          <w:szCs w:val="20"/>
          <w:color w:val="auto"/>
        </w:rPr>
      </w:pPr>
    </w:p>
    <w:p>
      <w:pPr>
        <w:ind w:right="100"/>
        <w:spacing w:after="0" w:line="347" w:lineRule="auto"/>
        <w:rPr>
          <w:sz w:val="20"/>
          <w:szCs w:val="20"/>
          <w:color w:val="auto"/>
        </w:rPr>
      </w:pPr>
      <w:r>
        <w:rPr>
          <w:rFonts w:ascii="Arial" w:cs="Arial" w:eastAsia="Arial" w:hAnsi="Arial"/>
          <w:sz w:val="8"/>
          <w:szCs w:val="8"/>
          <w:color w:val="005A64"/>
        </w:rPr>
        <w:t>Funded by Bill &amp; Melinda Gates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247650</wp:posOffset>
            </wp:positionV>
            <wp:extent cx="6940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33655</wp:posOffset>
            </wp:positionV>
            <wp:extent cx="6940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9"/>
          <w:szCs w:val="9"/>
          <w:color w:val="005A64"/>
        </w:rPr>
        <w:t xml:space="preserve">Funded by CEPI </w:t>
      </w:r>
      <w:r>
        <w:rPr>
          <w:rFonts w:ascii="Arial" w:cs="Arial" w:eastAsia="Arial" w:hAnsi="Arial"/>
          <w:sz w:val="11"/>
          <w:szCs w:val="11"/>
          <w:color w:val="005A64"/>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41275</wp:posOffset>
            </wp:positionV>
            <wp:extent cx="6940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9"/>
          <w:szCs w:val="9"/>
          <w:color w:val="005A64"/>
        </w:rPr>
        <w:t>Pfizer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213995</wp:posOffset>
            </wp:positionV>
            <wp:extent cx="6940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50800</wp:posOffset>
            </wp:positionV>
            <wp:extent cx="6940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498" w:lineRule="exact"/>
        <w:rPr>
          <w:sz w:val="20"/>
          <w:szCs w:val="20"/>
          <w:color w:val="auto"/>
        </w:rPr>
      </w:pPr>
    </w:p>
    <w:p>
      <w:pPr>
        <w:sectPr>
          <w:pgSz w:w="11900" w:h="16838" w:orient="portrait"/>
          <w:cols w:equalWidth="0" w:num="2">
            <w:col w:w="9980" w:space="180"/>
            <w:col w:w="1080"/>
          </w:cols>
          <w:pgMar w:left="320" w:top="341" w:right="339" w:bottom="1440" w:gutter="0" w:footer="0" w:header="0"/>
          <w:type w:val="continuous"/>
        </w:sectPr>
      </w:pPr>
    </w:p>
    <w:p>
      <w:pPr>
        <w:ind w:left="260" w:hanging="252"/>
        <w:spacing w:after="0"/>
        <w:tabs>
          <w:tab w:leader="none" w:pos="260"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color w:val="005A64"/>
        </w:rPr>
        <w:t>For further details about BioNTech’s rights, see the discussions elsewhere in this quarterly report.</w:t>
      </w:r>
    </w:p>
    <w:p>
      <w:pPr>
        <w:spacing w:after="0" w:line="57" w:lineRule="exact"/>
        <w:rPr>
          <w:rFonts w:ascii="Arial" w:cs="Arial" w:eastAsia="Arial" w:hAnsi="Arial"/>
          <w:sz w:val="21"/>
          <w:szCs w:val="21"/>
          <w:color w:val="005A64"/>
          <w:vertAlign w:val="superscript"/>
        </w:rPr>
      </w:pPr>
    </w:p>
    <w:p>
      <w:pPr>
        <w:ind w:left="280" w:hanging="272"/>
        <w:spacing w:after="0" w:line="218" w:lineRule="auto"/>
        <w:tabs>
          <w:tab w:leader="none" w:pos="372"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i w:val="1"/>
          <w:iCs w:val="1"/>
          <w:color w:val="005A64"/>
        </w:rPr>
        <w:t xml:space="preserve">FixVac </w:t>
      </w:r>
      <w:r>
        <w:rPr>
          <w:rFonts w:ascii="Arial" w:cs="Arial" w:eastAsia="Arial" w:hAnsi="Arial"/>
          <w:sz w:val="16"/>
          <w:szCs w:val="16"/>
          <w:color w:val="005A64"/>
        </w:rPr>
        <w:t>platform is fully owned by BioNTech. The BNT111 and BNT116 Phase 2 trials are jointly conducted with Regeneron as part of a cost-sharing</w:t>
      </w:r>
      <w:r>
        <w:rPr>
          <w:rFonts w:ascii="Arial" w:cs="Arial" w:eastAsia="Arial" w:hAnsi="Arial"/>
          <w:sz w:val="16"/>
          <w:szCs w:val="16"/>
          <w:i w:val="1"/>
          <w:iCs w:val="1"/>
          <w:color w:val="005A64"/>
        </w:rPr>
        <w:t xml:space="preserve"> </w:t>
      </w:r>
      <w:r>
        <w:rPr>
          <w:rFonts w:ascii="Arial" w:cs="Arial" w:eastAsia="Arial" w:hAnsi="Arial"/>
          <w:sz w:val="16"/>
          <w:szCs w:val="16"/>
          <w:color w:val="005A64"/>
        </w:rPr>
        <w:t>strategic collaboration.</w:t>
      </w:r>
    </w:p>
    <w:p>
      <w:pPr>
        <w:spacing w:after="0" w:line="2" w:lineRule="exact"/>
        <w:rPr>
          <w:rFonts w:ascii="Arial" w:cs="Arial" w:eastAsia="Arial" w:hAnsi="Arial"/>
          <w:sz w:val="21"/>
          <w:szCs w:val="21"/>
          <w:color w:val="005A64"/>
          <w:vertAlign w:val="superscript"/>
        </w:rPr>
      </w:pPr>
    </w:p>
    <w:p>
      <w:pPr>
        <w:ind w:left="320" w:hanging="312"/>
        <w:spacing w:after="0"/>
        <w:tabs>
          <w:tab w:leader="none" w:pos="320"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color w:val="005A64"/>
        </w:rPr>
        <w:t>Genentech, a member of the Roche Group.</w:t>
      </w:r>
    </w:p>
    <w:p>
      <w:pPr>
        <w:spacing w:after="0" w:line="57" w:lineRule="exact"/>
        <w:rPr>
          <w:rFonts w:ascii="Arial" w:cs="Arial" w:eastAsia="Arial" w:hAnsi="Arial"/>
          <w:sz w:val="21"/>
          <w:szCs w:val="21"/>
          <w:color w:val="005A64"/>
          <w:vertAlign w:val="superscript"/>
        </w:rPr>
      </w:pPr>
    </w:p>
    <w:p>
      <w:pPr>
        <w:ind w:left="260" w:hanging="252"/>
        <w:spacing w:after="0" w:line="197" w:lineRule="auto"/>
        <w:tabs>
          <w:tab w:leader="none" w:pos="260"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color w:val="005A64"/>
        </w:rPr>
        <w:t>Small Molecule Immunomodulators.</w:t>
      </w:r>
    </w:p>
    <w:p>
      <w:pPr>
        <w:spacing w:after="0" w:line="42" w:lineRule="exact"/>
        <w:rPr>
          <w:rFonts w:ascii="Arial" w:cs="Arial" w:eastAsia="Arial" w:hAnsi="Arial"/>
          <w:sz w:val="21"/>
          <w:szCs w:val="21"/>
          <w:color w:val="005A64"/>
          <w:vertAlign w:val="superscript"/>
        </w:rPr>
      </w:pPr>
    </w:p>
    <w:p>
      <w:pPr>
        <w:ind w:left="260" w:hanging="252"/>
        <w:spacing w:after="0" w:line="200" w:lineRule="auto"/>
        <w:tabs>
          <w:tab w:leader="none" w:pos="260"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color w:val="005A64"/>
        </w:rPr>
        <w:t>Out-licensed to Pfizer.</w:t>
      </w:r>
    </w:p>
    <w:p>
      <w:pPr>
        <w:spacing w:after="0" w:line="57" w:lineRule="exact"/>
        <w:rPr>
          <w:rFonts w:ascii="Arial" w:cs="Arial" w:eastAsia="Arial" w:hAnsi="Arial"/>
          <w:sz w:val="21"/>
          <w:szCs w:val="21"/>
          <w:color w:val="005A64"/>
          <w:vertAlign w:val="superscript"/>
        </w:rPr>
      </w:pPr>
    </w:p>
    <w:p>
      <w:pPr>
        <w:ind w:left="260" w:hanging="252"/>
        <w:spacing w:after="0" w:line="197" w:lineRule="auto"/>
        <w:tabs>
          <w:tab w:leader="none" w:pos="260"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color w:val="005A64"/>
        </w:rPr>
        <w:t>Two Phase 1 clinical trials are ongoing (NCT05537038, Germany and NCT05547464, Republic of South Africa).</w:t>
      </w:r>
    </w:p>
    <w:p>
      <w:pPr>
        <w:spacing w:after="0" w:line="44" w:lineRule="exact"/>
        <w:rPr>
          <w:rFonts w:ascii="Arial" w:cs="Arial" w:eastAsia="Arial" w:hAnsi="Arial"/>
          <w:sz w:val="21"/>
          <w:szCs w:val="21"/>
          <w:color w:val="005A64"/>
          <w:vertAlign w:val="superscript"/>
        </w:rPr>
      </w:pPr>
    </w:p>
    <w:p>
      <w:pPr>
        <w:ind w:left="180" w:hanging="172"/>
        <w:spacing w:after="0" w:line="197" w:lineRule="auto"/>
        <w:tabs>
          <w:tab w:leader="none" w:pos="180" w:val="left"/>
        </w:tabs>
        <w:numPr>
          <w:ilvl w:val="0"/>
          <w:numId w:val="10"/>
        </w:numPr>
        <w:rPr>
          <w:rFonts w:ascii="Arial" w:cs="Arial" w:eastAsia="Arial" w:hAnsi="Arial"/>
          <w:sz w:val="21"/>
          <w:szCs w:val="21"/>
          <w:color w:val="005A64"/>
          <w:vertAlign w:val="superscript"/>
        </w:rPr>
      </w:pPr>
      <w:r>
        <w:rPr>
          <w:rFonts w:ascii="Arial" w:cs="Arial" w:eastAsia="Arial" w:hAnsi="Arial"/>
          <w:sz w:val="16"/>
          <w:szCs w:val="16"/>
          <w:color w:val="005A64"/>
        </w:rPr>
        <w:t>Coalition for Epidemic Preparedness Innovations, or CEPI.</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005A64"/>
        </w:rPr>
        <w:t>A. Oncology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mRNA Product Candidates in Oncology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mRNA-based cancer vaccine product candidates contain our pharmacologically optimized-backbone equipped uridine mRNA, or uRNA, delivered in our proprietary RNA-LPX formulation for intravenous administration. Proprietary RNA-LPX protects RNA from degradation by RNAse and delivers antigen-encoding RNA into antigen-presenting cells in lymphoid organs. These product candidates trigger innate and adaptive immune responses. Our mRNA-based cancer vaccine portfolio includes our FixVac and iNeST technology approaches.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FixVac</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FixVac </w:t>
      </w:r>
      <w:r>
        <w:rPr>
          <w:rFonts w:ascii="Arial" w:cs="Arial" w:eastAsia="Arial" w:hAnsi="Arial"/>
          <w:sz w:val="18"/>
          <w:szCs w:val="18"/>
          <w:color w:val="auto"/>
        </w:rPr>
        <w:t>is our wholly owned, systemically administered, off-the-shelf mRNA-based cancer immunotherapy approach, from which we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developing several first-in-human and potential first-in-class product candidates. Our </w:t>
      </w:r>
      <w:r>
        <w:rPr>
          <w:rFonts w:ascii="Arial" w:cs="Arial" w:eastAsia="Arial" w:hAnsi="Arial"/>
          <w:sz w:val="18"/>
          <w:szCs w:val="18"/>
          <w:i w:val="1"/>
          <w:iCs w:val="1"/>
          <w:color w:val="auto"/>
        </w:rPr>
        <w:t>FixVac</w:t>
      </w:r>
      <w:r>
        <w:rPr>
          <w:rFonts w:ascii="Arial" w:cs="Arial" w:eastAsia="Arial" w:hAnsi="Arial"/>
          <w:sz w:val="18"/>
          <w:szCs w:val="18"/>
          <w:color w:val="auto"/>
        </w:rPr>
        <w:t xml:space="preserve"> candidates encode shared tumor-antigens that have been identified as frequently expressed across patients with a specific cancer type.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3C9673"/>
        </w:rPr>
        <w:t>BNT111 in advanced melanoma.</w:t>
      </w:r>
    </w:p>
    <w:p>
      <w:pPr>
        <w:spacing w:after="0" w:line="225" w:lineRule="exact"/>
        <w:rPr>
          <w:sz w:val="20"/>
          <w:szCs w:val="20"/>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randomized Phase 2 clinical trial (BNT111-01; NCT04526899) is being conducted in collaboration with Regeneron Pharmaceuticals Inc., or Regeneron, to evaluate BNT111 in combination with cemiplimab in 184 enrolled patients with anti-PD-(L)1 refractory/relapsed, unresectable Stage III or IV melanoma. The primary endpoint is objective response rate, or ORR. Secondary endpoints include duration of response, or DOR, disease control rate, or DCR, time to response, or TTR, progression-free survival, or PFS, overall survival, or OS, and safety.</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July 2024, we announced that the trial met its primary efficacy outcome measure, demonstrating a statistically significant improvement in ORR in patients treated with BNT111 in combination with cemiplimab, as compared to a historical control in this indication and setting. The ORR in the cemiplimab monotherapy arm was in line with the historical control of anti-PD-(L)1 or anti-CTLA-4 treatments in this patient group. The treatment was generally well tolerated and the safety profile of BNT111 in combination with cemiplimab in this trial was consistent with previous clinical trials assessing BNT111 in combination with anti-PD-(L)1-containing treatments. The Phase 2 trial will</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34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continue as planned to further assess the secondary endpoints which were not mature at the time of the primary analysis. We plan to present these data at an upcoming medical conference in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3C9673"/>
        </w:rPr>
        <w:t>BNT113 in Human Papilloma Virus 16-positive, or HPV16+, head and neck cancer.</w:t>
      </w:r>
    </w:p>
    <w:p>
      <w:pPr>
        <w:spacing w:after="0" w:line="225" w:lineRule="exact"/>
        <w:rPr>
          <w:sz w:val="20"/>
          <w:szCs w:val="20"/>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global, randomized Phase 2 clinical trial (AHEAD-MERIT; NCT04534205) is being conducted to evaluate BNT113 in combination with pembrolizumab versus pembrolizumab monotherapy as a first-line treatment in patients with unresectable, recurrent or metastatic, PD-L1+, HPV16+ head and neck squamous cell carcinoma, or HNSCC.</w:t>
      </w:r>
    </w:p>
    <w:p>
      <w:pPr>
        <w:spacing w:after="0" w:line="170"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 September 2024, an exploratory analysis of antitumor activity (15 patients) and immunogenicity from the safety run-in of AHEAD-MERIT was presented at the 2024 Congress of the European Society of Medical Oncology, or ESMO. The ORR was found to be 40.0% as assessed by blinded independent central review, or BICR, and 33.3% as assessed by the investigator, and a medium PFS, or mPFS, of 3.9 months as per BICR and 6.0 months as per investigator. BNT113 was observed to induce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T-cell responses against HPV16 E6 and E7 oncoproteins. The combination of BNT113 and pembrolizumab was well tolerated. Treatment emergent adverse events, or TEAEs, were mostly grade 1 and 2. In summary, the safety run-in cohort of the ongoing AHEAD-MERIT trial supported the tolerability of BNT113 and clinical activity in combination with pembrolizumab was observed.</w:t>
      </w:r>
    </w:p>
    <w:p>
      <w:pPr>
        <w:spacing w:after="0" w:line="18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September 2024, also at ESMO, results were presented from an investigator-sponsored Phase 1/2 dose escalation clinical trial (HARE-40; NCT03418480) evaluating BNT113 alone in the post-adjuvant and metastatic settings in patients with HPV16+ head and neck and other cancers. BNT113 was shown to induce immune responses in patients in the adjuvant and end-stage clinical settings and to be overall well tolerated with a manageable safety profile.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C9673"/>
        </w:rPr>
        <w:t>BNT116 in advanced non-small-cell lung cancer, or NSCLC.</w:t>
      </w:r>
    </w:p>
    <w:p>
      <w:pPr>
        <w:spacing w:after="0" w:line="225" w:lineRule="exact"/>
        <w:rPr>
          <w:sz w:val="20"/>
          <w:szCs w:val="20"/>
          <w:color w:val="auto"/>
        </w:rPr>
      </w:pPr>
    </w:p>
    <w:p>
      <w:pPr>
        <w:jc w:val="both"/>
        <w:ind w:left="660" w:hanging="328"/>
        <w:spacing w:after="0" w:line="262"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randomized, controlled Phase 2 clinical trial (EMPOWERVAX Lung 1; NCT05557591) is being conducted to evaluate BNT116 in combination with cemiplimab versus cemiplimab alone as first-line treatment of patients with advanced NSCLC whose tumors express PD-L1 in ≥ 50% of their tumor cells. The primary objective of the Phase 2 trial is to assess the ORR per blinded-independent review committee. Secondary endpoints include other measures of clinical activity per investigator assessment, OS, and safety.</w:t>
      </w:r>
    </w:p>
    <w:p>
      <w:pPr>
        <w:spacing w:after="0" w:line="17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Phase 1 clinical trial (LuCa-MERIT-1; NCT05142189) is being conducted to evaluate the safety, tolerability and preliminary efficacy of BNT116 alone and in combination with cemiplimab in patients who have progressed on prior anti-PD-(L)1 inhibitor treatment or are not eligible for chemotherapy, in patients with unresectable stage III NSCLC who have undergone chemoradiotherapy and also in the neoadjuvant and adjuvant settings in patients with resectable stage II and III NSCLC, or in combination with docetaxel in patients who have received prior anti-PD-(L)1 inhibitor therapy and platinum-based chemotherapy.</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data update is expected to be presented at the 2024 Society for Immunotherapy of Cancer, or SITC, Annual Meeting, taking place from November 6 to November 10, 2024 in Houston, Texas, U.S.</w:t>
      </w:r>
    </w:p>
    <w:p>
      <w:pPr>
        <w:spacing w:after="0" w:line="154"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Autogene Cevumeran (BNT122/RO7198457), an Individualized Neoantigen Specific Immunotherapy, or iNeST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Autogene cevumeran (BNT122/RO7198457) is an individualized cancer immunotherapy product candidate based on up to 20 specific neoantigens that are present on a patient’s tumor and it is manufactured on-demand. iNeST is partnered with Genentech, a member of the Roche Group, as part of a 50:50 collaboration in which development costs and future profits are shared for all trials, excluding trial BNT122-01 in adjuvant colorectal cancer, which is fully funded and being executed by BioNTech.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(BNT122/RO7198457) in high-risk muscle-invasive urothelial carcinoma, or MIUC.</w:t>
      </w:r>
    </w:p>
    <w:p>
      <w:pPr>
        <w:spacing w:after="0" w:line="225" w:lineRule="exact"/>
        <w:rPr>
          <w:sz w:val="20"/>
          <w:szCs w:val="20"/>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randomized, double-blind, multi-site Phase 2 clinical trial (IMCODE-004; NCT06534983) evaluating autogene cevumeran as an adjuvant treatment with nivolumab in patients with high-risk MIUC has been initiated. The trial is expected to enroll approximately 360 patients to evaluate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efficacy of autogene cevumeran in combination with nivolumab compared to nivolumab alone. The primary endpoint for the study is investigator-assessed disease-free survival, or DFS. Secondary objectives include OS and safety. The trial has been initiated in Australia, Canada, Germany, Italy and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(BNT122/RO7198457) in adjuvant colorectal cancer.</w:t>
      </w:r>
    </w:p>
    <w:p>
      <w:pPr>
        <w:spacing w:after="0" w:line="225" w:lineRule="exact"/>
        <w:rPr>
          <w:sz w:val="20"/>
          <w:szCs w:val="20"/>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randomized, multi-site, open-label Phase 2 clinical trial (BNT122-01; NCT04486378) evaluating autogene cevumeran as an adjuvant treatment of circulating tumor DNA, or ctDNA, positive, surgically resected Stage II (high risk)/Stage III colorectal cancer, or CRC, is ongoing. The trial is expected to enroll about 200 patients to evaluate the efficacy of autogene cevumeran compared to watchful waiting after surgery and chemotherapy, which is the current standard of care for these high-risk patients. The primary endpoint for the study is DFS. Secondary objectives include OS and safety. BioNTech plans to disclose interim data from the ongoing Phase 2 clinical trial in Stage II (high-risk)/ Stage III ctDNA+ adjuvant CRC, which is projected for late 2025 or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(BNT122/RO7198457) in pancreatic ductal adenocarcinoma, or PDAC.</w:t>
      </w:r>
    </w:p>
    <w:p>
      <w:pPr>
        <w:spacing w:after="0" w:line="225"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randomized Phase 2 clinical trial (IMCODE003; NCT05968326) evaluating the safety and efficacy of autogene cevumeran in combination with atezolizumab followed by standard-of-care chemotherapy (mFOLFIRINOX) in patients with resected PDAC compared to chemotherapy alone is recruiting. The Phase 2 study is expected to enroll 260 patients with resected PDAC who have not received prior systemic anti-cancer treatment and showed no evidence of disease after surgery. The primary endpoint is DFS. Secondary endpoints include OS and safety.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(BNT122/RO7198457) in first-line melanoma.</w:t>
      </w:r>
    </w:p>
    <w:p>
      <w:pPr>
        <w:spacing w:after="0" w:line="225" w:lineRule="exact"/>
        <w:rPr>
          <w:sz w:val="20"/>
          <w:szCs w:val="20"/>
          <w:color w:val="auto"/>
        </w:rPr>
      </w:pPr>
    </w:p>
    <w:p>
      <w:pPr>
        <w:jc w:val="both"/>
        <w:ind w:left="6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randomized Phase 2 clinical trial (IMCODE001; NCT03815058) evaluating the efficacy and safety of autogene cevumeran in combination with pembrolizumab versus pembrolizumab alone as first-line in patients with previously untreated advanced melanoma is fully enrolled and follow-up is ongoing. The primary endpoint is PFS and the readout will be event-driven. Secondary endpoints include ORR, OS, DOR and safety.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3C9673"/>
        </w:rPr>
        <w:t>Autogene Cevumeran (BNT122/RO7198457) in multiple solid tumors.</w:t>
      </w:r>
    </w:p>
    <w:p>
      <w:pPr>
        <w:spacing w:after="0" w:line="225" w:lineRule="exact"/>
        <w:rPr>
          <w:sz w:val="20"/>
          <w:szCs w:val="20"/>
          <w:color w:val="auto"/>
        </w:rPr>
      </w:pPr>
    </w:p>
    <w:p>
      <w:pPr>
        <w:jc w:val="both"/>
        <w:ind w:left="660" w:hanging="328"/>
        <w:spacing w:after="0" w:line="262" w:lineRule="auto"/>
        <w:tabs>
          <w:tab w:leader="none" w:pos="6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open-label Phase 1 monotherapy clinical trial (NCT03289962) evaluating autogene cevumeran alone and in combination with atezolizumab in patients with locally advanced or metastatic solid tumors, including patients with melanoma, NSCLC, bladder cancer, colorectal cancer, triple negative breast cancer, or TNBC, renal cancer, head and neck cancer and sarcomas as well as other solid tumors is fully enrolled and follow-up is ongoing. A manuscript is expected to be published in 2024.</w:t>
      </w:r>
    </w:p>
    <w:p>
      <w:pPr>
        <w:spacing w:after="0" w:line="178" w:lineRule="exact"/>
        <w:rPr>
          <w:rFonts w:ascii="Arial" w:cs="Arial" w:eastAsia="Arial" w:hAnsi="Arial"/>
          <w:sz w:val="18"/>
          <w:szCs w:val="18"/>
          <w:color w:val="auto"/>
        </w:rPr>
      </w:pPr>
    </w:p>
    <w:p>
      <w:pPr>
        <w:ind w:left="200" w:hanging="192"/>
        <w:spacing w:after="0"/>
        <w:tabs>
          <w:tab w:leader="none" w:pos="2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RiboMab</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RiboMab</w:t>
      </w:r>
      <w:r>
        <w:rPr>
          <w:rFonts w:ascii="Arial" w:cs="Arial" w:eastAsia="Arial" w:hAnsi="Arial"/>
          <w:sz w:val="18"/>
          <w:szCs w:val="18"/>
          <w:color w:val="auto"/>
        </w:rPr>
        <w:t xml:space="preserve"> product candidate is an mRNA that encodes cancer cell targeting antibodies. This fully-owned product candidate is nucleoside-modified to minimize immunogenicity and our improved mRNA backbone designs with the aim of maximizing protein expression. Our </w:t>
      </w:r>
      <w:r>
        <w:rPr>
          <w:rFonts w:ascii="Arial" w:cs="Arial" w:eastAsia="Arial" w:hAnsi="Arial"/>
          <w:sz w:val="18"/>
          <w:szCs w:val="18"/>
          <w:i w:val="1"/>
          <w:iCs w:val="1"/>
          <w:color w:val="auto"/>
        </w:rPr>
        <w:t xml:space="preserve">RiboMab </w:t>
      </w:r>
      <w:r>
        <w:rPr>
          <w:rFonts w:ascii="Arial" w:cs="Arial" w:eastAsia="Arial" w:hAnsi="Arial"/>
          <w:sz w:val="18"/>
          <w:szCs w:val="18"/>
          <w:color w:val="auto"/>
        </w:rPr>
        <w:t>product candidate is formulated using liver-targeting lipid nanoparticles, or LNPs, for intravenous delivery. This RNA-LNP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is designed to address the challenges of recombinantly expressed proteins, including limited serum half-life and manufacturing process challenges.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3C9673"/>
        </w:rPr>
        <w:t>BNT142 in multiple solid tumors.</w:t>
      </w:r>
    </w:p>
    <w:p>
      <w:pPr>
        <w:spacing w:after="0" w:line="225" w:lineRule="exact"/>
        <w:rPr>
          <w:sz w:val="20"/>
          <w:szCs w:val="20"/>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BNT142 encodes a T-cell engaging bispecific antibody targeting Claudin 6, or CLDN6. An open-label, multi-site Phase 1/2 clinical trial (NCT05262530) in patients with CLDN6-positive advanced solid tumors that have exhausted available standard therapy or are not eligible for such available therapy is ongoing.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4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strike w:val="1"/>
        </w:rPr>
        <w:t>d</w:t>
      </w:r>
      <w:r>
        <w:rPr>
          <w:rFonts w:ascii="Arial" w:cs="Arial" w:eastAsia="Arial" w:hAnsi="Arial"/>
          <w:sz w:val="18"/>
          <w:szCs w:val="18"/>
          <w:i w:val="1"/>
          <w:iCs w:val="1"/>
          <w:color w:val="auto"/>
        </w:rPr>
        <w:t>) RiboCytokines</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RiboCytokine</w:t>
      </w:r>
      <w:r>
        <w:rPr>
          <w:rFonts w:ascii="Arial" w:cs="Arial" w:eastAsia="Arial" w:hAnsi="Arial"/>
          <w:sz w:val="18"/>
          <w:szCs w:val="18"/>
          <w:color w:val="auto"/>
        </w:rPr>
        <w:t xml:space="preserve"> product candidates are based on the same nucleoside-modified mRNA-LNP technology as the </w:t>
      </w:r>
      <w:r>
        <w:rPr>
          <w:rFonts w:ascii="Arial" w:cs="Arial" w:eastAsia="Arial" w:hAnsi="Arial"/>
          <w:sz w:val="18"/>
          <w:szCs w:val="18"/>
          <w:i w:val="1"/>
          <w:iCs w:val="1"/>
          <w:color w:val="auto"/>
        </w:rPr>
        <w:t>Ribomabs</w:t>
      </w:r>
      <w:r>
        <w:rPr>
          <w:rFonts w:ascii="Arial" w:cs="Arial" w:eastAsia="Arial" w:hAnsi="Arial"/>
          <w:sz w:val="18"/>
          <w:szCs w:val="18"/>
          <w:color w:val="auto"/>
        </w:rPr>
        <w:t xml:space="preserve"> and encode cytokines.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3C9673"/>
        </w:rPr>
        <w:t>BNT152+BNT153 in multiple solid tumors.</w:t>
      </w:r>
    </w:p>
    <w:p>
      <w:pPr>
        <w:spacing w:after="0" w:line="225" w:lineRule="exact"/>
        <w:rPr>
          <w:sz w:val="20"/>
          <w:szCs w:val="20"/>
          <w:color w:val="auto"/>
        </w:rPr>
      </w:pPr>
    </w:p>
    <w:p>
      <w:pPr>
        <w:jc w:val="both"/>
        <w:ind w:left="660" w:hanging="328"/>
        <w:spacing w:after="0" w:line="259"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BNT152 encodes IL-7, and BNT153 encodes IL-2. An open-label, multi-site, first-in-human Phase 1 clinical trial (NCT04710043) in multiple solid tumor indications is ongoing to evaluate the safety, pharmacokinetics, pharmacodynamics and preliminary anti-tumor activity of a combination of BNT152 and BNT153. The clinical trial consists of two parts: Part 1, the separate mono dose escalation of BNT152 and BNT153, was completed in May 2023, in which a maximum tolerated dose was defined for each product. Part 2 is currently investigating the combination treatment of BNT152 and BNT153.</w:t>
      </w:r>
    </w:p>
    <w:p>
      <w:pPr>
        <w:spacing w:after="0" w:line="179" w:lineRule="exact"/>
        <w:rPr>
          <w:rFonts w:ascii="Arial" w:cs="Arial" w:eastAsia="Arial" w:hAnsi="Arial"/>
          <w:sz w:val="18"/>
          <w:szCs w:val="18"/>
          <w:color w:val="auto"/>
        </w:rPr>
      </w:pPr>
    </w:p>
    <w:p>
      <w:pPr>
        <w:ind w:left="200" w:hanging="192"/>
        <w:spacing w:after="0"/>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Oncology Cell Therapy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 Chimeric antigen receptor, or CAR, T-cell therapy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CAR-T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BNT211 consists of two investigational medicinal products: our first CAR-T-cell product candidate, which targets CLDN6-positive solid tumors, in combination with an mRNA named CARVac encoding CLDN6. The CAR-T cells are equipped with a second-generation CAR of high sensitivity and specificity for the tumor-specific carcino-embryonic antigen CLDN6. CARVac is intended to support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transferred CAR-T cells to increase their persistence and efficacy. As with </w:t>
      </w:r>
      <w:r>
        <w:rPr>
          <w:rFonts w:ascii="Arial" w:cs="Arial" w:eastAsia="Arial" w:hAnsi="Arial"/>
          <w:sz w:val="18"/>
          <w:szCs w:val="18"/>
          <w:i w:val="1"/>
          <w:iCs w:val="1"/>
          <w:color w:val="auto"/>
        </w:rPr>
        <w:t>FixVac</w:t>
      </w:r>
      <w:r>
        <w:rPr>
          <w:rFonts w:ascii="Arial" w:cs="Arial" w:eastAsia="Arial" w:hAnsi="Arial"/>
          <w:sz w:val="18"/>
          <w:szCs w:val="18"/>
          <w:color w:val="auto"/>
        </w:rPr>
        <w:t xml:space="preserve"> and iNeST, CARVac is also based on a pharmacologically optimized-backbone equipped uRNA delivered in our proprietary RNA-LPX formulation. BNT211 has been granted Priority Medicines Designation by the EMA for the third- or later-line treatment of testicular germ cell tumors.</w:t>
      </w:r>
    </w:p>
    <w:p>
      <w:pPr>
        <w:spacing w:after="0" w:line="185" w:lineRule="exact"/>
        <w:rPr>
          <w:sz w:val="20"/>
          <w:szCs w:val="20"/>
          <w:color w:val="auto"/>
        </w:rPr>
      </w:pPr>
    </w:p>
    <w:p>
      <w:pPr>
        <w:jc w:val="both"/>
        <w:ind w:left="660" w:hanging="328"/>
        <w:spacing w:after="0" w:line="26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first-in-human, open-label, multi-site Phase 1 dose escalation and dose expansion basket trial (NCT04503278) is being conducted to evaluate CLDN6 CAR-T cells as monotherapy or in combination with CLDN6 CARVac in patients with CLDN6-positive relapsed or refractory solid tumors, including ovarian cancers and testicular germ cell tumors, is ongoing. The primary outcome measure of the trial is safety, with secondary efficacy outcome measures to include ORR, DCR and DOR.</w:t>
      </w:r>
    </w:p>
    <w:p>
      <w:pPr>
        <w:spacing w:after="0" w:line="176" w:lineRule="exact"/>
        <w:rPr>
          <w:rFonts w:ascii="Arial" w:cs="Arial" w:eastAsia="Arial" w:hAnsi="Arial"/>
          <w:sz w:val="18"/>
          <w:szCs w:val="18"/>
          <w:color w:val="auto"/>
        </w:rPr>
      </w:pPr>
    </w:p>
    <w:p>
      <w:pPr>
        <w:jc w:val="both"/>
        <w:ind w:left="660" w:hanging="328"/>
        <w:spacing w:after="0" w:line="24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September 2024, data from the ongoing trial were presented at ESMO which showed encouraging signs of antitumor activity across indications. Among patients who received dose levels of 1x10</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CAR T cells or above after lymphodepletion with or without CARVac, ORR was observed to be 41.7% for patients with testicular cancer and 58.3% for those with ovarian cancer. CARVac was shown to improve CAR-T persistence in some patients. The data also suggest that the safety profile of CLDN6 CAR T cells with and without CARVac is consistent with the previously published effects of CAR T therapies and that repeated CARVac administration does not significantly increase toxicity.</w:t>
      </w:r>
    </w:p>
    <w:p>
      <w:pPr>
        <w:spacing w:after="0" w:line="231"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A pivotal Phase 2 in patients with testicular germ cell tumors is planned to start in 2025 based on encouraging activity observed in this patient group.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Neoantigen-Targeting T-Cell therapy</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BNT221 is our autologous, fully individualized, polyspecific T-cell therapy directed against selected sets of individual neoantigens. BNT221 is based on expanded neoantigen-specific memory T-cells and induced naive T cells.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first-in-human Phase 1 dose escalation clinical trial (NCT04625205) in patients with checkpoint inhibitor unresponsive or refractory metastatic melanoma is ongoing. The first portion of the trial consists of a monotherapy dose escalation of BNT221, for which recruitment and treatment of patients is complete. The findings from this portion of the study have been submitted to a peer-reviewed journal and a manuscript is expected to be published in 2025. The second portion of the study is currently ongoing to evaluate BNT221 in combination with anti-PD-1 therapy as advanced line treatment. Major objectives of this study include evaluation of the safety and feasibility of administering BNT221 alone and in combination with a PD-1 directed therapy, as well as evaluations of immunogenicity and preliminary efficacy.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4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Antibody Product Candidates in Oncology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Next-Generation Immunomodulators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in collaboration with our partners, antibodies that are designed to function as mono- or bispecific immunomodulators.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BNT311/GEN1046 (acasunlimab) is a potential first-in-class bispecific antibody combining PD-L1 checkpoint inhibition with 4-1BB stimulation. BNT311/GEN1046 (acasunlimab) is being developed [by Genmab A/S, or Genmab,] for the treatment of solid tumors and is currently being evaluated in multiple clinical trials.</w:t>
      </w:r>
    </w:p>
    <w:p>
      <w:pPr>
        <w:spacing w:after="0" w:line="171" w:lineRule="exact"/>
        <w:rPr>
          <w:sz w:val="20"/>
          <w:szCs w:val="20"/>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Phase 2, multi-site, randomized, open-label clinical trial (NCT05117242) of BNT311/GEN1046 (acasunlimab) as monotherapy and in combination with pembrolizumab in patients with relapsed/refractory metastatic NSCLC and a tumor PD-L1 expression of tumor proportion score, or TPS, of ≥1% after treatment with standard of care therapy with an immune checkpoint inhibitor is ongoing. The primary endpoint is ORR according to Response Evaluation Criteria in Solid Tumors, or RECIST v1.1. Secondary endpoints include DOR, TTR, PFS, OS and safety.</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Phase 1/2 open-label, single-arm clinical trial (NCT03917381) with multiple expansion cohorts evaluating BNT311/GEN1046 (acasunlimab) as monotherapy and in combination therapies in patients with solid tumors is ongoing.</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Phase 1 open-label, dose escalation clinical trial (NCT04937153) in Japan evaluating the safety and pharmacokinetics of BNT311/GEN1046 (acasunlimab) as monotherapy and in combination with pembrolizumab in patients with multiple solid tumors is ongoing.</w:t>
      </w:r>
    </w:p>
    <w:p>
      <w:pPr>
        <w:spacing w:after="0" w:line="17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August 2024, we announced that while the emerging clinical profile of BNT311/GEN1046 (acasunlimab) is encouraging, for reasons relating to portfolio strategy, we opted not to participate in the further development of the program, including a planned Phase 3 trial. In the event that the program is commercialized, we will retain a tiered single-digit royalty on any potential sales. We and Genmab will continue our collaboration on other programs under the existing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BNT312/GEN1042, BNT314/GEN1059, BNT315/GEN1055 and BNT322/GEN1056 are being developed in collaboration with Genmab.</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BNT312/GEN1042 is a novel, agonistic, bispecific antibody that combines targeting and conditional activation of the costimulatory molecules CD40 and 4-1BB on immune cells.</w:t>
      </w:r>
    </w:p>
    <w:p>
      <w:pPr>
        <w:spacing w:after="0" w:line="153" w:lineRule="exact"/>
        <w:rPr>
          <w:sz w:val="20"/>
          <w:szCs w:val="20"/>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Phase 1/2 clinical trial (NCT04083599) is enrolling patients to evaluate BNT312/GEN1042 in combination with pembrolizumab with or without chemotherapy across various solid tumors.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Phase 1 clinical trial (NCT06057038) is recruiting in Japan to evaluate the safety, tolerability, pharmacokinetics, pharmacodynamics and antitumor activity of BNT312/GEN1042 monotherapy and in combination with pembrolizumab with or without chemotherapy in patients with multiple solid tumors.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BNT314/GEN1059 is a potential first-in-class bispecific antibody product candidate designed to boost antitumor immune responses through epithelial cell adhesion molecule-, or EpCAM-, dependent 4-1BB agonistic activity.</w:t>
      </w:r>
    </w:p>
    <w:p>
      <w:pPr>
        <w:spacing w:after="0" w:line="180" w:lineRule="exact"/>
        <w:rPr>
          <w:sz w:val="20"/>
          <w:szCs w:val="20"/>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BioNTech-sponsored first-in-human Phase 1/2 clinical trial (NCT06150183) is being conducted to investigate the safety and preliminary antitumor activity of BNT314/GEN1059 alone and in combination with an immune checkpoint inhibitor in patients with advanced or metastatic solid tumors. A Trial-in-Progress poster from this trial was presented at the 2024 ESMO Congress.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BNT315/GEN1055 is an OX40 agonist antibody designed to induce OX40 clustering independently of FcγR-mediated crosslinking to enhance antitumor T-cell responses.</w:t>
      </w:r>
    </w:p>
    <w:p>
      <w:pPr>
        <w:spacing w:after="0" w:line="153"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first-in-human Phase 1/2 clinical trial (NCT06391775) is being conducted to investigate the safety and preliminary antitumor activity of BNT315/GEN1055 in patients with advanced or metastatic solid tumors.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341"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BNT322/GEN1056 is an antibody product candidate being co-developed with Genmab for the treatment of solid tumors and for use in combination with other products.</w:t>
      </w:r>
    </w:p>
    <w:p>
      <w:pPr>
        <w:spacing w:after="0" w:line="15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first-in-human Phase 1 clinical trial (NCT05586321) in patients with advanced solid tumors is ongoing.</w:t>
      </w:r>
    </w:p>
    <w:p>
      <w:pPr>
        <w:spacing w:after="0" w:line="22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BNT327/PM8002 is a bispecific antibody candidate combining PD-L1 checkpoint inhibition with vascular endothelial growth factor A, or VEGF-A, neutralization being developed in collaboration with Biotheus Inc., or Biotheus.</w:t>
      </w:r>
    </w:p>
    <w:p>
      <w:pPr>
        <w:spacing w:after="0" w:line="2" w:lineRule="exact"/>
        <w:rPr>
          <w:sz w:val="20"/>
          <w:szCs w:val="20"/>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October 2024, the first patient was dosed in a multi-site, open-label Phase 2 clinical trial (NCT06449222) to evaluate the safety, efficacy, and pharmacokinetics of BNT327/PM8002 at two dose levels in combination with chemotherapy in the first- and second-line treatment of patients with locally advanced/metastatic TNBC. The study is recruiting in the U.S., Australia and the UK. A Phase 3 clinical trial in first-line TNBC is expected to start in 2025.</w:t>
      </w:r>
    </w:p>
    <w:p>
      <w:pPr>
        <w:spacing w:after="0" w:line="7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September 2024, the first patient was dosed in a multi-site, open-label Phase 2 clinical trial (NCT06449209) to evaluate BNT327/PM8002 in combination with chemotherapy in patients with untreated extensive-stage small-cell lung cancer, or ES-SCLC, and in patients with small-cell lung cancer, or SCLC, that progressed after first- or second-line treatment. The study is recruiting in the U.S. and the UK. A Phase 3 clinical trial in first-line SCLC is expected to start in 2024.</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a Phase 2/3 clinical trial in first-line NSCLC is expected to start in 2024.</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cohort evaluating BNT327/PM8002 and BNT325/DB-1305 combination treatment as part of a Phase 1/2 clinical trial (NCT05438329) is recruiting. Additional trials with BNT327 and other antibody drug conjugates, or ADCs, combinations are planned to start in 2024.</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September 2024, at the ESMO Congress, data were presented from three clinical trials evaluating BNT327/PM8002 in patients with advanced TNBC, epidermal growth factor receptor-, or EGFR, mutated NSCLC and renal cell carcinoma, or RCC.</w:t>
      </w:r>
    </w:p>
    <w:p>
      <w:pPr>
        <w:spacing w:after="0" w:line="44" w:lineRule="exact"/>
        <w:rPr>
          <w:rFonts w:ascii="Arial" w:cs="Arial" w:eastAsia="Arial" w:hAnsi="Arial"/>
          <w:sz w:val="18"/>
          <w:szCs w:val="18"/>
          <w:color w:val="auto"/>
        </w:rPr>
      </w:pPr>
    </w:p>
    <w:p>
      <w:pPr>
        <w:jc w:val="both"/>
        <w:ind w:left="1300" w:hanging="320"/>
        <w:spacing w:after="0" w:line="253" w:lineRule="auto"/>
        <w:tabs>
          <w:tab w:leader="none" w:pos="13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Data from the ongoing open-label, single-arm Phase 1/2 clinical trial (NCT05918133) evaluating the safety and efficacy of BNT327/PM8002 in combination with nab-paclitaxel as first-line treatment in advanced or metastatic TNBC were reported. The 42 patients were observed to have an ORR of 78.6%, a confirmed ORR, or cORR, of 73.8% with disease control rate of 95.2%, a median progression-free survival, or mPFS, of 13.5 months and a median duration of response, or mDoR, of 11.7 months. Among the 42 patients treated, 38 patients had available PD-L1 expression results assessed by means of a PD-L1 immunohistochemistry, or IHC, E1L3N assay. cORR was observed to be 76.9% in 13 patients with PD-L1 combined positive scores, or CPS, &lt;1, 56.3% in the 16 patients with PD-L1 1≤CPS&lt;10, and 100% in the nine patients with PD-L1 CPS≥10. Any-grade and grade ≥3 treatment-related adverse events, or TRAEs, of the combination regimen occurred in 100% and 57.1% of patients, respectively. TRAEs leading to treatment discontinuation occurred in 4.8% of patients. The most common TRAEs included neutropenia, leukocytopenia, anemia, proteinuria and alopecia. In summary, first line treatment of locally advanced/metastatic TNBC with BNT327/PM8002 in combination with nab-paclitaxel was observed to be associated with clinically meaningful antitumor activity regardless of PD-L1 status and manageable toxicity with no new safety signals observed beyond those typically described for anti-PD-(L)1 therapies, anti-VEGF therapies and chemotherapy.</w:t>
      </w:r>
    </w:p>
    <w:p>
      <w:pPr>
        <w:spacing w:after="0" w:line="79" w:lineRule="exact"/>
        <w:rPr>
          <w:rFonts w:ascii="Arial" w:cs="Arial" w:eastAsia="Arial" w:hAnsi="Arial"/>
          <w:sz w:val="18"/>
          <w:szCs w:val="18"/>
          <w:color w:val="auto"/>
        </w:rPr>
      </w:pPr>
    </w:p>
    <w:p>
      <w:pPr>
        <w:jc w:val="both"/>
        <w:ind w:left="1300" w:hanging="320"/>
        <w:spacing w:after="0" w:line="255" w:lineRule="auto"/>
        <w:tabs>
          <w:tab w:leader="none" w:pos="13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Data from a Phase 2 clinical trial (NCT05756972) evaluating BNT327/PM8002 in combination with carboplatin and pemetrexed in patients with advanced EGFR-mutated NSCLC who progressed after EGFR-tyrosine kinase inhibitor, or TKI, treatment were reported. The 64 patients were observed to have an ORR of 60.9%, a cORR of 57.8% and DCR of 95.3%. In the 28 patients with PD-L1 tumor proportion score, or TPS, &lt;1%, the ORR was observed to be 46.4% and DCR was observed to 92.9%. In the 23 patients with TPS 1-49%, the ORR was observed to be 60.9% and DCR was observed to be 100%. Among the 13 patients with TPS ≥50%, the ORR was observed to be 92.3% and DCR was observed to be 92.3%. Any-grade TRAEs occurred in 98.4% patients and grade ≥ 3 TRAEs occurred in 60.9% of patients. Nine patients discontinued BNT327/PM8002 and/or chemotherapy administration due to TRAEs, plus one case of TRAE-related to death. In summary, we believe that the observations of BNT327/PM8002 in combination with chemotherapy 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300"/>
        <w:spacing w:after="0" w:line="268" w:lineRule="auto"/>
        <w:rPr>
          <w:sz w:val="20"/>
          <w:szCs w:val="20"/>
          <w:color w:val="auto"/>
        </w:rPr>
      </w:pPr>
      <w:r>
        <w:rPr>
          <w:rFonts w:ascii="Arial" w:cs="Arial" w:eastAsia="Arial" w:hAnsi="Arial"/>
          <w:sz w:val="18"/>
          <w:szCs w:val="18"/>
          <w:color w:val="auto"/>
        </w:rPr>
        <w:t>EGFR-mutated NSCLC patients that progressed on prior EGFR-TKI therapy showed encouraging anti-tumor activity independent of PD-L1 expression levels with a positive correlation seen between higher tumor PD-L1 expression levels and overall response rates, and a generally manageable safety profile.</w:t>
      </w:r>
    </w:p>
    <w:p>
      <w:pPr>
        <w:spacing w:after="0" w:line="63" w:lineRule="exact"/>
        <w:rPr>
          <w:sz w:val="20"/>
          <w:szCs w:val="20"/>
          <w:color w:val="auto"/>
        </w:rPr>
      </w:pPr>
    </w:p>
    <w:p>
      <w:pPr>
        <w:jc w:val="both"/>
        <w:ind w:left="1300" w:hanging="320"/>
        <w:spacing w:after="0" w:line="255" w:lineRule="auto"/>
        <w:tabs>
          <w:tab w:leader="none" w:pos="13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Data from an open-label, multiple cohort, dose-expansion, monotherapy Phase 1/2 clinical trial (NCT05918445) were reported. 28 patients with clear cell RCC, or ccRCC, who progressed after combination of anti-PD-(L)1 and VEGF-TKI therapy or VEGF-TKI monotherapy, were observed to have an ORR of 25%, a DCR of 82.1%, a mPFS of 10.9 months and mDOR of 19.6 months. The 22 patients with previously untreated non-clear cell RCC, or nccRCC, were observed to have an ORR of 36.4%, DCR of 90.9%, mPFS of 15.1 months. Any-grade and grade ≥3 TRAEs of the combination regimen occurred in 100% and 41.5% of patients, respectively. TRAEs leading to treatment discontinuation occurred in 1.9% of patients. In summary, we believe BNT327/PM8002 monotherapy was observed to have encouraging anti-tumor activity and a manageable safety profile in patients with previously untreated advanced nccRCC or previously treated advanced ccRCC.</w:t>
      </w:r>
    </w:p>
    <w:p>
      <w:pPr>
        <w:spacing w:after="0" w:line="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Data in first-line TNBC are expected to be presented at the San Antonio Breast Cancer Symposium, taking place from December 10 to December 13, 2024 in San Antonio, Texas, U.S. Additional data are expected to be presented in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BNT316/ONC-392 (gotistobart) is an anti-cytotoxic T-lymphocyte associated protein 4, or CTLA-4, monoclonal antibody candidate being developed in collaboration with OncoC4, Inc., or OncoC4. BNT316/ONC-392 (gotistobart) is designed to offer a differentiated safety profile that may allow for higher dosing and longer duration of treatment both as monotherapy and in combination with other therapies. The program received Fast Track designation from the FDA in 2022.</w:t>
      </w:r>
    </w:p>
    <w:p>
      <w:pPr>
        <w:spacing w:after="0" w:line="190" w:lineRule="exact"/>
        <w:rPr>
          <w:sz w:val="20"/>
          <w:szCs w:val="20"/>
          <w:color w:val="auto"/>
        </w:rPr>
      </w:pPr>
    </w:p>
    <w:p>
      <w:pPr>
        <w:jc w:val="both"/>
        <w:ind w:left="660" w:hanging="328"/>
        <w:spacing w:after="0" w:line="251" w:lineRule="auto"/>
        <w:tabs>
          <w:tab w:leader="none" w:pos="648" w:val="left"/>
        </w:tabs>
        <w:numPr>
          <w:ilvl w:val="0"/>
          <w:numId w:val="30"/>
        </w:numPr>
        <w:rPr>
          <w:rFonts w:ascii="Times New Roman" w:cs="Times New Roman" w:eastAsia="Times New Roman" w:hAnsi="Times New Roman"/>
          <w:sz w:val="20"/>
          <w:szCs w:val="20"/>
          <w:color w:val="auto"/>
        </w:rPr>
      </w:pPr>
      <w:r>
        <w:rPr>
          <w:rFonts w:ascii="Arial" w:cs="Arial" w:eastAsia="Arial" w:hAnsi="Arial"/>
          <w:sz w:val="18"/>
          <w:szCs w:val="18"/>
          <w:color w:val="auto"/>
        </w:rPr>
        <w:t>In October 2024, we were informed by our partner OncoC4 that the FDA has placed a partial clinical hold on the two-stage, open-label, randomized Phase 3 trial PRESERVE-003 (NCT05671510). We and OncoC4 understand that the partial clinical hold is due to varying results between patient populations. The trial evaluates the efficacy and safety of the antibody candidate BNT316/ONC-392 as monotherapy in patients with metastatic NSCLC that progressed under previous PD-(L)1-inhibitor treatment. A recent assessment of the trial data by the independent data monitoring committee identified a possible variance in population results. Consequently, we and OncoC4 decided to proactively pause enrollment of new patients and informed the FDA of the possible variance for further alignment. While we and OncoC4 are assessing next steps for the ongoing trial with BNT316/ONC-392 in NSCLC, patients already enrolled in the trial will continue to receive treatment. The trials below evaluating BNT316/ONC-392 in other indications remain unaffected.</w:t>
      </w:r>
    </w:p>
    <w:p>
      <w:pPr>
        <w:spacing w:after="0" w:line="79" w:lineRule="exact"/>
        <w:rPr>
          <w:rFonts w:ascii="Times New Roman" w:cs="Times New Roman" w:eastAsia="Times New Roman" w:hAnsi="Times New Roman"/>
          <w:sz w:val="20"/>
          <w:szCs w:val="20"/>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Phase 2 clinical trial (PRESERVE-004; NCT05446298) is being conducted to evaluate BNT316/ONC-392 (gotistobart) therapy in combination with pembrolizumab in patients with platinum-resistant ovarian cancer, or PROC. The clinical trial is designed to evaluate multiple doses of BNT316/ONC-392 (gotistobart) in combination with a fixed dose of pembrolizumab in participants with ovarian cancer who are resistant to platinum-based chemotherapy. The primary endpoints are ORR and safety. Secondary endpoints include DOR, DCR, PFS and OS.</w:t>
      </w:r>
    </w:p>
    <w:p>
      <w:pPr>
        <w:spacing w:after="0" w:line="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September 2024, preliminary data from the Phase 2 (PRESERVE-004; NCT05446298) clinical trial evaluating BNT316/ONC-392 (gotistobart) in combination with pembrolizumab in patients with PROC were presented at ESMO. 33 and 29 patients in 1 mg/kg and 2 mg/kg BNT316/ONC-392 (gotistobart) dose groups, respectively, were observed to have an unconfirmed ORR of 25% and 27.6%, respectively. Grade ≥3 TEAEs related to either drug were observed in 45.5% and 41.4% patients in the 1 mg/kg and 2 mg/kg groups, respectively. In summary, these data suggest encouraging preliminary clinical activity and a manageable tolerability profile with no new safety signals detected.</w:t>
      </w:r>
    </w:p>
    <w:p>
      <w:pPr>
        <w:spacing w:after="0" w:line="18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Phase 2 clinical trial (PRESERVE-006; NCT05682443) is being conducted to evaluate the safety and efficacy of BNT316/ONC-392 (gotistobart) in combination with lutetium Lu-177 vipivotide tetraxetan in patients with metastatic castration-resistant prostate cancer, or mCRPC, who have disease progressed on androgen receptor pathway inhibition. The trial is expected to enroll approximately 144 patients at clinical trial sites in the U.S. The primary endpoint is PFS.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8" w:lineRule="auto"/>
        <w:tabs>
          <w:tab w:leader="none" w:pos="6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first-in-human Phase 1/2 open-label dose escalation clinical trial (PRESERVE-001; NCT04140526) is being conducted to evaluate BNT316/ONC-392 (gotistobart) as a single agent and in combination with pembrolizumab in patients with advanced or metastatic solid tumors.</w:t>
      </w:r>
    </w:p>
    <w:p>
      <w:pPr>
        <w:spacing w:after="0" w:line="307"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Targeted Cancer Antibodies &amp; Antibody-Drug Conjugates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BNT321 is a fully human immunoglobulin G1, monoclonal antibody product candidate targeting sialyl Lewis A, or sLea, an epitope on CA19-9 that is expressed in pancreatic and other solid tumors that plays a role in tumor adhesion and metastasis formation, and is a marker of an aggressive cancer phenotype.</w:t>
      </w:r>
    </w:p>
    <w:p>
      <w:pPr>
        <w:spacing w:after="0" w:line="178" w:lineRule="exact"/>
        <w:rPr>
          <w:sz w:val="20"/>
          <w:szCs w:val="20"/>
          <w:color w:val="auto"/>
        </w:rPr>
      </w:pPr>
    </w:p>
    <w:p>
      <w:pPr>
        <w:jc w:val="both"/>
        <w:ind w:left="6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open-label, multi-site, non-randomized dose escalation and expansion Phase 1 clinical trial (NCT02672917) is being conducted to evaluate BNT321 monotherapy and in combination with modified FOLFIRINOX in pancreatic cancer and other CA19-9 expressing solid tumors.</w:t>
      </w:r>
    </w:p>
    <w:p>
      <w:pPr>
        <w:spacing w:after="0" w:line="17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Phase 1/2 trial (NCT06069778) is being conducted to evaluate the safety, tolerability, and efficacy of BNT321 in combination with mFOLFIRINOX as an adjuvant therapy following curative resection in patients with PDAC.</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BNT323/DB-1303 (trastuzumab pamirtecan) is a topoisomerase-1 inhibitor-based human epidermal growth factor receptor 2-, or HER2-, targeted ADC candidate being developed in collaboration with Duality Biologics (Suzhou) Co. Ltd., or DualityBio. The program has been granted Fast Track designation and Breakthrough Therapy Designation by the FDA for the treatment of advanced endometrial cancer in patients who progressed on or after treatment with immune checkpoint inhibitors.</w:t>
      </w:r>
    </w:p>
    <w:p>
      <w:pPr>
        <w:spacing w:after="0" w:line="203" w:lineRule="exact"/>
        <w:rPr>
          <w:sz w:val="20"/>
          <w:szCs w:val="20"/>
          <w:color w:val="auto"/>
        </w:rPr>
      </w:pPr>
    </w:p>
    <w:p>
      <w:pPr>
        <w:jc w:val="both"/>
        <w:ind w:left="66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ongoing randomized, multi-site, open-label, pivotal Phase 3 clinical trial (DYNASTY-Breast02; NCT06018337) is recruiting to evaluate BNT323/DB-1303 versus the investigator’s choice of chemotherapy in advanced or metastatic hormone receptor positive, or HR+, HER2-low breast cancer subjects whose disease has progressed on at least two lines of prior endocrine therapy or within six months of first-line endocrine therapy and cyclin-dependent 4/6, or CDK4/6, inhibitor and no prior chemotherapy. The first patient was dosed in January 2024. The trial aims to enroll approximately 532 patients. The primary endpoint is PFS. Secondary endpoints include OS, ORR, DCR, DOR and safety, as well as patient-reported outcomes. In September 2024, a Trial-in-Progress poster was presented at the 2024 ESMO Congress.</w:t>
      </w:r>
    </w:p>
    <w:p>
      <w:pPr>
        <w:spacing w:after="0" w:line="18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Topline data from the ongoing Phase 3 in patients with HR+ and HER2-low metastatic breast cancer who have progressed on hormone therapy and/or CDK4/6 inhibition is expected in 2026.</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multi-site, non-randomized, open-label, multiple dose, first-in-human Phase 1/2 clinical trial (NCT05150691) is being conducted to evaluate BNT323/DB-1303 in patients with advanced/unresectable, recurrent, or metastatic HER2-expressing solid tumors. A potential registrational cohort with HER2-expressing (IHC3+, 2+, 1+ or ISH-positive) patients with advanced/recurrent endometrial carcinoma has completed enrollment. Data from this cohort are expected in 2025.</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confirmatory Phase 3 trial (NCT06340568) to evaluate BNT323/DB-1303 in patients with advanced endometrial cancer is in planning.</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BNT324/DB-1311 is a topoisomerase-1 inhibitor-based B7H3-targeted ADC candidate being developed in collaboration with DualityBio. This program has been granted Fast Track designation by the FDA for the treatment of advanced/unresectable mCRPC in patients who progressed on or after standard systemic regimens.</w:t>
      </w:r>
    </w:p>
    <w:p>
      <w:pPr>
        <w:spacing w:after="0" w:line="171" w:lineRule="exact"/>
        <w:rPr>
          <w:sz w:val="20"/>
          <w:szCs w:val="20"/>
          <w:color w:val="auto"/>
        </w:rPr>
      </w:pPr>
    </w:p>
    <w:p>
      <w:pPr>
        <w:ind w:left="6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first-in-human, open-label Phase 1/2 clinical trial (NCT05914116) is being conducted to evaluate BNT324/DB-1311 in patients with advanced solid tumors.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July 2024, we and DualityBio received Orphan Drug Designation for BNT324/DB-1311 from the FDA for the treatment of advanced or metastatic esophageal squamous cell carcinoma.</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first preliminary data from this trial will be presented at the 2024 ESMO Asia Congress, taking place from December 6 to December 8, 2024 in Singapore.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341"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BNT325/DB-1305 is a topoisomerase-1 inhibitor-based TROP2-targeted ADC candidate being developed in collaboration with DualityBio. The program has been granted Fast Track designation by the FDA for the treatment of platinum-resistant epithelial ovarian, fallopian tube, or primary peritoneal cancer in patients who have received one to three prior systemic treatment regimens.</w:t>
      </w:r>
    </w:p>
    <w:p>
      <w:pPr>
        <w:spacing w:after="0" w:line="171" w:lineRule="exact"/>
        <w:rPr>
          <w:sz w:val="20"/>
          <w:szCs w:val="20"/>
          <w:color w:val="auto"/>
        </w:rPr>
      </w:pPr>
    </w:p>
    <w:p>
      <w:pPr>
        <w:jc w:val="both"/>
        <w:ind w:left="66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Phase 1/2 clinical trial (NCT05438329) is being conducted to evaluate BNT325/DB-1305 in patients with advanced solid tumors is ongoing. As part of this clinical trial, BNT325/DB-1305 is being studied in combination with BNT327/PM8002 across multiple cohorts.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BNT326/YL202 is a topoisomerase-1 inhibitor-based HER3-targeted ADC candidate being developed in collaboration with MediLink Therapeutics (Suzhou) Co., Ltd, or MediLink. HER3 is a target that is overexpressed in various cancer types, such as NSCLC and breast cancer and is closely associated with tumor metastasis and disease progression. Furthermore, HER3 expression is upregulated after frontline drug therapy, making it an adequate target for cancer treatment resistance.</w:t>
      </w:r>
    </w:p>
    <w:p>
      <w:pPr>
        <w:spacing w:after="0" w:line="176" w:lineRule="exact"/>
        <w:rPr>
          <w:sz w:val="20"/>
          <w:szCs w:val="20"/>
          <w:color w:val="auto"/>
        </w:rPr>
      </w:pPr>
    </w:p>
    <w:p>
      <w:pPr>
        <w:jc w:val="both"/>
        <w:ind w:left="660" w:hanging="328"/>
        <w:spacing w:after="0" w:line="259" w:lineRule="auto"/>
        <w:tabs>
          <w:tab w:leader="none" w:pos="6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multi-site, international, open-label, first-in-human Phase 1 clinical trial (NCT05653752), sponsored by MediLink, is being conducted to evaluate BNT326/YL202 as a later-line treatment in patients with locally advanced or metastatic EGFR-mutated NSCLC or HR-positive and HER2-negative breast cancer. On August 15, 2024, the FDA lifted the partial clinical hold that was placed on this trial, initially announced on June 17, 2024. Trial recruitment has been reinitiated and clinical development will focus on dose levels no higher than 3 mg/kg, where the safety profile was manageable and encouraging clinical activity was observed.</w:t>
      </w:r>
    </w:p>
    <w:p>
      <w:pPr>
        <w:spacing w:after="0" w:line="179" w:lineRule="exact"/>
        <w:rPr>
          <w:rFonts w:ascii="Arial" w:cs="Arial" w:eastAsia="Arial" w:hAnsi="Arial"/>
          <w:sz w:val="18"/>
          <w:szCs w:val="18"/>
          <w:color w:val="auto"/>
        </w:rPr>
      </w:pPr>
    </w:p>
    <w:p>
      <w:pPr>
        <w:ind w:left="200" w:hanging="192"/>
        <w:spacing w:after="0"/>
        <w:tabs>
          <w:tab w:leader="none" w:pos="2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Small Molecule Immunomodulator Candidates in Oncology</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BNT411 is a small molecule TLR7 agonist product candidate. BNT411 is designed to activate both the adaptive and innate immune system through the TLR7 pathway.</w:t>
      </w:r>
    </w:p>
    <w:p>
      <w:pPr>
        <w:spacing w:after="0" w:line="153" w:lineRule="exact"/>
        <w:rPr>
          <w:sz w:val="20"/>
          <w:szCs w:val="20"/>
          <w:color w:val="auto"/>
        </w:rPr>
      </w:pPr>
    </w:p>
    <w:p>
      <w:pPr>
        <w:jc w:val="both"/>
        <w:ind w:left="660" w:hanging="328"/>
        <w:spacing w:after="0" w:line="259" w:lineRule="auto"/>
        <w:tabs>
          <w:tab w:leader="none" w:pos="65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Phase 1/2, first-in-human, open-label, dose escalation trial (NCT04101357) with expansion cohorts evaluating safety, pharmacokinetics, progression of disease and preliminary efficacy of BNT411 as monotherapy in patients with solid tumors and in combination with atezolizumab, carboplatin and etoposide in patients with chemotherapy-naïve ES-SCLC has been discontinued. Final data of the trial have been gathered and evaluated to be compiled into a clinical study report and are expected to be presented at SITC and published in a scientific journal.</w:t>
      </w:r>
    </w:p>
    <w:p>
      <w:pPr>
        <w:spacing w:after="0" w:line="179"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005A64"/>
        </w:rPr>
      </w:pPr>
      <w:r>
        <w:rPr>
          <w:rFonts w:ascii="Arial" w:cs="Arial" w:eastAsia="Arial" w:hAnsi="Arial"/>
          <w:sz w:val="18"/>
          <w:szCs w:val="18"/>
          <w:color w:val="005A64"/>
        </w:rPr>
        <w:t>Infectious Disease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Next-generation COVID-19 Vaccine</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BNT162b5/6/7 – This is one of multiple vaccine candidates with an engineered design aimed to increase the magnitude and breadth of antibody neutralization response to better protect against COVID-19.</w:t>
      </w:r>
    </w:p>
    <w:p>
      <w:pPr>
        <w:spacing w:after="0" w:line="153" w:lineRule="exact"/>
        <w:rPr>
          <w:sz w:val="20"/>
          <w:szCs w:val="20"/>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randomized, active controlled, observer-blind Phase 2 clinical trial (NCT04368728) to evaluate the safety, tolerability and immunogenicity of a stabilized spike antigen vaccine candidate has been completed and data are being gathered.</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BNT162b2 + BNT162b4 – The aim of this program is to develop a vaccine candidate that enhances and broadens SARS-CoV-2 T-cell responses. BNT162b4 is a next-generation COVID-19 vaccine candidate component designed to elicit T-cell immunity across epitopes. BNT162b4 encodes variant-conserved, immunogenic segments of the SARS-CoV-2 nucleocapsid, membrane, and ORF1ab proteins, targeting diverse human leukocyte antigen alleles.</w:t>
      </w:r>
    </w:p>
    <w:p>
      <w:pPr>
        <w:spacing w:after="0" w:line="176" w:lineRule="exact"/>
        <w:rPr>
          <w:sz w:val="20"/>
          <w:szCs w:val="20"/>
          <w:color w:val="auto"/>
        </w:rPr>
      </w:pPr>
    </w:p>
    <w:p>
      <w:pPr>
        <w:ind w:left="66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Phase 1 clinical trial (NCT05541861) to evaluate the safety, tolerability and immunogenicity of BNT162b4 in combination with BNT162b2 is ongoing.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Both programs are being developed in collaboration with Pfizer.</w:t>
      </w:r>
    </w:p>
    <w:p>
      <w:pPr>
        <w:spacing w:after="0" w:line="225"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COVID-19 – Influenza Combination mRNA Vaccine Program – BNT162b2 + BNT161</w:t>
      </w:r>
    </w:p>
    <w:p>
      <w:pPr>
        <w:spacing w:after="0" w:line="63" w:lineRule="exact"/>
        <w:rPr>
          <w:rFonts w:ascii="Arial" w:cs="Arial" w:eastAsia="Arial" w:hAnsi="Arial"/>
          <w:sz w:val="18"/>
          <w:szCs w:val="18"/>
          <w:b w:val="1"/>
          <w:bCs w:val="1"/>
          <w:color w:val="auto"/>
        </w:rPr>
      </w:pPr>
    </w:p>
    <w:p>
      <w:pPr>
        <w:jc w:val="both"/>
        <w:ind w:left="660" w:hanging="328"/>
        <w:spacing w:after="0" w:line="268" w:lineRule="auto"/>
        <w:tabs>
          <w:tab w:leader="none" w:pos="6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August 2024, we and Pfizer announced top-line results from the Phase 3 clinical trial (NCT06178991) evaluating the companies’ mRNA combination vaccine candidate against influenza and COVID-19 in healthy individuals 18-64 years of age. In this trial, the vaccine candidate was compared to a licensed influenza vaccine and the companies’ licensed COVID-19 vaccine given at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341"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same visit. The primary immunogenicity objectives were to demonstrate that the antibody responses to influenza (hemagglutination inhibition) and to SARS-CoV-2 (neutralizing titer) elicited by the combination vaccine candidate were non-inferior to standard of care. The trial did not meet one of its primary immunogenicity objectives of non-inferiority against the influenza B strain despite obtaining higher influenza A responses and comparable COVID-19 responses versus the comparator vaccines. No safety signals with the combination vaccine have been identified in an ongoing safety data review. We and Pfizer are evaluating adjustments to the candidate and intend to discuss next steps with health authorities.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Influenza Vaccine Program – BNT161</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2018, we and Pfizer entered into an agreement to collaborate on an mRNA program in influenza for an initial period of three years, which ended in 2021. Pfizer has since had the sole responsibility, authority and control of the development, manufacturing and commercialization of all candidates and products related to the program. Upon potential approval and commercialization, BioNTech is eligible to receive a royalty on Pfizer’s sales.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Herpes Simplex Virus, or HSV, Vaccine Program – BNT163</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 research collaboration with the University of Pennsylvania under which we have the exclusive option to develop and commercialize mRNA vaccine candidates against up to 10 infectious disease indications. As part of this collaboration, we are developing an HSV vaccine candidate.</w:t>
      </w:r>
    </w:p>
    <w:p>
      <w:pPr>
        <w:spacing w:after="0" w:line="171" w:lineRule="exact"/>
        <w:rPr>
          <w:sz w:val="20"/>
          <w:szCs w:val="20"/>
          <w:color w:val="auto"/>
        </w:rPr>
      </w:pPr>
    </w:p>
    <w:p>
      <w:pPr>
        <w:jc w:val="both"/>
        <w:ind w:left="660" w:hanging="328"/>
        <w:spacing w:after="0" w:line="262" w:lineRule="auto"/>
        <w:tabs>
          <w:tab w:leader="none" w:pos="6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first-in-human, controlled, dose-escalation Phase 1 clinical trial (NCT05432583) evaluating the safety, tolerability and immunogenicity of BNT163, an HSV vaccine candidate for the prevention of genital lesions caused by HSV-2 and potentially HSV-1, is ongoing. Dose escalation Part A has been completed. Part B (safety and dose evaluation) has completed enrollment across sites in the U.S.</w:t>
      </w:r>
    </w:p>
    <w:p>
      <w:pPr>
        <w:spacing w:after="0" w:line="176" w:lineRule="exact"/>
        <w:rPr>
          <w:rFonts w:ascii="Arial" w:cs="Arial" w:eastAsia="Arial" w:hAnsi="Arial"/>
          <w:sz w:val="18"/>
          <w:szCs w:val="18"/>
          <w:color w:val="auto"/>
        </w:rPr>
      </w:pPr>
    </w:p>
    <w:p>
      <w:pPr>
        <w:ind w:left="200" w:hanging="192"/>
        <w:spacing w:after="0"/>
        <w:tabs>
          <w:tab w:leader="none" w:pos="2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Tuberculosis Vaccine Program – BNT164</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collaborated with the Bill &amp; Melinda Gates Foundation since 2019 to develop vaccine candidates aimed at preventing tuberculosis infection and disease.</w:t>
      </w:r>
    </w:p>
    <w:p>
      <w:pPr>
        <w:spacing w:after="0" w:line="153" w:lineRule="exact"/>
        <w:rPr>
          <w:sz w:val="20"/>
          <w:szCs w:val="20"/>
          <w:color w:val="auto"/>
        </w:rPr>
      </w:pPr>
    </w:p>
    <w:p>
      <w:pPr>
        <w:jc w:val="both"/>
        <w:ind w:left="660" w:hanging="328"/>
        <w:spacing w:after="0" w:line="268" w:lineRule="auto"/>
        <w:tabs>
          <w:tab w:leader="none" w:pos="6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Two randomized, controlled, dose-finding Phase 1 clinical trials (NCT05537038, Germany and NCT05547464, Republic of South Africa) evaluating BNT164 are fully enrolled. Both clinical trials are designed to assess the safety, reactogenicity, and immunogenicity of mRNA vaccine candidates against tuberculosis.</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Malaria Vaccine Program – BNT165</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malaria program aims to develop a well-tolerated and highly effective mRNA vaccine with durable immunity to prevent blood-stage malaria infection, thereby reducing morbidity and mortality as well as onward transmission. We plan to assess several vaccine candidates, featuring known targets such as circumsporozoite protein, conserved, immunogenic segments of liver stage-expressed proteins, as well as other antigens.</w:t>
      </w:r>
    </w:p>
    <w:p>
      <w:pPr>
        <w:spacing w:after="0" w:line="176" w:lineRule="exact"/>
        <w:rPr>
          <w:sz w:val="20"/>
          <w:szCs w:val="20"/>
          <w:color w:val="auto"/>
        </w:rPr>
      </w:pPr>
    </w:p>
    <w:p>
      <w:pPr>
        <w:ind w:left="660" w:right="20" w:hanging="328"/>
        <w:spacing w:after="0" w:line="287" w:lineRule="auto"/>
        <w:tabs>
          <w:tab w:leader="none" w:pos="6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first-in-human Phase 1 clinical trial (NCT05581641) to evaluate the safety, tolerability and exploratory immunogenicity of the vaccine candidate BNT165b1, the first candidate from our BNT165 program, has been completed.</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randomized, dose escalation Phase 1/2 trial (NCT06069544) to evaluate the safety, tolerability, immunogenicity and efficacy of a second investigational RNA-based vaccine candidate is ongoing, with Part A, focusing on safety and immunogenicity, being fully enrolled and Part B, evaluating efficacy in a controlled human malaria infection model, due to start in 2025.</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Mpox Vaccine Program – BNT166</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fully-owned BNT166 program aims to deliver an effective, well-tolerated and accessible vaccine for the prevention of mpox. The multivalent BNT166 mRNA vaccine candidates encode surface antigens that are expressed in the two infectious forms of the mpox virus to efficiently fight virus replication and infectivity. The program is supported through a partnership with the Coalition for Epidemic Preparedness Innovations, or CEPI, to provide equitable access to the vaccine, if successfully developed and approved, in low- and middle-income countries.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341" w:right="3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8"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Phase 1/2 trial clinical trial (NCT05988203) evaluating the safety, tolerability, reactogenicity and immunogenicity of two mRNA-based multivalent vaccine candidates is ongoing. The trial aims to enroll 64 healthy participants with and without prior history of known or suspected smallpox vaccination.</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Shingles Vaccine Program – BNT167</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collaborating with Pfizer to develop the first mRNA-based vaccine candidate against shingles (also known as herpes zoster). While there are currently approved vaccines for shingles, the goal is to develop an mRNA vaccine candidate that potentially shows high efficacy and better tolerability and is more efficient to produce globally.</w:t>
      </w:r>
    </w:p>
    <w:p>
      <w:pPr>
        <w:spacing w:after="0" w:line="171" w:lineRule="exact"/>
        <w:rPr>
          <w:sz w:val="20"/>
          <w:szCs w:val="20"/>
          <w:color w:val="auto"/>
        </w:rPr>
      </w:pPr>
    </w:p>
    <w:p>
      <w:pPr>
        <w:ind w:left="660" w:hanging="328"/>
        <w:spacing w:after="0" w:line="287" w:lineRule="auto"/>
        <w:tabs>
          <w:tab w:leader="none" w:pos="6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randomized, controlled, dose-selection Phase 1/2 clinical trial (NCT05703607) to evaluate the safety, tolerability, and immunogenicity of BNT167 in up to 900 healthy volunteers 50 through 69 years of age is ongoing.</w:t>
      </w:r>
    </w:p>
    <w:p>
      <w:pPr>
        <w:spacing w:after="0" w:line="152" w:lineRule="exact"/>
        <w:rPr>
          <w:rFonts w:ascii="Arial" w:cs="Arial" w:eastAsia="Arial" w:hAnsi="Arial"/>
          <w:sz w:val="18"/>
          <w:szCs w:val="18"/>
          <w:color w:val="auto"/>
        </w:rPr>
      </w:pPr>
    </w:p>
    <w:p>
      <w:pPr>
        <w:ind w:left="200" w:hanging="192"/>
        <w:spacing w:after="0"/>
        <w:tabs>
          <w:tab w:leader="none" w:pos="2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Bacterial Vaginosis – BNT331</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BioNTech R&amp;D (Austria) GmbH, a wholly owned subsidiary of BioNTech SE, is focused on developing novel anti-bacterial drugs to treat persistent bacterial infections. Its development programs are based on our proprietary LysinBuilder platform, which allows for the targeted development of precision anti-bacterials. Our development pipeline focuses on chronic bacterial infections where antibiotics fail to cure or destroy the natural microbiomes.</w:t>
      </w:r>
    </w:p>
    <w:p>
      <w:pPr>
        <w:spacing w:after="0" w:line="176" w:lineRule="exact"/>
        <w:rPr>
          <w:sz w:val="20"/>
          <w:szCs w:val="20"/>
          <w:color w:val="auto"/>
        </w:rPr>
      </w:pPr>
    </w:p>
    <w:p>
      <w:pPr>
        <w:jc w:val="both"/>
        <w:ind w:left="660" w:hanging="328"/>
        <w:spacing w:after="0" w:line="26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two-part, randomized, double-blind Phase 1 clinical trial (NCT06469164) is being conducted to evaluate the safety, tolerability, pharmacokinetics, and pharmacodynamics of BNT331 in healthy women and women diagnosed with bacterial vaginosis. It also aims to explore the efficacy of BNT331 in women diagnosed with bacterial vaginosis.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41"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unaudited interim condensed consolidated statements of profit or loss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005A64"/>
              </w:rPr>
              <w:t>Three months ended</w:t>
            </w:r>
          </w:p>
        </w:tc>
        <w:tc>
          <w:tcPr>
            <w:tcW w:w="60" w:type="dxa"/>
            <w:vAlign w:val="bottom"/>
          </w:tcPr>
          <w:p>
            <w:pPr>
              <w:spacing w:after="0"/>
              <w:rPr>
                <w:sz w:val="17"/>
                <w:szCs w:val="17"/>
                <w:color w:val="auto"/>
              </w:rPr>
            </w:pPr>
          </w:p>
        </w:tc>
        <w:tc>
          <w:tcPr>
            <w:tcW w:w="27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005A64"/>
              </w:rPr>
              <w:t>Nine months ended</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005A64"/>
              </w:rPr>
              <w:t>September 30,</w:t>
            </w:r>
          </w:p>
        </w:tc>
        <w:tc>
          <w:tcPr>
            <w:tcW w:w="60" w:type="dxa"/>
            <w:vAlign w:val="bottom"/>
          </w:tcPr>
          <w:p>
            <w:pPr>
              <w:spacing w:after="0"/>
              <w:rPr>
                <w:sz w:val="19"/>
                <w:szCs w:val="19"/>
                <w:color w:val="auto"/>
              </w:rPr>
            </w:pPr>
          </w:p>
        </w:tc>
        <w:tc>
          <w:tcPr>
            <w:tcW w:w="27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005A64"/>
              </w:rPr>
              <w:t>September 30,</w:t>
            </w:r>
          </w:p>
        </w:tc>
        <w:tc>
          <w:tcPr>
            <w:tcW w:w="0" w:type="dxa"/>
            <w:vAlign w:val="bottom"/>
          </w:tcPr>
          <w:p>
            <w:pPr>
              <w:spacing w:after="0"/>
              <w:rPr>
                <w:sz w:val="1"/>
                <w:szCs w:val="1"/>
                <w:color w:val="auto"/>
              </w:rPr>
            </w:pPr>
          </w:p>
        </w:tc>
      </w:tr>
      <w:tr>
        <w:trPr>
          <w:trHeight w:val="116"/>
        </w:trPr>
        <w:tc>
          <w:tcPr>
            <w:tcW w:w="5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2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i w:val="1"/>
                <w:iCs w:val="1"/>
                <w:color w:val="005A64"/>
              </w:rPr>
              <w:t>(in millions €, except per share data)</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(unaudited)</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Revenues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1,244.8</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895.3</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1,561.1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2,340.0</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Cost of sales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(178.9)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(161.8)</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(297.8)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(420.7)</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Research and development expenses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(550.3)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(497.9)</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(1,642.4)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(1,205.3)</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Sales and marketing expenses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(18.1)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(46.6)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(44.7)</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 xml:space="preserve">General and administrative expenses </w:t>
            </w:r>
            <w:r>
              <w:rPr>
                <w:rFonts w:ascii="Arial" w:cs="Arial" w:eastAsia="Arial" w:hAnsi="Arial"/>
                <w:sz w:val="21"/>
                <w:szCs w:val="21"/>
                <w:color w:val="005A64"/>
                <w:vertAlign w:val="superscript"/>
              </w:rPr>
              <w:t>(1)</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(132.4)</w:t>
            </w:r>
          </w:p>
        </w:tc>
        <w:tc>
          <w:tcPr>
            <w:tcW w:w="10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(139.1)</w:t>
            </w:r>
          </w:p>
        </w:tc>
        <w:tc>
          <w:tcPr>
            <w:tcW w:w="120" w:type="dxa"/>
            <w:vAlign w:val="bottom"/>
            <w:tcBorders>
              <w:right w:val="single" w:sz="8" w:color="BECD32"/>
            </w:tcBorders>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(420.3)</w:t>
            </w:r>
          </w:p>
        </w:tc>
        <w:tc>
          <w:tcPr>
            <w:tcW w:w="120" w:type="dxa"/>
            <w:vAlign w:val="bottom"/>
            <w:tcBorders>
              <w:right w:val="single" w:sz="8" w:color="BECD32"/>
            </w:tcBorders>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(370.7)</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line="237" w:lineRule="exact"/>
              <w:rPr>
                <w:sz w:val="20"/>
                <w:szCs w:val="20"/>
                <w:color w:val="auto"/>
              </w:rPr>
            </w:pPr>
            <w:r>
              <w:rPr>
                <w:rFonts w:ascii="Arial" w:cs="Arial" w:eastAsia="Arial" w:hAnsi="Arial"/>
                <w:sz w:val="16"/>
                <w:szCs w:val="16"/>
                <w:color w:val="005A64"/>
              </w:rPr>
              <w:t xml:space="preserve">Other operating expenses </w:t>
            </w:r>
            <w:r>
              <w:rPr>
                <w:rFonts w:ascii="Arial" w:cs="Arial" w:eastAsia="Arial" w:hAnsi="Arial"/>
                <w:sz w:val="21"/>
                <w:szCs w:val="21"/>
                <w:color w:val="005A64"/>
                <w:vertAlign w:val="superscript"/>
              </w:rPr>
              <w:t>(1)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(410.9)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(36.8)</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(719.9)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(239.6)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operating income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56.3</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27.8</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103.0</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105.2</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Operating profit / (loss)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10.5</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73.1</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(1,462.9)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164.2</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income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156.2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156.3</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498.8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363.2</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Finance expenses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(2.0)</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Profit / (Loss) before tax</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158.7</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227.4</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(978.9)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522.9</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Income taxes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39.4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(66.8)</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54.1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(50.5)</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Net profit / (loss)</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198.1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160.6</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(924.8)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472.4</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b w:val="1"/>
                <w:bCs w:val="1"/>
                <w:color w:val="3C9673"/>
              </w:rPr>
              <w:t>Earnings / (Loss) per share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Basic earnings / (loss) per share</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0.82</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0.67</w:t>
            </w:r>
          </w:p>
        </w:tc>
        <w:tc>
          <w:tcPr>
            <w:tcW w:w="120" w:type="dxa"/>
            <w:vAlign w:val="bottom"/>
            <w:tcBorders>
              <w:right w:val="single" w:sz="8" w:color="BECD32"/>
            </w:tcBorders>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(3.83)</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1.96</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color w:val="005A64"/>
              </w:rPr>
              <w:t>Diluted earnings / (loss) per share</w:t>
            </w:r>
          </w:p>
        </w:tc>
        <w:tc>
          <w:tcPr>
            <w:tcW w:w="120" w:type="dxa"/>
            <w:vAlign w:val="bottom"/>
            <w:tcBorders>
              <w:right w:val="single" w:sz="8" w:color="BECD32"/>
            </w:tcBorders>
          </w:tcPr>
          <w:p>
            <w:pPr>
              <w:spacing w:after="0"/>
              <w:rPr>
                <w:sz w:val="20"/>
                <w:szCs w:val="20"/>
                <w:color w:val="auto"/>
              </w:rPr>
            </w:pPr>
          </w:p>
        </w:tc>
        <w:tc>
          <w:tcPr>
            <w:tcW w:w="134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0.81</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0.66</w:t>
            </w:r>
          </w:p>
        </w:tc>
        <w:tc>
          <w:tcPr>
            <w:tcW w:w="120" w:type="dxa"/>
            <w:vAlign w:val="bottom"/>
            <w:tcBorders>
              <w:right w:val="single" w:sz="8" w:color="BECD32"/>
            </w:tcBorders>
          </w:tcPr>
          <w:p>
            <w:pPr>
              <w:spacing w:after="0"/>
              <w:rPr>
                <w:sz w:val="20"/>
                <w:szCs w:val="20"/>
                <w:color w:val="auto"/>
              </w:rPr>
            </w:pPr>
          </w:p>
        </w:tc>
        <w:tc>
          <w:tcPr>
            <w:tcW w:w="1320" w:type="dxa"/>
            <w:vAlign w:val="bottom"/>
            <w:tcBorders>
              <w:bottom w:val="single" w:sz="8" w:color="BECD32"/>
            </w:tcBorders>
            <w:gridSpan w:val="2"/>
          </w:tcPr>
          <w:p>
            <w:pPr>
              <w:jc w:val="right"/>
              <w:spacing w:after="0"/>
              <w:rPr>
                <w:sz w:val="20"/>
                <w:szCs w:val="20"/>
                <w:color w:val="auto"/>
              </w:rPr>
            </w:pPr>
            <w:r>
              <w:rPr>
                <w:rFonts w:ascii="Arial" w:cs="Arial" w:eastAsia="Arial" w:hAnsi="Arial"/>
                <w:sz w:val="16"/>
                <w:szCs w:val="16"/>
                <w:color w:val="005A64"/>
              </w:rPr>
              <w:t>(3.83)</w:t>
            </w:r>
          </w:p>
        </w:tc>
        <w:tc>
          <w:tcPr>
            <w:tcW w:w="12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color w:val="005A64"/>
              </w:rPr>
              <w:t>1.94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80" w:hanging="272"/>
        <w:spacing w:after="0" w:line="227" w:lineRule="auto"/>
        <w:tabs>
          <w:tab w:leader="none" w:pos="352" w:val="left"/>
        </w:tabs>
        <w:numPr>
          <w:ilvl w:val="0"/>
          <w:numId w:val="47"/>
        </w:numPr>
        <w:rPr>
          <w:rFonts w:ascii="Arial" w:cs="Arial" w:eastAsia="Arial" w:hAnsi="Arial"/>
          <w:sz w:val="21"/>
          <w:szCs w:val="21"/>
          <w:color w:val="005A64"/>
          <w:vertAlign w:val="superscript"/>
        </w:rPr>
      </w:pPr>
      <w:r>
        <w:rPr>
          <w:rFonts w:ascii="Arial" w:cs="Arial" w:eastAsia="Arial" w:hAnsi="Arial"/>
          <w:sz w:val="16"/>
          <w:szCs w:val="16"/>
          <w:color w:val="005A64"/>
        </w:rPr>
        <w:t>Adjustments to prior-year figures due to change in functional allocation of general and administrative expenses and other operating expenses (please see Note 4.2 to the unaudited interim condensed consolidated financial statements included elsewhere in this Quarterly Report).</w:t>
      </w:r>
    </w:p>
    <w:p>
      <w:pPr>
        <w:spacing w:after="0" w:line="20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Important financial and operating terms and concepts are described in Item 5 of our Annual Report on Form 20-F as of and for the year ended December 31, 2023.</w:t>
      </w:r>
    </w:p>
    <w:p>
      <w:pPr>
        <w:spacing w:after="0" w:line="153" w:lineRule="exact"/>
        <w:rPr>
          <w:sz w:val="20"/>
          <w:szCs w:val="20"/>
          <w:color w:val="auto"/>
        </w:rPr>
      </w:pPr>
    </w:p>
    <w:p>
      <w:pPr>
        <w:ind w:right="4480"/>
        <w:spacing w:after="0" w:line="412" w:lineRule="auto"/>
        <w:rPr>
          <w:sz w:val="20"/>
          <w:szCs w:val="20"/>
          <w:color w:val="auto"/>
        </w:rPr>
      </w:pPr>
      <w:r>
        <w:rPr>
          <w:rFonts w:ascii="Arial" w:cs="Arial" w:eastAsia="Arial" w:hAnsi="Arial"/>
          <w:sz w:val="18"/>
          <w:szCs w:val="18"/>
          <w:b w:val="1"/>
          <w:bCs w:val="1"/>
          <w:color w:val="005A64"/>
        </w:rPr>
        <w:t xml:space="preserve">Comparison of the three and nine months ended September 30, 2024, and 2023 </w:t>
      </w:r>
      <w:r>
        <w:rPr>
          <w:rFonts w:ascii="Arial" w:cs="Arial" w:eastAsia="Arial" w:hAnsi="Arial"/>
          <w:sz w:val="18"/>
          <w:szCs w:val="18"/>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2343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005A64"/>
              </w:rPr>
              <w:t>Three months ended</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September 30,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ind w:left="1060"/>
              <w:spacing w:after="0"/>
              <w:rPr>
                <w:sz w:val="20"/>
                <w:szCs w:val="20"/>
                <w:color w:val="auto"/>
              </w:rPr>
            </w:pPr>
            <w:r>
              <w:rPr>
                <w:rFonts w:ascii="Arial" w:cs="Arial" w:eastAsia="Arial" w:hAnsi="Arial"/>
                <w:sz w:val="16"/>
                <w:szCs w:val="16"/>
                <w:b w:val="1"/>
                <w:bCs w:val="1"/>
                <w:color w:val="005A64"/>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200" w:type="dxa"/>
            <w:vAlign w:val="bottom"/>
            <w:vMerge w:val="restart"/>
          </w:tcPr>
          <w:p>
            <w:pPr>
              <w:spacing w:after="0"/>
              <w:rPr>
                <w:sz w:val="10"/>
                <w:szCs w:val="10"/>
                <w:color w:val="auto"/>
              </w:rPr>
            </w:pPr>
          </w:p>
        </w:tc>
        <w:tc>
          <w:tcPr>
            <w:tcW w:w="56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68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1,113.9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885.0</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228.9</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26</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130.9</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10.3</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120.6</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n.m.</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revenues</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1,244.8</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895.3</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349.5</w:t>
            </w:r>
          </w:p>
        </w:tc>
        <w:tc>
          <w:tcPr>
            <w:tcW w:w="200" w:type="dxa"/>
            <w:vAlign w:val="bottom"/>
          </w:tcPr>
          <w:p>
            <w:pPr>
              <w:spacing w:after="0"/>
              <w:rPr>
                <w:sz w:val="20"/>
                <w:szCs w:val="20"/>
                <w:color w:val="auto"/>
              </w:rPr>
            </w:pPr>
          </w:p>
        </w:tc>
        <w:tc>
          <w:tcPr>
            <w:tcW w:w="560" w:type="dxa"/>
            <w:vAlign w:val="bottom"/>
            <w:tcBorders>
              <w:bottom w:val="single" w:sz="8" w:color="005A64"/>
            </w:tcBorders>
          </w:tcPr>
          <w:p>
            <w:pPr>
              <w:spacing w:after="0"/>
              <w:rPr>
                <w:sz w:val="20"/>
                <w:szCs w:val="2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39</w:t>
            </w:r>
          </w:p>
        </w:tc>
        <w:tc>
          <w:tcPr>
            <w:tcW w:w="0" w:type="dxa"/>
            <w:vAlign w:val="bottom"/>
          </w:tcPr>
          <w:p>
            <w:pPr>
              <w:spacing w:after="0"/>
              <w:rPr>
                <w:sz w:val="1"/>
                <w:szCs w:val="1"/>
                <w:color w:val="auto"/>
              </w:rPr>
            </w:pPr>
          </w:p>
        </w:tc>
      </w:tr>
      <w:tr>
        <w:trPr>
          <w:trHeight w:val="328"/>
        </w:trPr>
        <w:tc>
          <w:tcPr>
            <w:tcW w:w="544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2140" w:type="dxa"/>
            <w:vAlign w:val="bottom"/>
            <w:tcBorders>
              <w:bottom w:val="single" w:sz="8" w:color="BECD32"/>
            </w:tcBorders>
            <w:gridSpan w:val="4"/>
          </w:tcPr>
          <w:p>
            <w:pPr>
              <w:spacing w:after="0"/>
              <w:rPr>
                <w:sz w:val="24"/>
                <w:szCs w:val="24"/>
                <w:color w:val="auto"/>
              </w:rPr>
            </w:pPr>
          </w:p>
        </w:tc>
        <w:tc>
          <w:tcPr>
            <w:tcW w:w="560" w:type="dxa"/>
            <w:vAlign w:val="bottom"/>
            <w:tcBorders>
              <w:bottom w:val="single" w:sz="8" w:color="BECD32"/>
            </w:tcBorders>
          </w:tcPr>
          <w:p>
            <w:pPr>
              <w:spacing w:after="0"/>
              <w:rPr>
                <w:sz w:val="24"/>
                <w:szCs w:val="24"/>
                <w:color w:val="auto"/>
              </w:rPr>
            </w:pPr>
          </w:p>
        </w:tc>
        <w:tc>
          <w:tcPr>
            <w:tcW w:w="180" w:type="dxa"/>
            <w:vAlign w:val="bottom"/>
            <w:tcBorders>
              <w:bottom w:val="single" w:sz="8" w:color="BECD32"/>
            </w:tcBorders>
          </w:tcPr>
          <w:p>
            <w:pPr>
              <w:spacing w:after="0"/>
              <w:rPr>
                <w:sz w:val="24"/>
                <w:szCs w:val="24"/>
                <w:color w:val="auto"/>
              </w:rPr>
            </w:pPr>
          </w:p>
        </w:tc>
        <w:tc>
          <w:tcPr>
            <w:tcW w:w="1260" w:type="dxa"/>
            <w:vAlign w:val="bottom"/>
            <w:tcBorders>
              <w:bottom w:val="single" w:sz="8" w:color="BECD32"/>
            </w:tcBorders>
          </w:tcPr>
          <w:p>
            <w:pPr>
              <w:spacing w:after="0"/>
              <w:rPr>
                <w:sz w:val="24"/>
                <w:szCs w:val="24"/>
                <w:color w:val="auto"/>
              </w:rPr>
            </w:pPr>
          </w:p>
        </w:tc>
        <w:tc>
          <w:tcPr>
            <w:tcW w:w="200" w:type="dxa"/>
            <w:vAlign w:val="bottom"/>
            <w:tcBorders>
              <w:bottom w:val="single" w:sz="8" w:color="BECD32"/>
            </w:tcBorders>
          </w:tcPr>
          <w:p>
            <w:pPr>
              <w:spacing w:after="0"/>
              <w:rPr>
                <w:sz w:val="24"/>
                <w:szCs w:val="24"/>
                <w:color w:val="auto"/>
              </w:rPr>
            </w:pPr>
          </w:p>
        </w:tc>
        <w:tc>
          <w:tcPr>
            <w:tcW w:w="560" w:type="dxa"/>
            <w:vAlign w:val="bottom"/>
            <w:tcBorders>
              <w:bottom w:val="single" w:sz="8" w:color="BECD32"/>
            </w:tcBorders>
          </w:tcPr>
          <w:p>
            <w:pPr>
              <w:spacing w:after="0"/>
              <w:rPr>
                <w:sz w:val="24"/>
                <w:szCs w:val="24"/>
                <w:color w:val="auto"/>
              </w:rPr>
            </w:pPr>
          </w:p>
        </w:tc>
        <w:tc>
          <w:tcPr>
            <w:tcW w:w="680" w:type="dxa"/>
            <w:vAlign w:val="bottom"/>
            <w:tcBorders>
              <w:bottom w:val="single" w:sz="8" w:color="BECD32"/>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005A64"/>
              </w:rPr>
              <w:t>Nine months ended</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September 30,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ind w:left="1060"/>
              <w:spacing w:after="0"/>
              <w:rPr>
                <w:sz w:val="20"/>
                <w:szCs w:val="20"/>
                <w:color w:val="auto"/>
              </w:rPr>
            </w:pPr>
            <w:r>
              <w:rPr>
                <w:rFonts w:ascii="Arial" w:cs="Arial" w:eastAsia="Arial" w:hAnsi="Arial"/>
                <w:sz w:val="16"/>
                <w:szCs w:val="16"/>
                <w:b w:val="1"/>
                <w:bCs w:val="1"/>
                <w:color w:val="005A64"/>
              </w:rPr>
              <w:t>Change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544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60" w:type="dxa"/>
            <w:vAlign w:val="bottom"/>
            <w:tcBorders>
              <w:bottom w:val="single" w:sz="8" w:color="BECD32"/>
            </w:tcBorders>
            <w:gridSpan w:val="2"/>
          </w:tcPr>
          <w:p>
            <w:pPr>
              <w:spacing w:after="0"/>
              <w:rPr>
                <w:sz w:val="10"/>
                <w:szCs w:val="10"/>
                <w:color w:val="auto"/>
              </w:rPr>
            </w:pPr>
          </w:p>
        </w:tc>
        <w:tc>
          <w:tcPr>
            <w:tcW w:w="10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200" w:type="dxa"/>
            <w:vAlign w:val="bottom"/>
            <w:vMerge w:val="restart"/>
          </w:tcPr>
          <w:p>
            <w:pPr>
              <w:spacing w:after="0"/>
              <w:rPr>
                <w:sz w:val="10"/>
                <w:szCs w:val="10"/>
                <w:color w:val="auto"/>
              </w:rPr>
            </w:pPr>
          </w:p>
        </w:tc>
        <w:tc>
          <w:tcPr>
            <w:tcW w:w="560" w:type="dxa"/>
            <w:vAlign w:val="bottom"/>
            <w:vMerge w:val="restart"/>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4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560" w:type="dxa"/>
            <w:vAlign w:val="bottom"/>
            <w:tcBorders>
              <w:bottom w:val="single" w:sz="8" w:color="005A64"/>
            </w:tcBorders>
            <w:vMerge w:val="continue"/>
          </w:tcPr>
          <w:p>
            <w:pPr>
              <w:spacing w:after="0"/>
              <w:rPr>
                <w:sz w:val="20"/>
                <w:szCs w:val="20"/>
                <w:color w:val="auto"/>
              </w:rPr>
            </w:pPr>
          </w:p>
        </w:tc>
        <w:tc>
          <w:tcPr>
            <w:tcW w:w="68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1,310.0</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w w:val="97"/>
              </w:rPr>
              <w:t>2,306.7</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(996.7)</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Other revenues</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251.1</w:t>
            </w:r>
          </w:p>
        </w:tc>
        <w:tc>
          <w:tcPr>
            <w:tcW w:w="10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7FACB1"/>
            </w:tcBorders>
          </w:tcPr>
          <w:p>
            <w:pPr>
              <w:spacing w:after="0"/>
              <w:rPr>
                <w:sz w:val="20"/>
                <w:szCs w:val="20"/>
                <w:color w:val="auto"/>
              </w:rPr>
            </w:pPr>
          </w:p>
        </w:tc>
        <w:tc>
          <w:tcPr>
            <w:tcW w:w="5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33.3</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217.8</w:t>
            </w:r>
          </w:p>
        </w:tc>
        <w:tc>
          <w:tcPr>
            <w:tcW w:w="200" w:type="dxa"/>
            <w:vAlign w:val="bottom"/>
          </w:tcPr>
          <w:p>
            <w:pPr>
              <w:spacing w:after="0"/>
              <w:rPr>
                <w:sz w:val="20"/>
                <w:szCs w:val="20"/>
                <w:color w:val="auto"/>
              </w:rPr>
            </w:pPr>
          </w:p>
        </w:tc>
        <w:tc>
          <w:tcPr>
            <w:tcW w:w="560" w:type="dxa"/>
            <w:vAlign w:val="bottom"/>
            <w:tcBorders>
              <w:bottom w:val="single" w:sz="8" w:color="7FACB1"/>
            </w:tcBorders>
          </w:tcPr>
          <w:p>
            <w:pPr>
              <w:spacing w:after="0"/>
              <w:rPr>
                <w:sz w:val="20"/>
                <w:szCs w:val="2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654</w:t>
            </w:r>
          </w:p>
        </w:tc>
        <w:tc>
          <w:tcPr>
            <w:tcW w:w="0" w:type="dxa"/>
            <w:vAlign w:val="bottom"/>
          </w:tcPr>
          <w:p>
            <w:pPr>
              <w:spacing w:after="0"/>
              <w:rPr>
                <w:sz w:val="1"/>
                <w:szCs w:val="1"/>
                <w:color w:val="auto"/>
              </w:rPr>
            </w:pPr>
          </w:p>
        </w:tc>
      </w:tr>
      <w:tr>
        <w:trPr>
          <w:trHeight w:val="239"/>
        </w:trPr>
        <w:tc>
          <w:tcPr>
            <w:tcW w:w="544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revenues</w:t>
            </w:r>
          </w:p>
        </w:tc>
        <w:tc>
          <w:tcPr>
            <w:tcW w:w="100" w:type="dxa"/>
            <w:vAlign w:val="bottom"/>
          </w:tcPr>
          <w:p>
            <w:pPr>
              <w:spacing w:after="0"/>
              <w:rPr>
                <w:sz w:val="20"/>
                <w:szCs w:val="20"/>
                <w:color w:val="auto"/>
              </w:rPr>
            </w:pPr>
          </w:p>
        </w:tc>
        <w:tc>
          <w:tcPr>
            <w:tcW w:w="136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1,561.1</w:t>
            </w:r>
          </w:p>
        </w:tc>
        <w:tc>
          <w:tcPr>
            <w:tcW w:w="100" w:type="dxa"/>
            <w:vAlign w:val="bottom"/>
            <w:tcBorders>
              <w:bottom w:val="single" w:sz="8" w:color="BECD32"/>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bottom w:val="single" w:sz="8" w:color="005A64"/>
            </w:tcBorders>
          </w:tcPr>
          <w:p>
            <w:pPr>
              <w:spacing w:after="0"/>
              <w:rPr>
                <w:sz w:val="20"/>
                <w:szCs w:val="20"/>
                <w:color w:val="auto"/>
              </w:rPr>
            </w:pPr>
          </w:p>
        </w:tc>
        <w:tc>
          <w:tcPr>
            <w:tcW w:w="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w w:val="97"/>
              </w:rPr>
              <w:t>2,340.0</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(778.9)</w:t>
            </w:r>
          </w:p>
        </w:tc>
        <w:tc>
          <w:tcPr>
            <w:tcW w:w="200" w:type="dxa"/>
            <w:vAlign w:val="bottom"/>
          </w:tcPr>
          <w:p>
            <w:pPr>
              <w:spacing w:after="0"/>
              <w:rPr>
                <w:sz w:val="20"/>
                <w:szCs w:val="20"/>
                <w:color w:val="auto"/>
              </w:rPr>
            </w:pPr>
          </w:p>
        </w:tc>
        <w:tc>
          <w:tcPr>
            <w:tcW w:w="560" w:type="dxa"/>
            <w:vAlign w:val="bottom"/>
            <w:tcBorders>
              <w:bottom w:val="single" w:sz="8" w:color="005A64"/>
            </w:tcBorders>
          </w:tcPr>
          <w:p>
            <w:pPr>
              <w:spacing w:after="0"/>
              <w:rPr>
                <w:sz w:val="20"/>
                <w:szCs w:val="2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341"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Vaccine Revenues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COVID-19 vaccine revenues increased by €228.9 million, or 26%, from €885.0 million during the three months ended September 30, 2023 to €1,113.9 million during the three months ended September 30, 2024, and decreased by €996.7 million, or 43%, from €2,306.7 million during the nine months ended September 30, 2023, to €1,310.0 million during the nine months ended September 30, 2024, in line with a lower COVID-19 vaccine market demand. During the three months ended September 30, 2024, our sales were higher compared to the prior year period, which were largely driven by the earlier approvals received for our variant-adapted COVID-19 vaccines in 2024. Our COVID-19 vaccine revenues are subject to seasonal effects in the fall / winter of the northern hemisphere.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nine months ended September 30, 2024, our other revenues were mainly derived from a pandemic preparedness contract with the German government effectively supplemented in the three months ended March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5A64"/>
        </w:rPr>
        <w:t>Cost of Sales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cost of sales increased by €17.1 million, or 11%, from €161.8 million during the three months ended September 30, 2023 to €178.9 million during the three months ended September 30, 2024, and decreased by €122.9 million, or 29%, from €420.7 million during the nine months ended September 30, 2023 to €297.8 million during the nine months ended September 30, 2024. While we recognized lower cost of sales from our decreased COVID-19 vaccine sales in our territories, particularly Germany, changes in our cost of sales were additionally impacted by expenses arising from inventory write-downs to net realizable value amounting to €39.7 million and €103.3 million during the three and nine months ended September 30, 2024, respectively, compared to € 46.2 million and €96.1 million during the three and nine months ended September 30, 2023, respectively (adjustments to prior-year figures relate to reclassifications).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4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2343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005A64"/>
              </w:rPr>
              <w:t>Three months ended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September 30,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ind w:left="1040"/>
              <w:spacing w:after="0"/>
              <w:rPr>
                <w:sz w:val="20"/>
                <w:szCs w:val="20"/>
                <w:color w:val="auto"/>
              </w:rPr>
            </w:pPr>
            <w:r>
              <w:rPr>
                <w:rFonts w:ascii="Arial" w:cs="Arial" w:eastAsia="Arial" w:hAnsi="Arial"/>
                <w:sz w:val="16"/>
                <w:szCs w:val="16"/>
                <w:b w:val="1"/>
                <w:bCs w:val="1"/>
                <w:color w:val="005A64"/>
              </w:rPr>
              <w:t>Change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546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180" w:type="dxa"/>
            <w:vAlign w:val="bottom"/>
            <w:vMerge w:val="restart"/>
          </w:tcPr>
          <w:p>
            <w:pPr>
              <w:spacing w:after="0"/>
              <w:rPr>
                <w:sz w:val="10"/>
                <w:szCs w:val="10"/>
                <w:color w:val="auto"/>
              </w:rPr>
            </w:pPr>
          </w:p>
        </w:tc>
        <w:tc>
          <w:tcPr>
            <w:tcW w:w="62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6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005A64"/>
            </w:tcBorders>
          </w:tcPr>
          <w:p>
            <w:pPr>
              <w:spacing w:after="0"/>
              <w:rPr>
                <w:sz w:val="20"/>
                <w:szCs w:val="20"/>
                <w:color w:val="auto"/>
              </w:rPr>
            </w:pPr>
          </w:p>
        </w:tc>
        <w:tc>
          <w:tcPr>
            <w:tcW w:w="58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20" w:type="dxa"/>
            <w:vAlign w:val="bottom"/>
            <w:tcBorders>
              <w:bottom w:val="single" w:sz="8" w:color="005A64"/>
            </w:tcBorders>
            <w:vMerge w:val="continue"/>
          </w:tcPr>
          <w:p>
            <w:pPr>
              <w:spacing w:after="0"/>
              <w:rPr>
                <w:sz w:val="20"/>
                <w:szCs w:val="20"/>
                <w:color w:val="auto"/>
              </w:rPr>
            </w:pPr>
          </w:p>
        </w:tc>
        <w:tc>
          <w:tcPr>
            <w:tcW w:w="6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Non-COVID-19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437.8</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409.4</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28.4</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112.5</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88.5</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24.0</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27</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research and development expenses</w:t>
            </w:r>
          </w:p>
        </w:tc>
        <w:tc>
          <w:tcPr>
            <w:tcW w:w="100" w:type="dxa"/>
            <w:vAlign w:val="bottom"/>
          </w:tcPr>
          <w:p>
            <w:pPr>
              <w:spacing w:after="0"/>
              <w:rPr>
                <w:sz w:val="20"/>
                <w:szCs w:val="20"/>
                <w:color w:val="auto"/>
              </w:rPr>
            </w:pPr>
          </w:p>
        </w:tc>
        <w:tc>
          <w:tcPr>
            <w:tcW w:w="1340" w:type="dxa"/>
            <w:vAlign w:val="bottom"/>
            <w:tcBorders>
              <w:left w:val="single" w:sz="8" w:color="BECD32"/>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550.3</w:t>
            </w:r>
          </w:p>
        </w:tc>
        <w:tc>
          <w:tcPr>
            <w:tcW w:w="120" w:type="dxa"/>
            <w:vAlign w:val="bottom"/>
            <w:tcBorders>
              <w:bottom w:val="single" w:sz="8" w:color="BECE33"/>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005A64"/>
            </w:tcBorders>
          </w:tcPr>
          <w:p>
            <w:pPr>
              <w:spacing w:after="0"/>
              <w:rPr>
                <w:sz w:val="20"/>
                <w:szCs w:val="20"/>
                <w:color w:val="auto"/>
              </w:rPr>
            </w:pPr>
          </w:p>
        </w:tc>
        <w:tc>
          <w:tcPr>
            <w:tcW w:w="5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497.9</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52.4</w:t>
            </w:r>
          </w:p>
        </w:tc>
        <w:tc>
          <w:tcPr>
            <w:tcW w:w="1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11</w:t>
            </w:r>
          </w:p>
        </w:tc>
        <w:tc>
          <w:tcPr>
            <w:tcW w:w="0" w:type="dxa"/>
            <w:vAlign w:val="bottom"/>
          </w:tcPr>
          <w:p>
            <w:pPr>
              <w:spacing w:after="0"/>
              <w:rPr>
                <w:sz w:val="1"/>
                <w:szCs w:val="1"/>
                <w:color w:val="auto"/>
              </w:rPr>
            </w:pPr>
          </w:p>
        </w:tc>
      </w:tr>
      <w:tr>
        <w:trPr>
          <w:trHeight w:val="342"/>
        </w:trPr>
        <w:tc>
          <w:tcPr>
            <w:tcW w:w="546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2120" w:type="dxa"/>
            <w:vAlign w:val="bottom"/>
            <w:tcBorders>
              <w:bottom w:val="single" w:sz="8" w:color="BECD32"/>
            </w:tcBorders>
            <w:gridSpan w:val="4"/>
          </w:tcPr>
          <w:p>
            <w:pPr>
              <w:spacing w:after="0"/>
              <w:rPr>
                <w:sz w:val="24"/>
                <w:szCs w:val="24"/>
                <w:color w:val="auto"/>
              </w:rPr>
            </w:pPr>
          </w:p>
        </w:tc>
        <w:tc>
          <w:tcPr>
            <w:tcW w:w="580" w:type="dxa"/>
            <w:vAlign w:val="bottom"/>
            <w:tcBorders>
              <w:bottom w:val="single" w:sz="8" w:color="BECD32"/>
            </w:tcBorders>
          </w:tcPr>
          <w:p>
            <w:pPr>
              <w:spacing w:after="0"/>
              <w:rPr>
                <w:sz w:val="24"/>
                <w:szCs w:val="24"/>
                <w:color w:val="auto"/>
              </w:rPr>
            </w:pPr>
          </w:p>
        </w:tc>
        <w:tc>
          <w:tcPr>
            <w:tcW w:w="180" w:type="dxa"/>
            <w:vAlign w:val="bottom"/>
            <w:tcBorders>
              <w:bottom w:val="single" w:sz="8" w:color="BECD32"/>
            </w:tcBorders>
          </w:tcPr>
          <w:p>
            <w:pPr>
              <w:spacing w:after="0"/>
              <w:rPr>
                <w:sz w:val="24"/>
                <w:szCs w:val="24"/>
                <w:color w:val="auto"/>
              </w:rPr>
            </w:pPr>
          </w:p>
        </w:tc>
        <w:tc>
          <w:tcPr>
            <w:tcW w:w="1260" w:type="dxa"/>
            <w:vAlign w:val="bottom"/>
            <w:tcBorders>
              <w:bottom w:val="single" w:sz="8" w:color="BECD32"/>
            </w:tcBorders>
          </w:tcPr>
          <w:p>
            <w:pPr>
              <w:spacing w:after="0"/>
              <w:rPr>
                <w:sz w:val="24"/>
                <w:szCs w:val="24"/>
                <w:color w:val="auto"/>
              </w:rPr>
            </w:pPr>
          </w:p>
        </w:tc>
        <w:tc>
          <w:tcPr>
            <w:tcW w:w="180" w:type="dxa"/>
            <w:vAlign w:val="bottom"/>
            <w:tcBorders>
              <w:bottom w:val="single" w:sz="8" w:color="BECD32"/>
            </w:tcBorders>
          </w:tcPr>
          <w:p>
            <w:pPr>
              <w:spacing w:after="0"/>
              <w:rPr>
                <w:sz w:val="24"/>
                <w:szCs w:val="24"/>
                <w:color w:val="auto"/>
              </w:rPr>
            </w:pPr>
          </w:p>
        </w:tc>
        <w:tc>
          <w:tcPr>
            <w:tcW w:w="620" w:type="dxa"/>
            <w:vAlign w:val="bottom"/>
            <w:tcBorders>
              <w:bottom w:val="single" w:sz="8" w:color="BECD32"/>
            </w:tcBorders>
          </w:tcPr>
          <w:p>
            <w:pPr>
              <w:spacing w:after="0"/>
              <w:rPr>
                <w:sz w:val="24"/>
                <w:szCs w:val="24"/>
                <w:color w:val="auto"/>
              </w:rPr>
            </w:pPr>
          </w:p>
        </w:tc>
        <w:tc>
          <w:tcPr>
            <w:tcW w:w="620" w:type="dxa"/>
            <w:vAlign w:val="bottom"/>
            <w:tcBorders>
              <w:bottom w:val="single" w:sz="8" w:color="BECD32"/>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005A64"/>
              </w:rPr>
              <w:t>Nine months ended</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005A64"/>
              </w:rPr>
              <w:t>September 30,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ind w:left="1040"/>
              <w:spacing w:after="0"/>
              <w:rPr>
                <w:sz w:val="20"/>
                <w:szCs w:val="20"/>
                <w:color w:val="auto"/>
              </w:rPr>
            </w:pPr>
            <w:r>
              <w:rPr>
                <w:rFonts w:ascii="Arial" w:cs="Arial" w:eastAsia="Arial" w:hAnsi="Arial"/>
                <w:sz w:val="16"/>
                <w:szCs w:val="16"/>
                <w:b w:val="1"/>
                <w:bCs w:val="1"/>
                <w:color w:val="005A64"/>
              </w:rPr>
              <w:t>Change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5460" w:type="dxa"/>
            <w:vAlign w:val="bottom"/>
            <w:vMerge w:val="restart"/>
          </w:tcPr>
          <w:p>
            <w:pPr>
              <w:ind w:left="20"/>
              <w:spacing w:after="0"/>
              <w:rPr>
                <w:sz w:val="20"/>
                <w:szCs w:val="20"/>
                <w:color w:val="auto"/>
              </w:rPr>
            </w:pPr>
            <w:r>
              <w:rPr>
                <w:rFonts w:ascii="Arial" w:cs="Arial" w:eastAsia="Arial" w:hAnsi="Arial"/>
                <w:sz w:val="16"/>
                <w:szCs w:val="16"/>
                <w:i w:val="1"/>
                <w:iCs w:val="1"/>
                <w:color w:val="005A64"/>
              </w:rPr>
              <w:t>(in millions €)</w:t>
            </w:r>
          </w:p>
        </w:tc>
        <w:tc>
          <w:tcPr>
            <w:tcW w:w="100" w:type="dxa"/>
            <w:vAlign w:val="bottom"/>
            <w:vMerge w:val="restart"/>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180" w:type="dxa"/>
            <w:vAlign w:val="bottom"/>
            <w:vMerge w:val="restart"/>
          </w:tcPr>
          <w:p>
            <w:pPr>
              <w:spacing w:after="0"/>
              <w:rPr>
                <w:sz w:val="10"/>
                <w:szCs w:val="10"/>
                <w:color w:val="auto"/>
              </w:rPr>
            </w:pPr>
          </w:p>
        </w:tc>
        <w:tc>
          <w:tcPr>
            <w:tcW w:w="62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233"/>
        </w:trPr>
        <w:tc>
          <w:tcPr>
            <w:tcW w:w="5460" w:type="dxa"/>
            <w:vAlign w:val="bottom"/>
            <w:tcBorders>
              <w:bottom w:val="single" w:sz="8" w:color="005A6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005A64"/>
            </w:tcBorders>
          </w:tcPr>
          <w:p>
            <w:pPr>
              <w:spacing w:after="0"/>
              <w:rPr>
                <w:sz w:val="20"/>
                <w:szCs w:val="20"/>
                <w:color w:val="auto"/>
              </w:rPr>
            </w:pPr>
          </w:p>
        </w:tc>
        <w:tc>
          <w:tcPr>
            <w:tcW w:w="580" w:type="dxa"/>
            <w:vAlign w:val="bottom"/>
            <w:tcBorders>
              <w:bottom w:val="single" w:sz="8" w:color="005A64"/>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Borders>
              <w:bottom w:val="single" w:sz="8" w:color="005A64"/>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20" w:type="dxa"/>
            <w:vAlign w:val="bottom"/>
            <w:tcBorders>
              <w:bottom w:val="single" w:sz="8" w:color="005A64"/>
            </w:tcBorders>
            <w:vMerge w:val="continue"/>
          </w:tcPr>
          <w:p>
            <w:pPr>
              <w:spacing w:after="0"/>
              <w:rPr>
                <w:sz w:val="20"/>
                <w:szCs w:val="20"/>
                <w:color w:val="auto"/>
              </w:rPr>
            </w:pPr>
          </w:p>
        </w:tc>
        <w:tc>
          <w:tcPr>
            <w:tcW w:w="620" w:type="dxa"/>
            <w:vAlign w:val="bottom"/>
            <w:tcBorders>
              <w:bottom w:val="single" w:sz="8" w:color="005A64"/>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Non-COVID-19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1,414.3</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963.0</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451.3</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47</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7FACB1"/>
            </w:tcBorders>
          </w:tcPr>
          <w:p>
            <w:pPr>
              <w:ind w:left="20"/>
              <w:spacing w:after="0"/>
              <w:rPr>
                <w:sz w:val="20"/>
                <w:szCs w:val="20"/>
                <w:color w:val="auto"/>
              </w:rPr>
            </w:pPr>
            <w:r>
              <w:rPr>
                <w:rFonts w:ascii="Arial" w:cs="Arial" w:eastAsia="Arial" w:hAnsi="Arial"/>
                <w:sz w:val="16"/>
                <w:szCs w:val="16"/>
                <w:color w:val="005A64"/>
              </w:rPr>
              <w:t>COVID-19 vaccine</w:t>
            </w:r>
          </w:p>
        </w:tc>
        <w:tc>
          <w:tcPr>
            <w:tcW w:w="100" w:type="dxa"/>
            <w:vAlign w:val="bottom"/>
          </w:tcPr>
          <w:p>
            <w:pPr>
              <w:spacing w:after="0"/>
              <w:rPr>
                <w:sz w:val="20"/>
                <w:szCs w:val="20"/>
                <w:color w:val="auto"/>
              </w:rPr>
            </w:pPr>
          </w:p>
        </w:tc>
        <w:tc>
          <w:tcPr>
            <w:tcW w:w="100" w:type="dxa"/>
            <w:vAlign w:val="bottom"/>
            <w:tcBorders>
              <w:left w:val="single" w:sz="8" w:color="BECD32"/>
            </w:tcBorders>
          </w:tcPr>
          <w:p>
            <w:pPr>
              <w:spacing w:after="0"/>
              <w:rPr>
                <w:sz w:val="20"/>
                <w:szCs w:val="20"/>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228.1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7FACB1"/>
            </w:tcBorders>
          </w:tcPr>
          <w:p>
            <w:pPr>
              <w:spacing w:after="0"/>
              <w:rPr>
                <w:sz w:val="20"/>
                <w:szCs w:val="20"/>
                <w:color w:val="auto"/>
              </w:rPr>
            </w:pPr>
          </w:p>
        </w:tc>
        <w:tc>
          <w:tcPr>
            <w:tcW w:w="58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242.3</w:t>
            </w:r>
          </w:p>
        </w:tc>
        <w:tc>
          <w:tcPr>
            <w:tcW w:w="1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(14.2)</w:t>
            </w:r>
          </w:p>
        </w:tc>
        <w:tc>
          <w:tcPr>
            <w:tcW w:w="180" w:type="dxa"/>
            <w:vAlign w:val="bottom"/>
          </w:tcPr>
          <w:p>
            <w:pPr>
              <w:spacing w:after="0"/>
              <w:rPr>
                <w:sz w:val="20"/>
                <w:szCs w:val="20"/>
                <w:color w:val="auto"/>
              </w:rPr>
            </w:pPr>
          </w:p>
        </w:tc>
        <w:tc>
          <w:tcPr>
            <w:tcW w:w="620" w:type="dxa"/>
            <w:vAlign w:val="bottom"/>
            <w:tcBorders>
              <w:bottom w:val="single" w:sz="8" w:color="7FACB1"/>
            </w:tcBorders>
          </w:tcPr>
          <w:p>
            <w:pPr>
              <w:spacing w:after="0"/>
              <w:rPr>
                <w:sz w:val="20"/>
                <w:szCs w:val="20"/>
                <w:color w:val="auto"/>
              </w:rPr>
            </w:pPr>
          </w:p>
        </w:tc>
        <w:tc>
          <w:tcPr>
            <w:tcW w:w="6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005A64"/>
            </w:tcBorders>
          </w:tcPr>
          <w:p>
            <w:pPr>
              <w:ind w:left="20"/>
              <w:spacing w:after="0"/>
              <w:rPr>
                <w:sz w:val="20"/>
                <w:szCs w:val="20"/>
                <w:color w:val="auto"/>
              </w:rPr>
            </w:pPr>
            <w:r>
              <w:rPr>
                <w:rFonts w:ascii="Arial" w:cs="Arial" w:eastAsia="Arial" w:hAnsi="Arial"/>
                <w:sz w:val="16"/>
                <w:szCs w:val="16"/>
                <w:b w:val="1"/>
                <w:bCs w:val="1"/>
                <w:color w:val="005A64"/>
              </w:rPr>
              <w:t>Total research and development expenses</w:t>
            </w:r>
          </w:p>
        </w:tc>
        <w:tc>
          <w:tcPr>
            <w:tcW w:w="100" w:type="dxa"/>
            <w:vAlign w:val="bottom"/>
          </w:tcPr>
          <w:p>
            <w:pPr>
              <w:spacing w:after="0"/>
              <w:rPr>
                <w:sz w:val="20"/>
                <w:szCs w:val="20"/>
                <w:color w:val="auto"/>
              </w:rPr>
            </w:pPr>
          </w:p>
        </w:tc>
        <w:tc>
          <w:tcPr>
            <w:tcW w:w="1340" w:type="dxa"/>
            <w:vAlign w:val="bottom"/>
            <w:tcBorders>
              <w:left w:val="single" w:sz="8" w:color="BECD32"/>
              <w:bottom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1,642.4</w:t>
            </w:r>
          </w:p>
        </w:tc>
        <w:tc>
          <w:tcPr>
            <w:tcW w:w="120" w:type="dxa"/>
            <w:vAlign w:val="bottom"/>
            <w:tcBorders>
              <w:bottom w:val="single" w:sz="8" w:color="BECE33"/>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005A64"/>
            </w:tcBorders>
          </w:tcPr>
          <w:p>
            <w:pPr>
              <w:spacing w:after="0"/>
              <w:rPr>
                <w:sz w:val="20"/>
                <w:szCs w:val="20"/>
                <w:color w:val="auto"/>
              </w:rPr>
            </w:pPr>
          </w:p>
        </w:tc>
        <w:tc>
          <w:tcPr>
            <w:tcW w:w="58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1,205.3</w:t>
            </w:r>
          </w:p>
        </w:tc>
        <w:tc>
          <w:tcPr>
            <w:tcW w:w="180" w:type="dxa"/>
            <w:vAlign w:val="bottom"/>
          </w:tcPr>
          <w:p>
            <w:pPr>
              <w:spacing w:after="0"/>
              <w:rPr>
                <w:sz w:val="20"/>
                <w:szCs w:val="20"/>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437.1</w:t>
            </w:r>
          </w:p>
        </w:tc>
        <w:tc>
          <w:tcPr>
            <w:tcW w:w="180" w:type="dxa"/>
            <w:vAlign w:val="bottom"/>
          </w:tcPr>
          <w:p>
            <w:pPr>
              <w:spacing w:after="0"/>
              <w:rPr>
                <w:sz w:val="20"/>
                <w:szCs w:val="20"/>
                <w:color w:val="auto"/>
              </w:rPr>
            </w:pPr>
          </w:p>
        </w:tc>
        <w:tc>
          <w:tcPr>
            <w:tcW w:w="620" w:type="dxa"/>
            <w:vAlign w:val="bottom"/>
            <w:tcBorders>
              <w:bottom w:val="single" w:sz="8" w:color="005A64"/>
            </w:tcBorders>
          </w:tcPr>
          <w:p>
            <w:pPr>
              <w:spacing w:after="0"/>
              <w:rPr>
                <w:sz w:val="20"/>
                <w:szCs w:val="20"/>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36</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expenses increased by €52.4 million, or 11%, from €497.9 million during the three months ended September 30, 2023 to €550.3 million during the three months ended September 30, 2024, and increased by €437.1 million, or 36%, from €1,205.3 million during the nine months ended September 30, 2023 to €1,642.4 million during the nine months ended September 30, 2024. The increase was mainly driven by advancing key pipeline candidates, such as our antibody drug conjugate, or ADC, antibody and individualized cancer-immunotherapy product candidates. Further contributions to the increase came from higher personnel expenses resulting from an increase in headcount.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and administrative expenses decreased by €6.7 million, or 5%, from €139.1 million during the three months ended September 30, 2023 to €132.4 million during the three months ended September 30, 2024, and increased by €49.6 million, or 13%, from €370.7 million during the nine months ended September 30, 2023 to €420.3 million during the nine months ended September 30, 2024. The year-to-date increase compared to the comparative prior year period was primarily due to increased headcount and higher personnel expenses as a result. A reduction in external services led to a slight decrease in total general and administrative expenses during the three months ended September 30, 2024, compared to the comparative prior year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Other Operating Result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other operating result decreased by €345.6 million from a negative operating result of €9.0 million during the three months ended September 30, 2023 to a negative operating result of €354.6 million during the three months ended September 30, 2024 and decreased by €482.5 million from a negative operating result of €134.4 million during the nine months ended September 30, 2023 to a negative operating result of €616.9 million during the nine months ended September 30, 2024. This is primarily due to expenses incurred in connection with contractual disputes (see Note 10 to the unaudited interim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4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005A64"/>
        </w:rPr>
        <w:t>Finance Result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finance result decreased by €6.1 million from €154.3 million during the three months ended September 30, 2023, to €148.2 million during the three months ended September 30, 2024, and increased by €125.3 million from €358.7 million during the nine months ended September 30, 2023, to €484.0 million during the nine months ended September 30, 2024. During the three and nine months ended September 30, 2024, and 2023, our finance result mainly derived from returns such as interests and sales resulting from our financial investments as well as fair value adjustments of our money market funds.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decreased by €106.2 million from €66.8 million of accrued tax expenses during the three months ended September 30, 2023, to €39.4 million of realized tax income during the three months ended September 30, 2024, and increased by €104.6 million from €50.5 million of accrued tax expenses during the nine months ended September 30, 2023, to €54.1 million of realized tax income during the nine months ended September 30, 2024. The effective income tax rate for the nine months ended September 30, 2024 was approximately 5.5% and approximately 9.7% for the nine months ended September 30,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Related Party Transactions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Related party transactions that occurred during the three and nine months ended September 30, 2024, and 2023, are explained in Note 12 to the unaudited interim condensed consolidated financial statements included elsewhere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Critical Accounting Policies and Use of Estimates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unaudited interim condensed consolidated financial statements for the three and nine months ended September 30, 2024, have been prepared in accordance with IAS 34 Interim Financial Reporting.</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critical accounting policies and the use of estimates are explained in Note 2 to the unaudited interim condensed consolidated financial statements included elsewhere in this Quarterly Report and further discussed in Note 3 to our audited consolidated financial statements of our Annual Report on Form 20-F as of and for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Legal Proceedings</w:t>
      </w:r>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in the normal course and conduct of our business, we may be involved in proceedings with third parties regarding, among other things, intellectual property disputes, contractual disputes, including the interpretation of each party’s obligations or the amounts payable under the respective agreements, product-related disputes, and actions by or on behalf of our shareholders.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Certain pending matters to which we are a party are discussed below.</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Alnylam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Comirnaty, and seeking monetary relief,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341"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which is currently expected to go to trial in July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CureVac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EP’122, DE’961, DE‘974, DE’575, and EP’668</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July 2022, CureVac AG, or CureVac, filed a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EP1857122B1, or EP’122, and three Utility Models DE202015009961U1, DE202015009974U1, and DE202021003575U1. In August 2022, CureVac added European Patent EP3708668B1, or EP’668, to its German lawsuit.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15, 2023, the Düsseldorf Regional Court held a hearing on infringement with respect to all five IP rights. At the hearing, the Court suspended its infringement ruling with respect to EP’122 until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On December 28, 2023, the Düsseldorf Regional Court stayed the infringement proceedings as to EP’122 until a final appellate decision is rendered as to the validity of EP’122 by the Federal Court of Justice. On June 7, 2024, CureVac waived DE’575 and withdrew this utility model from the infringement proceedings. On July 2, 2024, the EPO Opposition Division issued a preliminary opinion noting that it believes EP’668 is likely invalid, and set an oral hearing for March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5A64"/>
        </w:rPr>
        <w:t>Infringement Proceedings – EP’755, DE’123, and DE’130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2023, CureVac SE filed a second lawsuit against us and our wholly owned subsidiaries, BioNTech Manufacturing GmbH and BioNTech Manufacturing Marburg GmbH,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one European patent, EP4023755B1, or EP’755, and two Utility Models DE202021004123U1, and DE202021004130U1. On June 7, 2024, CureVac waived DE’123 and withdrew this utility model from the infringement proceedings. A hearing on infringement with respect to EP’755 and DE’130 that was scheduled to occur in the Düsseldorf Regional Court on September 10, 2024 was rescheduled for July 2025. On July 24, 2024, the EPO Opposition Division issued a preliminary opinion noting that it believes EP’755 is likely invalid, and set an oral hearing for May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Nullity Proceedings – EP’122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did not address any infringement of EP’122. The preliminary opinion is a preliminary assessment by the court of the merits of a claim, and is non-binding. On December 19, 2023, the Federal Patent Court held an oral hearing, after which it nullified EP’122. On April 30, 2024, the Federal Patent Court issued a judgment containing its written reasons for nullifying EP’122. On May 7, 2024, CureVac appealed the judgment, which is currently pending.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 DE’961, DE‘974, and DE’575</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2022, we filed cancellation actions seeking the cancellation of the three German Utility Models in the German Patent and Trademark Office. On December 27, 2023, the German Patent and Trademark Office issued a preliminary opinion that DE’974 is likely to be cancelled. On January 23, 2024, the German Patent and Trademark Office issued a preliminary opinion that DE’961 is likely to be cancelled. On March 7,</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341" w:right="3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Cancellation Proceedings– DE’123 and DE’130</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2022, we and Pfizer filed a complaint for a declaratory judgment in the U.S. District Court for the District of Massachusetts, seeking a judgment of non-infringement by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Currently, a three-week trial is scheduled to begin in early March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2022, we and Pfizer filed a declaration of non-infringement and revocation action against EP’122 and EP’668 in the Business and Property Courts of England and Wales, in the UK High Court of Justice, or the UK High Court. In October 2022, CureVac responded by filing a counterclaim alleging infringement of the EP’122 and EP’668 patents in the Business and Property Courts of England and Wales. On December 18, 2023, we and Pfizer amended our pleadings to add a claim for revocation and declarations of invalidity and non-infringement with respect to EP’755. The UK High Court held a trial on EP’668 and EP’755 between July 10, 2024 and July 24, 2024. On October 8, 2024, the UK High Court released a judgment finding both EP’668 and EP’755 invalid. The UK High Court is expected to hold a hearing before the end of the fourth quarter of 2024, during which hearing CureVac may apply for the right to appeal the judgment as to EP’668 and EP’755. On October 25, 2024, CureVac agreed to a final and unappealable revocation of the UK designation of EP’122 and to discontinue its counterclaim for infringement.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Moderna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5A64"/>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Infringement Proceedings – EP’949 and EP’565</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two European patents, 3590949B1, or EP’949, and 3718565B1, or EP’565. On November 7, 2023, the Opposition Division of the EPO revoked EP’565 after a one-day oral hearing, and on December 7, 2023, it issued its written decision revoking EP’565. On December 8, 2023, the Opposition Division issued a preliminary opinion noting that it believes EP’949 is likely invalid. As a result of those developments in the EPO proceedings, the Düsseldorf Regional Court postponed its hearing on infringement, originally scheduled for December 12, 2023, to January 21, 2025. On February 7, 2024, Moderna appealed the Opposition Division’s revocation decision on EP’565, and the appeal is currently pending. On May 16, 2024, the Opposition Division decided that EP’949 is valid, in amended form, and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4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issued its written decision regarding the same on July 8, 2024. BioNTech appealed this decision, and the appeal is currently pending.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5A64"/>
        </w:rPr>
        <w:t>United Kingdom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2022, Moderna filed a lawsuit asserting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 A hearing before the UK High Court is scheduled for September 25, 2024, where the parties are expected to apply for the right to appeal.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UK High Court held a hearing on September 25, 2024, during which the Court granted Pfizer and BioNTech permission to appeal its judgment regarding the validity of EP’949, and denied Moderna permission to appeal its judgment regarding validity of EP’565. No party sought permission to appeal the UK High Court’s judgment on the patent pledge.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5A64"/>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District Court Litigation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August 2022, Moderna filed a lawsuit in the U.S. District Court for the District of Massachusetts against us and our wholly owned subsidiaries BioNTech Manufacturing GmbH and BioNTech US Inc. and Pfizer Inc. alleging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’s infringement of U.S. Patent Nos. 10,898,574; 10,702,600 and 10,933,127 and seeking monetary relief. On April 12, 2024, the U.S. District Court for the District of Massachusetts stayed the litigation pending resolution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U.S. Patent Nos. 10,702,600 and 10,933,127.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 Partes Review</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August 2023, Pfizer and we filed petitions seeking inter partes review of U.S. Patent Nos. 10,702,600 and 10,933,127 before the United States Patent Trial and Appeal Board, or the PTAB. On March 6, 2024, the PTAB issued decisions instituting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on all challenged claims of U.S. Patent Nos. 10,702,600 and 10,933,127. An oral hearing on the merits is scheduled to occur in December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005A64"/>
        </w:rPr>
        <w:t>Netherlands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The District Court of the Hague held a hearing on October 6, 2023, on infringement and validity with respect to EP’949. On December 6, 2023, the Court found EP’949 to be invalid. On March 5, 2024, Moderna appealed this decision, and the appeal is pending. The EP’565 case has been stayed pending the outcome of Moderna’s appeal of the Opposition Division’s revocation of EP’565.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005A64"/>
        </w:rPr>
        <w:t>Ireland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in the High Court of Ireland. 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4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February 26, 2024, the High Court of Ireland stayed the lawsuit pending the final determination of the EPO opposition proceedings for EP’949 and EP’565 (in each case including any appeals).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5A64"/>
        </w:rPr>
        <w:t>Belgium</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In May 2023, Moderna filed a lawsuit against us, our wholly owned subsidiary BioNTech Manufacturing GmbH, Pfizer Inc. and Pfizer Manufacturing Belgium alleging </w:t>
      </w:r>
      <w:r>
        <w:rPr>
          <w:rFonts w:ascii="Arial" w:cs="Arial" w:eastAsia="Arial" w:hAnsi="Arial"/>
          <w:sz w:val="18"/>
          <w:szCs w:val="18"/>
          <w:i w:val="1"/>
          <w:iCs w:val="1"/>
          <w:color w:val="auto"/>
        </w:rPr>
        <w:t>Comirnaty</w:t>
      </w:r>
      <w:r>
        <w:rPr>
          <w:rFonts w:ascii="Arial" w:cs="Arial" w:eastAsia="Arial" w:hAnsi="Arial"/>
          <w:sz w:val="18"/>
          <w:szCs w:val="18"/>
          <w:color w:val="auto"/>
        </w:rPr>
        <w:t>’s infringement of EP’949 and EP’565 in the Brussels Dutch-speaking Enterprise Court. On May 29, 2024, the parties filed a joint request to stay the proceedings, which was entered by the Enterprise Court.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proceedings are currently pending.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Arbutus and Genevant Proceedings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Arial" w:cs="Arial" w:eastAsia="Arial" w:hAnsi="Arial"/>
          <w:sz w:val="18"/>
          <w:szCs w:val="18"/>
          <w:i w:val="1"/>
          <w:iCs w:val="1"/>
          <w:color w:val="auto"/>
        </w:rPr>
        <w:t>Comirnaty</w:t>
      </w:r>
      <w:r>
        <w:rPr>
          <w:rFonts w:ascii="Arial" w:cs="Arial" w:eastAsia="Arial" w:hAnsi="Arial"/>
          <w:sz w:val="18"/>
          <w:szCs w:val="18"/>
          <w:color w:val="auto"/>
        </w:rPr>
        <w:t>, and seeking monetary relief. This proceeding is currently pending.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GlaxoSmithKline Proceedings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b w:val="1"/>
          <w:bCs w:val="1"/>
          <w:color w:val="005A64"/>
        </w:rPr>
        <w:t>adewig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Securities Exchange Act of 1934, as amended, or the Exchange Act, by stating that we were “well positioned” to remain a “market leader” in vaccines for the prevention of COVID-19 and by purportedly overstating demand for </w:t>
      </w:r>
      <w:r>
        <w:rPr>
          <w:rFonts w:ascii="Arial" w:cs="Arial" w:eastAsia="Arial" w:hAnsi="Arial"/>
          <w:sz w:val="18"/>
          <w:szCs w:val="18"/>
          <w:i w:val="1"/>
          <w:iCs w:val="1"/>
          <w:color w:val="auto"/>
        </w:rPr>
        <w:t>Comirnaty</w:t>
      </w:r>
      <w:r>
        <w:rPr>
          <w:rFonts w:ascii="Arial" w:cs="Arial" w:eastAsia="Arial" w:hAnsi="Arial"/>
          <w:sz w:val="18"/>
          <w:szCs w:val="18"/>
          <w:color w:val="auto"/>
        </w:rPr>
        <w:t>. Plaintiffs further allege that we failed to adapt our inventory to reflect the emergence of new COVID variants. On July 15, 2024, the case was transferred to the U.S. District Court for the Southern District of New York. We believe the allegations to be without merit and intend to vigorously defend our Company in this lawsuit. This proceeding is currently pending.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University of Pennsylvania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5, 2024, the Trustees of the University of Pennsylvania, or UPenn, filed suit against us and our former subsidiary BioNTech RNA Pharmaceuticals GmbH in the U.S. District Court for the Eastern District of Pennsylvania. The suit, captioned The Trustees of the University of Pennsylvania v. BioNTech SE, et al., alleges that we failed to comply with certain royalty obligations allegedly owed to UPenn under a patent sublicense agreement that permits us to use UPenn’s mRNA technology in our COVID-19 vaccine, Comirnaty. UPenn asserts claims for breach of contract and unjust enrichment. The parties have jointly stipulated that we shall have until December 16, 2024 to respond to the complaint. This proceeding is currently pending.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41"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Overview</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Given our strong financial, scientific and operational accomplishments, we believe we have the resources to diligently allocate our current capital to drive a multi-platform strategy and deliver a fully integrated global biotechnology company. We focus our R&amp;D, on rapidly advancing our diversified clinical oncology pipeline with synergistic potential, developing next generation COVID-19 vaccines to maintain leadership and pandemic preparedness, as well as broadening the label of and access to the existing vaccine. We also plan to invest heavily to build out our global development organization, bringing in talent with clinical and regulatory expertise needed to accelerate our pipeline development. We are also diversifying our therapeutic area footprint, which will enable us to fully leverage the potential of all technology platforms across autoimmune diseases, inflammatory diseases, cardiovascular disease, neurodegenerative diseases, and regenerative medicines. In addition, we plan to enhance capabilities through complementary acquisitions, technologies, infrastructure and manufacturing. To support our future trajectory, growing the organization and expanding our team is of utmost importance. We are on the way to develop our global footprint in key regions including Europe, the United States, Asia and Africa. Additionally, investing in manufacturing capabilities for key technologies and deploying our pandemic response capabilities remain priorities for us. As a science and innovation driven company, we will continue to focus investments on R&amp;D and scaling the business for commercial readiness in oncology in multiple countries by the end of 2025.</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2024, we had cash and cash equivalents of €9,624.6 million, current security investments of €7,078.0 million and non-current security investments of €1,137.2 million, accumulating to €17,839.8 million in cash, cash equivalents and security investments.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Cash Flow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290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C9673"/>
        </w:rPr>
        <w:t>Net cash flows from /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290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3" w:lineRule="exact"/>
        <w:rPr>
          <w:sz w:val="20"/>
          <w:szCs w:val="20"/>
          <w:color w:val="auto"/>
        </w:rPr>
      </w:pPr>
    </w:p>
    <w:p>
      <w:pPr>
        <w:ind w:left="20"/>
        <w:spacing w:after="0" w:line="314" w:lineRule="auto"/>
        <w:rPr>
          <w:sz w:val="20"/>
          <w:szCs w:val="20"/>
          <w:color w:val="auto"/>
        </w:rPr>
      </w:pPr>
      <w:r>
        <w:rPr>
          <w:rFonts w:ascii="Arial" w:cs="Arial" w:eastAsia="Arial" w:hAnsi="Arial"/>
          <w:sz w:val="16"/>
          <w:szCs w:val="16"/>
          <w:b w:val="1"/>
          <w:bCs w:val="1"/>
          <w:color w:val="005A64"/>
        </w:rPr>
        <w:t>Total cash outflow before change in cash and cash equivalents resulting from exchange rate differences and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4290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284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005A64"/>
              </w:rPr>
              <w:t>Three months ended</w:t>
            </w:r>
          </w:p>
        </w:tc>
        <w:tc>
          <w:tcPr>
            <w:tcW w:w="80" w:type="dxa"/>
            <w:vAlign w:val="bottom"/>
          </w:tcPr>
          <w:p>
            <w:pPr>
              <w:spacing w:after="0"/>
              <w:rPr>
                <w:sz w:val="17"/>
                <w:szCs w:val="17"/>
                <w:color w:val="auto"/>
              </w:rPr>
            </w:pPr>
          </w:p>
        </w:tc>
        <w:tc>
          <w:tcPr>
            <w:tcW w:w="2720" w:type="dxa"/>
            <w:vAlign w:val="bottom"/>
            <w:gridSpan w:val="5"/>
          </w:tcPr>
          <w:p>
            <w:pPr>
              <w:jc w:val="center"/>
              <w:spacing w:after="0"/>
              <w:rPr>
                <w:sz w:val="20"/>
                <w:szCs w:val="20"/>
                <w:color w:val="auto"/>
              </w:rPr>
            </w:pPr>
            <w:r>
              <w:rPr>
                <w:rFonts w:ascii="Arial" w:cs="Arial" w:eastAsia="Arial" w:hAnsi="Arial"/>
                <w:sz w:val="16"/>
                <w:szCs w:val="16"/>
                <w:b w:val="1"/>
                <w:bCs w:val="1"/>
                <w:color w:val="005A64"/>
              </w:rPr>
              <w:t>Nine months ended</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980" w:type="dxa"/>
            <w:vAlign w:val="bottom"/>
            <w:gridSpan w:val="4"/>
          </w:tcPr>
          <w:p>
            <w:pPr>
              <w:jc w:val="center"/>
              <w:ind w:left="659"/>
              <w:spacing w:after="0"/>
              <w:rPr>
                <w:sz w:val="20"/>
                <w:szCs w:val="20"/>
                <w:color w:val="auto"/>
              </w:rPr>
            </w:pPr>
            <w:r>
              <w:rPr>
                <w:rFonts w:ascii="Arial" w:cs="Arial" w:eastAsia="Arial" w:hAnsi="Arial"/>
                <w:sz w:val="16"/>
                <w:szCs w:val="16"/>
                <w:b w:val="1"/>
                <w:bCs w:val="1"/>
                <w:color w:val="005A64"/>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4"/>
          </w:tcPr>
          <w:p>
            <w:pPr>
              <w:jc w:val="center"/>
              <w:ind w:left="659"/>
              <w:spacing w:after="0"/>
              <w:rPr>
                <w:sz w:val="20"/>
                <w:szCs w:val="20"/>
                <w:color w:val="auto"/>
              </w:rPr>
            </w:pPr>
            <w:r>
              <w:rPr>
                <w:rFonts w:ascii="Arial" w:cs="Arial" w:eastAsia="Arial" w:hAnsi="Arial"/>
                <w:sz w:val="16"/>
                <w:szCs w:val="16"/>
                <w:b w:val="1"/>
                <w:bCs w:val="1"/>
                <w:color w:val="005A64"/>
              </w:rPr>
              <w:t>September 30,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120" w:type="dxa"/>
            <w:vAlign w:val="bottom"/>
          </w:tcPr>
          <w:p>
            <w:pPr>
              <w:spacing w:after="0"/>
              <w:rPr>
                <w:sz w:val="10"/>
                <w:szCs w:val="10"/>
                <w:color w:val="auto"/>
              </w:rPr>
            </w:pPr>
          </w:p>
        </w:tc>
        <w:tc>
          <w:tcPr>
            <w:tcW w:w="1340" w:type="dxa"/>
            <w:vAlign w:val="bottom"/>
            <w:tcBorders>
              <w:bottom w:val="single" w:sz="8" w:color="BECD32"/>
            </w:tcBorders>
            <w:gridSpan w:val="2"/>
          </w:tcPr>
          <w:p>
            <w:pPr>
              <w:spacing w:after="0"/>
              <w:rPr>
                <w:sz w:val="10"/>
                <w:szCs w:val="10"/>
                <w:color w:val="auto"/>
              </w:rPr>
            </w:pPr>
          </w:p>
        </w:tc>
        <w:tc>
          <w:tcPr>
            <w:tcW w:w="120" w:type="dxa"/>
            <w:vAlign w:val="bottom"/>
            <w:tcBorders>
              <w:bottom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2023</w:t>
            </w:r>
          </w:p>
        </w:tc>
        <w:tc>
          <w:tcPr>
            <w:tcW w:w="0" w:type="dxa"/>
            <w:vAlign w:val="bottom"/>
          </w:tcPr>
          <w:p>
            <w:pPr>
              <w:spacing w:after="0"/>
              <w:rPr>
                <w:sz w:val="1"/>
                <w:szCs w:val="1"/>
                <w:color w:val="auto"/>
              </w:rPr>
            </w:pPr>
          </w:p>
        </w:tc>
      </w:tr>
      <w:tr>
        <w:trPr>
          <w:trHeight w:val="233"/>
        </w:trPr>
        <w:tc>
          <w:tcPr>
            <w:tcW w:w="136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00" w:type="dxa"/>
            <w:vAlign w:val="bottom"/>
            <w:tcBorders>
              <w:left w:val="single" w:sz="8" w:color="BECD32"/>
            </w:tcBorders>
          </w:tcPr>
          <w:p>
            <w:pPr>
              <w:spacing w:after="0"/>
              <w:rPr>
                <w:sz w:val="20"/>
                <w:szCs w:val="20"/>
                <w:color w:val="auto"/>
              </w:rPr>
            </w:pPr>
          </w:p>
        </w:tc>
        <w:tc>
          <w:tcPr>
            <w:tcW w:w="126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005A64"/>
              <w:bottom w:val="single" w:sz="8" w:color="7FACB1"/>
            </w:tcBorders>
          </w:tcPr>
          <w:p>
            <w:pPr>
              <w:spacing w:after="0"/>
              <w:rPr>
                <w:sz w:val="20"/>
                <w:szCs w:val="20"/>
                <w:color w:val="auto"/>
              </w:rPr>
            </w:pPr>
          </w:p>
        </w:tc>
        <w:tc>
          <w:tcPr>
            <w:tcW w:w="74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top w:val="single" w:sz="8" w:color="005A64"/>
              <w:bottom w:val="single" w:sz="8" w:color="7FACB1"/>
            </w:tcBorders>
          </w:tcPr>
          <w:p>
            <w:pPr>
              <w:spacing w:after="0"/>
              <w:rPr>
                <w:sz w:val="20"/>
                <w:szCs w:val="20"/>
                <w:color w:val="auto"/>
              </w:rPr>
            </w:pP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005A64"/>
              <w:bottom w:val="single" w:sz="8" w:color="7FACB1"/>
            </w:tcBorders>
          </w:tcPr>
          <w:p>
            <w:pPr>
              <w:spacing w:after="0"/>
              <w:rPr>
                <w:sz w:val="20"/>
                <w:szCs w:val="20"/>
                <w:color w:val="auto"/>
              </w:rPr>
            </w:pPr>
          </w:p>
        </w:tc>
        <w:tc>
          <w:tcPr>
            <w:tcW w:w="740" w:type="dxa"/>
            <w:vAlign w:val="bottom"/>
            <w:tcBorders>
              <w:top w:val="single" w:sz="8" w:color="005A64"/>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(638.9)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811.2</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671.0</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4,520.5</w:t>
            </w:r>
          </w:p>
        </w:tc>
        <w:tc>
          <w:tcPr>
            <w:tcW w:w="0" w:type="dxa"/>
            <w:vAlign w:val="bottom"/>
          </w:tcPr>
          <w:p>
            <w:pPr>
              <w:spacing w:after="0"/>
              <w:rPr>
                <w:sz w:val="1"/>
                <w:szCs w:val="1"/>
                <w:color w:val="auto"/>
              </w:rPr>
            </w:pPr>
          </w:p>
        </w:tc>
      </w:tr>
      <w:tr>
        <w:trPr>
          <w:trHeight w:val="236"/>
        </w:trPr>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(142.1)</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(1,232.2)</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(2,687.9)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(4,259.4)</w:t>
            </w:r>
          </w:p>
        </w:tc>
        <w:tc>
          <w:tcPr>
            <w:tcW w:w="0" w:type="dxa"/>
            <w:vAlign w:val="bottom"/>
          </w:tcPr>
          <w:p>
            <w:pPr>
              <w:spacing w:after="0"/>
              <w:rPr>
                <w:sz w:val="1"/>
                <w:szCs w:val="1"/>
                <w:color w:val="auto"/>
              </w:rPr>
            </w:pPr>
          </w:p>
        </w:tc>
      </w:tr>
      <w:tr>
        <w:trPr>
          <w:trHeight w:val="237"/>
        </w:trPr>
        <w:tc>
          <w:tcPr>
            <w:tcW w:w="100" w:type="dxa"/>
            <w:vAlign w:val="bottom"/>
            <w:tcBorders>
              <w:left w:val="single" w:sz="8" w:color="BECD32"/>
            </w:tcBorders>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(7.9)</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(311.0)</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(38.6)</w:t>
            </w:r>
          </w:p>
        </w:tc>
        <w:tc>
          <w:tcPr>
            <w:tcW w:w="120" w:type="dxa"/>
            <w:vAlign w:val="bottom"/>
            <w:tcBorders>
              <w:right w:val="single" w:sz="8" w:color="BECD32"/>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7FACB1"/>
            </w:tcBorders>
          </w:tcPr>
          <w:p>
            <w:pPr>
              <w:spacing w:after="0"/>
              <w:rPr>
                <w:sz w:val="20"/>
                <w:szCs w:val="20"/>
                <w:color w:val="auto"/>
              </w:rPr>
            </w:pPr>
          </w:p>
        </w:tc>
        <w:tc>
          <w:tcPr>
            <w:tcW w:w="7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(765.7)</w:t>
            </w:r>
          </w:p>
        </w:tc>
        <w:tc>
          <w:tcPr>
            <w:tcW w:w="0" w:type="dxa"/>
            <w:vAlign w:val="bottom"/>
          </w:tcPr>
          <w:p>
            <w:pPr>
              <w:spacing w:after="0"/>
              <w:rPr>
                <w:sz w:val="1"/>
                <w:szCs w:val="1"/>
                <w:color w:val="auto"/>
              </w:rPr>
            </w:pPr>
          </w:p>
        </w:tc>
      </w:tr>
      <w:tr>
        <w:trPr>
          <w:trHeight w:val="330"/>
        </w:trPr>
        <w:tc>
          <w:tcPr>
            <w:tcW w:w="1360" w:type="dxa"/>
            <w:vAlign w:val="bottom"/>
            <w:tcBorders>
              <w:left w:val="single" w:sz="8" w:color="BECD32"/>
            </w:tcBorders>
            <w:gridSpan w:val="2"/>
          </w:tcPr>
          <w:p>
            <w:pPr>
              <w:jc w:val="right"/>
              <w:spacing w:after="0"/>
              <w:rPr>
                <w:sz w:val="20"/>
                <w:szCs w:val="20"/>
                <w:color w:val="auto"/>
              </w:rPr>
            </w:pPr>
            <w:r>
              <w:rPr>
                <w:rFonts w:ascii="Arial" w:cs="Arial" w:eastAsia="Arial" w:hAnsi="Arial"/>
                <w:sz w:val="16"/>
                <w:szCs w:val="16"/>
                <w:b w:val="1"/>
                <w:bCs w:val="1"/>
                <w:color w:val="005A64"/>
              </w:rPr>
              <w:t>(788.9)</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05A64"/>
              </w:rPr>
              <w:t>(732.0)</w:t>
            </w:r>
          </w:p>
        </w:tc>
        <w:tc>
          <w:tcPr>
            <w:tcW w:w="120" w:type="dxa"/>
            <w:vAlign w:val="bottom"/>
            <w:tcBorders>
              <w:right w:val="single" w:sz="8" w:color="BECD32"/>
            </w:tcBorders>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(2,055.5)</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005A64"/>
              </w:rPr>
              <w:t>(504.6)</w:t>
            </w:r>
          </w:p>
        </w:tc>
        <w:tc>
          <w:tcPr>
            <w:tcW w:w="0" w:type="dxa"/>
            <w:vAlign w:val="bottom"/>
          </w:tcPr>
          <w:p>
            <w:pPr>
              <w:spacing w:after="0"/>
              <w:rPr>
                <w:sz w:val="1"/>
                <w:szCs w:val="1"/>
                <w:color w:val="auto"/>
              </w:rPr>
            </w:pPr>
          </w:p>
        </w:tc>
      </w:tr>
      <w:tr>
        <w:trPr>
          <w:trHeight w:val="115"/>
        </w:trPr>
        <w:tc>
          <w:tcPr>
            <w:tcW w:w="100" w:type="dxa"/>
            <w:vAlign w:val="bottom"/>
            <w:tcBorders>
              <w:left w:val="single" w:sz="8" w:color="BECD32"/>
              <w:bottom w:val="single" w:sz="8" w:color="BECD32"/>
            </w:tcBorders>
          </w:tcPr>
          <w:p>
            <w:pPr>
              <w:spacing w:after="0"/>
              <w:rPr>
                <w:sz w:val="10"/>
                <w:szCs w:val="10"/>
                <w:color w:val="auto"/>
              </w:rPr>
            </w:pPr>
          </w:p>
        </w:tc>
        <w:tc>
          <w:tcPr>
            <w:tcW w:w="1260" w:type="dxa"/>
            <w:vAlign w:val="bottom"/>
            <w:tcBorders>
              <w:bottom w:val="single" w:sz="8" w:color="BECD32"/>
            </w:tcBorders>
          </w:tcPr>
          <w:p>
            <w:pPr>
              <w:spacing w:after="0"/>
              <w:rPr>
                <w:sz w:val="10"/>
                <w:szCs w:val="10"/>
                <w:color w:val="auto"/>
              </w:rPr>
            </w:pPr>
          </w:p>
        </w:tc>
        <w:tc>
          <w:tcPr>
            <w:tcW w:w="120" w:type="dxa"/>
            <w:vAlign w:val="bottom"/>
            <w:tcBorders>
              <w:bottom w:val="single" w:sz="8" w:color="BECD32"/>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740" w:type="dxa"/>
            <w:vAlign w:val="bottom"/>
            <w:tcBorders>
              <w:bottom w:val="single" w:sz="8" w:color="005A64"/>
            </w:tcBorders>
          </w:tcPr>
          <w:p>
            <w:pPr>
              <w:spacing w:after="0"/>
              <w:rPr>
                <w:sz w:val="10"/>
                <w:szCs w:val="10"/>
                <w:color w:val="auto"/>
              </w:rPr>
            </w:pPr>
          </w:p>
        </w:tc>
        <w:tc>
          <w:tcPr>
            <w:tcW w:w="120" w:type="dxa"/>
            <w:vAlign w:val="bottom"/>
            <w:tcBorders>
              <w:right w:val="single" w:sz="8" w:color="BECD32"/>
            </w:tcBorders>
          </w:tcPr>
          <w:p>
            <w:pPr>
              <w:spacing w:after="0"/>
              <w:rPr>
                <w:sz w:val="10"/>
                <w:szCs w:val="10"/>
                <w:color w:val="auto"/>
              </w:rPr>
            </w:pPr>
          </w:p>
        </w:tc>
        <w:tc>
          <w:tcPr>
            <w:tcW w:w="80" w:type="dxa"/>
            <w:vAlign w:val="bottom"/>
            <w:tcBorders>
              <w:bottom w:val="single" w:sz="8" w:color="BECD32"/>
            </w:tcBorders>
          </w:tcPr>
          <w:p>
            <w:pPr>
              <w:spacing w:after="0"/>
              <w:rPr>
                <w:sz w:val="10"/>
                <w:szCs w:val="10"/>
                <w:color w:val="auto"/>
              </w:rPr>
            </w:pPr>
          </w:p>
        </w:tc>
        <w:tc>
          <w:tcPr>
            <w:tcW w:w="1260" w:type="dxa"/>
            <w:vAlign w:val="bottom"/>
            <w:tcBorders>
              <w:bottom w:val="single" w:sz="8" w:color="BECD32"/>
            </w:tcBorders>
          </w:tcPr>
          <w:p>
            <w:pPr>
              <w:spacing w:after="0"/>
              <w:rPr>
                <w:sz w:val="10"/>
                <w:szCs w:val="10"/>
                <w:color w:val="auto"/>
              </w:rPr>
            </w:pPr>
          </w:p>
        </w:tc>
        <w:tc>
          <w:tcPr>
            <w:tcW w:w="120" w:type="dxa"/>
            <w:vAlign w:val="bottom"/>
            <w:tcBorders>
              <w:bottom w:val="single" w:sz="8" w:color="BECD32"/>
              <w:right w:val="single" w:sz="8" w:color="BECD32"/>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74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ectPr>
          <w:pgSz w:w="11900" w:h="16838" w:orient="portrait"/>
          <w:cols w:equalWidth="0" w:num="2">
            <w:col w:w="5260" w:space="240"/>
            <w:col w:w="5740"/>
          </w:cols>
          <w:pgMar w:left="320" w:top="341"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005A64"/>
        </w:rPr>
        <w:t>Operating Activities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derive cash flows from operations primarily from the sale of products and services rendered. Our cash flows from operating activities are significantly influenced by cash we generated as settlement payments of our gross profit as well as our use of cash for operating expenses and working capital to support the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three months ended September 30, 2024, was €638.9 million. Cash payments for our operating business exceeded the cash received from our revenue streams, resulting in a decrease in cash of €638.3 million. Additionally, we received positive cash contributions from grants of €60.7 million and from returns on our financial investments of €73.1 million. Operating cash flow was additionally impacted by cash payments of €134.4 million for exercised share based payment programs, especially the programs in which the Management Board members participate.</w:t>
      </w:r>
    </w:p>
    <w:p>
      <w:pPr>
        <w:sectPr>
          <w:pgSz w:w="11900" w:h="16838" w:orient="portrait"/>
          <w:cols w:equalWidth="0" w:num="1">
            <w:col w:w="112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341"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generated in operating activities for the three months ended September 30, 2023, was € 811.2 million, comprising a profit before tax of €227.4 million, negative non-cash adjustments of €110.3 million, and a net positive change in assets and liabilities of €639.4 million and income taxes received of €10.2 million. Non-cash items primarily included net foreign exchange differences as well as fair value adjustments of derivatives without cash effect. The net positive change in assets and liabilities was primarily due to a decrease in trade and other receivables related to our COVID-19 collaboration with Pfizer.</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generated in operating activities for the nine months ended September 30, 2024, was € 671.0 million. Cash received from our revenue streams exceeded the cash payments for our operating business, resulting in an increase in cash of €556.3 million. Additionally, we received positive cash contribution from grants of €102.7 million and from returns like interests or sales resulting from our financial investments of €353.3 million. On the other hand, we paid income taxes of €190.8 million and the operating cash flow was impacted by cash payments of €143.6 million for exercised share based payment programs, especially the programs in which the Management Board members participate.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generated in operating activities for the nine months ended September 30, 2023, was €4,520.5 million, comprising a profit before tax of € 522.9 million, negative non-cash adjustments of €490.1 million, a net positive change in assets and liabilities of €6,378.6 million and income taxes paid of €1,292.4 million. Non-cash items primarily included net foreign exchange differences as well as non-cash fair value adjustments of derivatives. The net positive change in assets and liabilities was primarily due to a decrease in trade and other receivables related to our COVID-19 collaboration with Pfizer.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005A64"/>
        </w:rPr>
        <w:t>Investing Activities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for the three months ended September 30, 2024, was €142.1 million. The amount includes €59.4 million mainly spent on security investments. The capital expenditures supporting our operating activities amounted to €79.1 million, whereof the majority was related to investments in building our laboratory and office facilities in Germany as well as our facilities in Singapore.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the three months ended September 30, 2023, was €1,232.2 million, of which €382.6 million related to in-licensing arrangements, collaborations or M&amp;A transactions.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in investing activities for the nine months ended September 30, 2024, was €2,687.9 million. The amount includes €2,327.2 million mainly spent on security investments. The capital expenditures supporting our operating activities amounted to €236.3 million, whereof the majority was related to investments in building our laboratory and office facilities in Germany as well as our facilities in Singapore and Rwanda.</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cash used in investing activities for the nine months ended September 30, 2023, was €4,259.4 million. Thereof, the amount caused by or driven from in-licensing arrangements, collaborations or M&amp;A transactions amounted to €620.4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5A64"/>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the three months ended September 30, 2024, was €7.9 million, mainly related to our lease payments.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September 30, 2023, net cash used in financing activities was €311.0 million, primarily resulting from our share repurchase program.</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nine months ended September 30, 2024, was €38.6 million, mainly related to our lease payments.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nine months ended September 30, 2023, net cash used in financing activities was €765.7 million, primarily resulting from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41" w:right="3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Operation and Funding Requirements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15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for our product candidates, including under our collaboration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or increase our manufacturing capacity or capability;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a public company and our product development and commercialization efforts, including new and expanded sites globally;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 our sales, marketing, and distribution infrastructure for our COVID-19 vaccine and any other products for which we may obtain marketing approval or emergency use authorization;</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acquire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contract research organizations, or CROs, for clinical trials and clinical and commercial supply manufacturing, and with vendors for preclinical research studies and for other services and products for operating purposes. We work together with contract manufacturing organizations, or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one year is related to lease payments amounting to €45.1 million and commitments under purchase agreements and contractual obligations amounting to €230.4 million. Further, we have lease payment obligations with an amount of €230.5 million and commitments under purchase agreements and contractual obligations of €1,725.3 million for the years 2025 and beyond.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subject to all of the risks related to the development and commercialization of pharmaceutical products, and we may encounter unforeseen expenses, difficulties, complications, delays and other unknown factors that may adversely affect our business.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341" w:right="3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near and long term,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or nonclinical studies and clinical trials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and timing of revenues and associated costs from sales of our COVID-19 vaccine;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 and the achievement of any milestone payments under such agreements to be paid to us or our collaborators;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regulatory authorities;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17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of any ADS repurchases we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4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Risk Factors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 Factor Summary</w:t>
      </w:r>
    </w:p>
    <w:p>
      <w:pPr>
        <w:spacing w:after="0" w:line="117" w:lineRule="exact"/>
        <w:rPr>
          <w:sz w:val="20"/>
          <w:szCs w:val="20"/>
          <w:color w:val="auto"/>
        </w:rPr>
      </w:pPr>
    </w:p>
    <w:p>
      <w:pPr>
        <w:jc w:val="both"/>
        <w:ind w:left="66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Demand for our COVID-19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reported commercial revenue is partially based on preliminary estimates of COVID-19 vaccine sales and costs from Pfizer that are likely to change in future periods, which may impact our reported financial results.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be unsuccessful in adapting our COVID-19 vaccine or developing future versions of our COVID-19 vaccine to protect against variants of the SARS-CoV-2 virus and, even if we are successful, a market for vaccines against these variants may not develop.</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adverse events may occur during our clinical trials or even after receiving regulatory approval, which could delay or terminate clinical trials and delay or prevent regulatory approval or market acceptance of any of our product candidates. Since commercialization, we have received, and expect to continue to receive, product liability claims related to our COVID-19 vaccine.</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we are unable to continue to increase our marketing and sales capabilities on our own or through third parties, we may not be able to market and sell our product candidates effectively in the United States and other jurisdictions, if approved, or generate product sales revenue.</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companies or organizations may challenge our intellectual property rights or may assert intellectual property rights that prevent us from developing and commercializing our COVID-19 vaccine or our product candidates and other technologies, or that negatively affect our results of operations.</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If our operating results fall below expectations, the price of the ADSs representing our shares could decline.</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we identify material weaknesses in our internal control over financial reporting and fail to remediate such material weaknesses, we may not be able to report our financial results accurately or to prevent fraud.</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a “foreign private issuer,” we are exempt from a number of rules under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170" w:lineRule="exact"/>
        <w:rPr>
          <w:rFonts w:ascii="Arial" w:cs="Arial" w:eastAsia="Arial" w:hAnsi="Arial"/>
          <w:sz w:val="18"/>
          <w:szCs w:val="18"/>
          <w:color w:val="auto"/>
        </w:rPr>
      </w:pPr>
    </w:p>
    <w:p>
      <w:pPr>
        <w:jc w:val="both"/>
        <w:ind w:left="660" w:right="20" w:hanging="328"/>
        <w:spacing w:after="0" w:line="26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4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mRNA drug development has substantial clinical development and regulatory risks due to limited regulatory experience with mRNA immunotherapies.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approved product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significant volatility in the market price of the ADSs representing our ordinary shares.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principal shareholders and management own a significant percentage of our ordinary shares and will be able to exert significant control over matters subject to shareholder approval.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our COVID-19 Vaccine and the Commercialization of our Pipeline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Demand for our COVID-19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now that the virus has entered an endemic stage and as a growing proportion of the population becomes vaccinated. We expect that future revenues from sales of our COVID-19 vaccine will decrease as demand for vaccination wanes. Such revenues will depend on numerous factors, including:</w:t>
      </w:r>
    </w:p>
    <w:p>
      <w:pPr>
        <w:spacing w:after="0" w:line="71" w:lineRule="exact"/>
        <w:rPr>
          <w:sz w:val="20"/>
          <w:szCs w:val="20"/>
          <w:color w:val="auto"/>
        </w:rPr>
      </w:pPr>
    </w:p>
    <w:p>
      <w:pPr>
        <w:ind w:left="66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a COVID-19 vaccine, including any booster shot, continues to be necessary as COVID-19 becomes an endemic virus;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from other COVID-19 vaccines, including those with different mechanisms of action and different manufacturing and distribution constraints, on the basis of, among other things, efficacy, cost, convenience of storage and distribution, breadth of approved use, side-effect profile and durability of immune response;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successfully and timely develop effective vaccines targeting new variants and mutations of COVID-19;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receive full regulatory approvals where we currently have emergency use authorizations or equivalents;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expand our geographic customer base;</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pricing and reimbursement negotiations with governmental authorities, private health insurers and other third-party payors after our initial sales to national governments, including the transition towards ordinary-course insurance coverage in the public and private sectors;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countries and jurisdictions to store and distribute doses of our COVID-19 vaccine to end users at cold temperatures;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safety profile of our COVID-19 vaccine, including if previously unknown undesirable effects or increased incidence or severity of known undesirable effects are identified with our COVID-19 vaccine;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4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intellectual property litigation involving our COVID-19 vaccine and COVID-19 vaccines in general;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manufacturing and distribution capabilities for our COVID-19 vaccine.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cannot accurately predict the revenues our COVID-19 vaccine will generate in future periods or for how long our COVID-19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18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Our reported commercial revenue is based on preliminary estimates of COVID-19 vaccine sales and costs from Pfizer that are likely to change in future periods, which may impact our reported financial results.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reported commercial revenue is based on preliminary estimates from Pfizer and other assumptions and judgments that we have made, which may be subject to significant uncertainties. Our commercial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commercial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be unsuccessful in adapting our COVID-19 vaccine or developing future versions of our COVID-19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COVID-19 disease itself is unpredictable and each variant comes with varying levels of transmissibility and severity. Consequently, the burden of the disease may wane or dissipate such that our and other COVID-19 vaccines may be considered less essential from individual and public health perspectives.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4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disease than the predominant strains observed to date. Our vaccine may not be as effective in protecting against existing and future variant strains of the SARS-CoV-2 virus as it is against the original virus or currently known strains of the SARS-CoV-2 virus. While we continue to monitor emerging SARS-CoV-2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 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Unexpected safety issues, including any that we have not yet observed in our clinical trials for our COVID-19 vaccine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Failure to comply with continuing regulatory requirements by us or our collaboration partners could adversely impact regulatory approvals for our products, result in product recalls or suspensions, and/or subject us to fines and/or other types of liabilities.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 determination that inventories are not safe for commercial sale. Any of these factors could adversely affect our business prospects and our financial position could be materially harmed.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will become effective in 2026 for the first round of selected drugs,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 fail to comply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4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Government policies, including relating to manufacturing or export controls, and negative public perception regarding vaccines and mRNA-based therapeutics could severely and adversely impact the manufacturing and sales of our COVID-19 vaccine and other product candidates we may develop, if approved.</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 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COVID-19 vaccine and other product candidates we may develop and sell, and cause reputational damage.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face significant competition with other makers of COVID-19 vaccines and may be unable to maintain a competitive market share for our COVID-19 vaccine.</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vaccine manufacturers, academic institutions and other organizations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 effects, have broader market acceptance, are more convenient to administer or distribute or are less expensive than any vaccine candidate that we have developed or we may develop.</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4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not be able to demonstrate sufficient efficacy or safety of our COVID-19 vaccine to obtain permanent regulatory approval in jurisdictions where it has been authorized for emergency use or granted conditional marketing approval.</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COVID-19 vaccine has been granted full U.S. FDA approval for individuals 12 years and older, emergency or limited use authorization in a number of jurisdictions and in the United States for individuals six months to 12 years of age and approval for use in certain other jurisdictions. Our COVID-19 vaccine has not yet received full approval by regulatory authorities in certain jurisdictions where it has been authorized for emergency or temporary use. We and Pfizer intend to continue to observe our COVID-19 vaccine, including vaccine candidates that we may develop for other variants of COVID-19,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COVID-19 vaccine will arise from the widespread use of our COVID-19 vaccine outside of clinical trials. Our COVID-19 vaccine may not receive approval outside of the emergency use setting in the jurisdictions where it is not currently approved, which could adversely affect our business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Our COVID-19 vaccine is sensitive to temperature, shipping and storage conditions and could be subject to risk of loss or damage.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are developing other product candidates and services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71" w:lineRule="exact"/>
        <w:rPr>
          <w:sz w:val="20"/>
          <w:szCs w:val="20"/>
          <w:color w:val="auto"/>
        </w:rPr>
      </w:pPr>
    </w:p>
    <w:p>
      <w:pPr>
        <w:ind w:left="660" w:hanging="328"/>
        <w:spacing w:after="0" w:line="28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manufacturing, marketing and selling drug products;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4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treatment of conditions for which we are trying, or may in the future try, to develop drugs. These drugs may be more effective, safer, less expensive, or marketed and sold more effectively than any products we develop.</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successfully develop other product candidates, and obtain approval for them, we will face competition based on many different factors, including:</w:t>
      </w:r>
    </w:p>
    <w:p>
      <w:pPr>
        <w:spacing w:after="0" w:line="153"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safety and effectiveness of our products relative to alternative therapies,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ease with which our products can be administered and the extent to which patients accept relatively new routes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of any approved immunotherapy;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intellectual property position.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our acquisition of InstaDeep Ltd., we also face competition in the rapidly growing and developing artificial intelligence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4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approved, because the potential target populations may be small, we may be unable to achieve or maintain profitability in future periods without obtaining regulatory approval for additional indications.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only relatively recently developed our sales, distribution or marketing capabilities in Germany and Türkiye, and, other than for our COVID-19 vaccine, we have not historically designed our preclinical studies and clinical trials with specific commercialization or marketing considerations in mind. In addition, with respect to our COVID-19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obtaining, on a country-by-country basis, the applicable marketing authorization from the competent regulatory authority;</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labor and other legal requirements in each jurisdiction that we or our collaborators pursue;</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differing medical practices and customs affecting acceptance in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governmental controls, trade restrictions or changes in tariffs;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language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341"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hanging="328"/>
        <w:spacing w:after="0" w:line="28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epidemics, pandemics and other public health developments, such as COVID-19, on employees and the global economy;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reimbursement, pricing and insurance regimes;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local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71"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product that we bring to the market may not gain market acceptance by physicians, trial participants, third-party payors, and others in the medical community. Additionally, ethical, social and legal concerns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spacing w:after="0" w:line="17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to offer our products, if approved, at competitive prices;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prevalence and severity of any undesirable effects, including any limitations or warnings contained in a product’s approved labeling;</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prevalence and severity of any undesirable effects resulting from checkpoint inhibitors or other drugs or therapies with which our products are administered;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relative convenience and ease of transportation, storage and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such as mRNA vaccines and therapies, and of physicians to prescribe these therapies;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 and patients’ willingness to pay out-of-pocket in the absence of third-party coverage or adequate reimbursement.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341"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Coverage and reimbursement may be limited or unavailable in certain market segments for our product candidates, which could make it difficult for us to sell our product candidates, if approved, profitably.</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153"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Obtaining coverage and reimbursement of a product from a government or other third-party payor is a time- consuming and costly process that could require us to provide to the payor supporting scientific, clinical and cost-effectiveness data for the use of our products. Third-party payors could require us to conduct additional studies, including post-marketing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4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the ACA, was passed, which substantially changed the way health 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On August 16, 2024, the Centers for Medicare &amp; Medicaid Services, or CMS, announced the results of a first round of discounted prices effectively set by CMS under the IRA, applicable to ten products of other manufacturers; those discounted prices, set to take effect for calendar year 2026, were as high as 79% from 2023 list prices. Additional products will be discounted in future years. We cannot be sure whether additional legislative changes will be enacted, or the effect of forthcoming guidance implementing the IRA, or what the impact of such changes on our products and product candidates may be.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4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additional healthcare reform measures or proposals will be adopted in the future, any of which could limit the amounts that governments will pay for healthcare products and services,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Drug marketing and reimbursement regulations in the European Union and elsewhere may materially affect our ability to market and receive coverage for our products in the member states of the European Union and elsewhere.</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183" w:lineRule="exact"/>
        <w:rPr>
          <w:sz w:val="20"/>
          <w:szCs w:val="20"/>
          <w:color w:val="auto"/>
        </w:rPr>
      </w:pPr>
    </w:p>
    <w:p>
      <w:pPr>
        <w:ind w:right="660"/>
        <w:spacing w:after="0" w:line="375" w:lineRule="auto"/>
        <w:rPr>
          <w:sz w:val="20"/>
          <w:szCs w:val="20"/>
          <w:color w:val="auto"/>
        </w:rPr>
      </w:pPr>
      <w:r>
        <w:rPr>
          <w:rFonts w:ascii="Arial" w:cs="Arial" w:eastAsia="Arial" w:hAnsi="Arial"/>
          <w:sz w:val="18"/>
          <w:szCs w:val="18"/>
          <w:b w:val="1"/>
          <w:bCs w:val="1"/>
          <w:color w:val="005A64"/>
        </w:rPr>
        <w:t>Risks Related to our Financial Condition and Capital Requirements Long-term sustainable profitability is difficult to achieve and maintain over time and is highly dependent on various factors.</w:t>
      </w:r>
    </w:p>
    <w:p>
      <w:pPr>
        <w:spacing w:after="0" w:line="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ability to continue to generate revenue and achieve and maintain long-term sustainable profitability depends on our ability, alone or with collaborators, to successfully complete the development of, and obtain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4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regulatory approvals necessary to commercialize, our product candidates. Although we generate revenue from sales of our COVID-19 vaccine and additional limited revenue from other transactions, we expect that future revenues from sales of our COVID-19 vaccine will continue to decrease as demand for vaccination wanes. The amount of long-term revenue from such sales, including the sales of our COVID-19 vaccine, is uncertain at this time. Our ability to generate future revenues from pharmaceutical product sales and sales of our other products and services depends heavily on our success in:</w:t>
      </w:r>
    </w:p>
    <w:p>
      <w:pPr>
        <w:spacing w:after="0" w:line="179"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seeking and obtaining U.S. and non-U.S. marketing approvals for product candidates for which we complete clinical trials;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seeking and obtaining market access and favorable pricing terms in the United States, the European Union, and other key geographies;</w:t>
      </w:r>
    </w:p>
    <w:p>
      <w:pPr>
        <w:spacing w:after="0" w:line="152"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furthering the development of our own manufacturing capabilities and manufacturing relationships with third parties in order to provide adequate (in amount and quality) products and services to support clinical development and the market demand for our approved products and product candidates, if approved;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obtaining market acceptance of our approved products and product candidates as a treatment option;</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launching and commercializing products for which we obtain marketing approval and reimbursement, either through collaborations or, if launched independently, by establishing a sales force, marketing and distribution infrastructure;</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in particular, declining demand for any of our approved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our expenses;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maintaining, defending, protecting, enforcing and expanding our portfolio of intellectual property rights, including patents, trade secrets and know-how;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we have incurred significant costs associated with the commercialization of our COVID-19 vaccine. Our expenses could increase beyond our expectations if we are required by the FDA, the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operating results may fluctuate significantly, which makes our future operating results difficult to predict. If our operating results fall below expectations, the price of the ADSs representing our ordinary shares could decline.</w:t>
      </w:r>
    </w:p>
    <w:p>
      <w:pPr>
        <w:spacing w:after="0" w:line="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financial condition and operating results have varied in the past and will continue to fluctuate from one financial period to the next due to a variety of factors, many of which are beyond our control.</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Factors relating to our business that may contribute to these fluctuations include the following, as well as other factors described elsewhere in this report:</w:t>
      </w:r>
    </w:p>
    <w:p>
      <w:pPr>
        <w:spacing w:after="0" w:line="15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size and timing of orders for our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41" w:right="339" w:bottom="1440" w:gutter="0" w:footer="0" w:header="0"/>
        </w:sectPr>
      </w:pPr>
    </w:p>
    <w:bookmarkStart w:id="71" w:name="page72"/>
    <w:bookmarkEnd w:id="71"/>
    <w:p>
      <w:pPr>
        <w:jc w:val="center"/>
        <w:ind w:right="312"/>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708"/>
        <w:spacing w:after="0"/>
        <w:tabs>
          <w:tab w:leader="none" w:pos="6948"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36195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delays or failures in advancement of existing or future product candidates into the clinic or in clinical trials;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occurrence of adverse events during our clinical trials or post marketing authorization;</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develop and manufacture our product candidates and commercialize and manufacture our COVID-19 vaccine at commercial scale;</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manage our growth and spending;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execute our corporate objectives;</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or approval processes conducted by us and our collaborators;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ability of our collaborators to develop and successfully commercialize products developed from our suite of therapeutic classes;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relationships, and any associated exclusivity terms, with collaborators;</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contractual or other obligations to provide resources to fund our product candidates, and to provide resources to our collaborators or to the collaborations themselves, including take-or-pay or similar obligations;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extent to which we repurchase outstanding ADSs under any share repurchase plans we may enter into in the future;</w:t>
      </w:r>
    </w:p>
    <w:p>
      <w:pPr>
        <w:spacing w:after="0" w:line="225"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risks associated with the international aspects of our business outside Germany, including the conduct of clinical trials in multiple locations and potential commercialization in such locations;</w:t>
      </w:r>
    </w:p>
    <w:p>
      <w:pPr>
        <w:spacing w:after="0" w:line="152"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minimize and manage product recalls or inventory losses caused by unforeseen events, cold chain interruption, testing difficulties or decreased demand, and our ability to write down certain inventory;</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report our financial results accurately and in a timely manner;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obtain, protect, maintain, defend and enforce our intellectual property rights;</w:t>
      </w:r>
    </w:p>
    <w:p>
      <w:pPr>
        <w:spacing w:after="0" w:line="225"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prevent the theft or infringement, misappropriation or other violation of our intellectual property, trade secrets, know-how or technologies;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and our collaborators’ ability to defend against claims of infringement of the intellectual property rights of third parties;</w:t>
      </w:r>
    </w:p>
    <w:p>
      <w:pPr>
        <w:spacing w:after="0" w:line="225"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obtaining the rights to critical intellectual property or developing competing technologies or products;</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collaborators’ ability to obtain and devote additional capital that may be necessary to develop and commercialize products under our collaboration agreements, including our COVID-19 vaccine;</w:t>
      </w:r>
    </w:p>
    <w:p>
      <w:pPr>
        <w:spacing w:after="0" w:line="15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minimize and manage product liability claims arising from the use of our COVID-19 vaccine and our product candidates and other future products, if approved;</w:t>
      </w:r>
    </w:p>
    <w:p>
      <w:pPr>
        <w:spacing w:after="0" w:line="152"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business interruptions such as power outages, strikes, acts of terrorism or natural disasters;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to offset future taxable income;</w:t>
      </w:r>
    </w:p>
    <w:p>
      <w:pPr>
        <w:sectPr>
          <w:pgSz w:w="11900" w:h="16838" w:orient="portrait"/>
          <w:cols w:equalWidth="0" w:num="1">
            <w:col w:w="10908"/>
          </w:cols>
          <w:pgMar w:left="652"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708"/>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08"/>
          </w:cols>
          <w:pgMar w:left="652" w:top="341"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risks of counterparty defaults within our asset management portfolio;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increased or unpredictable pricing for the commodities we rely on, including as a result of 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factors listed above may be affected by the changing impact of COVID-19 on the global community and the global economy.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have incurred significant losses in the past and we may incur significant losses in the future.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first full year of commercialization of our COVID-19 vaccine, and for the three and nine months ended September 30, 2024, we incurred significant losses and negative cash flows from operations due to our significant research and development expenses and our investment in our manufacturing capabilities, and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experienced, and we expect to continue to experience, increasing reductions in demand for COVID-19 vaccination generally, including for our vaccine. We expect that future revenues from sales of our COVID-19 vaccine will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153"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for our product candidates, including under our collaboration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4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 or increase our manufacturing capacity or capability;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a public company and our product development and commercialization efforts, including new and expanded sites globally;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 our sales, marketing, and distribution infrastructure for our COVID-19 vaccine and any other products for which we may obtain marketing approval or emergency use authorization;</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5A64"/>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Germany, we have unused German tax loss carryforwards for corporate taxes for German group entities with pre tax group losses, though we have not recognized deferred tax assets related to such loss carryforwards for IFRS reporting purposes as of September 30, 2024.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we have U.S. federal and state NOL carryforwards due to our subsidiaries in the United States, which may be subject to limitations on use after an ownership change.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341" w:right="3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our ability to use our NOLs or credits is conditioned upon our attaining profitability and generating taxable income. Taxable income exceeding NOLs will be subject to taxation resulting tax liabilities. As described above, we incurred significant net losses in every year since our inception other than 2018, 2021, 2022 and 2023 and anticipate that in the future, we may incur significant losses for some of the group entities. Our ability to utilize our NOL or credit carryforwards in the United States and for some other group entities is uncertain.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value added taxes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near and long term,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or nonclinical studies and clinical trials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and timing of revenues and associated costs from sales of our COVID-19 vaccine;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4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 and the achievement of any milestone payments under such agreements to be paid to us or our collaborators;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of any other strategic transactions, including relating to any acquisitions, into which we enter;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regulatory authorities;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17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including the development of modular production and clinical facilities in various markets via our BioNTainer network; and</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from product sales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4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encounter difficulties in developing and expanding our company and managing such development and expansion, which could disrupt our operations.</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manage our anticipated development and expansion, we must continue to implement and improve our managerial, operational, legal, compliance and financial systems, expand our facilities, and continue to recruit and train additional qualified personnel. In addition, our management may need to divert a disproportionate amount of its attention away from its day-to-day activities and devote a substantial amount of time to managing these development activities.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an evolving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certain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of our company.</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5A64"/>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4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identify material weaknesses in our internal control over financial reporting and fail to remediate such material weaknesses, we may not be able to report our financial results accurately or to prevent fraud.</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Prior to our initial public offering, we identified a material weakness in our internal control which has been fully remediated, but there can be no guarantee that we will not identify additional material weaknesses in the future.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successfully remediate any future material weaknesses or successfully supervise and rely on outside advisors with expertise in these matters to assist us in the preparation of our financial statements, our financial statements could contain material misstatements discovered in the future that could cause us to fail to meet our future reporting obligations and cause the price of the ADSs to decline.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Exchange Act that regulate disclosure obligations and procedural requirements related to the solicitation of proxies, consents or authorizations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4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are exempt from regulations of Nasdaq that require a listed U.S. company to:</w:t>
      </w:r>
    </w:p>
    <w:p>
      <w:pPr>
        <w:spacing w:after="0" w:line="22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adopt a code of conduct and promptly disclose any waivers of the code for directors or executive officers that should address certain specified items;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have an independent compensation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have an independent nominating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4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face risks related to catastrophic global events including natural disasters, political crises, or public health epidemics and pandemics and other public health developments, that could adversely affect our operations.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the Middle East and in Ukraine, and resulting sanctions imposed by the United States and other countries and retaliatory actions taken by Russia in response to such sanctions; or other catastrophic events.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ongoing conflict between Russia and Ukraine and the conflicts in the Middle East, and resulting sanctions and other economic actions, have contributed to volatility in the crude oil and natural gas supply chains. Prolonged or expanded conflict between Russia and Ukraine and in the Middle East, and political responses to global actions, could further destabilize oil and gas supply and demand patterns, increase energy volatility and have severe adverse effects on regional and global supply chains and economies and our business. Our commercial production of our COVID-19 vaccine is currently run on natural gas, although we believe our production could be powered by alternative fuel sources if needed. Additionally, we continue to evaluate the impacts that energy shortages may have on our partners, suppliers and service providers. Were any of these parties to experience significant impacts from this or any other energy shortage, our business could be materially harmed. We cannot predict with certainty the impact increased volatility in energy prices would have on our or their operations, including on the manufacturing of our COVID-19 vaccine and the manufacturing and testing of our product candidates.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insurance policies are expensive and protect us only from some business risks, which leaves us exposed to significant uninsured liabilities.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operating as a public company has made it more expensive for us to obtain director and officer liability insurance. As a result, it may be more difficult for us to attract and retain qualified individuals to serve on our Supervisory Board, our Management Board, or our board committees.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or other companies in the financial services industry or the 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generally, or concerns or rumors about any events of these kinds, have in the past and may in the future lead to market-wide liquidity problems. For example, on March 10, 2023, Silicon Valley Bank, or SVB, a bank which we previously used to support operations in the United States, was closed by the California Department of Financial Protection and Innovation, which appointed the Federal Deposit Insurance Corporation, or the FDIC, as receiver.</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a statement by the U.S. Department of the Treasury, the Federal Reserve and the FDIC stated that all depositors of SVB would have access to all of their money after only one business day following the date of closure and we received such access on March 13, 2023, and neither the amount in question nor any delays in access were material to our operations, uncertainty and liquidity concerns in the broader financial services industry remain. Inflation and rapid increases in interest rates have caused declines in the trading value of previously issued government securities with interest rates below current market interest rates. There is no guarantee that the U.S. Department of Treasury, FDIC and Federal Reserve Board will provide access to uninsured funds in the future in the event of the closure of other banks or financial institutions in a timely fashion or at all.</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our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complete the necessary preclinical studies and clinical trials, the marketing approval process is expensive, time-consuming and uncertain, and we may not be able to obtain approvals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CROs, regulatory consultants or collaborators to assist us in this process. We expect to submit initial BLAs/MAAs for our mRNA-based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34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about the product manufacturing process to, and inspection of manufacturing facilities by, the relevant regulatory authority. Benefit and risk are regularly assessed, and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Regulatory agencies also may approve a product candidate for fewer or more limited indications or patient populations than requested or may grant approval subject to the performance of post-marketing studies. In addition, regulatory agencies may not approve the labeling claims that are necessary or desirable for the successful commercialization of our product candidates.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mRNA drug development carries substantial clinical development and regulatory risks due to limited regulatory experience with mRNA immunotherapies.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our knowledge, other than our and Moderna, Inc.’s COVID-19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179"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discovery efforts aimed at identifying potential immunotherapies may not be successful;</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nonclinical or preclinical study results may show product candidates to be less effective than desired or have harmful or problematic side effects;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4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2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clinical trial results may show the product candidates to be less effective than expected, including a failure to meet one or more endpoints or have unacceptable side effects or toxicities;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manufacturing or distribution failures or insufficient supply of GMP materials for clinical trials or higher than expected cost could delay or set back clinical trials, or make our product candidates commercially unattractive;</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improvements in the manufacturing processes may not be sufficient to satisfy the clinical or commercial demand of our product candidates or regulatory requirements for clinical trials;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that we make to optimize our manufacturing, testing or formulating of GMP materials could impact the safety, tolerability and efficacy of our product candidates;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pricing or reimbursement issues or other factors could delay clinical trials or make any immunotherapy uneconomical or noncompetitive with other therapies;</w:t>
      </w:r>
    </w:p>
    <w:p>
      <w:pPr>
        <w:spacing w:after="0" w:line="15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proprietary rights, products and technologies of our competitors may prevent our immunotherapies from being commercialized.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administrative purposes, mRNA products are classified together with gene therapy products by the FDA. Unlike certain gene therapies that irreversibly alter cell DNA and may cause certain side effects, mRNA is highly unlikely to localize to the nucleus, be reverse transcribed or integrated into the genome. Side effects observed in other gene therapies, however, could negatively impact the perception of immunotherapies despite the differences in mechanism. In addition, the regulatory pathway in the United States and many other jurisdictions for approval is uncertain. Our COVID-19 vaccine is not currently classified as a gene therapy. The regulatory pathway for an individualized therapy, such as our iNeST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with most biological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have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34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Monitoring the safety of patients receiving our product candidates is challenging, which could adversely affect our ability to obtain regulatory approval and commercialize our product candidates.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effects caused by such products, a number of potentially significant negative consequences could result, including:</w:t>
      </w:r>
    </w:p>
    <w:p>
      <w:pPr>
        <w:spacing w:after="0" w:line="15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4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176" w:lineRule="exact"/>
        <w:rPr>
          <w:sz w:val="20"/>
          <w:szCs w:val="20"/>
          <w:color w:val="auto"/>
        </w:rPr>
      </w:pPr>
    </w:p>
    <w:p>
      <w:pPr>
        <w:jc w:val="both"/>
        <w:ind w:left="660" w:right="20" w:hanging="328"/>
        <w:spacing w:after="0" w:line="268"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17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optimized in the past and may in the future optimize our manufacturing processes, including through changes to the scale and site 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outcome of our preclinical studies and our early clinical trials may not be predictive of the success of later clinical trials, and interim results of a clinical trial do not necessarily predict final results;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be unable to establish clinical endpoints that applicable regulatory authorities would consider clinically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34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differences in trial design between early-stage clinical trials and later-stage clinical trials may make it difficult to extrapolate the results of earlier clinical trials to later clinical trials;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product candidates may have undesirable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17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risks related to COVID-19 or other reasons, or participants may withdraw from clinical trials or fail to return for post-treatment follow-up at a higher rate than we anticipate;</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despite robust sponsor oversight, 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respect to infectious disease vaccine trials in particular, we have to wait for particular level of infection in the placebo arm in order to assess protection provided by vaccine, and we cannot control the rate of exposure or infection which can make timing uncertain;</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 of preclinical or nonclinical testing and studies and clinical trials of any product candidates may be greater than we anticipate;</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may be insufficient or inadequate;</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341"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on June 28, 2024, the Supreme Court overturned the </w:t>
      </w:r>
      <w:r>
        <w:rPr>
          <w:rFonts w:ascii="Arial" w:cs="Arial" w:eastAsia="Arial" w:hAnsi="Arial"/>
          <w:sz w:val="18"/>
          <w:szCs w:val="18"/>
          <w:i w:val="1"/>
          <w:iCs w:val="1"/>
          <w:color w:val="auto"/>
        </w:rPr>
        <w:t>Chevron</w:t>
      </w:r>
      <w:r>
        <w:rPr>
          <w:rFonts w:ascii="Arial" w:cs="Arial" w:eastAsia="Arial" w:hAnsi="Arial"/>
          <w:sz w:val="18"/>
          <w:szCs w:val="18"/>
          <w:color w:val="auto"/>
        </w:rPr>
        <w:t xml:space="preserve"> doctrine in the combined cases of </w:t>
      </w:r>
      <w:r>
        <w:rPr>
          <w:rFonts w:ascii="Arial" w:cs="Arial" w:eastAsia="Arial" w:hAnsi="Arial"/>
          <w:sz w:val="18"/>
          <w:szCs w:val="18"/>
          <w:i w:val="1"/>
          <w:iCs w:val="1"/>
          <w:color w:val="auto"/>
        </w:rPr>
        <w:t>Loper Bright Enterprises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Raimondo </w:t>
      </w:r>
      <w:r>
        <w:rPr>
          <w:rFonts w:ascii="Arial" w:cs="Arial" w:eastAsia="Arial" w:hAnsi="Arial"/>
          <w:sz w:val="18"/>
          <w:szCs w:val="18"/>
          <w:color w:val="auto"/>
        </w:rPr>
        <w:t>and</w:t>
      </w:r>
      <w:r>
        <w:rPr>
          <w:rFonts w:ascii="Arial" w:cs="Arial" w:eastAsia="Arial" w:hAnsi="Arial"/>
          <w:sz w:val="18"/>
          <w:szCs w:val="18"/>
          <w:i w:val="1"/>
          <w:iCs w:val="1"/>
          <w:color w:val="auto"/>
        </w:rPr>
        <w:t xml:space="preserve"> Relentless Inc. v. Department of Commerce</w:t>
      </w:r>
      <w:r>
        <w:rPr>
          <w:rFonts w:ascii="Arial" w:cs="Arial" w:eastAsia="Arial" w:hAnsi="Arial"/>
          <w:sz w:val="18"/>
          <w:szCs w:val="18"/>
          <w:color w:val="auto"/>
        </w:rPr>
        <w:t>. The</w:t>
      </w:r>
      <w:r>
        <w:rPr>
          <w:rFonts w:ascii="Arial" w:cs="Arial" w:eastAsia="Arial" w:hAnsi="Arial"/>
          <w:sz w:val="18"/>
          <w:szCs w:val="18"/>
          <w:i w:val="1"/>
          <w:iCs w:val="1"/>
          <w:color w:val="auto"/>
        </w:rPr>
        <w:t xml:space="preserve"> Chevron </w:t>
      </w:r>
      <w:r>
        <w:rPr>
          <w:rFonts w:ascii="Arial" w:cs="Arial" w:eastAsia="Arial" w:hAnsi="Arial"/>
          <w:sz w:val="18"/>
          <w:szCs w:val="18"/>
          <w:color w:val="auto"/>
        </w:rPr>
        <w:t>doctrine gave deference to regulatory agencies in litigation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and other agencies. As a result,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or our collaborators encounter difficulties enrolling participants in our clinical trials, our clinical development activities could be delayed or otherwise adversely affected.</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34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15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complexity and design of the study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including between our own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monitor trial participants adequately during and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obtain and maintain participant informed consent;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major changes in the approval status of competitor investigational products during the clinical trial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impacts related to the spread of COVID-19;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risk that trial participants enrolled in clinical trials will not complete a clinical trial.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foregoing risks may continue to be affected by the spread of seasonal viral infections, including COVID-19, as well as the potential for any new pandemic caused by an as-yet-unknown agent.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341"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activities increasingly span different jurisdictions. For example, 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differing regulatory requirements in such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Germany and shipping the product candidate to the patient abroad;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restrictions on transfers of information, including certain technologies and personal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taxes, including withholding of payroll taxes;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currency fluctuations, which could result in increased operating expenses and reduced revenue, and other obligations incident to doing business in another country;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difficulties staffing and managing operations outside of Germany;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comparable regulations in other jurisdictions;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countries that do not respect and protect intellectual property rights to the same extent as Germany and the United States;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public health epidemics or pandemics.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proposed U.S. BIOSECURE Act, sanctions,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4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trade restrictions, and/or other regulations. Such requirements could increase the cost or reduce the supply of material available to us, delay the procurement or supply of such material, or have an adverse affect on our ability to secure significant commitments from governments to purchase our potential therapies.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extent to which the COVID-19 virus continues to impact our operations, including our clinical trial operations, as it becomes endemic will depend on future developments, which are highly uncertain and cannot be predicted with confidence, including new outbreaks, new information which may emerge concerning the severity of the coronavirus and the actions to contain the coronavirus or treat its impact, among others. In the future, similar events could affect our ability to manufacture and commercialize our product candidates.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the FDA is able to validate the data from the clinical trial through an onsite inspection if it deems such inspection necessary. Where data from non-U.S. clinical trials are intended to serve as the sole basis for marketing approval in the United States, the FDA will not approve the application on the basis of non-U.S.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 which would be costly and time-consuming and delay or permanently halt our development of a product candidate.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and other risks associated with our international operations and our collaborations with our collaborators may materially adversely affect our ability to attain or maintain profitable operations.</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34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reached, our ability to obtain approval for, and commercialize, product candidates may be harmed, which could significantly harm our business prospects.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Results of earlier studies and trials of our product candidates may not be predictive of future trial results.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is typically an extremely high rate of attrition for product candidates across categories of medicines proceeding through clinical trials.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Many of our product candidates are being developed or are intended to be co-administered with other developmental therapies or approved medicines. For example, autogene cevumeran (BNT122/RO7198457) is being developed to be co-administered with checkpoint inhibitors. Such combinations may have additional side effects, which may be difficult to predict in future clinical trials.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are not successful in discovering, developing and commercializing additional product candidates beyond our current portfolio, our ability to expand our business and achieve our strategic objectives would be impaired.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4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183"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approved product may not be accepted as safe and effective by trial participants, the medical community or third-party payors.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are unsuccessful in identifying and developing additional products, our potential for growth may be impaired.</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Our future success depends on our ability to retain key employees, consultants and advisors and to attract, retain and motivate qualified senior management and scientific personnel.</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employees and increased our security generally. We currently do not have “key person” insurance on any of our employees.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4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research, development and commercialization objectives and have a material adverse impact on our business, financial condition, results of operations and prospects.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Employment-related disputes, including employee litigation and unfavorable publicity, could negatively affect our future business.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illegal distribution and sale by third parties of counterfeit versions of our COVID-19 vaccine, or, if approved, our other product candidates, could have a negative impact on our financial performance or reputation.</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34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71"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Product liability lawsuits against us could cause us to incur substantial liabilities and could limit commercialization of our current or future product candidates.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COVID-19 vaccine, and expect to receive additional product liability claims in the future. If we cannot successfully defend ourselves against claims that our products and/or our product candidates have caused injuries, we could incur substantial liabilities. Regardless of merit or eventual outcome, liability claims may result in:</w:t>
      </w:r>
    </w:p>
    <w:p>
      <w:pPr>
        <w:spacing w:after="0" w:line="179"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decreased demand for any product or product candidate that we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substantial monetary awards to patients, healthy volunteers or their children;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inability to commercialize any products or product candidates that we may develop;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carry clinical trial insurance and product liability insurance, which we believe to be sufficient in light of our current clinical programs and commercial operations; however, the amount of coverage we have obtained may not be adequate and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34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ADSs to decline and, if judgments exceed our insurance coverage, could adversely affect our results of operations and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If our products become subject to a product recall it could harm our reputation, business and financial results.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Issues in the development and use of AI, combined with an uncertain regulatory environment, may result in reputational harm, liability or other adverse consequences to our business.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rapid and ongoing developments and changing expectations relating to ESG matters and factors such as the impact of our operations on the environment, access to our COVID-19 vaccine, corporate governance, our practices relating to product stewardship, management of business ethics, human rights diligence in our own operations and our supply chain, and human resource development, which may result in increased regulatory, social or other scrutiny on us.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we must address climate risks due to our own contribution to climate change (inside-out perspective), risks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SBTi in early February 2024.</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we are addressing increasingly complex regulatory requirements with respect to human rights risks, including German legislation (for example, the Act on Corporate Due Diligence Obligations for the Prevention of Human Rights Violations in Supply Chains (“Lieferkettensorgfaltspflichtengesetz – LkSG”)), potential legislative planning by the European Union and local or regional regulations. We are expected by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4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regulation to identify, prevent, mitigate and ideally end the extent of any potential adverse impacts or violations throughout our own operations and value chain.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we are faced with increasing ESG related transparency and reporting obligations. These requirements arise, for example, from the EU CSRD regulation and the ESRS sustainability standards, from specific human right reporting regulations (e.g. section 10 of the German LkSG), any potential SEC rules that could require registrants to provide additional climate-related disclosures in future periods, and other possible obligations.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In addition, investment in funds that specialize in companies that perform well in such assessments are increasingly popular, and major institutional investors have publicly emphasized the importance of such ESG measures to their investment decisions. 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the Manufacturing of our COVID-19 Vaccine, our Product Candidates and Future Pipeline</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in March 2021 we received product quality complaints related to our COVID-19 vaccine in Hong Kong. A thorough investigation into these complaints concluded that the reported product quality complaints were due to the combination of a deficient container closure process, or crimping, at one specific contract manufacturing organization when such containers were later shipped at ultra-cold conditions created by shipping on dry ice. The investigation did not identify any safety issues related to the product quality complaints. We and our COVID-19 vaccine collaboration partner in Hong Kong, Fosun Pharma, subsequently supplied replacement COVID-19 vaccine vials, but we cannot assure you that we will not experience similar product quality complaints in the future.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4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number of different programs, we may in the future have cross contamination of products inside of our factories, CROs, external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34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supply. In addition, the cost associated with such transportation services and the limited pool of vendors may also add additional risks of supply disruptions. As we transport intermediate products with holding times in refrigeration (TIR) and allowed times out of refrigeration (TOR) across long distances and crossing borders, traffic issues and customs delays could lead to the loss of batches which would need to be replaced.</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153"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logistics associated with the collection of a patient’s tumor, blood or other tissue sample;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shipping such samples to a facility for genetic sequencing;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next-generation sequencing of the tumor mRNA;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biopsy of a sufficient quantity of cancerous tissue to allow for proper sequencing and identification of tumor-specific mutations;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identification of appropriate tumor-specific mutations;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effective design of the patient-specific mRNA that encodes for the required neoantigens;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batch-specific manufacturing failures or issues that arise due to the uniqueness of each patient-specific batch that may not have been foreseen;</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quality control testing failures;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unexpected failures of batches placed on stability;</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shortages or quality control issues with single-use assemblies, consumables or critical parts sourced from third-party vendors that must be changed out for each patient-specific batch;</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costs associated with individualized manufacturing that may adversely affect our ability to continue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successful and timely manufacture and release of the patient-specific batch;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shipment issues encountered during transport of the batch to the site of patient care;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to define a consistent safety profile at a given dose when each participant receives a unique treatment;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reliance on single source suppliers.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341" w:right="3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more of our individualized product candidates are approved. This expansion or addition of new facilities could also lead to product comparability issues, which can further delay introduction of new capacity.</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“BioNTainer,” and the construction of a facility to support manufacturing of our Individualized Vaccines Against Cancer candidates. All internal manufacturing is performed under GMP guidelines. We also rely on a network of CMOs for the manufacture of our COVID-19 vaccine. We do not rely on any external CMOs for the manufacture of our individualized product candidates and at this time, and we have limited redundancy among our facilities. Due to the individualized nature of our product candidates, we do not maintain product reserves. If any of our or our external CMOs’ manufacturing facilities, including our BioNTainer 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 Significant inventory write-downs or redundant manufacturing expenses would negatively impact our results of operations.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34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are subject to regulatory and operational risks associated with the physical and digital infrastructure at both our internal manufacturing facilities and at those of our external service providers.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COVID-19 vaccine and certain of our product candidates rely on the availability of specialty raw materials, which may not be available to us on acceptable terms or at all.</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18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 resulting in loss of potential product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34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sales revenue, cost overruns and delays to clinical timelines for our clinical programs, which could be extensive. Such production process issues include but are not limited to:</w:t>
      </w:r>
    </w:p>
    <w:p>
      <w:pPr>
        <w:spacing w:after="0" w:line="153"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critical deviations in the manufacturing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facility and equipment failures;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contamination of the product due to an ineffective quality control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facility contamination as assessed by the facility and utility environmental monitoring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ineffective process, equipment or analytical change management, resulting in failed lot release criteria;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raw material failures due to ineffective supplier qualification or regulatory compliance issues at critical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ineffective product stability;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failed lot release or facility and utility quality control testing;</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ineffective corrective actions or preventative actions taken to correct or avoid critical deviations due to our developing understanding of the manufacturing process as we scale;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failed or defective components or consumables.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341"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foregoing could have an adverse effect on our business, financial condition, results of operations and growth prospects.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condition, results of operations and prospects.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our Reliance on Third Parties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005A64"/>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34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183"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human errors;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 subject to cyberattacks.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34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spacing w:after="0" w:line="17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collaborators may not perform or prioritize their obligations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clinical trials conducted as part of such collaborations may not be successful;</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and products that achieve regulatory approval or may elect not to continue or renew development or commercialization of programs based on clinical trial results, changes in the collaborators’ focus or available funding (for example, we are aware that there have been allegations that Fosun International Ltd., an affiliate of our collaboration partner Fosun Pharma, is facing liquidity risks), or external factors, such as an acquisition, that divert resources or create competing priorities;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17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34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future relationships may require us to incur non-recurring and other charges, increase our near- and long-term expenditures, issue securities that dilute our existing shareholders, or disrupt our management and business;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could face significant competition in seeking appropriate collaborators, and the negotiation process is time-consuming and complex;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international operations through any future collaborations, acquisitions or joint ventures may expose us to certain operating, legal and other risks not encountered in Germany or the United States.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are not able to establish collaborations on commercially reasonable terms, we may have to alter our research, development and commercialization plans.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4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activities on our own, we may need to obtain additional capital, which may not be available to us on acceptable terms or at all.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have entered into in-licensing arrangements and may form or seek to enter into additional licensing arrangements in the future, and we may not realize the benefits of such licensing arrangements.</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party to licenses that give us rights to third-party intellectual property, including patents and patent applications, that are necessary or useful for our business. In particular, we have obtained licenses from Acuitas Therapeutics,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the intellectual property of the licensor that is not subject to the licensing agreement;</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relationships;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ownership of inventions, trade secrets, know-how and other intellectual property resulting from the joint creation or use of intellectual property by our licensors and us and our collaborators;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priority of invention of patented technology;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including amounts to be paid pursuant to certain program milestones being achieved or to royalty obligations, including the triggering of royalty obligations and amounts to be paid pursuant thereto.</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34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We and our collaborators rely on third parties to manufacture certain of our clinical product supplies, and we may have to rely on third parties to produce and process our product candidates, if approved.</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 processing for our other product candidates, if approved, and may be unable to create an inventory of mass-produced, off-the-shelf product to satisfy demands for our product candidates, if approved.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reliance on a limited number of CMOs exposes us to the following risks:</w:t>
      </w:r>
    </w:p>
    <w:p>
      <w:pPr>
        <w:spacing w:after="0" w:line="225" w:lineRule="exact"/>
        <w:rPr>
          <w:sz w:val="20"/>
          <w:szCs w:val="20"/>
          <w:color w:val="auto"/>
        </w:rPr>
      </w:pPr>
    </w:p>
    <w:p>
      <w:pPr>
        <w:jc w:val="both"/>
        <w:ind w:left="660" w:hanging="328"/>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CMOs might be unable to timely formulate and manufacture our product or produce the quantity and quality required to meet our clinical and commercial needs, if any;</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CMOs may not be able to execute our manufacturing procedures appropriately;</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future CMOs may not perform as agreed or may not remain in the contract manufacturing business for the time required to supply our clinical trials or to successfully produce, store and distribute our products;</w:t>
      </w:r>
    </w:p>
    <w:p>
      <w:pPr>
        <w:spacing w:after="0" w:line="1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17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in the manufacturing process for our products;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CMOs could breach or terminate their agreement with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CMOs would also be subject to the same risks we face in developing our own manufacturing capabilities, as described above.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collaborators currently rely on CMOs located outside of the United States to manufacture their clinical materials, and we expect to rely on CMOs located outside of the United States in the future. Such ex-U.S. CMOs may be subject to or affected by U.S. legislation, executive orders, regulations, or investigations, including but not limited to the proposed BIOSECURE Act,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the procurement or supply of such</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40"/>
          </w:cols>
          <w:pgMar w:left="320" w:top="341" w:right="3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material, delay or impact clinical trials, have an adverse effect on our ability to secure significant commitments from governments to purchase our potential therapies and adversely affect our financial condition and business prospects.</w:t>
      </w:r>
    </w:p>
    <w:p>
      <w:pPr>
        <w:spacing w:after="0" w:line="15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are dependent on single source suppliers for some of the components and materials used in, and the processes required to develop, our COVID-19 vaccine and our product candidates.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as part of the FDA’s approval of our product candidates, we will also require FDA review of the individual components of our process, which include the manufacturing processes and facilities of our single source suppliers.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reliance on these suppliers, service providers and manufacturers subjects us to a number of risks that could harm our reputation, business and financial condition, including, among other things:</w:t>
      </w:r>
    </w:p>
    <w:p>
      <w:pPr>
        <w:spacing w:after="0" w:line="153"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delays to the development timelines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interruption of supply resulting from modifications to or discontinuation of a supplier’s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inability to obtain adequate supply in a timely manner, or to obtain adequate supply on commercially reasonable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components from alternative suppliers, and corresponding regulatory qualifications;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delay in delivery due to our suppliers’ prioritizing other customer orders over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34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materialize, costs could significantly increase and our ability to meet demand for our products could be impacted.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Intellectual Property</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176" w:lineRule="exact"/>
        <w:rPr>
          <w:sz w:val="20"/>
          <w:szCs w:val="20"/>
          <w:color w:val="auto"/>
        </w:rPr>
      </w:pPr>
    </w:p>
    <w:p>
      <w:pPr>
        <w:jc w:val="both"/>
        <w:ind w:left="660" w:hanging="328"/>
        <w:spacing w:after="0" w:line="262"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USPTO and various other governmental patent agencies require compliance with a number of procedural, documentary, fee payment 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claims of issued patents that we own (solely or jointly) or have in-licensed may be challenged, invalidated, modified, revoked, circumvented, found to be unenforceable or otherwise may not provide any competitive advantage;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34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2"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parties may have designed around our patent claims or developed technologies that may be related or competitive to our COVID-19 vaccine or to our product candidates or other technologies, may have filed or may file patent applications and may have received or may receive patents that overlap or conflict with our patent filings, either by claiming the same or overlapping methods, products, reagents, tools or devices or by claiming subject matter that could dominate one or more of our patent claims;</w:t>
      </w:r>
    </w:p>
    <w:p>
      <w:pPr>
        <w:spacing w:after="0" w:line="17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successful opposition to claims of any patents owned by or in-licensed to us could deprive us of rights necessary for the development and exploitation of our COVID-19 vaccine or our product candidates and other technologies, or the successful commercialization of any product candidates and other technologies that we may develop;</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competitors a better opportunity to create, develop and market competing product candidates.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 adequate rules and procedures for granting, maintaining, protecting, defending and enforcing our intellectual property rights.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34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of these parties were to breach such agreements and improperly disclose such output before a patent application is filed, this could jeopardize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patents or other intellectual property rights that we may be able to secure for our COVID-19 vaccine or our other COVID-19 vaccine candidates could be restricted or preempted if governments determine that they will not enforce, or will require compulsory licensing of, technologies useful to address the spread of COVID-19.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34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intellectual property and other proprietary rights is uncertain, and we cannot ensure that:</w:t>
      </w:r>
    </w:p>
    <w:p>
      <w:pPr>
        <w:spacing w:after="0" w:line="225" w:lineRule="exact"/>
        <w:rPr>
          <w:sz w:val="20"/>
          <w:szCs w:val="20"/>
          <w:color w:val="auto"/>
        </w:rPr>
      </w:pPr>
    </w:p>
    <w:p>
      <w:pPr>
        <w:ind w:left="660" w:right="2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product(s), our product candidates and other technologies;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the patents and pending patent applications that we own or license;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our co-owners or our licensors were the first to file patent applications for these inventions;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others will not develop similar or alternative products or technologies that do not infringe the patents we own or license;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of the claims of patents we own or license will be found to ultimately be valid and enforceable;</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 candidates and other technologies or will provide us with any competitive advantages;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third party may not challenge the claims of patents we own or license and, if challenged, a court would hold that such patent claims are valid, enforceable and infringed;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ability to issue patents, or otherwise on our business;</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competitors do not conduct research, development, testing or commercialization activities in countries where we do not have enforceable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product(s) or product candidates that are separately patentable;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or our collaborators’, development and commercialization activities, including our manufacturing processes, or products will not infringe patents of our competitors or any other third parties, including any non-practicing entities or patent assertion entities.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34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delivery technologies, including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Additionally, we face ongoing COVID-19 vaccine-related patent litigation. Alnylam Pharmaceuticals Inc. has brought litigation against us and Pfizer regarding U.S. Patent Nos. 11,245,933; 11,382,979; 11,633,479; 11,633,480; 11,612,657; and 11,590,229, the latter five of which are continuations of the ‘933 Patent. In addition, CureVac SE has brought litigation against us in Germany regarding three European patents, 1857122B1 (“EP’122”), 3708668B1 (EP’668), and 4023755B1 (“EP’755”) and three German utility models, DE202015009961, DE202015009974, and DE202021004130, or the CureVac IP. BioNTech filed a nullity action in the Federal Patent Court of Germany seeking a declaration that EP’122 is invalid, initiated cancellation actions against the CureVac IP in the German Patent and Trademark Office, and filed opposition proceedings in the EPO seeking the revocation of EP’668 and EP’755. In the United States, CureVac asserts seven U.S. patents against us and Pfizer: U.S. Patent Nos. 11,135,312; 11,149,278; 10,760,070; 11,286,492; 11,345,920; 11,596,686, and 11,667,910. BioNTech and Pfizer also initiated proceedings seeking the revocation of EP’122, EP’668, and EP’755 in the Business and Property Courts of England and Wales. ModernaTX, Inc., or Moderna, has brought litigation against us and Pfizer regarding European patents 3590949B1 (“EP’949”) and 3718565B1 (“EP’565”) in Germany, England and Wales, the Netherlands, Ireland, and Belgium, and regarding U.S. Patent Nos. 10,898,574, 10,702,600, and 10,933,127 in the United States. BioNTech and Pfizer also initiated proceedings seeking the revocation of EP’949 and EP’565 in the Business and Property Courts of England and Wales and have filed opposition proceedings in the EPO seeking the revocation of EP’949 and EP’565. BioNTech and Pfizer have filed petitions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Patent Trial and Appeal Board in the U.S. with respect to U.S. Patent Nos. 10,702,600 and 10,933,127. Arbutus Biopharma Corp. and Genevant Sciences GmbH have brought litigation against us and Pfizer in the United States regarding U.S. Patent Nos. 9,504,651; 8,492,359; 11,141,378; 11,298,320; and 11,318,098. Promosome initiated litigation against us and Pfizer in the United States regarding U.S. Patent No. 8,853,179; it has since been dismissed with prejudice. GlaxoSmithKline has brought litigation against us and Pfizer in the United States regarding U.S. Patent Nos. 11,638,693; 11,638,694; 11,666,534; 11,766,401; 11,786,467; 11,759,422; 11,655,475; and 11,851,660.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w:t>
      </w:r>
    </w:p>
    <w:p>
      <w:pPr>
        <w:spacing w:after="0" w:line="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expect that we will continue to be subject to similar proceedings or priority disputes, including oppositions, in Europe or other jurisdictions relating to patents and patent applications in our portfolio.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34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34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lifespans of our patents may not be sufficient to effectively protect our products or product candidates, technologies and business.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If we do not obtain patent term extension and data exclusivity for any product candidates we may develop, our business may be materially harmed.</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Hatch-Waxman Act.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34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we may disagree from time to time with licensors or collaborators regarding, among other things, the interpretation of each party’s obligations or the amounts payable under our agreements. For example, we have been in discussions with the University of Pennsylvania, or UPenn, and the National Institutes of Health, or NIH, concerning royalties and other related amounts allegedly owed on sales of our COVID-19 vaccine since commercialization. UPenn has subsequently filed suit against us in the U.S. District Court for the Eastern District of Pennsylvania in connection with this dispute. Substantial uncertainty exists as to the ultimate resolution of our discussions with NIH and the ongoing dispute with UPenn. Any ultimate cash outflow from these ongoing negotiations may be greater or less than we currently expect and we cannot currently predict what our ultimate level of future collaboration with NIH or UPenn will be, nor can we predict the timing, amount or structure of any potential resolution of these matters.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34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 which could have a material adverse effect on our business, financial condition, results of operations and prospects.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intellectual property rights that have been in-licensed, including patent applications and patents that we in-license from the University of Pennsylvania,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34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Composition of matter patent protection is generally considered to be desirable because it provides protection without regard to any particular method of use or manufacture or formulation. While we 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 -related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34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 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 proceedings ongoing at the EPO against third-party patents 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34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CureVac SE, Alnylam Pharmaceuticals, Inc., ModernaTX, Inc., Arbutus Biopharma Corp., Genevant Sciences GmbH, and GlaxoSmithKline Biologicals SA regarding </w:t>
      </w:r>
      <w:r>
        <w:rPr>
          <w:rFonts w:ascii="Arial" w:cs="Arial" w:eastAsia="Arial" w:hAnsi="Arial"/>
          <w:sz w:val="18"/>
          <w:szCs w:val="18"/>
          <w:i w:val="1"/>
          <w:iCs w:val="1"/>
          <w:color w:val="auto"/>
        </w:rPr>
        <w:t>Comirnaty</w:t>
      </w:r>
      <w:r>
        <w:rPr>
          <w:rFonts w:ascii="Arial" w:cs="Arial" w:eastAsia="Arial" w:hAnsi="Arial"/>
          <w:sz w:val="18"/>
          <w:szCs w:val="18"/>
          <w:color w:val="auto"/>
        </w:rPr>
        <w:t>.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34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and maintaining our patent protection depends on compliance with various procedural, document submission, fee payment and other requirements imposed by governmental patent agencies, and our patent protection could be reduced or eliminated for non- compliance with these requirements.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Changes in patent law in the United States or in other countries could diminish the value of patents in general, thereby impairing our ability to protect our products.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34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surrounding the prosecution of our patent applications and the enforcement or defense of our issued patents, all of which could have a material adverse effect on our business, financial condition, results of operations and prospects.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If we are unable to protect the confidentiality of our trade secrets, our business and competitive position would be harmed.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received confidential and proprietary information from third parties in the course of our research and other collaborations with others in the industry, academic institutions and other third parties. In addition,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34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may be subject to claims challenging the inventorship or ownership of our patents and other intellectual property.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result in our failing to secure or maintain ownership in or control of intellectual property necessary or important to our business.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34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will not seek to protect our intellectual property rights in all jurisdictions throughout the world, and we may not be able to adequately enforce our intellectual property rights even in the jurisdictions where we seek protection.</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product(s) and/or product candidates, and our patents or other intellectual property rights may not be effective or sufficient to prevent them from competing.</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our trademarks and trade names are not adequately protected, we may not be able to build name recognition in our markets of interest and our business may be adversely affected.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agreements or misuse or failure to use of our trademarks and trade names by our licensees may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34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Intellectual property rights do not necessarily address all potential threats to our competitive advantage.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3" w:lineRule="exact"/>
        <w:rPr>
          <w:sz w:val="20"/>
          <w:szCs w:val="20"/>
          <w:color w:val="auto"/>
        </w:rPr>
      </w:pPr>
    </w:p>
    <w:p>
      <w:pPr>
        <w:jc w:val="both"/>
        <w:ind w:left="660" w:hanging="328"/>
        <w:spacing w:after="0" w:line="268"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others may be able to make COVID-19 vaccines or therapies, and/or individualized cancer immunotherapies that are similar to our COVID-19 vaccine and/or any product candidates we may develop and commercialize or utilize similar technologies that are not covered by the claims of the patents that we now or may in the future own or have exclusively in-licensed;</w:t>
      </w:r>
    </w:p>
    <w:p>
      <w:pPr>
        <w:spacing w:after="0" w:line="17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make the inventions covered by the issued patents or pending patent applications that we own or have exclusively in-licensed;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file patent applications covering certain of our or their inventions;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or in-license in the future will not lead to issued patents;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claims of issued patents that we own or have exclusively in-licensed may be held invalid or unenforceable, including as a result of legal challenges by our competitors;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competitors might conduct research, development, testing or commercialization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Government Regulation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not be able to develop or obtain approval for companion diagnostics required for commercialization of some of our product candidates.</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40"/>
          </w:cols>
          <w:pgMar w:left="320" w:top="341" w:right="3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our individualized immunotherapy candidates, the FDA and comparable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FDA, the EMA or other comparable regulatory authorities may disagree with our regulatory plan and we may fail to obtain regulatory approval of our product candidates.</w:t>
      </w: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34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clinical trial results may also not support approval. In addition, our product candidates could fail to receive regulatory approval for many reasons, including the following:</w:t>
      </w:r>
    </w:p>
    <w:p>
      <w:pPr>
        <w:spacing w:after="0" w:line="153"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regulatory authorities that our product candidates are safe and effective for any of their proposed indications;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regulatory authorities for approval, including due to the heterogeneity of patient populations;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our interpretation of data from preclinical studies or clinical trials;</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17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will inspect our manufacturing facilities and may not approve our facilities or our manufacturing processes and controls;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regulatory authorities may significantly change in a manner rendering our clinical data insufficient for approval.</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34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seek Fast Track Designation in the United States for some of our product candidates. If a therapy is intended for the treatment of a serious or life -threatening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expect some of the product candidates we develop will be regulated as biologics in the United States and therefore they may be subject to competition from biosimilars approved through an abbreviated regulatory pathway.</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34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005A64"/>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effect on our business by lengthening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34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may be unable to obtain regulatory approval for our product candidates under applicable international regulatory requirements.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denial or delay of such approval would delay commercialization of our product candidates and adversely impact our potential to generate revenue, our business and our results of operations.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Approval by the FDA in the United States, if obtained, does not ensure approval by regulatory authorities in other countries or jurisdictions. In order to market our products or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34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country does not guarantee regulatory approval in any other country. Approval processes vary among countries and can involve additional product testing and validation and additional administrative review periods.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executed batch records for the production of biological products or other records or documents that set forth detailed information about the manufacturing process. If these records are disclosed, lost, or diverted to third parties or competitors during the application preparation process, this could negatively affect our ability to protect our intellectual property.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partners in different countries are subject to local regulatory requirements on the manufacturing and distribution of drugs and the implementation of clinical and non-clinical research. These include but are not limited to good manufacturing, distribution, laboratory, and clinical practice rules. If these companies do not comply with applicable standards, they could become the subjects of investigations and enforcement, including orders to cease the activities pending remediation that is acceptable to the government. Such an order or other similar enforcement could interfere with our clinical development activities both in that jurisdiction and others, if it impacts supply or the quality and transfer of data.</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A third-party investigational product candidate used in combination with our product candidates may be unable to obtain regulatory approval, which may delay commercialization of our product candidates.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 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341"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additional expense. We may be subject to penalties if we fail to comply with regulatory requirements or experience unanticipated problems with our products or product candidates.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advertising and promotional material may be subject to similar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agency may:</w:t>
      </w:r>
    </w:p>
    <w:p>
      <w:pPr>
        <w:spacing w:after="0" w:line="2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refuse to approve a pending BLA (or comparable approval) or supplements to a BLA (or comparable approval) submitted by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seize product;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341" w:right="3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care practitioners, extensive patient monitoring, or distribution systems and processes that are highly controlled, restrictive, and more costly than what is typical for the industry.</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Furthermore, if we or others later identify undesirable side effects caused by any product that we develop, several potentially significant negative consequences could result, including:</w:t>
      </w:r>
    </w:p>
    <w:p>
      <w:pPr>
        <w:spacing w:after="0" w:line="153"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or revoke licenses of such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 their children;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185" w:lineRule="exact"/>
        <w:rPr>
          <w:sz w:val="20"/>
          <w:szCs w:val="20"/>
          <w:color w:val="auto"/>
        </w:rPr>
      </w:pPr>
    </w:p>
    <w:p>
      <w:pPr>
        <w:jc w:val="both"/>
        <w:ind w:left="660" w:hanging="328"/>
        <w:spacing w:after="0" w:line="256"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18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341"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68"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(e.g., public or private);</w:t>
      </w:r>
    </w:p>
    <w:p>
      <w:pPr>
        <w:spacing w:after="0" w:line="17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7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Similar statutes, healthcare laws and regulations in the European Union and other jurisdictions, including reporting requirements detailing interactions with and payments to healthcare providers.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40"/>
          </w:cols>
          <w:pgMar w:left="320" w:top="341" w:right="33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are subject to certain anti-corruption, anti-money laundering, export control, sanctions, and other trade laws and regulations.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We can face serious consequences for violations.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185"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We are subject to stringent privacy laws, information security policies and contractual obligations governing the use, processing, and cross-border transfer of personal information and our data privacy and security practices.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We receive, generate and store significant and increasing volumes of sensitive information, such as employee, personal and patient data.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34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and may interrupt or delay our development activities, and adversely affect our business, financial condition, results of operations and prospects.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Human Genetic Resources Regulation (which now only regulates transfer human genetic data generated in clinical research to foreign or foreign controlled parties), are relatively new and evolving, and their interpretation and application may be uncertain. In the United States, we may be subject to restrictions and requirements under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87"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If we or our third-party suppliers fail to comply with environmental, health and safety laws and regulations, we could become subject to fines or penalties or incur costs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34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1"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b w:val="1"/>
          <w:bCs w:val="1"/>
          <w:color w:val="005A64"/>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Risks Related to Ownership of the ADSs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We have experienced and may continue to experience significant volatility in the market price of the ADSs representing our ordinary shares.</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 and clinical data as well as news about their development programs and commercialization activities. For example, during 2023, the closing sales price of the ADSs representing our ordinary shares on the Nasdaq Global Select Market ranged from $ 88.00 to $156.28, with significant volatility occurring, for example, shortly after announcements by us or others related to regulatory matters, to our COVID-19 vaccine, to other COVID-19 vaccines, to development and commercialization pipelines in oncology and infectious disease, and to our transactions with third parties. Additionally, we have observed the trading price of the ADSs respond significantly to news and statements by us, government agencies, other vaccine developers, financial analysts or others relating to our business as well as to other COVID-19 vaccines and COVID-19 therapeutics and the spread of COVID-19 generally, even in cases in which we believe the news does not affect our business or vaccine specifically. Given the attention being paid to COVID-19 worldwide and the public scrutiny of COVID-19 development and commercialization announcements, and given that our COVID-19 vaccine is currently among the primary vaccines being used worldwide, any news regarding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34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manufacturing, supply and distribution of our COVID-19 vaccine or unanticipated side effects of our COVID-19 vaccine, whether or not accurate, will attract significant attention and scrutiny and, as a result, the price of the ADSs representing our ordinary shares likely will continue to be volatile.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153"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There is no guarantee that we will realize any anticipated benefits of this or future acquisitions, or that the diversification of our business through acquired technology or products will be successful.</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341" w:right="3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Securities Act of 1933, as amended, or the Securities Act, U.S. federal and state courts have been found to have concurrent jurisdiction over suits brought to enforce duties or liabilities created by the Securities Act.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Holders of the ADSs may not be able to participate in any future preemptive subscription rights issues or elect to receive dividends in shares, which may cause additional dilution to their holdings.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The amount and frequency of our dividends and ADS repurchases may fluctuate.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Our principal shareholders and management own a significant percentage of our ordinary shares and will be able to exert significant control over matters subject to shareholder approval.</w:t>
      </w:r>
    </w:p>
    <w:p>
      <w:pPr>
        <w:spacing w:after="0" w:line="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executive officers, directors, five percent shareholders, and their affiliates beneficially own a majority of our ordinary shares (including ordinary shares represented by ADSs) as of December 31, 2023, and will have the ability to influence us through their ownership positions. For example, these shareholders, acting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940"/>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40"/>
          </w:cols>
          <w:pgMar w:left="320" w:top="34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005A64"/>
        </w:rPr>
        <w:t>The large number of shares eligible for sale or subject to rights requiring us to register them for sale could cause the market price of the ADSs to drop significantly, even if our business is performing well.</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filed registration statements on Form S-8 under the Securities Act to register all ordinary shares issued or issuable under our equity plans. Such Form S-8 registration statements have become, and any other registration statements on Form S-8 we file in the future will become, effective upon filing, upon which shares registered under such registration statements become available for sale in the open market.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179"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005A64"/>
        </w:rPr>
        <w:t>If we are a “passive foreign investment company” for U.S. federal income tax purposes, there may be adverse U.S. federal income tax consequences to U.S. investors.</w:t>
      </w:r>
    </w:p>
    <w:p>
      <w:pPr>
        <w:spacing w:after="0" w:line="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our income and assets, we believe that we should be treated as a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considerations” in our Annual Report on Form 20-F as of and for the year ended December 31, 2023)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(QEF) election. We have made available to U.S. Holders the information necessary to make and maintain a QEF election for the year ended December 31, 2023. See “Taxation —Material United States federal income tax considerations —Passive foreign investment company considerations” in our Annual Report on Form 20-F as of and for the year ended December 31, 2023.</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Whether we are a PFIC for any taxable year will depend on the composition of our income and the composition and value of our assets from time to time. Each U.S. Holder is strongly urged to consult its tax advisor regarding these issues and any available elections to mitigate such tax consequences.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34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005A64"/>
        </w:rPr>
        <w:t>Disclaimer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Forward-Looking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quarterly report contains forward-looking statements within the meaning of the Private Securities Litigation Reform Act of 1995, as amended, including, but not limited to, statements concerning: our expected revenues and net profit/(loss) related to sales of our COVID-19 vaccine, referred to as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where approved for use under full or conditional marketing authorization, in territories controlled by our collaboration partners, particularly for those figures that are derived from preliminary estimates provided by our partners; the rate and degree of market acceptance of our COVID-19 vaccine and, if approved, our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our research and development programs, including our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our expectations regarding potential future commercialization in oncology, including goals regarding timing and indications; the targeted timing and number of potentially registrational trials, and the registrational potential of any trial we may initiate; discussions with regulatory agencies; our expectations with respect to intellectual property; the impact of our collaboration and licensing agreements; the development, nature and feasibility of sustainable vaccine production and supply solutions; the deployment of AI across our preclinical and clinical operations; and our expectations with respect to legal claims and proceedings.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forward-looking statements in this quarterly report are based on our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report, and including the possibility of unfavorable new preclinical, clinical or safety data and further analyses of existing preclinical, clinical or safety data; the nature of the clinical data, which is subject to ongoing peer review, regulatory review and market interpretation; our pricing and coverage negotiations regarding our COVID-19 vaccines with governmental authorities, private health insurers and other third-party payors; the future commercial demand and medical need for initial or booster doses of a COVID-19 vaccine; competition from other COVID-19 vaccines or related to our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our ability to obtain and maintain regulatory approval for our product candidates; the ability of our COVID-19 vaccine to prevent COVID-19 caused by emerging virus variants; our and our counterparties’ ability to manage and source necessary energy resources; our ability to identify research opportunities and discover and develop investigational medicines; the ability and willingness of our third-party collaborators to continue research and development activities relating to our development candidates and investigational medicines; the impact of COVID-19 on our development programs, supply chain, collaborators and financial performance; unforeseen safety issues and claims for personal injury or death arising from the use of our COVID-19 vaccine and other products and product candidates developed or manufactured by us; our ability and that of our collaborators to commercialize and market our COVID-19 vaccine and, if approved, our product candidates; our ability to manage our development and related expenses; regulatory developments in the United States and other countries; our ability to effectively scale our production capabilities and manufacture our products, including our target COVID-19 vaccine production levels, and our product candidates; risks relating to the global financial system and markets; and other factors not known to us at this time. You should review the risks and uncertainties described under the heading “Risk Factors” in this quarterly report for the three and nine months ended September 30, 2024, and in subsequent filings made by BioNTech with the SEC, which are available on the SEC’s website at https://www.sec.gov/. These forward-looking statements speak only as of the date hereof.</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341"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Except as required by law, BioNTech disclaims any intention or responsibility for updating or revising any forward-looking statements contained in this quarterly report in the event of new information, future developments or otherwise.</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34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b w:val="1"/>
          <w:bCs w:val="1"/>
          <w:color w:val="3C9673"/>
        </w:rPr>
        <w:t>Quarterly Report of BioNTech SE for the three and nine months ended September 30, 2024</w:t>
      </w:r>
    </w:p>
    <w:p>
      <w:pPr>
        <w:spacing w:after="0" w:line="136" w:lineRule="exact"/>
        <w:rPr>
          <w:sz w:val="20"/>
          <w:szCs w:val="20"/>
          <w:color w:val="auto"/>
        </w:rPr>
      </w:pPr>
    </w:p>
    <w:p>
      <w:pPr>
        <w:ind w:left="1040"/>
        <w:spacing w:after="0"/>
        <w:tabs>
          <w:tab w:leader="none" w:pos="7280" w:val="left"/>
        </w:tabs>
        <w:rPr>
          <w:sz w:val="20"/>
          <w:szCs w:val="20"/>
          <w:color w:val="auto"/>
        </w:rPr>
      </w:pPr>
      <w:r>
        <w:rPr>
          <w:rFonts w:ascii="Arial" w:cs="Arial" w:eastAsia="Arial" w:hAnsi="Arial"/>
          <w:sz w:val="13"/>
          <w:szCs w:val="13"/>
          <w:color w:val="005A64"/>
        </w:rPr>
        <w:t>Unaudited Interim Condensed Consolidated Financial Statements</w:t>
      </w:r>
      <w:r>
        <w:rPr>
          <w:sz w:val="20"/>
          <w:szCs w:val="20"/>
          <w:color w:val="auto"/>
        </w:rPr>
        <w:tab/>
      </w:r>
      <w:r>
        <w:rPr>
          <w:rFonts w:ascii="Arial" w:cs="Arial" w:eastAsia="Arial" w:hAnsi="Arial"/>
          <w:sz w:val="12"/>
          <w:szCs w:val="12"/>
          <w:b w:val="1"/>
          <w:bCs w:val="1"/>
          <w:color w:val="005A64"/>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5A64"/>
        </w:rPr>
        <w:t>General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trademark portfolio includes, but is not limited to, </w:t>
      </w:r>
      <w:r>
        <w:rPr>
          <w:rFonts w:ascii="Arial" w:cs="Arial" w:eastAsia="Arial" w:hAnsi="Arial"/>
          <w:sz w:val="18"/>
          <w:szCs w:val="18"/>
          <w:i w:val="1"/>
          <w:iCs w:val="1"/>
          <w:color w:val="auto"/>
        </w:rPr>
        <w:t>Comirnaty</w:t>
      </w:r>
      <w:r>
        <w:rPr>
          <w:rFonts w:ascii="Arial" w:cs="Arial" w:eastAsia="Arial" w:hAnsi="Arial"/>
          <w:sz w:val="18"/>
          <w:szCs w:val="18"/>
          <w:color w:val="auto"/>
        </w:rPr>
        <w:t xml:space="preserve">, </w:t>
      </w:r>
      <w:r>
        <w:rPr>
          <w:rFonts w:ascii="Arial" w:cs="Arial" w:eastAsia="Arial" w:hAnsi="Arial"/>
          <w:sz w:val="18"/>
          <w:szCs w:val="18"/>
          <w:i w:val="1"/>
          <w:iCs w:val="1"/>
          <w:color w:val="auto"/>
        </w:rPr>
        <w:t>BioNTainer</w:t>
      </w:r>
      <w:r>
        <w:rPr>
          <w:rFonts w:ascii="Arial" w:cs="Arial" w:eastAsia="Arial" w:hAnsi="Arial"/>
          <w:sz w:val="18"/>
          <w:szCs w:val="18"/>
          <w:color w:val="auto"/>
        </w:rPr>
        <w:t xml:space="preserve">, </w:t>
      </w:r>
      <w:r>
        <w:rPr>
          <w:rFonts w:ascii="Arial" w:cs="Arial" w:eastAsia="Arial" w:hAnsi="Arial"/>
          <w:sz w:val="18"/>
          <w:szCs w:val="18"/>
          <w:i w:val="1"/>
          <w:iCs w:val="1"/>
          <w:color w:val="auto"/>
        </w:rPr>
        <w:t>FixVac</w:t>
      </w:r>
      <w:r>
        <w:rPr>
          <w:rFonts w:ascii="Arial" w:cs="Arial" w:eastAsia="Arial" w:hAnsi="Arial"/>
          <w:sz w:val="18"/>
          <w:szCs w:val="18"/>
          <w:color w:val="auto"/>
        </w:rPr>
        <w:t xml:space="preserve">, </w:t>
      </w:r>
      <w:r>
        <w:rPr>
          <w:rFonts w:ascii="Arial" w:cs="Arial" w:eastAsia="Arial" w:hAnsi="Arial"/>
          <w:sz w:val="18"/>
          <w:szCs w:val="18"/>
          <w:i w:val="1"/>
          <w:iCs w:val="1"/>
          <w:color w:val="auto"/>
        </w:rPr>
        <w:t>RiboCytokine</w:t>
      </w:r>
      <w:r>
        <w:rPr>
          <w:rFonts w:ascii="Arial" w:cs="Arial" w:eastAsia="Arial" w:hAnsi="Arial"/>
          <w:sz w:val="18"/>
          <w:szCs w:val="18"/>
          <w:color w:val="auto"/>
        </w:rPr>
        <w:t xml:space="preserve"> and </w:t>
      </w:r>
      <w:r>
        <w:rPr>
          <w:rFonts w:ascii="Arial" w:cs="Arial" w:eastAsia="Arial" w:hAnsi="Arial"/>
          <w:sz w:val="18"/>
          <w:szCs w:val="18"/>
          <w:i w:val="1"/>
          <w:iCs w:val="1"/>
          <w:color w:val="auto"/>
        </w:rPr>
        <w:t>RiboMab</w:t>
      </w:r>
      <w:r>
        <w:rPr>
          <w:rFonts w:ascii="Arial" w:cs="Arial" w:eastAsia="Arial" w:hAnsi="Arial"/>
          <w:sz w:val="18"/>
          <w:szCs w:val="18"/>
          <w:color w:val="auto"/>
        </w:rPr>
        <w:t>, including logo versions of some of these trademarks. Brand names appearing in italics throughout this report are trademarks owned by BioNTech.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34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Convenience Translation. The German version is authoritative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ARTICLES OF ASSOCIATION OF BIONTECH SE</w:t>
      </w:r>
    </w:p>
    <w:p>
      <w:pPr>
        <w:spacing w:after="0" w:line="301" w:lineRule="exact"/>
        <w:rPr>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20" w:lineRule="exact"/>
        <w:rPr>
          <w:sz w:val="20"/>
          <w:szCs w:val="20"/>
          <w:color w:val="auto"/>
        </w:rPr>
      </w:pPr>
    </w:p>
    <w:p>
      <w:pPr>
        <w:ind w:left="180" w:hanging="172"/>
        <w:spacing w:after="0"/>
        <w:tabs>
          <w:tab w:leader="none" w:pos="18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   Company Name, Registered Office and Financial Year</w:t>
      </w:r>
    </w:p>
    <w:p>
      <w:pPr>
        <w:spacing w:after="0" w:line="223"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Company is “BioNTech SE”.</w:t>
      </w:r>
    </w:p>
    <w:p>
      <w:pPr>
        <w:spacing w:after="0" w:line="206"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its registered office in Mainz, Germany.</w:t>
      </w:r>
    </w:p>
    <w:p>
      <w:pPr>
        <w:spacing w:after="0" w:line="219"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year is the calendar year.</w:t>
      </w:r>
    </w:p>
    <w:p>
      <w:pPr>
        <w:spacing w:after="0" w:line="202"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   Purpose of Enterprise</w:t>
      </w:r>
    </w:p>
    <w:p>
      <w:pPr>
        <w:spacing w:after="0" w:line="210" w:lineRule="exact"/>
        <w:rPr>
          <w:rFonts w:ascii="Times New Roman" w:cs="Times New Roman" w:eastAsia="Times New Roman" w:hAnsi="Times New Roman"/>
          <w:sz w:val="22"/>
          <w:szCs w:val="22"/>
          <w:b w:val="1"/>
          <w:bCs w:val="1"/>
          <w:color w:val="auto"/>
        </w:rPr>
      </w:pPr>
    </w:p>
    <w:p>
      <w:pPr>
        <w:jc w:val="both"/>
        <w:ind w:left="1300" w:hanging="653"/>
        <w:spacing w:after="0" w:line="250" w:lineRule="auto"/>
        <w:tabs>
          <w:tab w:leader="none" w:pos="1295"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the Company is the research and development, manufacture and marketing of immunological and RNA-based drugs and test methods for the diagnosis, prevention and treatment of cancer, infectious diseases and other serious diseases.</w:t>
      </w:r>
    </w:p>
    <w:p>
      <w:pPr>
        <w:spacing w:after="0" w:line="181" w:lineRule="exact"/>
        <w:rPr>
          <w:rFonts w:ascii="Times New Roman" w:cs="Times New Roman" w:eastAsia="Times New Roman" w:hAnsi="Times New Roman"/>
          <w:sz w:val="22"/>
          <w:szCs w:val="22"/>
          <w:color w:val="auto"/>
        </w:rPr>
      </w:pPr>
    </w:p>
    <w:p>
      <w:pPr>
        <w:jc w:val="both"/>
        <w:ind w:left="1300" w:hanging="653"/>
        <w:spacing w:after="0" w:line="244" w:lineRule="auto"/>
        <w:tabs>
          <w:tab w:leader="none" w:pos="1295"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undertake all transactions and actions that are expedient for serving the Company’s purpose. It is also authorized to establish and acquire other companies and to invest in other companies, as well as to manage such companies or to limit itself to the administration of the investment.</w:t>
      </w:r>
    </w:p>
    <w:p>
      <w:pPr>
        <w:spacing w:after="0" w:line="182"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3   Announcements</w:t>
      </w: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All of the Company’s announcements shall be made exclusively in the German Federal Gazette (Bundesanzeiger).</w:t>
      </w:r>
    </w:p>
    <w:p>
      <w:pPr>
        <w:spacing w:after="0" w:line="256" w:lineRule="exact"/>
        <w:rPr>
          <w:sz w:val="20"/>
          <w:szCs w:val="20"/>
          <w:color w:val="auto"/>
        </w:rPr>
      </w:pPr>
    </w:p>
    <w:p>
      <w:pPr>
        <w:ind w:left="640" w:hanging="632"/>
        <w:spacing w:after="0"/>
        <w:tabs>
          <w:tab w:leader="none" w:pos="6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Capital and Shares</w:t>
      </w:r>
    </w:p>
    <w:p>
      <w:pPr>
        <w:spacing w:after="0" w:line="166" w:lineRule="exact"/>
        <w:rPr>
          <w:sz w:val="20"/>
          <w:szCs w:val="20"/>
          <w:color w:val="auto"/>
        </w:rPr>
      </w:pPr>
    </w:p>
    <w:p>
      <w:pPr>
        <w:ind w:left="180" w:hanging="172"/>
        <w:spacing w:after="0"/>
        <w:tabs>
          <w:tab w:leader="none" w:pos="18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  Amount and Division of Share Capital; Deviating Profit Participation</w:t>
      </w:r>
    </w:p>
    <w:p>
      <w:pPr>
        <w:spacing w:after="0" w:line="210"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share capital totals EUR 248,552,200 and is divided into 248,552,200 no-par value shares.</w:t>
      </w:r>
    </w:p>
    <w:p>
      <w:pPr>
        <w:spacing w:after="0" w:line="219" w:lineRule="exact"/>
        <w:rPr>
          <w:rFonts w:ascii="Times New Roman" w:cs="Times New Roman" w:eastAsia="Times New Roman" w:hAnsi="Times New Roman"/>
          <w:sz w:val="22"/>
          <w:szCs w:val="22"/>
          <w:color w:val="auto"/>
        </w:rPr>
      </w:pPr>
    </w:p>
    <w:p>
      <w:pPr>
        <w:jc w:val="both"/>
        <w:ind w:left="1300" w:hanging="653"/>
        <w:spacing w:after="0" w:line="244" w:lineRule="auto"/>
        <w:tabs>
          <w:tab w:leader="none" w:pos="12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of the shareholders to request that share certificates be issued is excluded, to the extent permitted by law or unless certification is required under applicable stock exchange rules where the shares or rights or certificates representing them are admitted for trading. Global certificates for shares may be issued. Form and content of these certificates shall be determined by the Management Board.</w:t>
      </w:r>
    </w:p>
    <w:p>
      <w:pPr>
        <w:spacing w:after="0" w:line="172"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are registered shares.</w:t>
      </w:r>
    </w:p>
    <w:p>
      <w:pPr>
        <w:spacing w:after="0" w:line="219"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capital increase, the profit participation of new shares may be determined in deviation from section 60(2) sentence 3 German Stock Corporation Act (</w:t>
      </w:r>
      <w:r>
        <w:rPr>
          <w:rFonts w:ascii="Times New Roman" w:cs="Times New Roman" w:eastAsia="Times New Roman" w:hAnsi="Times New Roman"/>
          <w:sz w:val="22"/>
          <w:szCs w:val="22"/>
          <w:i w:val="1"/>
          <w:iCs w:val="1"/>
          <w:color w:val="auto"/>
        </w:rPr>
        <w:t>AktG</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with the approval of the Supervisory Board, to increase the Company's share capital on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55" w:right="339" w:bottom="1440" w:gutter="0" w:footer="0" w:header="0"/>
        </w:sectPr>
      </w:pPr>
    </w:p>
    <w:bookmarkStart w:id="144" w:name="page145"/>
    <w:bookmarkEnd w:id="144"/>
    <w:p>
      <w:pPr>
        <w:spacing w:after="0" w:line="184"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21"/>
          <w:szCs w:val="21"/>
          <w:color w:val="auto"/>
        </w:rPr>
        <w:t>more occasions on or before June 21, 2026 by up to a total of EUR 122,657,313 by issuing up to 122,657,313 new no-par value registered shares in return for cash contributions or contributions in kind (Authorized Capital 2021). Shareholders are in principle to be granted subscription rights. In this con-text, the shares may also be underwritten by one or more credit institution(s) or one or more company(ies) operating in accordance with Sec. 53 para. 1 sentence 1 or section 53b para. 1 sentence 1 or para. 7 of the German Banking Act (</w:t>
      </w:r>
      <w:r>
        <w:rPr>
          <w:rFonts w:ascii="Times New Roman" w:cs="Times New Roman" w:eastAsia="Times New Roman" w:hAnsi="Times New Roman"/>
          <w:sz w:val="21"/>
          <w:szCs w:val="21"/>
          <w:i w:val="1"/>
          <w:iCs w:val="1"/>
          <w:color w:val="auto"/>
        </w:rPr>
        <w:t>Kreditwesengesetz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KWG</w:t>
      </w:r>
      <w:r>
        <w:rPr>
          <w:rFonts w:ascii="Times New Roman" w:cs="Times New Roman" w:eastAsia="Times New Roman" w:hAnsi="Times New Roman"/>
          <w:sz w:val="21"/>
          <w:szCs w:val="21"/>
          <w:color w:val="auto"/>
        </w:rPr>
        <w:t>) with the obligation to offer them for subscription to the Company’s shareholders (so-called indirect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subscription right). The Management Board is authorized, with the approval of the Supervisory Board, to exclude shareholders' subscription rights for one or more capital increases under the Authorized Capital</w:t>
      </w:r>
    </w:p>
    <w:p>
      <w:pPr>
        <w:spacing w:after="0" w:line="110" w:lineRule="exact"/>
        <w:rPr>
          <w:sz w:val="20"/>
          <w:szCs w:val="20"/>
          <w:color w:val="auto"/>
        </w:rPr>
      </w:pPr>
    </w:p>
    <w:p>
      <w:pPr>
        <w:ind w:left="820" w:hanging="636"/>
        <w:spacing w:after="0"/>
        <w:tabs>
          <w:tab w:leader="none" w:pos="8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exclude fractional amounts from the subscription right;</w:t>
      </w:r>
    </w:p>
    <w:p>
      <w:pPr>
        <w:spacing w:after="0" w:line="165" w:lineRule="exact"/>
        <w:rPr>
          <w:rFonts w:ascii="Times New Roman" w:cs="Times New Roman" w:eastAsia="Times New Roman" w:hAnsi="Times New Roman"/>
          <w:sz w:val="22"/>
          <w:szCs w:val="22"/>
          <w:color w:val="auto"/>
        </w:rPr>
      </w:pPr>
    </w:p>
    <w:p>
      <w:pPr>
        <w:jc w:val="both"/>
        <w:ind w:left="840" w:hanging="656"/>
        <w:spacing w:after="0" w:line="253" w:lineRule="auto"/>
        <w:tabs>
          <w:tab w:leader="none" w:pos="83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capital increase against cash contributions, if the issue price of the new shares is not significantly lower than the stock market price of the Company’s shares already listed at the time the issue price is finally fixed. However, this authorization shall only apply subject to the provision that the shares</w:t>
      </w:r>
    </w:p>
    <w:p>
      <w:pPr>
        <w:spacing w:after="0" w:line="3" w:lineRule="exact"/>
        <w:rPr>
          <w:sz w:val="20"/>
          <w:szCs w:val="20"/>
          <w:color w:val="auto"/>
        </w:rPr>
      </w:pPr>
    </w:p>
    <w:p>
      <w:pPr>
        <w:ind w:left="840"/>
        <w:spacing w:after="0" w:line="241" w:lineRule="auto"/>
        <w:rPr>
          <w:sz w:val="20"/>
          <w:szCs w:val="20"/>
          <w:color w:val="auto"/>
        </w:rPr>
      </w:pPr>
      <w:r>
        <w:rPr>
          <w:rFonts w:ascii="Times New Roman" w:cs="Times New Roman" w:eastAsia="Times New Roman" w:hAnsi="Times New Roman"/>
          <w:sz w:val="21"/>
          <w:szCs w:val="21"/>
          <w:color w:val="auto"/>
        </w:rPr>
        <w:t>issued with exclusion of subscription rights pursuant to Sec. 186 para. 3 sentence 4 AktG may not exceed a total of 10% of the capital stock either at the time this authorization takes effect or - if this amount is lower</w:t>
      </w:r>
    </w:p>
    <w:p>
      <w:pPr>
        <w:spacing w:after="0" w:line="1" w:lineRule="exact"/>
        <w:rPr>
          <w:sz w:val="20"/>
          <w:szCs w:val="20"/>
          <w:color w:val="auto"/>
        </w:rPr>
      </w:pPr>
    </w:p>
    <w:p>
      <w:pPr>
        <w:jc w:val="both"/>
        <w:ind w:left="840"/>
        <w:spacing w:after="0" w:line="237" w:lineRule="auto"/>
        <w:rPr>
          <w:sz w:val="20"/>
          <w:szCs w:val="20"/>
          <w:color w:val="auto"/>
        </w:rPr>
      </w:pPr>
      <w:r>
        <w:rPr>
          <w:rFonts w:ascii="Times New Roman" w:cs="Times New Roman" w:eastAsia="Times New Roman" w:hAnsi="Times New Roman"/>
          <w:sz w:val="22"/>
          <w:szCs w:val="22"/>
          <w:color w:val="auto"/>
        </w:rPr>
        <w:t>- at the time this authorization is exercised. Shares issued or sold in direct or corresponding application of Sec. 186 para. 3 sentence 4 AktG during the term of this authorization until the time of its utilization shall be counted towards this limit of 10% of the share capital. Shares used to service bonds with conversion or option rights or conversion obligations shall be counted towards the 10% limit if these bonds were is-sued during the authorization period under exclusion of share-holders' subscription rights in accordance with Sec. 186 para. 3 sentence 4 AktG. Treasury shares which may have been sold by the Company during the term of this authorization under exclusion of subscription rights pursuant to or in accordance with Sec. 186 para. 3 Sentence 4 AktG shall be counted towards the 10% limit;</w:t>
      </w:r>
    </w:p>
    <w:p>
      <w:pPr>
        <w:spacing w:after="0" w:line="137" w:lineRule="exact"/>
        <w:rPr>
          <w:sz w:val="20"/>
          <w:szCs w:val="20"/>
          <w:color w:val="auto"/>
        </w:rPr>
      </w:pPr>
    </w:p>
    <w:p>
      <w:pPr>
        <w:jc w:val="both"/>
        <w:ind w:left="840" w:hanging="656"/>
        <w:spacing w:after="0" w:line="244" w:lineRule="auto"/>
        <w:tabs>
          <w:tab w:leader="none" w:pos="83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capital increase against contributions in kind, in particular in order to be able to offer the new shares to third parties in connection with the acquisition of companies, parts of companies or interests in companies, or license or intellectual property rights;</w:t>
      </w:r>
    </w:p>
    <w:p>
      <w:pPr>
        <w:spacing w:after="0" w:line="132" w:lineRule="exact"/>
        <w:rPr>
          <w:rFonts w:ascii="Times New Roman" w:cs="Times New Roman" w:eastAsia="Times New Roman" w:hAnsi="Times New Roman"/>
          <w:sz w:val="22"/>
          <w:szCs w:val="22"/>
          <w:color w:val="auto"/>
        </w:rPr>
      </w:pPr>
    </w:p>
    <w:p>
      <w:pPr>
        <w:jc w:val="both"/>
        <w:ind w:left="840" w:hanging="656"/>
        <w:spacing w:after="0" w:line="250" w:lineRule="auto"/>
        <w:tabs>
          <w:tab w:leader="none" w:pos="83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grant holders of conversion or option rights under bonds issued by the Company or its subordinated German or foreign group companies a subscription right to new shares as they would be entitled to after exercising their conversion or option rights or after fulfillment of an agreed conversion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20"/>
          </w:cols>
          <w:pgMar w:left="1440" w:top="1440" w:right="339" w:bottom="1440" w:gutter="0" w:footer="0" w:header="0"/>
        </w:sectPr>
      </w:pPr>
    </w:p>
    <w:bookmarkStart w:id="145" w:name="page146"/>
    <w:bookmarkEnd w:id="145"/>
    <w:p>
      <w:pPr>
        <w:jc w:val="both"/>
        <w:ind w:left="1313" w:hanging="656"/>
        <w:spacing w:after="0" w:line="250" w:lineRule="auto"/>
        <w:tabs>
          <w:tab w:leader="none" w:pos="131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implement a so-called scrip dividend, whereby shareholders are offered the option of contributing their dividend entitlement (in whole or in part) to the Company as a contribution in kind in return for the granting of new shares;</w:t>
      </w:r>
    </w:p>
    <w:p>
      <w:pPr>
        <w:spacing w:after="0" w:line="113" w:lineRule="exact"/>
        <w:rPr>
          <w:rFonts w:ascii="Times New Roman" w:cs="Times New Roman" w:eastAsia="Times New Roman" w:hAnsi="Times New Roman"/>
          <w:sz w:val="22"/>
          <w:szCs w:val="22"/>
          <w:color w:val="auto"/>
        </w:rPr>
      </w:pPr>
    </w:p>
    <w:p>
      <w:pPr>
        <w:jc w:val="both"/>
        <w:ind w:left="1313" w:hanging="656"/>
        <w:spacing w:after="0" w:line="250" w:lineRule="auto"/>
        <w:tabs>
          <w:tab w:leader="none" w:pos="131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are to be issued to a member of the Company’s Management Board or to a person who is in an employment relationship with the Company or one of its affiliated companies; restrictions relating to the shares issued may be agreed, and</w:t>
      </w:r>
    </w:p>
    <w:p>
      <w:pPr>
        <w:spacing w:after="0" w:line="113" w:lineRule="exact"/>
        <w:rPr>
          <w:rFonts w:ascii="Times New Roman" w:cs="Times New Roman" w:eastAsia="Times New Roman" w:hAnsi="Times New Roman"/>
          <w:sz w:val="22"/>
          <w:szCs w:val="22"/>
          <w:color w:val="auto"/>
        </w:rPr>
      </w:pPr>
    </w:p>
    <w:p>
      <w:pPr>
        <w:jc w:val="both"/>
        <w:ind w:left="1313" w:right="20" w:hanging="656"/>
        <w:spacing w:after="0" w:line="250" w:lineRule="auto"/>
        <w:tabs>
          <w:tab w:leader="none" w:pos="130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satisfy an option agreed with underwriters in connection with an issue of shares in the Company (or American Depositary Shares representing them) to purchase additional shares or American Depositary Shares (so-called Greenshoe option).</w:t>
      </w:r>
    </w:p>
    <w:p>
      <w:pPr>
        <w:spacing w:after="0" w:line="181" w:lineRule="exact"/>
        <w:rPr>
          <w:sz w:val="20"/>
          <w:szCs w:val="20"/>
          <w:color w:val="auto"/>
        </w:rPr>
      </w:pPr>
    </w:p>
    <w:p>
      <w:pPr>
        <w:jc w:val="both"/>
        <w:ind w:left="653"/>
        <w:spacing w:after="0" w:line="238" w:lineRule="auto"/>
        <w:rPr>
          <w:sz w:val="20"/>
          <w:szCs w:val="20"/>
          <w:color w:val="auto"/>
        </w:rPr>
      </w:pPr>
      <w:r>
        <w:rPr>
          <w:rFonts w:ascii="Times New Roman" w:cs="Times New Roman" w:eastAsia="Times New Roman" w:hAnsi="Times New Roman"/>
          <w:sz w:val="22"/>
          <w:szCs w:val="22"/>
          <w:color w:val="auto"/>
        </w:rPr>
        <w:t>The total number of new shares issued from the Authorized Capital under the authorizations pursuant to sentence 4 letter a) to c) above, excluding subscription rights, may not exceed 20% of the share capital stock, either at the time this authorization takes effect or - if this value is lower - at the time it is exercised. The aforementioned 20% limit shall include (i) those shares which are used to service conversion or option rights or conversion or option obligations or subscription rights of the issuer, (ii) treasury shares which were sold during the term of this authorization until its exercise under exclusion of subscription rights (with the exception of treasury shares sold in accordance with letter b) paragraphs (v), (vi) or (vii) of the resolution on agenda item 8 of the Annual General Meeting on August 19, 2019).</w:t>
      </w:r>
    </w:p>
    <w:p>
      <w:pPr>
        <w:spacing w:after="0" w:line="194" w:lineRule="exact"/>
        <w:rPr>
          <w:sz w:val="20"/>
          <w:szCs w:val="20"/>
          <w:color w:val="auto"/>
        </w:rPr>
      </w:pPr>
    </w:p>
    <w:p>
      <w:pPr>
        <w:jc w:val="both"/>
        <w:ind w:left="653"/>
        <w:spacing w:after="0" w:line="244" w:lineRule="auto"/>
        <w:rPr>
          <w:sz w:val="20"/>
          <w:szCs w:val="20"/>
          <w:color w:val="auto"/>
        </w:rPr>
      </w:pPr>
      <w:r>
        <w:rPr>
          <w:rFonts w:ascii="Times New Roman" w:cs="Times New Roman" w:eastAsia="Times New Roman" w:hAnsi="Times New Roman"/>
          <w:sz w:val="22"/>
          <w:szCs w:val="22"/>
          <w:color w:val="auto"/>
        </w:rPr>
        <w:t>The new shares shall participate in profits from the beginning of the first financial year for which the annual financial statements have not yet been submitted to the Annual General Meeting at the time of registration of the implementation of the capital increase.</w:t>
      </w:r>
    </w:p>
    <w:p>
      <w:pPr>
        <w:spacing w:after="0" w:line="187" w:lineRule="exact"/>
        <w:rPr>
          <w:sz w:val="20"/>
          <w:szCs w:val="20"/>
          <w:color w:val="auto"/>
        </w:rPr>
      </w:pPr>
    </w:p>
    <w:p>
      <w:pPr>
        <w:jc w:val="both"/>
        <w:ind w:left="653"/>
        <w:spacing w:after="0"/>
        <w:rPr>
          <w:sz w:val="20"/>
          <w:szCs w:val="20"/>
          <w:color w:val="auto"/>
        </w:rPr>
      </w:pPr>
      <w:r>
        <w:rPr>
          <w:rFonts w:ascii="Times New Roman" w:cs="Times New Roman" w:eastAsia="Times New Roman" w:hAnsi="Times New Roman"/>
          <w:sz w:val="22"/>
          <w:szCs w:val="22"/>
          <w:color w:val="auto"/>
        </w:rPr>
        <w:t>The Management Board is authorized to determine further details of the capital increase and its implementation with the approval of the Supervisory Board. The Supervisory Board is authorized to amend the wording of Art. 4 par. 5 of the Articles of Association in accordance with the respective utilization of Authorized Capital 2021 and, if Authorized Capital 2021 is not or not fully utilized by June 21, 2026, to delete Art. 4 para. 5 of the Articles of Association after the expiry of the authorization.</w:t>
      </w:r>
    </w:p>
    <w:p>
      <w:pPr>
        <w:spacing w:after="0" w:line="193" w:lineRule="exact"/>
        <w:rPr>
          <w:sz w:val="20"/>
          <w:szCs w:val="20"/>
          <w:color w:val="auto"/>
        </w:rPr>
      </w:pPr>
    </w:p>
    <w:p>
      <w:pPr>
        <w:jc w:val="both"/>
        <w:ind w:left="653" w:hanging="653"/>
        <w:spacing w:after="0" w:line="255" w:lineRule="auto"/>
        <w:tabs>
          <w:tab w:leader="none" w:pos="64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 capital is conditionally increased by up to EUR 4,943,452 by issuing up to 4,943,452 new no-par value ordinary registered shares with a pro rata amount of the share capital of EUR 1.00 per share (Conditional Capital ESOP 2017/2019). The Conditional Capital ESOP 2017/2019 serves exclusively to grant rights to the holders of stock options, which were granted in accordance with the authorization by the Annual General Meeting on August 18, 2017 under agenda item 5 para. a), also in its version by the resolution of the Annual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593"/>
          </w:cols>
          <w:pgMar w:left="967" w:top="1408" w:right="339" w:bottom="1440" w:gutter="0" w:footer="0" w:header="0"/>
        </w:sectPr>
      </w:pPr>
    </w:p>
    <w:bookmarkStart w:id="146" w:name="page147"/>
    <w:bookmarkEnd w:id="146"/>
    <w:p>
      <w:pPr>
        <w:spacing w:after="0" w:line="184" w:lineRule="exact"/>
        <w:rPr>
          <w:sz w:val="20"/>
          <w:szCs w:val="20"/>
          <w:color w:val="auto"/>
        </w:rPr>
      </w:pPr>
    </w:p>
    <w:p>
      <w:pPr>
        <w:jc w:val="both"/>
        <w:ind w:left="653"/>
        <w:spacing w:after="0" w:line="237" w:lineRule="auto"/>
        <w:rPr>
          <w:sz w:val="20"/>
          <w:szCs w:val="20"/>
          <w:color w:val="auto"/>
        </w:rPr>
      </w:pPr>
      <w:r>
        <w:rPr>
          <w:rFonts w:ascii="Times New Roman" w:cs="Times New Roman" w:eastAsia="Times New Roman" w:hAnsi="Times New Roman"/>
          <w:sz w:val="22"/>
          <w:szCs w:val="22"/>
          <w:color w:val="auto"/>
        </w:rPr>
        <w:t>Meeting on August 19, 2019 under agenda item 6 para. a) as well as in its version by the resolution of the Annual General Meeting of June 26, 2020 on agenda item 5 and its version by the resolutions of the Annual General Meeting of June 22, 2021 on agenda items 6 and 7 para. A) and its version by the resolution of the Annual General Meeting of May 17, 2024 on agenda item 12 (together the “Authorization 2017/2019”), have been issued by the Company. The shares will be issued at the exercise price determined in accordance with the Authorization 2017/2019 in the version applicable at the time it is exercised. The conditional capital increase will only be carried out to the extent that the holders of the stock options issued by the Company on the basis of the Authorization 2017/2019 exercise their subscription rights and the Company does not fulfil the stock options by delivering treasury shares or by making a cash payment. The new shares shall participate in profits from the beginning of the previous financial year if they are created by exercising subscription rights until the beginning of the Annual General Meeting of the Company, otherwise from the beginning of the financial year in which they are created by exercising stock options.</w:t>
      </w:r>
    </w:p>
    <w:p>
      <w:pPr>
        <w:spacing w:after="0" w:line="202" w:lineRule="exact"/>
        <w:rPr>
          <w:sz w:val="20"/>
          <w:szCs w:val="20"/>
          <w:color w:val="auto"/>
        </w:rPr>
      </w:pPr>
    </w:p>
    <w:p>
      <w:pPr>
        <w:jc w:val="both"/>
        <w:ind w:left="653" w:hanging="653"/>
        <w:spacing w:after="0" w:line="237" w:lineRule="auto"/>
        <w:tabs>
          <w:tab w:leader="none" w:pos="64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is conditionally increased by up to EUR 24,855,220.00 by issuing up to 24,855,220 new no-par value registered shares (Conditional Capital WSV 2024). The conditional capital increase will only be carried out to the extent that the holders or creditors of bonds with warrants and/or convertible bonds with option or conversion rights or option or conversion obligations issued by the Company or a company in which the Company directly or indirectly holds a majority interest until May 16, 2024 on the basis of the authorization resolution of the Annual General Meeting of May 17, 2024 exercise their option or conversion rights or fulfil their obligation to exercise the option or conversion, or, if the Company exercises an option to grant no-par value shares in the Company in whole or in part instead of payment of the cash amount due and provided that no cash settlement is granted or shares from authorized capital or treasury shares or shares of another listed company or other forms of fulfilment are used to service them. The new shares will be issued at the option or conversion price to be determined in accordance with the aforementioned authorization resolution. The new shares issued shall participate in profits from the beginning of the financial year in which they are created; to the extent permitted by law, the Management Board may, with the approval of the Supervisory Board, determine the profit participation of new shares in deviation from this and also in deviation from Sec. 60(2) AktG for a financial year that has already expired. The Management Board is authorized, with the approval of the Supervisory Board, to determine the further details of the implementation of the conditional capital increase.</w:t>
      </w:r>
    </w:p>
    <w:p>
      <w:pPr>
        <w:spacing w:after="0" w:line="187" w:lineRule="exact"/>
        <w:rPr>
          <w:rFonts w:ascii="Times New Roman" w:cs="Times New Roman" w:eastAsia="Times New Roman" w:hAnsi="Times New Roman"/>
          <w:sz w:val="22"/>
          <w:szCs w:val="22"/>
          <w:color w:val="auto"/>
        </w:rPr>
      </w:pPr>
    </w:p>
    <w:p>
      <w:pPr>
        <w:jc w:val="both"/>
        <w:ind w:left="653" w:hanging="653"/>
        <w:spacing w:after="0" w:line="250" w:lineRule="auto"/>
        <w:tabs>
          <w:tab w:leader="none" w:pos="64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is conditionally increased by up to EUR 1,300,000 by issuing up to 1,300,000 new no-par value ordinary registered shares with a pro rata amount of the share capital of EUR 1.00 per share (Conditional Capital ESOP 2021). The Conditional Capital ESOP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33"/>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593"/>
          </w:cols>
          <w:pgMar w:left="967" w:top="1440" w:right="339" w:bottom="1440" w:gutter="0" w:footer="0" w:header="0"/>
        </w:sectPr>
      </w:pPr>
    </w:p>
    <w:bookmarkStart w:id="147" w:name="page148"/>
    <w:bookmarkEnd w:id="147"/>
    <w:p>
      <w:pPr>
        <w:spacing w:after="0" w:line="184"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1"/>
          <w:szCs w:val="21"/>
          <w:color w:val="auto"/>
        </w:rPr>
        <w:t>serves exclusively to grant rights to the holders of stock options issued by the Company in accordance with the authorization by the Annual General Meeting on June 22, 2021 under agenda item 7 para. d), also as amended by the resolution of the Annual General Meeting on May 17, 2024 under agenda items 12 and 13 (the “Authorization 2021”). The shares will be issued at the exercise price determined in accordance with the Authorization 2021 in the version applicable at the time it is exercised. The conditional capital increase will only be carried out to the extent that the holders of the stock options issued by the Company on the basis of the Authorization 2021 exercise their subscription rights and the Company does not fulfill the stock options by delivering treasury shares or by making a cash payment. The new shares shall participate in profits from the beginning of the previous financial year if they are created by exercising subscription rights until the beginning of the Company’s Annual General Meeting, otherwise from the beginning of the financial year in which they are created by exercising stock options.</w:t>
      </w:r>
    </w:p>
    <w:p>
      <w:pPr>
        <w:spacing w:after="0" w:line="175" w:lineRule="exact"/>
        <w:rPr>
          <w:sz w:val="20"/>
          <w:szCs w:val="20"/>
          <w:color w:val="auto"/>
        </w:rPr>
      </w:pPr>
    </w:p>
    <w:p>
      <w:pPr>
        <w:jc w:val="both"/>
        <w:ind w:left="1300" w:hanging="653"/>
        <w:spacing w:after="0" w:line="237" w:lineRule="auto"/>
        <w:tabs>
          <w:tab w:leader="none" w:pos="129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is conditionally increased by up to EUR 6,213,805 by issuing up to 6,213,805 new no-par value ordinary registered shares with a pro rata amount of the share capital of EUR 1.00 per share (Conditional Capital ESOP 2024). The Conditional Capital ESOP 2024 serves exclusively to grant rights to the holders of stock options issued by the Company in accordance with the authorization by the Annual General Meeting on 17 May 2024 under agenda item 13 para. f) (the “Authorization 2024”). The shares will be issued at the exercise price determined in accordance with Authorization 2024 in the version applicable at the time it is exercised. The conditional capital increase will only be carried out to the extent that the holders of the stock options issued by the Company on the basis of Authorization 2024 exercise their subscription rights and the Company does not fulfil the stock options by paying cash or by delivering treasury shares in another listed company or other forms of fulfilment. If the new shares are created by exercising subscription rights before the start of the Company’s Annual General Meeting, they will participate in profits from the start of the previous financial year, otherwise from the start of the financial year in which they are created by exercising stock options. The Management Board is authorized, with the approval of the Supervisory Board, to determine the further details of the issue and the further conditions of the stock options; in deviation from this, the Supervisory Board shall also decide in this respect for the members of the Company’s Management Board.”</w:t>
      </w:r>
    </w:p>
    <w:p>
      <w:pPr>
        <w:spacing w:after="0" w:line="194" w:lineRule="exact"/>
        <w:rPr>
          <w:rFonts w:ascii="Times New Roman" w:cs="Times New Roman" w:eastAsia="Times New Roman" w:hAnsi="Times New Roman"/>
          <w:sz w:val="22"/>
          <w:szCs w:val="22"/>
          <w:color w:val="auto"/>
        </w:rPr>
      </w:pPr>
    </w:p>
    <w:p>
      <w:pPr>
        <w:jc w:val="both"/>
        <w:ind w:left="1300" w:hanging="653"/>
        <w:spacing w:after="0" w:line="250" w:lineRule="auto"/>
        <w:tabs>
          <w:tab w:leader="none" w:pos="129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above paragraphs provide for authorized or conditional capital, the Supervisory Board is authorized to amend the wording of the Articles of Association after expiry of the period for utilization of the authorized capital and in accordance with the extent of capital increases carried out on the basis thereof.</w:t>
      </w:r>
    </w:p>
    <w:p>
      <w:pPr>
        <w:spacing w:after="0" w:line="19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Executive Bodies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440" w:right="339" w:bottom="1440" w:gutter="0" w:footer="0" w:header="0"/>
        </w:sectPr>
      </w:pPr>
    </w:p>
    <w:bookmarkStart w:id="148" w:name="page149"/>
    <w:bookmarkEnd w:id="148"/>
    <w:p>
      <w:pPr>
        <w:ind w:left="260" w:hanging="171"/>
        <w:spacing w:after="0"/>
        <w:tabs>
          <w:tab w:leader="none" w:pos="2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5  Two-Tier System</w:t>
      </w:r>
    </w:p>
    <w:p>
      <w:pPr>
        <w:spacing w:after="0" w:line="210" w:lineRule="exact"/>
        <w:rPr>
          <w:rFonts w:ascii="Times New Roman" w:cs="Times New Roman" w:eastAsia="Times New Roman" w:hAnsi="Times New Roman"/>
          <w:sz w:val="22"/>
          <w:szCs w:val="22"/>
          <w:b w:val="1"/>
          <w:bCs w:val="1"/>
          <w:color w:val="auto"/>
        </w:rPr>
      </w:pPr>
    </w:p>
    <w:p>
      <w:pPr>
        <w:ind w:left="1300" w:right="20" w:hanging="653"/>
        <w:spacing w:after="0" w:line="258" w:lineRule="auto"/>
        <w:tabs>
          <w:tab w:leader="none" w:pos="129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 two-tier management and supervisory system consisting of a management body (Management Board) and a supervisory body (Supervisory Board).</w:t>
      </w:r>
    </w:p>
    <w:p>
      <w:pPr>
        <w:spacing w:after="0" w:line="171"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executive bodies are the Management Board, the Supervisory Board and the General Meeting.</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Management Board</w:t>
      </w:r>
    </w:p>
    <w:p>
      <w:pPr>
        <w:spacing w:after="0" w:line="179" w:lineRule="exact"/>
        <w:rPr>
          <w:sz w:val="20"/>
          <w:szCs w:val="20"/>
          <w:color w:val="auto"/>
        </w:rPr>
      </w:pPr>
    </w:p>
    <w:p>
      <w:pPr>
        <w:ind w:left="180" w:hanging="172"/>
        <w:spacing w:after="0"/>
        <w:tabs>
          <w:tab w:leader="none" w:pos="18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6  Composition</w:t>
      </w:r>
    </w:p>
    <w:p>
      <w:pPr>
        <w:spacing w:after="0" w:line="210" w:lineRule="exact"/>
        <w:rPr>
          <w:rFonts w:ascii="Times New Roman" w:cs="Times New Roman" w:eastAsia="Times New Roman" w:hAnsi="Times New Roman"/>
          <w:sz w:val="22"/>
          <w:szCs w:val="22"/>
          <w:b w:val="1"/>
          <w:bCs w:val="1"/>
          <w:color w:val="auto"/>
        </w:rPr>
      </w:pPr>
    </w:p>
    <w:p>
      <w:pPr>
        <w:ind w:left="1300" w:hanging="653"/>
        <w:spacing w:after="0" w:line="258" w:lineRule="auto"/>
        <w:tabs>
          <w:tab w:leader="none" w:pos="12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shall consist of at least two persons. The members of the Management Board are appointed for a maximum term of five years. Reappointments are permitted.</w:t>
      </w:r>
    </w:p>
    <w:p>
      <w:pPr>
        <w:spacing w:after="0" w:line="158"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members of the Management Board is otherwise determined by the Supervisory Board.</w:t>
      </w:r>
    </w:p>
    <w:p>
      <w:pPr>
        <w:spacing w:after="0" w:line="219"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appointment of deputy members of the Management Board is permissible.</w:t>
      </w:r>
    </w:p>
    <w:p>
      <w:pPr>
        <w:spacing w:after="0" w:line="148"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7  Management, Representation</w:t>
      </w:r>
    </w:p>
    <w:p>
      <w:pPr>
        <w:spacing w:after="0" w:line="210" w:lineRule="exact"/>
        <w:rPr>
          <w:rFonts w:ascii="Times New Roman" w:cs="Times New Roman" w:eastAsia="Times New Roman" w:hAnsi="Times New Roman"/>
          <w:sz w:val="22"/>
          <w:szCs w:val="22"/>
          <w:b w:val="1"/>
          <w:bCs w:val="1"/>
          <w:color w:val="auto"/>
        </w:rPr>
      </w:pPr>
    </w:p>
    <w:p>
      <w:pPr>
        <w:ind w:left="1300" w:right="20" w:hanging="653"/>
        <w:spacing w:after="0" w:line="258" w:lineRule="auto"/>
        <w:tabs>
          <w:tab w:leader="none" w:pos="12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Management Board shall conduct the business of the Company in accordance with the law, the Articles of Association and the rules of procedure issued by the Supervisory Board.</w:t>
      </w:r>
    </w:p>
    <w:p>
      <w:pPr>
        <w:spacing w:after="0" w:line="171" w:lineRule="exact"/>
        <w:rPr>
          <w:rFonts w:ascii="Times New Roman" w:cs="Times New Roman" w:eastAsia="Times New Roman" w:hAnsi="Times New Roman"/>
          <w:sz w:val="22"/>
          <w:szCs w:val="22"/>
          <w:color w:val="auto"/>
        </w:rPr>
      </w:pPr>
    </w:p>
    <w:p>
      <w:pPr>
        <w:jc w:val="both"/>
        <w:ind w:left="1300" w:hanging="653"/>
        <w:spacing w:after="0"/>
        <w:tabs>
          <w:tab w:leader="none" w:pos="12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represented by two members of the Management Board or by one member of the Management Board jointly with one holder of a general commercial power of representation (</w:t>
      </w:r>
      <w:r>
        <w:rPr>
          <w:rFonts w:ascii="Times New Roman" w:cs="Times New Roman" w:eastAsia="Times New Roman" w:hAnsi="Times New Roman"/>
          <w:sz w:val="22"/>
          <w:szCs w:val="22"/>
          <w:i w:val="1"/>
          <w:iCs w:val="1"/>
          <w:color w:val="auto"/>
        </w:rPr>
        <w:t>Prokurist</w:t>
      </w:r>
      <w:r>
        <w:rPr>
          <w:rFonts w:ascii="Times New Roman" w:cs="Times New Roman" w:eastAsia="Times New Roman" w:hAnsi="Times New Roman"/>
          <w:sz w:val="22"/>
          <w:szCs w:val="22"/>
          <w:color w:val="auto"/>
        </w:rPr>
        <w:t>). If only one member of the Management Board is appointed, the Company will be represented by this individual alone. The Supervisory Board may grant one, several or all members of the Management Board sole power of representation.</w:t>
      </w:r>
    </w:p>
    <w:p>
      <w:pPr>
        <w:spacing w:after="0" w:line="193" w:lineRule="exact"/>
        <w:rPr>
          <w:rFonts w:ascii="Times New Roman" w:cs="Times New Roman" w:eastAsia="Times New Roman" w:hAnsi="Times New Roman"/>
          <w:sz w:val="22"/>
          <w:szCs w:val="22"/>
          <w:color w:val="auto"/>
        </w:rPr>
      </w:pPr>
    </w:p>
    <w:p>
      <w:pPr>
        <w:jc w:val="both"/>
        <w:ind w:left="1300" w:hanging="653"/>
        <w:spacing w:after="0" w:line="244" w:lineRule="auto"/>
        <w:tabs>
          <w:tab w:leader="none" w:pos="12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may, by resolution, authorize members of the Management Board in general or in individual cases to conclude legal transactions simultaneously for the Company and as representatives of a company affiliated with the Company within the meaning of section 15 AktG as well as in individual cases simultaneously for the Company and as representatives of a third party.</w:t>
      </w:r>
    </w:p>
    <w:p>
      <w:pPr>
        <w:spacing w:after="0" w:line="172"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may appoint a spokesman or a chairperson of the Management Board.</w:t>
      </w:r>
    </w:p>
    <w:p>
      <w:pPr>
        <w:spacing w:after="0" w:line="219"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Furthermore, the Supervisory Board shall issue rules of procedure for the Management Board and shall determine in particular which types of business may only be transacted with its consent.</w:t>
      </w:r>
    </w:p>
    <w:p>
      <w:pPr>
        <w:spacing w:after="0" w:line="11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8  Passing of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404" w:right="339" w:bottom="1440" w:gutter="0" w:footer="0" w:header="0"/>
        </w:sectPr>
      </w:pPr>
    </w:p>
    <w:bookmarkStart w:id="149" w:name="page150"/>
    <w:bookmarkEnd w:id="149"/>
    <w:p>
      <w:pPr>
        <w:spacing w:after="0" w:line="184" w:lineRule="exact"/>
        <w:rPr>
          <w:sz w:val="20"/>
          <w:szCs w:val="20"/>
          <w:color w:val="auto"/>
        </w:rPr>
      </w:pPr>
    </w:p>
    <w:p>
      <w:pPr>
        <w:jc w:val="both"/>
        <w:ind w:left="1300" w:hanging="653"/>
        <w:spacing w:after="0" w:line="250" w:lineRule="auto"/>
        <w:tabs>
          <w:tab w:leader="none" w:pos="129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quorate if all members of the Management Board are invited and at least half of its members participate in the adoption of the resolution, unless otherwise required by mandatory law. Members of the Management Board may cast their vote in writing, by telephone, by telefax or by means of electronic media.</w:t>
      </w:r>
    </w:p>
    <w:p>
      <w:pPr>
        <w:spacing w:after="0" w:line="167" w:lineRule="exact"/>
        <w:rPr>
          <w:rFonts w:ascii="Times New Roman" w:cs="Times New Roman" w:eastAsia="Times New Roman" w:hAnsi="Times New Roman"/>
          <w:sz w:val="22"/>
          <w:szCs w:val="22"/>
          <w:color w:val="auto"/>
        </w:rPr>
      </w:pPr>
    </w:p>
    <w:p>
      <w:pPr>
        <w:jc w:val="both"/>
        <w:ind w:left="1300" w:hanging="653"/>
        <w:spacing w:after="0" w:line="244" w:lineRule="auto"/>
        <w:tabs>
          <w:tab w:leader="none" w:pos="129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resolutions of the Management Board are passed by a majority of the votes cast, unless otherwise required by mandatory law. Abstentions shall not to be taken into account. In the event of a tie the chairperson shall have a casting vote, if such person has been appointed. This does not apply to a spokesman of the Management Board who may have been appointed.</w:t>
      </w:r>
    </w:p>
    <w:p>
      <w:pPr>
        <w:spacing w:after="0" w:line="209"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Supervisory Board</w:t>
      </w:r>
    </w:p>
    <w:p>
      <w:pPr>
        <w:spacing w:after="0" w:line="166" w:lineRule="exact"/>
        <w:rPr>
          <w:sz w:val="20"/>
          <w:szCs w:val="20"/>
          <w:color w:val="auto"/>
        </w:rPr>
      </w:pPr>
    </w:p>
    <w:p>
      <w:pPr>
        <w:ind w:left="180" w:hanging="172"/>
        <w:spacing w:after="0"/>
        <w:tabs>
          <w:tab w:leader="none" w:pos="18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9  Composition, Term of Office and Remuneration</w:t>
      </w:r>
    </w:p>
    <w:p>
      <w:pPr>
        <w:spacing w:after="0" w:line="210"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shall comprise of six members.</w:t>
      </w:r>
    </w:p>
    <w:p>
      <w:pPr>
        <w:spacing w:after="0" w:line="219" w:lineRule="exact"/>
        <w:rPr>
          <w:rFonts w:ascii="Times New Roman" w:cs="Times New Roman" w:eastAsia="Times New Roman" w:hAnsi="Times New Roman"/>
          <w:sz w:val="22"/>
          <w:szCs w:val="22"/>
          <w:color w:val="auto"/>
        </w:rPr>
      </w:pPr>
    </w:p>
    <w:p>
      <w:pPr>
        <w:jc w:val="both"/>
        <w:ind w:left="1300" w:hanging="653"/>
        <w:spacing w:after="0"/>
        <w:tabs>
          <w:tab w:leader="none" w:pos="129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General Meeting resolves on a shorter period when electing individual Supervisory Board members to be elected by it or for the full Supervisory Board, the Supervisory Board members shall be elected for a period ending no later than the end of the General Meeting which resolves on the discharge for the fourth financial year after the election. The fiscal year in which the term of office begins is not included in this calculation. Re-election is possible.</w:t>
      </w:r>
    </w:p>
    <w:p>
      <w:pPr>
        <w:spacing w:after="0" w:line="193" w:lineRule="exact"/>
        <w:rPr>
          <w:rFonts w:ascii="Times New Roman" w:cs="Times New Roman" w:eastAsia="Times New Roman" w:hAnsi="Times New Roman"/>
          <w:sz w:val="22"/>
          <w:szCs w:val="22"/>
          <w:color w:val="auto"/>
        </w:rPr>
      </w:pPr>
    </w:p>
    <w:p>
      <w:pPr>
        <w:ind w:left="1300" w:right="20" w:hanging="653"/>
        <w:spacing w:after="0" w:line="258" w:lineRule="auto"/>
        <w:tabs>
          <w:tab w:leader="none" w:pos="129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to a member who leaves the Supervisory Board before the end of his or her term of office shall only be elected for the remainder of the term of office of the member who has left the Supervisory Board.</w:t>
      </w:r>
    </w:p>
    <w:p>
      <w:pPr>
        <w:spacing w:after="0" w:line="158" w:lineRule="exact"/>
        <w:rPr>
          <w:rFonts w:ascii="Times New Roman" w:cs="Times New Roman" w:eastAsia="Times New Roman" w:hAnsi="Times New Roman"/>
          <w:sz w:val="22"/>
          <w:szCs w:val="22"/>
          <w:color w:val="auto"/>
        </w:rPr>
      </w:pPr>
    </w:p>
    <w:p>
      <w:pPr>
        <w:jc w:val="both"/>
        <w:ind w:left="1300" w:hanging="653"/>
        <w:spacing w:after="0" w:line="248" w:lineRule="auto"/>
        <w:tabs>
          <w:tab w:leader="none" w:pos="129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electing Supervisory Board members, the General Meeting may for the same period elect a substitute member for several or all Supervisory Board members or as many substitute members as Supervisory Board members and determine the order in which they shall replace the Supervisory Board members who leave the Supervisory Board during their term of office for the remaining term of office.</w:t>
      </w:r>
    </w:p>
    <w:p>
      <w:pPr>
        <w:spacing w:after="0" w:line="169"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Supervisory Board may resign from office by submitting a written declaration to the Management Board. A period of one month must be observed.</w:t>
      </w:r>
    </w:p>
    <w:p>
      <w:pPr>
        <w:spacing w:after="0" w:line="171" w:lineRule="exact"/>
        <w:rPr>
          <w:rFonts w:ascii="Times New Roman" w:cs="Times New Roman" w:eastAsia="Times New Roman" w:hAnsi="Times New Roman"/>
          <w:sz w:val="22"/>
          <w:szCs w:val="22"/>
          <w:color w:val="auto"/>
        </w:rPr>
      </w:pPr>
    </w:p>
    <w:p>
      <w:pPr>
        <w:jc w:val="both"/>
        <w:ind w:left="1300" w:hanging="653"/>
        <w:spacing w:after="0" w:line="241" w:lineRule="auto"/>
        <w:tabs>
          <w:tab w:leader="none" w:pos="1295"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reimbursement of their expenses, the members of the Supervisory Board shall receive compensation of EUR 120,000.00 for each full financial year; the Chairman shall receive three times this amount and the Deputy Chairman 1.5 times this amount. The Chairman of the Audit Committee receives additional compensation of EUR 50,000.00 for each full financial year. The respective Chairman of another committee receives additional compensation of EUR 30,000.00 for each full financial year. An ordinary committee member receives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4"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additional compensation of EUR 10,000.00 per committee for each full financial year; the compensation paid for chairing a committee also covers membership of this committee. The basic compensation and any compensation for committee activities are due for payment within the last month before the end of the financial year for which the compensation is paid. Members of the Supervisory Board who only belong to the Supervisory Board for part of the financial year or who chair or deputy chair the Supervisory Board or the Audit Committee or another committee receive the respective compensation pro rata temporis. The same applies if this regulation or this regulation in a specific version is only in force for part of the financial year. If the reimbursement of expenses or compensation is subject to VAT, the VAT must be paid in addition. In its own interest, the Company maintains appropriate financial loss liability insurance for its executive bodies and managers, which also covers the members of the Supervisory Board at the Company’s expense.</w:t>
      </w:r>
    </w:p>
    <w:p>
      <w:pPr>
        <w:spacing w:after="0" w:line="123" w:lineRule="exact"/>
        <w:rPr>
          <w:sz w:val="20"/>
          <w:szCs w:val="20"/>
          <w:color w:val="auto"/>
        </w:rPr>
      </w:pPr>
    </w:p>
    <w:p>
      <w:pPr>
        <w:ind w:left="180" w:hanging="172"/>
        <w:spacing w:after="0"/>
        <w:tabs>
          <w:tab w:leader="none" w:pos="18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  Chairperson and deputy</w:t>
      </w:r>
    </w:p>
    <w:p>
      <w:pPr>
        <w:spacing w:after="0" w:line="210" w:lineRule="exact"/>
        <w:rPr>
          <w:rFonts w:ascii="Times New Roman" w:cs="Times New Roman" w:eastAsia="Times New Roman" w:hAnsi="Times New Roman"/>
          <w:sz w:val="22"/>
          <w:szCs w:val="22"/>
          <w:b w:val="1"/>
          <w:bCs w:val="1"/>
          <w:color w:val="auto"/>
        </w:rPr>
      </w:pPr>
    </w:p>
    <w:p>
      <w:pPr>
        <w:jc w:val="both"/>
        <w:ind w:left="1300" w:hanging="653"/>
        <w:spacing w:after="0" w:line="244"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shall elect a chairperson and a deputy chairperson from among its members for the duration of its term of office. In these elections the oldest member of the Supervisory Board in terms of age is the chairperson. The deputy shall have the rights of the chairperson if the latter is prevented from attending or delegates his or her representation to him or her.</w:t>
      </w:r>
    </w:p>
    <w:p>
      <w:pPr>
        <w:spacing w:after="0" w:line="172"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chairperson or his/her deputy departs prematurely from their office, then the Supervisory Board shall immediately hold a new election to cover the remaining term of office.</w:t>
      </w:r>
    </w:p>
    <w:p>
      <w:pPr>
        <w:spacing w:after="0" w:line="86"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  Convening and passing resolutions</w:t>
      </w:r>
    </w:p>
    <w:p>
      <w:pPr>
        <w:spacing w:after="0" w:line="210" w:lineRule="exact"/>
        <w:rPr>
          <w:rFonts w:ascii="Times New Roman" w:cs="Times New Roman" w:eastAsia="Times New Roman" w:hAnsi="Times New Roman"/>
          <w:sz w:val="22"/>
          <w:szCs w:val="22"/>
          <w:b w:val="1"/>
          <w:bCs w:val="1"/>
          <w:color w:val="auto"/>
        </w:rPr>
      </w:pPr>
    </w:p>
    <w:p>
      <w:pPr>
        <w:ind w:left="1300" w:right="20" w:hanging="653"/>
        <w:spacing w:after="0" w:line="258"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far as possible, the Supervisory Board shall be convened in each calendar quarter. It must be convened twice every calendar half-year.</w:t>
      </w:r>
    </w:p>
    <w:p>
      <w:pPr>
        <w:spacing w:after="0" w:line="171"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meetings of the Supervisory Board shall be convened by the chairperson verbally, by telephone, in writing, by fax or by email, stating the agenda.</w:t>
      </w:r>
    </w:p>
    <w:p>
      <w:pPr>
        <w:spacing w:after="0" w:line="171"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is quorate if at least three members participate in the adoption of the resolution. A member also participates in the adoption of a resolution if he or she abstains from voting.</w:t>
      </w:r>
    </w:p>
    <w:p>
      <w:pPr>
        <w:spacing w:after="0" w:line="158" w:lineRule="exact"/>
        <w:rPr>
          <w:rFonts w:ascii="Times New Roman" w:cs="Times New Roman" w:eastAsia="Times New Roman" w:hAnsi="Times New Roman"/>
          <w:sz w:val="22"/>
          <w:szCs w:val="22"/>
          <w:color w:val="auto"/>
        </w:rPr>
      </w:pPr>
    </w:p>
    <w:p>
      <w:pPr>
        <w:jc w:val="both"/>
        <w:ind w:left="1300" w:hanging="653"/>
        <w:spacing w:after="0" w:line="248"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require a majority of the votes cast by the members of the Supervisory Board not taking into account any abstentions. In the case of a tie, the votes of the chairperson of the Supervisory Board or, if he does not participate in the passing of the resolution, the vote of the spokesman of the Supervisory Board shall be the casting vote.</w:t>
      </w:r>
    </w:p>
    <w:p>
      <w:pPr>
        <w:spacing w:after="0" w:line="169" w:lineRule="exact"/>
        <w:rPr>
          <w:rFonts w:ascii="Times New Roman" w:cs="Times New Roman" w:eastAsia="Times New Roman" w:hAnsi="Times New Roman"/>
          <w:sz w:val="22"/>
          <w:szCs w:val="22"/>
          <w:color w:val="auto"/>
        </w:rPr>
      </w:pPr>
    </w:p>
    <w:p>
      <w:pPr>
        <w:ind w:left="1300" w:right="20" w:hanging="653"/>
        <w:spacing w:after="0" w:line="258" w:lineRule="auto"/>
        <w:tabs>
          <w:tab w:leader="none" w:pos="129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the Supervisory Board are in principle passed at meetings with personal attendance of the members of the Supervisory Board. Absent members of the Supervisory Board may submit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4"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written vote through another member of the Supervisory Board. Unless the chairperson of the Supervisory Board states otherwise in the invitation due to special circumstances of the individual case, it is permissible for Supervisory Board members to participate and cast their vote in a face-to-face meeting by telephone. The Supervisory Board may also vote without convening a meeting by doing so in writing, by telephone, fax, video conference or email, or in a combined resolution. The chairperson shall decide on the form in which resolutions are to be passed. The Rules of Procedure for the Supervisory Board may stipulate that resolutions are to be postponed in individual cases to be specified in more detail.</w:t>
      </w:r>
    </w:p>
    <w:p>
      <w:pPr>
        <w:spacing w:after="0" w:line="194" w:lineRule="exact"/>
        <w:rPr>
          <w:sz w:val="20"/>
          <w:szCs w:val="20"/>
          <w:color w:val="auto"/>
        </w:rPr>
      </w:pPr>
    </w:p>
    <w:p>
      <w:pPr>
        <w:jc w:val="both"/>
        <w:ind w:left="1300" w:hanging="653"/>
        <w:spacing w:after="0" w:line="250" w:lineRule="auto"/>
        <w:tabs>
          <w:tab w:leader="none" w:pos="129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Minutes shall be taken of the meetings of the Supervisory Board and signed by the chairperson of the meeting. If resolutions are passed outside meetings, the minutes must be signed by the chairperson of the Supervisory Board and forwarded to all members without delay.</w:t>
      </w:r>
    </w:p>
    <w:p>
      <w:pPr>
        <w:spacing w:after="0" w:line="167" w:lineRule="exact"/>
        <w:rPr>
          <w:rFonts w:ascii="Times New Roman" w:cs="Times New Roman" w:eastAsia="Times New Roman" w:hAnsi="Times New Roman"/>
          <w:sz w:val="22"/>
          <w:szCs w:val="22"/>
          <w:color w:val="auto"/>
        </w:rPr>
      </w:pPr>
    </w:p>
    <w:p>
      <w:pPr>
        <w:ind w:left="1300" w:right="20" w:hanging="653"/>
        <w:spacing w:after="0" w:line="258" w:lineRule="auto"/>
        <w:tabs>
          <w:tab w:leader="none" w:pos="129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is authorized to on behalf of the Supervisory Board make the declarations required to implement the resolutions and to receive the declarations addressed to the Supervisory Board.</w:t>
      </w:r>
    </w:p>
    <w:p>
      <w:pPr>
        <w:spacing w:after="0" w:line="171"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is empowered to resolve upon changes and amendments to the Articles of Association as long as such changes only affect the wording.</w:t>
      </w:r>
    </w:p>
    <w:p>
      <w:pPr>
        <w:spacing w:after="0" w:line="100"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12  Rules of Procedure</w:t>
      </w:r>
    </w:p>
    <w:p>
      <w:pPr>
        <w:spacing w:after="0" w:line="237" w:lineRule="exact"/>
        <w:rPr>
          <w:sz w:val="20"/>
          <w:szCs w:val="20"/>
          <w:color w:val="auto"/>
        </w:rPr>
      </w:pPr>
    </w:p>
    <w:p>
      <w:pPr>
        <w:ind w:left="660"/>
        <w:spacing w:after="0" w:line="309" w:lineRule="auto"/>
        <w:rPr>
          <w:sz w:val="20"/>
          <w:szCs w:val="20"/>
          <w:color w:val="auto"/>
        </w:rPr>
      </w:pPr>
      <w:r>
        <w:rPr>
          <w:rFonts w:ascii="Times New Roman" w:cs="Times New Roman" w:eastAsia="Times New Roman" w:hAnsi="Times New Roman"/>
          <w:sz w:val="22"/>
          <w:szCs w:val="22"/>
          <w:color w:val="auto"/>
        </w:rPr>
        <w:t>The Supervisory Board may issue Rules of Procedure for itself within the framework of the statutory provisions and the provisions of these Articles of Association.</w:t>
      </w:r>
    </w:p>
    <w:p>
      <w:pPr>
        <w:spacing w:after="0" w:line="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 13</w:t>
      </w:r>
      <w:r>
        <w:rPr>
          <w:sz w:val="20"/>
          <w:szCs w:val="20"/>
          <w:color w:val="auto"/>
        </w:rPr>
        <w:tab/>
      </w:r>
      <w:r>
        <w:rPr>
          <w:rFonts w:ascii="Times New Roman" w:cs="Times New Roman" w:eastAsia="Times New Roman" w:hAnsi="Times New Roman"/>
          <w:sz w:val="21"/>
          <w:szCs w:val="21"/>
          <w:b w:val="1"/>
          <w:bCs w:val="1"/>
          <w:color w:val="auto"/>
        </w:rPr>
        <w:t>Committees</w:t>
      </w:r>
    </w:p>
    <w:p>
      <w:pPr>
        <w:spacing w:after="0" w:line="224" w:lineRule="exact"/>
        <w:rPr>
          <w:sz w:val="20"/>
          <w:szCs w:val="20"/>
          <w:color w:val="auto"/>
        </w:rPr>
      </w:pPr>
    </w:p>
    <w:p>
      <w:pPr>
        <w:ind w:left="660" w:right="20"/>
        <w:spacing w:after="0" w:line="309" w:lineRule="auto"/>
        <w:rPr>
          <w:sz w:val="20"/>
          <w:szCs w:val="20"/>
          <w:color w:val="auto"/>
        </w:rPr>
      </w:pPr>
      <w:r>
        <w:rPr>
          <w:rFonts w:ascii="Times New Roman" w:cs="Times New Roman" w:eastAsia="Times New Roman" w:hAnsi="Times New Roman"/>
          <w:sz w:val="22"/>
          <w:szCs w:val="22"/>
          <w:color w:val="auto"/>
        </w:rPr>
        <w:t>The Supervisory Board may form committees and may refer items for resolution to these committees within the scope of what is permitted by law.</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tab/>
        <w:t>General Meeting</w:t>
      </w:r>
    </w:p>
    <w:p>
      <w:pPr>
        <w:spacing w:after="0" w:line="166" w:lineRule="exact"/>
        <w:rPr>
          <w:sz w:val="20"/>
          <w:szCs w:val="20"/>
          <w:color w:val="auto"/>
        </w:rPr>
      </w:pPr>
    </w:p>
    <w:p>
      <w:pPr>
        <w:ind w:left="180" w:hanging="172"/>
        <w:spacing w:after="0"/>
        <w:tabs>
          <w:tab w:leader="none" w:pos="18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14  Venue and convocation</w:t>
      </w:r>
    </w:p>
    <w:p>
      <w:pPr>
        <w:spacing w:after="0" w:line="210" w:lineRule="exact"/>
        <w:rPr>
          <w:rFonts w:ascii="Times New Roman" w:cs="Times New Roman" w:eastAsia="Times New Roman" w:hAnsi="Times New Roman"/>
          <w:sz w:val="22"/>
          <w:szCs w:val="22"/>
          <w:b w:val="1"/>
          <w:bCs w:val="1"/>
          <w:color w:val="auto"/>
        </w:rPr>
      </w:pPr>
    </w:p>
    <w:p>
      <w:pPr>
        <w:ind w:left="1300" w:hanging="653"/>
        <w:spacing w:after="0" w:line="271" w:lineRule="auto"/>
        <w:tabs>
          <w:tab w:leader="none" w:pos="129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shall take place within the first six months of the expiry of the fiscal year at the registered office of the Company or in a German city with at least 500,000 inhabitants.</w:t>
      </w:r>
    </w:p>
    <w:p>
      <w:pPr>
        <w:spacing w:after="0" w:line="144"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shall be convened by the Management Board or by the Supervisory Board.</w:t>
      </w:r>
    </w:p>
    <w:p>
      <w:pPr>
        <w:spacing w:after="0" w:line="206"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General Meetings shall be convened when the best interests of the Company so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85" w:lineRule="exact"/>
        <w:rPr>
          <w:sz w:val="20"/>
          <w:szCs w:val="20"/>
          <w:color w:val="auto"/>
        </w:rPr>
      </w:pPr>
    </w:p>
    <w:p>
      <w:pPr>
        <w:ind w:left="1300" w:hanging="653"/>
        <w:spacing w:after="0" w:line="258" w:lineRule="auto"/>
        <w:tabs>
          <w:tab w:leader="none" w:pos="129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may also be summed via mail (also via simple letter) or via e-mail. The postal and electronic addresses registered in the share register are authoritative.</w:t>
      </w:r>
    </w:p>
    <w:p>
      <w:pPr>
        <w:spacing w:after="0" w:line="11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15  Chairing the General Meeting, Right to Participate, Participation of Supervisory Board Members</w:t>
      </w:r>
    </w:p>
    <w:p>
      <w:pPr>
        <w:spacing w:after="0" w:line="210" w:lineRule="exact"/>
        <w:rPr>
          <w:rFonts w:ascii="Times New Roman" w:cs="Times New Roman" w:eastAsia="Times New Roman" w:hAnsi="Times New Roman"/>
          <w:sz w:val="22"/>
          <w:szCs w:val="22"/>
          <w:b w:val="1"/>
          <w:bCs w:val="1"/>
          <w:color w:val="auto"/>
        </w:rPr>
      </w:pPr>
    </w:p>
    <w:p>
      <w:pPr>
        <w:jc w:val="both"/>
        <w:ind w:left="1300" w:hanging="653"/>
        <w:spacing w:after="0" w:line="244" w:lineRule="auto"/>
        <w:tabs>
          <w:tab w:leader="none" w:pos="12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Meeting shall be chaired by the chairperson of the Supervisory Board or, in his/her absence, by his/her deputy or, in his/her absence, by another person determined by the Supervisory Board. If no such determination has been made, the chairperson of the meeting shall be elected by the General Meeting.</w:t>
      </w:r>
    </w:p>
    <w:p>
      <w:pPr>
        <w:spacing w:after="0" w:line="186" w:lineRule="exact"/>
        <w:rPr>
          <w:rFonts w:ascii="Times New Roman" w:cs="Times New Roman" w:eastAsia="Times New Roman" w:hAnsi="Times New Roman"/>
          <w:sz w:val="22"/>
          <w:szCs w:val="22"/>
          <w:color w:val="auto"/>
        </w:rPr>
      </w:pPr>
    </w:p>
    <w:p>
      <w:pPr>
        <w:jc w:val="both"/>
        <w:ind w:left="1300" w:hanging="653"/>
        <w:spacing w:after="0" w:line="255" w:lineRule="auto"/>
        <w:tabs>
          <w:tab w:leader="none" w:pos="1295"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Shareholders registered in the share register are entitled to participate and exercise their voting rights in the General Meeting if they are registered with the Company in good time. The registration to attend the General Meeting must be in German or English and must be received by the Company at least six days prior to the meeting, unless a shorter period, expressed in days, is provided for in the invitation to the General Meeting, at the address and in the form (written form, text form or another (electronic) form further specified by the Company) as stipulated in such invitation. The day of the General Meeting and the day of receipt shall not be counted.</w:t>
      </w:r>
    </w:p>
    <w:p>
      <w:pPr>
        <w:spacing w:after="0" w:line="161" w:lineRule="exact"/>
        <w:rPr>
          <w:rFonts w:ascii="Times New Roman" w:cs="Times New Roman" w:eastAsia="Times New Roman" w:hAnsi="Times New Roman"/>
          <w:sz w:val="21"/>
          <w:szCs w:val="21"/>
          <w:color w:val="auto"/>
        </w:rPr>
      </w:pPr>
    </w:p>
    <w:p>
      <w:pPr>
        <w:jc w:val="both"/>
        <w:ind w:left="1300" w:hanging="653"/>
        <w:spacing w:after="0" w:line="241" w:lineRule="auto"/>
        <w:tabs>
          <w:tab w:leader="none" w:pos="12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meeting shall determine the order of items on the agenda as well as the type and form of voting. The chairperson is authorized to limit the question and speaking rights of the shareholders, as appropriate and to the extent permitted by law. In particular, he/she is authorized, at the beginning or during the course of the General Meeting, to set a reasonable time limit for the entire General Meeting, for discussion of particular items on the agenda or for any particular speech or question. Furthermore, the chairperson of the General Meeting may prematurely close the list of requests to speak and close the debate, as far as this is necessary for the proper execution of the General Meeting.</w:t>
      </w:r>
    </w:p>
    <w:p>
      <w:pPr>
        <w:spacing w:after="0" w:line="179"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General Meeting may permit the video and audio transmission of the General Meeting in whole or in part, including a transmission via the Internet.</w:t>
      </w:r>
    </w:p>
    <w:p>
      <w:pPr>
        <w:spacing w:after="0" w:line="11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16  Procedure, Minutes</w:t>
      </w:r>
    </w:p>
    <w:p>
      <w:pPr>
        <w:spacing w:after="0" w:line="210"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carries one vote.</w:t>
      </w:r>
    </w:p>
    <w:p>
      <w:pPr>
        <w:spacing w:after="0" w:line="206" w:lineRule="exact"/>
        <w:rPr>
          <w:rFonts w:ascii="Times New Roman" w:cs="Times New Roman" w:eastAsia="Times New Roman" w:hAnsi="Times New Roman"/>
          <w:sz w:val="22"/>
          <w:szCs w:val="22"/>
          <w:color w:val="auto"/>
        </w:rPr>
      </w:pPr>
    </w:p>
    <w:p>
      <w:pPr>
        <w:jc w:val="both"/>
        <w:ind w:left="1300" w:hanging="653"/>
        <w:spacing w:after="0" w:line="250" w:lineRule="auto"/>
        <w:tabs>
          <w:tab w:leader="none" w:pos="12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rights may be exercised by representatives. The power of attorney must be granted in text form by other means. The details shall be determined by the Company. They will be announced with the invitation to the General Meeting.</w:t>
      </w:r>
    </w:p>
    <w:p>
      <w:pPr>
        <w:spacing w:after="0" w:line="167" w:lineRule="exact"/>
        <w:rPr>
          <w:rFonts w:ascii="Times New Roman" w:cs="Times New Roman" w:eastAsia="Times New Roman" w:hAnsi="Times New Roman"/>
          <w:sz w:val="22"/>
          <w:szCs w:val="22"/>
          <w:color w:val="auto"/>
        </w:rPr>
      </w:pPr>
    </w:p>
    <w:p>
      <w:pPr>
        <w:ind w:left="1300" w:hanging="653"/>
        <w:spacing w:after="0" w:line="271" w:lineRule="auto"/>
        <w:tabs>
          <w:tab w:leader="none" w:pos="12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to provide for shareholders to vote without attendance in the General Meeting in written form or by way of electronic communication (postal vote) as well as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85"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the General Meeting and exercise all or some of their rights in whole or in part by means of electronic communication without physical participation and without being represented by a proxy (online participation). The Management Board determines the details of the postal vote as well as the scope and procedure of online participation in the invitation to the General Meeting.</w:t>
      </w:r>
    </w:p>
    <w:p>
      <w:pPr>
        <w:spacing w:after="0" w:line="186" w:lineRule="exact"/>
        <w:rPr>
          <w:sz w:val="20"/>
          <w:szCs w:val="20"/>
          <w:color w:val="auto"/>
        </w:rPr>
      </w:pPr>
    </w:p>
    <w:p>
      <w:pPr>
        <w:jc w:val="both"/>
        <w:ind w:left="1300" w:hanging="653"/>
        <w:spacing w:after="0" w:line="241" w:lineRule="auto"/>
        <w:tabs>
          <w:tab w:leader="none" w:pos="129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Supervisory Board shall be permitted, in consultation with the Chairman of the Supervisory Board, to participate in the Annual General Meeting by means of video and audio transmission in cases where their physical presence at the location of the Annual General Meeting would not be possible or would only be possible at considerable expense due to legal restrictions, their residence abroad, their necessary residence at another location in Germany or due to an unreasonable duration of travel, or if the Annual General Meeting is held as a virtual Annual General Meeting</w:t>
      </w:r>
    </w:p>
    <w:p>
      <w:pPr>
        <w:spacing w:after="0" w:line="176" w:lineRule="exact"/>
        <w:rPr>
          <w:rFonts w:ascii="Times New Roman" w:cs="Times New Roman" w:eastAsia="Times New Roman" w:hAnsi="Times New Roman"/>
          <w:sz w:val="22"/>
          <w:szCs w:val="22"/>
          <w:color w:val="auto"/>
        </w:rPr>
      </w:pPr>
    </w:p>
    <w:p>
      <w:pPr>
        <w:jc w:val="both"/>
        <w:ind w:left="1300" w:hanging="653"/>
        <w:spacing w:after="0" w:line="259" w:lineRule="auto"/>
        <w:tabs>
          <w:tab w:leader="none" w:pos="1295"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Management Board is authorized to provide for the Annual General Meeting to be held without the physical presence of the shareholders or their proxies at the location of the Annual General Meeting (virtual Annual General Meeting). The authorization shall apply to the holding of virtual shareholders’ meetings for a period of three years after entry of this provision of the Articles of Association in the commercial register of the Company.</w:t>
      </w:r>
    </w:p>
    <w:p>
      <w:pPr>
        <w:spacing w:after="0" w:line="159" w:lineRule="exact"/>
        <w:rPr>
          <w:rFonts w:ascii="Times New Roman" w:cs="Times New Roman" w:eastAsia="Times New Roman" w:hAnsi="Times New Roman"/>
          <w:sz w:val="21"/>
          <w:szCs w:val="21"/>
          <w:color w:val="auto"/>
        </w:rPr>
      </w:pPr>
    </w:p>
    <w:p>
      <w:pPr>
        <w:ind w:left="1300" w:hanging="653"/>
        <w:spacing w:after="0" w:line="271" w:lineRule="auto"/>
        <w:tabs>
          <w:tab w:leader="none" w:pos="129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Minutes shall be kept of the proceedings and shall be signed by the chairperson of the Supervisory Board unless a notarial record is required by law.</w:t>
      </w:r>
    </w:p>
    <w:p>
      <w:pPr>
        <w:spacing w:after="0" w:line="86"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17  Resolution</w:t>
      </w:r>
    </w:p>
    <w:p>
      <w:pPr>
        <w:spacing w:after="0" w:line="210" w:lineRule="exact"/>
        <w:rPr>
          <w:rFonts w:ascii="Times New Roman" w:cs="Times New Roman" w:eastAsia="Times New Roman" w:hAnsi="Times New Roman"/>
          <w:sz w:val="22"/>
          <w:szCs w:val="22"/>
          <w:b w:val="1"/>
          <w:bCs w:val="1"/>
          <w:color w:val="auto"/>
        </w:rPr>
      </w:pPr>
    </w:p>
    <w:p>
      <w:pPr>
        <w:jc w:val="both"/>
        <w:ind w:left="1300" w:hanging="653"/>
        <w:spacing w:after="0" w:line="243" w:lineRule="auto"/>
        <w:tabs>
          <w:tab w:leader="none" w:pos="129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larger majority is required by law or these Articles of Association, resolutions of the General Meeting shall be adopted by a simple majority of the votes cast. To the extent that statutory provisions also require a majority of the share capital present at the time the resolution is adopted, a simple majority of the share capital present shall suffice, unless a larger majority is required by law. In the event of an undecided vote, an agenda item shall be deemed rejected.</w:t>
      </w:r>
    </w:p>
    <w:p>
      <w:pPr>
        <w:spacing w:after="0" w:line="177" w:lineRule="exact"/>
        <w:rPr>
          <w:rFonts w:ascii="Times New Roman" w:cs="Times New Roman" w:eastAsia="Times New Roman" w:hAnsi="Times New Roman"/>
          <w:sz w:val="22"/>
          <w:szCs w:val="22"/>
          <w:color w:val="auto"/>
        </w:rPr>
      </w:pPr>
    </w:p>
    <w:p>
      <w:pPr>
        <w:jc w:val="both"/>
        <w:ind w:left="1300" w:hanging="653"/>
        <w:spacing w:after="0" w:line="250" w:lineRule="auto"/>
        <w:tabs>
          <w:tab w:leader="none" w:pos="129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However, unless a larger majority is required by law, resolutions to amend the Articles of Association require a majority of at least two-thirds of the votes cast and of the share capital represented, if at least half of the share capital is not represented.</w:t>
      </w:r>
    </w:p>
    <w:p>
      <w:pPr>
        <w:spacing w:after="0" w:line="167" w:lineRule="exact"/>
        <w:rPr>
          <w:rFonts w:ascii="Times New Roman" w:cs="Times New Roman" w:eastAsia="Times New Roman" w:hAnsi="Times New Roman"/>
          <w:sz w:val="22"/>
          <w:szCs w:val="22"/>
          <w:color w:val="auto"/>
        </w:rPr>
      </w:pPr>
    </w:p>
    <w:p>
      <w:pPr>
        <w:jc w:val="both"/>
        <w:ind w:left="1300" w:hanging="653"/>
        <w:spacing w:after="0" w:line="250" w:lineRule="auto"/>
        <w:tabs>
          <w:tab w:leader="none" w:pos="129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no majority be obtained in the first ballot in elections, the candidates with the two highest numbers of votes reached shall be put on a shortlist. If the election results in a tie between these two candidates, the decision shall be made by lot.</w:t>
      </w:r>
    </w:p>
    <w:p>
      <w:pPr>
        <w:spacing w:after="0" w:line="191" w:lineRule="exact"/>
        <w:rPr>
          <w:sz w:val="20"/>
          <w:szCs w:val="20"/>
          <w:color w:val="auto"/>
        </w:rPr>
      </w:pPr>
    </w:p>
    <w:p>
      <w:pPr>
        <w:ind w:right="5560"/>
        <w:spacing w:after="0" w:line="441" w:lineRule="auto"/>
        <w:rPr>
          <w:sz w:val="20"/>
          <w:szCs w:val="20"/>
          <w:color w:val="auto"/>
        </w:rPr>
      </w:pPr>
      <w:r>
        <w:rPr>
          <w:rFonts w:ascii="Times New Roman" w:cs="Times New Roman" w:eastAsia="Times New Roman" w:hAnsi="Times New Roman"/>
          <w:sz w:val="22"/>
          <w:szCs w:val="22"/>
          <w:b w:val="1"/>
          <w:bCs w:val="1"/>
          <w:color w:val="auto"/>
        </w:rPr>
        <w:t>VII. Annual Financial Statements, Appropriation of Profits § 18 Annual Financial Statements, Management Report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5" w:lineRule="exact"/>
        <w:rPr>
          <w:sz w:val="20"/>
          <w:szCs w:val="20"/>
          <w:color w:val="auto"/>
        </w:rPr>
      </w:pPr>
    </w:p>
    <w:p>
      <w:pPr>
        <w:jc w:val="both"/>
        <w:ind w:left="1300" w:hanging="653"/>
        <w:spacing w:after="0" w:line="250" w:lineRule="auto"/>
        <w:tabs>
          <w:tab w:leader="none" w:pos="1295"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shall prepare the Annual Financial Statements and any Management Report as well as the Consolidated Financial Statements and any Group Management Report for the past financial year within the statutory period.</w:t>
      </w:r>
    </w:p>
    <w:p>
      <w:pPr>
        <w:spacing w:after="0" w:line="167" w:lineRule="exact"/>
        <w:rPr>
          <w:rFonts w:ascii="Times New Roman" w:cs="Times New Roman" w:eastAsia="Times New Roman" w:hAnsi="Times New Roman"/>
          <w:sz w:val="22"/>
          <w:szCs w:val="22"/>
          <w:color w:val="auto"/>
        </w:rPr>
      </w:pPr>
    </w:p>
    <w:p>
      <w:pPr>
        <w:jc w:val="both"/>
        <w:ind w:left="1300" w:hanging="653"/>
        <w:spacing w:after="0" w:line="268" w:lineRule="auto"/>
        <w:tabs>
          <w:tab w:leader="none" w:pos="1295"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Management Board shall submit the Annual Financial Statements and any Management Report as well as the Consolidated Financial Statements and any Group Management Report to the Supervisory Board immediately after they have been prepared, together with its proposal to the General Meeting for the appropriation of net profit.</w:t>
      </w:r>
    </w:p>
    <w:p>
      <w:pPr>
        <w:spacing w:after="0" w:line="149" w:lineRule="exact"/>
        <w:rPr>
          <w:rFonts w:ascii="Times New Roman" w:cs="Times New Roman" w:eastAsia="Times New Roman" w:hAnsi="Times New Roman"/>
          <w:sz w:val="21"/>
          <w:szCs w:val="21"/>
          <w:color w:val="auto"/>
        </w:rPr>
      </w:pPr>
    </w:p>
    <w:p>
      <w:pPr>
        <w:jc w:val="both"/>
        <w:ind w:left="1300" w:hanging="653"/>
        <w:spacing w:after="0" w:line="241" w:lineRule="auto"/>
        <w:tabs>
          <w:tab w:leader="none" w:pos="1295"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shall examine the Annual Financial Statements, any Management Report of the Management Board, the Consolidated Financial Statements and any Group Management Report and the proposal for the appropriation of net profits, and shall report the results of its examination in writing to the General Meeting. It must forward its report to the Management Board within one month of receipt of the documents. Should the Supervisory Board approve the Annual Financial Statements after examination, they shall be adopted unless the Management Board and Supervisory Board decide to leave the adoption of the Annual Financial Statements to the General Meeting.</w:t>
      </w:r>
    </w:p>
    <w:p>
      <w:pPr>
        <w:spacing w:after="0" w:line="121"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19  Retained Earnings</w:t>
      </w:r>
    </w:p>
    <w:p>
      <w:pPr>
        <w:spacing w:after="0" w:line="210" w:lineRule="exact"/>
        <w:rPr>
          <w:rFonts w:ascii="Times New Roman" w:cs="Times New Roman" w:eastAsia="Times New Roman" w:hAnsi="Times New Roman"/>
          <w:sz w:val="22"/>
          <w:szCs w:val="22"/>
          <w:b w:val="1"/>
          <w:bCs w:val="1"/>
          <w:color w:val="auto"/>
        </w:rPr>
      </w:pPr>
    </w:p>
    <w:p>
      <w:pPr>
        <w:jc w:val="both"/>
        <w:ind w:left="1300" w:hanging="653"/>
        <w:spacing w:after="0" w:line="243" w:lineRule="auto"/>
        <w:tabs>
          <w:tab w:leader="none" w:pos="1295"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Management Board and the Supervisory Board adopt the Annual Financial Statements, they may transfer amounts of up to half of the net profit for the year to retained earnings. In addition, they are authorized to transfer amounts to retained earnings of up to a further quarter of the net profit for the year, as long as the retained earnings do not exceed half of the share capital or insofar as they would not exceed half of the share capital after the transfer.</w:t>
      </w:r>
    </w:p>
    <w:p>
      <w:pPr>
        <w:spacing w:after="0" w:line="177" w:lineRule="exact"/>
        <w:rPr>
          <w:rFonts w:ascii="Times New Roman" w:cs="Times New Roman" w:eastAsia="Times New Roman" w:hAnsi="Times New Roman"/>
          <w:sz w:val="22"/>
          <w:szCs w:val="22"/>
          <w:color w:val="auto"/>
        </w:rPr>
      </w:pPr>
    </w:p>
    <w:p>
      <w:pPr>
        <w:ind w:left="1300" w:hanging="653"/>
        <w:spacing w:after="0"/>
        <w:tabs>
          <w:tab w:leader="none" w:pos="130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calculating the portion of the net profit to be transferred to retained earnings in accordance with paragraph</w:t>
      </w:r>
    </w:p>
    <w:p>
      <w:pPr>
        <w:spacing w:after="0" w:line="14" w:lineRule="exact"/>
        <w:rPr>
          <w:rFonts w:ascii="Times New Roman" w:cs="Times New Roman" w:eastAsia="Times New Roman" w:hAnsi="Times New Roman"/>
          <w:sz w:val="22"/>
          <w:szCs w:val="22"/>
          <w:color w:val="auto"/>
        </w:rPr>
      </w:pPr>
    </w:p>
    <w:p>
      <w:pPr>
        <w:ind w:left="130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allocations to the statutory reserve and accumulated losses carried forward shall be taken into account in advance.</w:t>
      </w:r>
    </w:p>
    <w:p>
      <w:pPr>
        <w:spacing w:after="0" w:line="168" w:lineRule="exact"/>
        <w:rPr>
          <w:rFonts w:ascii="Times New Roman" w:cs="Times New Roman" w:eastAsia="Times New Roman" w:hAnsi="Times New Roman"/>
          <w:sz w:val="22"/>
          <w:szCs w:val="22"/>
          <w:color w:val="auto"/>
        </w:rPr>
      </w:pPr>
    </w:p>
    <w:p>
      <w:pPr>
        <w:jc w:val="both"/>
        <w:ind w:left="1300" w:hanging="653"/>
        <w:spacing w:after="0" w:line="268" w:lineRule="auto"/>
        <w:tabs>
          <w:tab w:leader="none" w:pos="1295"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Meeting shall resolve on the appropriation of profits retained resulting from the adopted Annual Financial Statements. It may allocate further portions of the profits retained to retained earnings, carry these profits forward to a new account – also by way of distribution in kind - or distribute them among the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VIII.  Legal Disputes</w:t>
      </w:r>
    </w:p>
    <w:p>
      <w:pPr>
        <w:spacing w:after="0" w:line="1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 20</w:t>
      </w:r>
      <w:r>
        <w:rPr>
          <w:sz w:val="20"/>
          <w:szCs w:val="20"/>
          <w:color w:val="auto"/>
        </w:rPr>
        <w:tab/>
      </w:r>
      <w:r>
        <w:rPr>
          <w:rFonts w:ascii="Times New Roman" w:cs="Times New Roman" w:eastAsia="Times New Roman" w:hAnsi="Times New Roman"/>
          <w:sz w:val="21"/>
          <w:szCs w:val="21"/>
          <w:b w:val="1"/>
          <w:bCs w:val="1"/>
          <w:color w:val="auto"/>
        </w:rPr>
        <w:t>Jurisdiction of the US Federal Courts</w:t>
      </w:r>
    </w:p>
    <w:p>
      <w:pPr>
        <w:spacing w:after="0" w:line="237"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In the case of litigation on the grounds of or in connection with federal or state capital market laws of the United States of America, only the United States District Court for the Southern District of New York or, in the case of it being replaced by any other first-instance Federal Court of the United States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12" w:lineRule="exact"/>
        <w:rPr>
          <w:sz w:val="20"/>
          <w:szCs w:val="20"/>
          <w:color w:val="auto"/>
        </w:rPr>
      </w:pPr>
    </w:p>
    <w:p>
      <w:pPr>
        <w:jc w:val="both"/>
        <w:ind w:left="660" w:right="20"/>
        <w:spacing w:after="0" w:line="289" w:lineRule="auto"/>
        <w:rPr>
          <w:sz w:val="20"/>
          <w:szCs w:val="20"/>
          <w:color w:val="auto"/>
        </w:rPr>
      </w:pPr>
      <w:r>
        <w:rPr>
          <w:rFonts w:ascii="Times New Roman" w:cs="Times New Roman" w:eastAsia="Times New Roman" w:hAnsi="Times New Roman"/>
          <w:sz w:val="22"/>
          <w:szCs w:val="22"/>
          <w:color w:val="auto"/>
        </w:rPr>
        <w:t>America having judiciary over the borough of Manhattan, such court, shall be the competent court of jurisdiction, in each case insofar as this may be determined by these Articles of Association. This shall not affect any exclusive international jurisdiction under German or European law of the court located at the Company’s registered office.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IX.</w:t>
        <w:tab/>
        <w:t>Expenses</w:t>
      </w:r>
    </w:p>
    <w:p>
      <w:pPr>
        <w:spacing w:after="0" w:line="166" w:lineRule="exact"/>
        <w:rPr>
          <w:sz w:val="20"/>
          <w:szCs w:val="20"/>
          <w:color w:val="auto"/>
        </w:rPr>
      </w:pPr>
    </w:p>
    <w:p>
      <w:pPr>
        <w:ind w:left="180" w:hanging="172"/>
        <w:spacing w:after="0"/>
        <w:tabs>
          <w:tab w:leader="none" w:pos="18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21  Formation expenses</w:t>
      </w:r>
    </w:p>
    <w:p>
      <w:pPr>
        <w:spacing w:after="0" w:line="210" w:lineRule="exact"/>
        <w:rPr>
          <w:rFonts w:ascii="Times New Roman" w:cs="Times New Roman" w:eastAsia="Times New Roman" w:hAnsi="Times New Roman"/>
          <w:sz w:val="22"/>
          <w:szCs w:val="22"/>
          <w:b w:val="1"/>
          <w:bCs w:val="1"/>
          <w:color w:val="auto"/>
        </w:rPr>
      </w:pPr>
    </w:p>
    <w:p>
      <w:pPr>
        <w:ind w:left="1300" w:hanging="653"/>
        <w:spacing w:after="0"/>
        <w:tabs>
          <w:tab w:leader="none" w:pos="130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costs of the Company shall be borne by FORATIS AG.</w:t>
      </w:r>
    </w:p>
    <w:p>
      <w:pPr>
        <w:spacing w:after="0" w:line="219" w:lineRule="exact"/>
        <w:rPr>
          <w:rFonts w:ascii="Times New Roman" w:cs="Times New Roman" w:eastAsia="Times New Roman" w:hAnsi="Times New Roman"/>
          <w:sz w:val="22"/>
          <w:szCs w:val="22"/>
          <w:color w:val="auto"/>
        </w:rPr>
      </w:pPr>
    </w:p>
    <w:p>
      <w:pPr>
        <w:ind w:left="1300" w:hanging="653"/>
        <w:spacing w:after="0" w:line="258" w:lineRule="auto"/>
        <w:tabs>
          <w:tab w:leader="none" w:pos="1295"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bear the expenses of the formation of BioNTech SE by conversion of BioNTech AG into a European company (SE) in the amount of up to EUR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2"/>
      <w:numFmt w:val="bullet"/>
      <w:start w:val="1"/>
    </w:lvl>
  </w:abstractNum>
  <w:abstractNum w:abstractNumId="1">
    <w:nsid w:val="3F6AB60F"/>
    <w:multiLevelType w:val="hybridMultilevel"/>
    <w:lvl w:ilvl="0">
      <w:lvlJc w:val="left"/>
      <w:lvlText w:val="(%1)"/>
      <w:numFmt w:val="decimal"/>
      <w:start w:val="1"/>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1"/>
    </w:lvl>
  </w:abstractNum>
  <w:abstractNum w:abstractNumId="7">
    <w:nsid w:val="5FF87E05"/>
    <w:multiLevelType w:val="hybridMultilevel"/>
    <w:lvl w:ilvl="0">
      <w:lvlJc w:val="left"/>
      <w:lvlText w:val="\endash "/>
      <w:numFmt w:val="bullet"/>
      <w:start w:val="1"/>
    </w:lvl>
  </w:abstractNum>
  <w:abstractNum w:abstractNumId="8">
    <w:nsid w:val="2F305DEF"/>
    <w:multiLevelType w:val="hybridMultilevel"/>
    <w:lvl w:ilvl="0">
      <w:lvlJc w:val="left"/>
      <w:lvlText w:val="\endash "/>
      <w:numFmt w:val="bullet"/>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1)"/>
      <w:numFmt w:val="lowerLetter"/>
      <w:start w:val="1"/>
    </w:lvl>
    <w:lvl w:ilvl="1">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1)"/>
      <w:numFmt w:val="lowerLetter"/>
      <w:start w:val="2"/>
    </w:lvl>
    <w:lvl w:ilvl="1">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decimal"/>
      <w:start w:val="1"/>
    </w:lvl>
    <w:lvl w:ilvl="1">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lvl w:ilvl="1">
      <w:lvlJc w:val="left"/>
      <w:lvlText w:val="◦"/>
      <w:numFmt w:val="bullet"/>
      <w:start w:val="1"/>
    </w:lvl>
  </w:abstractNum>
  <w:abstractNum w:abstractNumId="28">
    <w:nsid w:val="7BD3EE7B"/>
    <w:multiLevelType w:val="hybridMultilevel"/>
    <w:lvl w:ilvl="0">
      <w:lvlJc w:val="left"/>
      <w:lvlText w:val="•"/>
      <w:numFmt w:val="bullet"/>
      <w:start w:val="1"/>
    </w:lvl>
    <w:lvl w:ilvl="1">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lowerLetter"/>
      <w:start w:val="1"/>
    </w:lvl>
    <w:lvl w:ilvl="1">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1."/>
      <w:numFmt w:val="decimal"/>
      <w:start w:val="3"/>
    </w:lvl>
    <w:lvl w:ilvl="1">
      <w:lvlJc w:val="left"/>
      <w:lvlText w:val="•"/>
      <w:numFmt w:val="bullet"/>
      <w:start w:val="1"/>
    </w:lvl>
  </w:abstractNum>
  <w:abstractNum w:abstractNumId="36">
    <w:nsid w:val="1A32234B"/>
    <w:multiLevelType w:val="hybridMultilevel"/>
    <w:lvl w:ilvl="0">
      <w:lvlJc w:val="left"/>
      <w:lvlText w:val="%1."/>
      <w:numFmt w:val="upperLetter"/>
      <w:start w:val="1"/>
    </w:lvl>
    <w:lvl w:ilvl="1">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1."/>
      <w:numFmt w:val="decimal"/>
      <w:start w:val="2"/>
    </w:lvl>
    <w:lvl w:ilvl="1">
      <w:lvlJc w:val="left"/>
      <w:lvlText w:val="•"/>
      <w:numFmt w:val="bullet"/>
      <w:start w:val="1"/>
    </w:lvl>
  </w:abstractNum>
  <w:abstractNum w:abstractNumId="40">
    <w:nsid w:val="60B6DF70"/>
    <w:multiLevelType w:val="hybridMultilevel"/>
    <w:lvl w:ilvl="0">
      <w:lvlJc w:val="left"/>
      <w:lvlText w:val="%1."/>
      <w:numFmt w:val="decimal"/>
      <w:start w:val="4"/>
    </w:lvl>
    <w:lvl w:ilvl="1">
      <w:lvlJc w:val="left"/>
      <w:lvlText w:val="•"/>
      <w:numFmt w:val="bullet"/>
      <w:start w:val="1"/>
    </w:lvl>
  </w:abstractNum>
  <w:abstractNum w:abstractNumId="41">
    <w:nsid w:val="6A5EE64"/>
    <w:multiLevelType w:val="hybridMultilevel"/>
    <w:lvl w:ilvl="0">
      <w:lvlJc w:val="left"/>
      <w:lvlText w:val="%1."/>
      <w:numFmt w:val="decimal"/>
      <w:start w:val="5"/>
    </w:lvl>
    <w:lvl w:ilvl="1">
      <w:lvlJc w:val="left"/>
      <w:lvlText w:val="•"/>
      <w:numFmt w:val="bullet"/>
      <w:start w:val="1"/>
    </w:lvl>
  </w:abstractNum>
  <w:abstractNum w:abstractNumId="42">
    <w:nsid w:val="14330624"/>
    <w:multiLevelType w:val="hybridMultilevel"/>
    <w:lvl w:ilvl="0">
      <w:lvlJc w:val="left"/>
      <w:lvlText w:val="%1."/>
      <w:numFmt w:val="decimal"/>
      <w:start w:val="6"/>
    </w:lvl>
    <w:lvl w:ilvl="1">
      <w:lvlJc w:val="left"/>
      <w:lvlText w:val="•"/>
      <w:numFmt w:val="bullet"/>
      <w:start w:val="1"/>
    </w:lvl>
  </w:abstractNum>
  <w:abstractNum w:abstractNumId="43">
    <w:nsid w:val="7FFFCA11"/>
    <w:multiLevelType w:val="hybridMultilevel"/>
    <w:lvl w:ilvl="0">
      <w:lvlJc w:val="left"/>
      <w:lvlText w:val="%1."/>
      <w:numFmt w:val="decimal"/>
      <w:start w:val="7"/>
    </w:lvl>
    <w:lvl w:ilvl="1">
      <w:lvlJc w:val="left"/>
      <w:lvlText w:val="•"/>
      <w:numFmt w:val="bullet"/>
      <w:start w:val="1"/>
    </w:lvl>
  </w:abstractNum>
  <w:abstractNum w:abstractNumId="44">
    <w:nsid w:val="1A27709E"/>
    <w:multiLevelType w:val="hybridMultilevel"/>
    <w:lvl w:ilvl="0">
      <w:lvlJc w:val="left"/>
      <w:lvlText w:val="%1."/>
      <w:numFmt w:val="decimal"/>
      <w:start w:val="8"/>
    </w:lvl>
    <w:lvl w:ilvl="1">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
      <w:numFmt w:val="bullet"/>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
      <w:numFmt w:val="bullet"/>
      <w:start w:val="1"/>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
      <w:numFmt w:val="bullet"/>
      <w:start w:val="1"/>
    </w:lvl>
  </w:abstractNum>
  <w:abstractNum w:abstractNumId="96">
    <w:nsid w:val="1D9F6E5F"/>
    <w:multiLevelType w:val="hybridMultilevel"/>
    <w:lvl w:ilvl="0">
      <w:lvlJc w:val="left"/>
      <w:lvlText w:val="%1."/>
      <w:numFmt w:val="upperLetter"/>
      <w:start w:val="9"/>
    </w:lvl>
  </w:abstractNum>
  <w:abstractNum w:abstractNumId="97">
    <w:nsid w:val="97E1B4E"/>
    <w:multiLevelType w:val="hybridMultilevel"/>
    <w:lvl w:ilvl="0">
      <w:lvlJc w:val="left"/>
      <w:lvlText w:val="§"/>
      <w:numFmt w:val="bullet"/>
      <w:start w:val="1"/>
    </w:lvl>
    <w:lvl w:ilvl="1">
      <w:lvlJc w:val="left"/>
      <w:lvlText w:val="(%2)"/>
      <w:numFmt w:val="decimal"/>
      <w:start w:val="1"/>
    </w:lvl>
  </w:abstractNum>
  <w:abstractNum w:abstractNumId="98">
    <w:nsid w:val="51088277"/>
    <w:multiLevelType w:val="hybridMultilevel"/>
    <w:lvl w:ilvl="0">
      <w:lvlJc w:val="left"/>
      <w:lvlText w:val="%1."/>
      <w:numFmt w:val="upperLetter"/>
      <w:start w:val="35"/>
    </w:lvl>
  </w:abstractNum>
  <w:abstractNum w:abstractNumId="99">
    <w:nsid w:val="1CA0C5FA"/>
    <w:multiLevelType w:val="hybridMultilevel"/>
    <w:lvl w:ilvl="0">
      <w:lvlJc w:val="left"/>
      <w:lvlText w:val="§"/>
      <w:numFmt w:val="bullet"/>
      <w:start w:val="1"/>
    </w:lvl>
    <w:lvl w:ilvl="1">
      <w:lvlJc w:val="left"/>
      <w:lvlText w:val="(%2)"/>
      <w:numFmt w:val="decimal"/>
      <w:start w:val="1"/>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lowerLetter"/>
      <w:start w:val="3"/>
    </w:lvl>
  </w:abstractNum>
  <w:abstractNum w:abstractNumId="102">
    <w:nsid w:val="7C58FD05"/>
    <w:multiLevelType w:val="hybridMultilevel"/>
    <w:lvl w:ilvl="0">
      <w:lvlJc w:val="left"/>
      <w:lvlText w:val="(%1)"/>
      <w:numFmt w:val="lowerLetter"/>
      <w:start w:val="5"/>
    </w:lvl>
  </w:abstractNum>
  <w:abstractNum w:abstractNumId="103">
    <w:nsid w:val="23D86AAC"/>
    <w:multiLevelType w:val="hybridMultilevel"/>
    <w:lvl w:ilvl="0">
      <w:lvlJc w:val="left"/>
      <w:lvlText w:val="(%1)"/>
      <w:numFmt w:val="decimal"/>
      <w:start w:val="6"/>
    </w:lvl>
  </w:abstractNum>
  <w:abstractNum w:abstractNumId="104">
    <w:nsid w:val="45E6D486"/>
    <w:multiLevelType w:val="hybridMultilevel"/>
    <w:lvl w:ilvl="0">
      <w:lvlJc w:val="left"/>
      <w:lvlText w:val="(%1)"/>
      <w:numFmt w:val="decimal"/>
      <w:start w:val="7"/>
    </w:lvl>
  </w:abstractNum>
  <w:abstractNum w:abstractNumId="105">
    <w:nsid w:val="5C10FE21"/>
    <w:multiLevelType w:val="hybridMultilevel"/>
    <w:lvl w:ilvl="0">
      <w:lvlJc w:val="left"/>
      <w:lvlText w:val="%1"/>
      <w:numFmt w:val="upperLetter"/>
      <w:start w:val="1"/>
    </w:lvl>
    <w:lvl w:ilvl="1">
      <w:lvlJc w:val="left"/>
      <w:lvlText w:val="(%2)"/>
      <w:numFmt w:val="decimal"/>
      <w:start w:val="9"/>
    </w:lvl>
  </w:abstractNum>
  <w:abstractNum w:abstractNumId="106">
    <w:nsid w:val="E7FFA2B"/>
    <w:multiLevelType w:val="hybridMultilevel"/>
    <w:lvl w:ilvl="0">
      <w:lvlJc w:val="left"/>
      <w:lvlText w:val="%1."/>
      <w:numFmt w:val="upperLetter"/>
      <w:start w:val="61"/>
    </w:lvl>
    <w:lvl w:ilvl="1">
      <w:lvlJc w:val="left"/>
      <w:lvlText w:val="%2"/>
      <w:numFmt w:val="decimal"/>
      <w:start w:val="1"/>
    </w:lvl>
  </w:abstractNum>
  <w:abstractNum w:abstractNumId="107">
    <w:nsid w:val="3C5991AA"/>
    <w:multiLevelType w:val="hybridMultilevel"/>
    <w:lvl w:ilvl="0">
      <w:lvlJc w:val="left"/>
      <w:lvlText w:val="§"/>
      <w:numFmt w:val="bullet"/>
      <w:start w:val="1"/>
    </w:lvl>
    <w:lvl w:ilvl="1">
      <w:lvlJc w:val="left"/>
      <w:lvlText w:val="(%2)"/>
      <w:numFmt w:val="decimal"/>
      <w:start w:val="1"/>
    </w:lvl>
  </w:abstractNum>
  <w:abstractNum w:abstractNumId="108">
    <w:nsid w:val="4BD8591A"/>
    <w:multiLevelType w:val="hybridMultilevel"/>
    <w:lvl w:ilvl="0">
      <w:lvlJc w:val="left"/>
      <w:lvlText w:val="§"/>
      <w:numFmt w:val="bullet"/>
      <w:start w:val="1"/>
    </w:lvl>
    <w:lvl w:ilvl="1">
      <w:lvlJc w:val="left"/>
      <w:lvlText w:val="(%2)"/>
      <w:numFmt w:val="decimal"/>
      <w:start w:val="1"/>
    </w:lvl>
  </w:abstractNum>
  <w:abstractNum w:abstractNumId="109">
    <w:nsid w:val="78DF6A55"/>
    <w:multiLevelType w:val="hybridMultilevel"/>
    <w:lvl w:ilvl="0">
      <w:lvlJc w:val="left"/>
      <w:lvlText w:val="%1"/>
      <w:numFmt w:val="upperLetter"/>
      <w:start w:val="1"/>
    </w:lvl>
    <w:lvl w:ilvl="1">
      <w:lvlJc w:val="left"/>
      <w:lvlText w:val="(%2)"/>
      <w:numFmt w:val="decimal"/>
      <w:start w:val="1"/>
    </w:lvl>
  </w:abstractNum>
  <w:abstractNum w:abstractNumId="110">
    <w:nsid w:val="39B7AAA2"/>
    <w:multiLevelType w:val="hybridMultilevel"/>
    <w:lvl w:ilvl="0">
      <w:lvlJc w:val="left"/>
      <w:lvlText w:val="%1."/>
      <w:numFmt w:val="upperLetter"/>
      <w:start w:val="22"/>
    </w:lvl>
    <w:lvl w:ilvl="1">
      <w:lvlJc w:val="left"/>
      <w:lvlText w:val="%2"/>
      <w:numFmt w:val="decimal"/>
      <w:start w:val="1"/>
    </w:lvl>
  </w:abstractNum>
  <w:abstractNum w:abstractNumId="111">
    <w:nsid w:val="2B0D8DBE"/>
    <w:multiLevelType w:val="hybridMultilevel"/>
    <w:lvl w:ilvl="0">
      <w:lvlJc w:val="left"/>
      <w:lvlText w:val="§"/>
      <w:numFmt w:val="bullet"/>
      <w:start w:val="1"/>
    </w:lvl>
    <w:lvl w:ilvl="1">
      <w:lvlJc w:val="left"/>
      <w:lvlText w:val="(%2)"/>
      <w:numFmt w:val="decimal"/>
      <w:start w:val="1"/>
    </w:lvl>
  </w:abstractNum>
  <w:abstractNum w:abstractNumId="112">
    <w:nsid w:val="6C80EC70"/>
    <w:multiLevelType w:val="hybridMultilevel"/>
    <w:lvl w:ilvl="0">
      <w:lvlJc w:val="left"/>
      <w:lvlText w:val="§"/>
      <w:numFmt w:val="bullet"/>
      <w:start w:val="1"/>
    </w:lvl>
    <w:lvl w:ilvl="1">
      <w:lvlJc w:val="left"/>
      <w:lvlText w:val="(%2)"/>
      <w:numFmt w:val="decimal"/>
      <w:start w:val="1"/>
    </w:lvl>
  </w:abstractNum>
  <w:abstractNum w:abstractNumId="113">
    <w:nsid w:val="379E21B5"/>
    <w:multiLevelType w:val="hybridMultilevel"/>
    <w:lvl w:ilvl="0">
      <w:lvlJc w:val="left"/>
      <w:lvlText w:val="§"/>
      <w:numFmt w:val="bullet"/>
      <w:start w:val="1"/>
    </w:lvl>
    <w:lvl w:ilvl="1">
      <w:lvlJc w:val="left"/>
      <w:lvlText w:val="(%2)"/>
      <w:numFmt w:val="decimal"/>
      <w:start w:val="6"/>
    </w:lvl>
  </w:abstractNum>
  <w:abstractNum w:abstractNumId="114">
    <w:nsid w:val="69E373"/>
    <w:multiLevelType w:val="hybridMultilevel"/>
    <w:lvl w:ilvl="0">
      <w:lvlJc w:val="left"/>
      <w:lvlText w:val="§"/>
      <w:numFmt w:val="bullet"/>
      <w:start w:val="1"/>
    </w:lvl>
    <w:lvl w:ilvl="1">
      <w:lvlJc w:val="left"/>
      <w:lvlText w:val="(%2)"/>
      <w:numFmt w:val="decimal"/>
      <w:start w:val="1"/>
    </w:lvl>
  </w:abstractNum>
  <w:abstractNum w:abstractNumId="115">
    <w:nsid w:val="2C27173B"/>
    <w:multiLevelType w:val="hybridMultilevel"/>
    <w:lvl w:ilvl="0">
      <w:lvlJc w:val="left"/>
      <w:lvlText w:val="§"/>
      <w:numFmt w:val="bullet"/>
      <w:start w:val="1"/>
    </w:lvl>
    <w:lvl w:ilvl="1">
      <w:lvlJc w:val="left"/>
      <w:lvlText w:val="(%2)"/>
      <w:numFmt w:val="decimal"/>
      <w:start w:val="4"/>
    </w:lvl>
  </w:abstractNum>
  <w:abstractNum w:abstractNumId="116">
    <w:nsid w:val="4C9B0904"/>
    <w:multiLevelType w:val="hybridMultilevel"/>
    <w:lvl w:ilvl="0">
      <w:lvlJc w:val="left"/>
      <w:lvlText w:val="§"/>
      <w:numFmt w:val="bullet"/>
      <w:start w:val="1"/>
    </w:lvl>
    <w:lvl w:ilvl="1">
      <w:lvlJc w:val="left"/>
      <w:lvlText w:val="(%2)"/>
      <w:numFmt w:val="decimal"/>
      <w:start w:val="1"/>
    </w:lvl>
  </w:abstractNum>
  <w:abstractNum w:abstractNumId="117">
    <w:nsid w:val="6AA7B75C"/>
    <w:multiLevelType w:val="hybridMultilevel"/>
    <w:lvl w:ilvl="0">
      <w:lvlJc w:val="left"/>
      <w:lvlText w:val="§"/>
      <w:numFmt w:val="bullet"/>
      <w:start w:val="1"/>
    </w:lvl>
    <w:lvl w:ilvl="1">
      <w:lvlJc w:val="left"/>
      <w:lvlText w:val="(%2)"/>
      <w:numFmt w:val="decimal"/>
      <w:start w:val="4"/>
    </w:lvl>
  </w:abstractNum>
  <w:abstractNum w:abstractNumId="118">
    <w:nsid w:val="1DF029D3"/>
    <w:multiLevelType w:val="hybridMultilevel"/>
    <w:lvl w:ilvl="0">
      <w:lvlJc w:val="left"/>
      <w:lvlText w:val="§"/>
      <w:numFmt w:val="bullet"/>
      <w:start w:val="1"/>
    </w:lvl>
    <w:lvl w:ilvl="1">
      <w:lvlJc w:val="left"/>
      <w:lvlText w:val="(%2)"/>
      <w:numFmt w:val="decimal"/>
      <w:start w:val="1"/>
    </w:lvl>
  </w:abstractNum>
  <w:abstractNum w:abstractNumId="119">
    <w:nsid w:val="5675FF36"/>
    <w:multiLevelType w:val="hybridMultilevel"/>
    <w:lvl w:ilvl="0">
      <w:lvlJc w:val="left"/>
      <w:lvlText w:val="§"/>
      <w:numFmt w:val="bullet"/>
      <w:start w:val="1"/>
    </w:lvl>
    <w:lvl w:ilvl="1">
      <w:lvlJc w:val="left"/>
      <w:lvlText w:val="(%2)"/>
      <w:numFmt w:val="decimal"/>
      <w:start w:val="1"/>
    </w:lvl>
  </w:abstractNum>
  <w:abstractNum w:abstractNumId="120">
    <w:nsid w:val="3DD15094"/>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2024-11-04T06:02:55Z</dcterms:created>
  <dcterms:modified xsi:type="dcterms:W3CDTF">2024-11-04T06:02:55Z</dcterms:modified>
</cp:coreProperties>
</file>