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407643.xml.htm"/>
      <w:bookmarkStart w:id="1" w:name="kswkform4_17914076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Sahin Ugur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BIONTECH SE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 DER GOLDGRUBE 12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MAINZ</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D-55131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GERMANY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BioNTech SE</w:t>
              </w:r>
            </w:hyperlink>
            <w:r>
              <w:rPr/>
              <w:t xml:space="preserve"> [ </w:t>
            </w:r>
            <w:r>
              <w:rPr>
                <w:rFonts w:ascii="Times;serif" w:hAnsi="Times;serif"/>
                <w:color w:val="0000FF"/>
                <w:sz w:val="24"/>
                <w:shd w:fill="FFFFFF" w:val="clear"/>
              </w:rPr>
              <w:t>BNTX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9"/>
        <w:gridCol w:w="900"/>
        <w:gridCol w:w="772"/>
        <w:gridCol w:w="597"/>
        <w:gridCol w:w="336"/>
        <w:gridCol w:w="897"/>
        <w:gridCol w:w="420"/>
        <w:gridCol w:w="923"/>
        <w:gridCol w:w="1327"/>
        <w:gridCol w:w="954"/>
        <w:gridCol w:w="10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95.8597</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63,209</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39,218,111</w:t>
            </w:r>
          </w:p>
        </w:tc>
        <w:tc>
          <w:tcPr>
            <w:tcW w:w="9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are held by Medine GmbH. The reporting person is the sole shareholder of Medine GmbH. 106,721 of the ordinary shares noted herein are held for the benefit of an individual under a trust arrangement, pursuant to which Medine GmbH exercises voting power, but not dispositive power, over such ordinary shares for so long as such ordinary shares are held in trust. The reporting person may be deemed to beneficially own the ordinary shares held by Medine GmbH.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sales reported on this Form 4 were effected pursuant to a Rule 10b5-1 trading plan established by the reporting person on June 3,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Humza Bokhari,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23975" TargetMode="External"/><Relationship Id="rId5" Type="http://schemas.openxmlformats.org/officeDocument/2006/relationships/hyperlink" Target="http://www.sec.gov/cgi-bin/browse-edgar?action=getcompany&amp;CIK=00017769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678</Words>
  <Characters>3648</Characters>
  <CharactersWithSpaces>4252</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