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 (Commission File No. 001-39081)</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14d-2(b)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7"/>
          <w:szCs w:val="17"/>
          <w:color w:val="auto"/>
        </w:rPr>
        <w:t>Commission File No.: 001-39446</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communications are being filed in connection with the proposed acquisition of CureVac N.V. by BioNTech SE.</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Acquisition of CureVac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&amp; Answers</w:t>
      </w:r>
    </w:p>
    <w:p>
      <w:pPr>
        <w:spacing w:after="0" w:line="230" w:lineRule="exact"/>
        <w:rPr>
          <w:sz w:val="24"/>
          <w:szCs w:val="24"/>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rationale behind the acquisition of CureVac?</w:t>
      </w:r>
    </w:p>
    <w:p>
      <w:pPr>
        <w:spacing w:after="0" w:line="121" w:lineRule="exact"/>
        <w:rPr>
          <w:rFonts w:ascii="Times New Roman" w:cs="Times New Roman" w:eastAsia="Times New Roman" w:hAnsi="Times New Roman"/>
          <w:sz w:val="18"/>
          <w:szCs w:val="18"/>
          <w:b w:val="1"/>
          <w:bCs w:val="1"/>
          <w:color w:val="auto"/>
        </w:rPr>
      </w:pPr>
    </w:p>
    <w:p>
      <w:pPr>
        <w:ind w:left="44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that the acquisition of CureVac will complement BioNTech’s capabilities and proprietary technologies in mRNA design, delivery formulations, and mRNA manufacturing.</w:t>
      </w:r>
    </w:p>
    <w:p>
      <w:pPr>
        <w:spacing w:after="0" w:line="63" w:lineRule="exact"/>
        <w:rPr>
          <w:rFonts w:ascii="Times New Roman" w:cs="Times New Roman" w:eastAsia="Times New Roman" w:hAnsi="Times New Roman"/>
          <w:sz w:val="18"/>
          <w:szCs w:val="18"/>
          <w:b w:val="1"/>
          <w:bCs w:val="1"/>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you take the exchange offer approach?</w:t>
      </w:r>
    </w:p>
    <w:p>
      <w:pPr>
        <w:spacing w:after="0" w:line="121" w:lineRule="exact"/>
        <w:rPr>
          <w:rFonts w:ascii="Times New Roman" w:cs="Times New Roman" w:eastAsia="Times New Roman" w:hAnsi="Times New Roman"/>
          <w:sz w:val="18"/>
          <w:szCs w:val="18"/>
          <w:b w:val="1"/>
          <w:bCs w:val="1"/>
          <w:color w:val="auto"/>
        </w:rPr>
      </w:pPr>
    </w:p>
    <w:p>
      <w:pPr>
        <w:ind w:left="4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transaction structure (exchange offer) is quite common in the pharma/healthcare space. This approach is driven by takeover law in The Netherlands, which is the jurisdiction of organization of CureVac. We believe issuing our ADSs to CureVac shareholders in the exchange offer aligns with the interest of both companies’ shareholders, supports long-term value creation and maintains financial flexibility to continue investing in our strategic priorities.</w:t>
      </w:r>
    </w:p>
    <w:p>
      <w:pPr>
        <w:spacing w:after="0" w:line="81" w:lineRule="exact"/>
        <w:rPr>
          <w:rFonts w:ascii="Times New Roman" w:cs="Times New Roman" w:eastAsia="Times New Roman" w:hAnsi="Times New Roman"/>
          <w:sz w:val="18"/>
          <w:szCs w:val="18"/>
          <w:b w:val="1"/>
          <w:bCs w:val="1"/>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CureVac be delisted from NASDAQ?</w:t>
      </w:r>
    </w:p>
    <w:p>
      <w:pPr>
        <w:spacing w:after="0" w:line="12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closing of the transaction, CureVac will become part of BioNTech and will be delisted from NASDAQ in accordance with applicable rules.</w:t>
      </w:r>
    </w:p>
    <w:p>
      <w:pPr>
        <w:spacing w:after="0" w:line="126" w:lineRule="exact"/>
        <w:rPr>
          <w:rFonts w:ascii="Times New Roman" w:cs="Times New Roman" w:eastAsia="Times New Roman" w:hAnsi="Times New Roman"/>
          <w:sz w:val="18"/>
          <w:szCs w:val="18"/>
          <w:b w:val="1"/>
          <w:bCs w:val="1"/>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this deal have to be filed with the FTC in the US?</w:t>
      </w:r>
    </w:p>
    <w:p>
      <w:pPr>
        <w:spacing w:after="0" w:line="121" w:lineRule="exact"/>
        <w:rPr>
          <w:rFonts w:ascii="Times New Roman" w:cs="Times New Roman" w:eastAsia="Times New Roman" w:hAnsi="Times New Roman"/>
          <w:sz w:val="18"/>
          <w:szCs w:val="18"/>
          <w:b w:val="1"/>
          <w:bCs w:val="1"/>
          <w:color w:val="auto"/>
        </w:rPr>
      </w:pPr>
    </w:p>
    <w:p>
      <w:pPr>
        <w:ind w:left="4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planned acquisition will have to be filed with the US FTC and the Antitrust Division of the Department of Justice pursuant to the Hart-Scott-Rodino Antitrust Improvements Act.</w:t>
      </w:r>
    </w:p>
    <w:p>
      <w:pPr>
        <w:spacing w:after="0" w:line="63" w:lineRule="exact"/>
        <w:rPr>
          <w:rFonts w:ascii="Times New Roman" w:cs="Times New Roman" w:eastAsia="Times New Roman" w:hAnsi="Times New Roman"/>
          <w:sz w:val="18"/>
          <w:szCs w:val="18"/>
          <w:b w:val="1"/>
          <w:bCs w:val="1"/>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regulatory bodies have to approve this transaction?</w:t>
      </w:r>
    </w:p>
    <w:p>
      <w:pPr>
        <w:spacing w:after="0" w:line="121" w:lineRule="exact"/>
        <w:rPr>
          <w:rFonts w:ascii="Times New Roman" w:cs="Times New Roman" w:eastAsia="Times New Roman" w:hAnsi="Times New Roman"/>
          <w:sz w:val="18"/>
          <w:szCs w:val="18"/>
          <w:b w:val="1"/>
          <w:bCs w:val="1"/>
          <w:color w:val="auto"/>
        </w:rPr>
      </w:pPr>
    </w:p>
    <w:p>
      <w:pPr>
        <w:ind w:left="44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proposed transaction is subject to customary closing conditions, including regulatory review. We encourage you to read the exchange offer/prospectus when it becomes available, which will provide additional details about the offer and the transaction.</w:t>
      </w:r>
    </w:p>
    <w:p>
      <w:pPr>
        <w:spacing w:after="0" w:line="63" w:lineRule="exact"/>
        <w:rPr>
          <w:rFonts w:ascii="Times New Roman" w:cs="Times New Roman" w:eastAsia="Times New Roman" w:hAnsi="Times New Roman"/>
          <w:sz w:val="18"/>
          <w:szCs w:val="18"/>
          <w:b w:val="1"/>
          <w:bCs w:val="1"/>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CureVac’s ongoing clinical trials and patients?</w:t>
      </w:r>
    </w:p>
    <w:p>
      <w:pPr>
        <w:spacing w:after="0" w:line="121" w:lineRule="exact"/>
        <w:rPr>
          <w:rFonts w:ascii="Times New Roman" w:cs="Times New Roman" w:eastAsia="Times New Roman" w:hAnsi="Times New Roman"/>
          <w:sz w:val="18"/>
          <w:szCs w:val="18"/>
          <w:b w:val="1"/>
          <w:bCs w:val="1"/>
          <w:color w:val="auto"/>
        </w:rPr>
      </w:pPr>
    </w:p>
    <w:p>
      <w:pPr>
        <w:ind w:left="44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important to both BioNTech and CureVac to ensure that enrolled patients in ongoing clinical trials will continue to receive treatments. Following the closing of the transaction and as part of the integration plan, BioNTech is expecting to include CureVac’s candidates in its pipeline and actively manage them according to key criteria that apply for all candidates: strategic alignment, data, operational efficiency, and sustainable value creation.</w:t>
      </w:r>
    </w:p>
    <w:p>
      <w:pPr>
        <w:spacing w:after="0" w:line="81" w:lineRule="exact"/>
        <w:rPr>
          <w:rFonts w:ascii="Times New Roman" w:cs="Times New Roman" w:eastAsia="Times New Roman" w:hAnsi="Times New Roman"/>
          <w:sz w:val="18"/>
          <w:szCs w:val="18"/>
          <w:b w:val="1"/>
          <w:bCs w:val="1"/>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BioNTech recently announced that it would be re-focusing its activities. How does CureVac fit into this plan?</w:t>
      </w:r>
    </w:p>
    <w:p>
      <w:pPr>
        <w:spacing w:after="0" w:line="121" w:lineRule="exact"/>
        <w:rPr>
          <w:rFonts w:ascii="Times New Roman" w:cs="Times New Roman" w:eastAsia="Times New Roman" w:hAnsi="Times New Roman"/>
          <w:sz w:val="18"/>
          <w:szCs w:val="18"/>
          <w:b w:val="1"/>
          <w:bCs w:val="1"/>
          <w:color w:val="auto"/>
        </w:rPr>
      </w:pPr>
    </w:p>
    <w:p>
      <w:pPr>
        <w:ind w:left="440" w:righ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BioNTech’s vision remains unchanged, and the strategy has been further tailored to execute towards our mission of improving the health of patients in need. We plan to significantly invest in the broad clinical evaluation of two priority pan-tumor programs across multiple cancer indications, including mRNA cancer immunotherapies. The planned acquisition supports our strategy and is in line with our portfolio management.</w:t>
      </w:r>
    </w:p>
    <w:p>
      <w:pPr>
        <w:sectPr>
          <w:pgSz w:w="11900" w:h="16838" w:orient="portrait"/>
          <w:cols w:equalWidth="0" w:num="1">
            <w:col w:w="11020"/>
          </w:cols>
          <w:pgMar w:left="440" w:top="229" w:right="439" w:bottom="1440" w:gutter="0" w:footer="0" w:header="0"/>
        </w:sectPr>
      </w:pPr>
    </w:p>
    <w:bookmarkStart w:id="1" w:name="page2"/>
    <w:bookmarkEnd w:id="1"/>
    <w:p>
      <w:pPr>
        <w:ind w:left="316" w:hanging="316"/>
        <w:spacing w:after="0"/>
        <w:tabs>
          <w:tab w:leader="none" w:pos="31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CureVac has its own production capacity. What does this transaction mean for the production capacity of the two companies?</w:t>
      </w:r>
    </w:p>
    <w:p>
      <w:pPr>
        <w:spacing w:after="0" w:line="121" w:lineRule="exact"/>
        <w:rPr>
          <w:rFonts w:ascii="Times New Roman" w:cs="Times New Roman" w:eastAsia="Times New Roman" w:hAnsi="Times New Roman"/>
          <w:sz w:val="18"/>
          <w:szCs w:val="18"/>
          <w:b w:val="1"/>
          <w:bCs w:val="1"/>
          <w:color w:val="auto"/>
        </w:rPr>
      </w:pPr>
    </w:p>
    <w:p>
      <w:pPr>
        <w:ind w:left="336"/>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completion of the transaction, CureVac’s operating subsidiary will become a wholly-owned subsidiary of BioNTech. BioNTech will develop an integration plan in alignment with its ongoing group-wide transformation, which BioNTech intends to finalize and implement after a successful closing. As part of this plan, BioNTech will integrate CureVac’s research and manufacturing site in Tübingen until at least the end of 2027.</w:t>
      </w:r>
    </w:p>
    <w:p>
      <w:pPr>
        <w:spacing w:after="0" w:line="81" w:lineRule="exact"/>
        <w:rPr>
          <w:rFonts w:ascii="Times New Roman" w:cs="Times New Roman" w:eastAsia="Times New Roman" w:hAnsi="Times New Roman"/>
          <w:sz w:val="18"/>
          <w:szCs w:val="18"/>
          <w:b w:val="1"/>
          <w:bCs w:val="1"/>
          <w:color w:val="auto"/>
        </w:rPr>
      </w:pPr>
    </w:p>
    <w:p>
      <w:pPr>
        <w:ind w:left="316" w:hanging="316"/>
        <w:spacing w:after="0"/>
        <w:tabs>
          <w:tab w:leader="none" w:pos="31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employees following the closing of the transaction?</w:t>
      </w:r>
    </w:p>
    <w:p>
      <w:pPr>
        <w:spacing w:after="0" w:line="121" w:lineRule="exact"/>
        <w:rPr>
          <w:rFonts w:ascii="Times New Roman" w:cs="Times New Roman" w:eastAsia="Times New Roman" w:hAnsi="Times New Roman"/>
          <w:sz w:val="18"/>
          <w:szCs w:val="18"/>
          <w:b w:val="1"/>
          <w:bCs w:val="1"/>
          <w:color w:val="auto"/>
        </w:rPr>
      </w:pPr>
    </w:p>
    <w:p>
      <w:pPr>
        <w:ind w:left="336"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BioNTech intends to develop an integration plan in alignment with its ongoing group-wide transformation, which BioNTech intends to finalize and implement after a successful closing. The integration plan, to be implemented after closing, will comply with the relevant legislative frameworks; all employees will be assessed by the same evaluation criteria.</w:t>
      </w:r>
    </w:p>
    <w:p>
      <w:pPr>
        <w:spacing w:after="0" w:line="77" w:lineRule="exact"/>
        <w:rPr>
          <w:rFonts w:ascii="Times New Roman" w:cs="Times New Roman" w:eastAsia="Times New Roman" w:hAnsi="Times New Roman"/>
          <w:sz w:val="18"/>
          <w:szCs w:val="18"/>
          <w:b w:val="1"/>
          <w:bCs w:val="1"/>
          <w:color w:val="auto"/>
        </w:rPr>
      </w:pPr>
    </w:p>
    <w:p>
      <w:pPr>
        <w:ind w:left="316" w:hanging="316"/>
        <w:spacing w:after="0"/>
        <w:tabs>
          <w:tab w:leader="none" w:pos="31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can I tender my shares? How do I do so? Where can I get more information?</w:t>
      </w:r>
    </w:p>
    <w:p>
      <w:pPr>
        <w:spacing w:after="0" w:line="121" w:lineRule="exact"/>
        <w:rPr>
          <w:rFonts w:ascii="Times New Roman" w:cs="Times New Roman" w:eastAsia="Times New Roman" w:hAnsi="Times New Roman"/>
          <w:sz w:val="18"/>
          <w:szCs w:val="18"/>
          <w:b w:val="1"/>
          <w:bCs w:val="1"/>
          <w:color w:val="auto"/>
        </w:rPr>
      </w:pPr>
    </w:p>
    <w:p>
      <w:pPr>
        <w:ind w:left="336"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BioNTech will make considerable additional information available in the coming weeks in press releases, as well as in filings with the U.S. Securities and Exchange Commission and additional documents with respect to investors in member states of the European Economic Area and the United Kingdom. Contact information for an Information Agent to assist with any inquiries will also be made available.</w:t>
      </w:r>
    </w:p>
    <w:p>
      <w:pPr>
        <w:spacing w:after="0" w:line="77" w:lineRule="exact"/>
        <w:rPr>
          <w:rFonts w:ascii="Times New Roman" w:cs="Times New Roman" w:eastAsia="Times New Roman" w:hAnsi="Times New Roman"/>
          <w:sz w:val="18"/>
          <w:szCs w:val="18"/>
          <w:b w:val="1"/>
          <w:bCs w:val="1"/>
          <w:color w:val="auto"/>
        </w:rPr>
      </w:pPr>
    </w:p>
    <w:p>
      <w:pPr>
        <w:ind w:left="316" w:hanging="316"/>
        <w:spacing w:after="0"/>
        <w:tabs>
          <w:tab w:leader="none" w:pos="31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if I tender my shares?</w:t>
      </w:r>
    </w:p>
    <w:p>
      <w:pPr>
        <w:spacing w:after="0" w:line="121" w:lineRule="exact"/>
        <w:rPr>
          <w:rFonts w:ascii="Times New Roman" w:cs="Times New Roman" w:eastAsia="Times New Roman" w:hAnsi="Times New Roman"/>
          <w:sz w:val="18"/>
          <w:szCs w:val="18"/>
          <w:b w:val="1"/>
          <w:bCs w:val="1"/>
          <w:color w:val="auto"/>
        </w:rPr>
      </w:pPr>
    </w:p>
    <w:p>
      <w:pPr>
        <w:ind w:left="33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receive American Depositary Shares (“ADSs”) of BioNTech. An ADS is a security that allows shares of foreign-based companies to trade more easily on U.S. exchanges. BioNTech’s ADSs trade on NASDAQ. Each BioNTech ADS represents one BioNTech ordinary share. Upon request, and subject to certain fees, ADSs can be exchanged for the underlying ordinary shares.</w:t>
      </w:r>
    </w:p>
    <w:p>
      <w:pPr>
        <w:spacing w:after="0" w:line="67" w:lineRule="exact"/>
        <w:rPr>
          <w:rFonts w:ascii="Times New Roman" w:cs="Times New Roman" w:eastAsia="Times New Roman" w:hAnsi="Times New Roman"/>
          <w:sz w:val="18"/>
          <w:szCs w:val="18"/>
          <w:b w:val="1"/>
          <w:bCs w:val="1"/>
          <w:color w:val="auto"/>
        </w:rPr>
      </w:pPr>
    </w:p>
    <w:p>
      <w:pPr>
        <w:ind w:left="336"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Purchase Agreement, each CureVac share will be exchanged for approx. $5.46 in BioNTech ADSs, resulting in an implied aggregate equity value for CureVac of approx. $1.25 billion (subject to the adjustments described below). The consideration is subject to a collar mechanism, such that if the 10-day volume weighted average price of the BioNTech ADSs ending on the fifth business day prior to the closing of the offer (“VWAP”) exceeds $126.55, the exchange ratio would be 0.04318, and if the VWAP is lower than $84.37, the exchange ratio would be 0.06476. Upon closing of the transaction, CureVac shareholders are expected to own between 4% and 6% of BioNTech.</w:t>
      </w:r>
    </w:p>
    <w:p>
      <w:pPr>
        <w:spacing w:after="0" w:line="84" w:lineRule="exact"/>
        <w:rPr>
          <w:rFonts w:ascii="Times New Roman" w:cs="Times New Roman" w:eastAsia="Times New Roman" w:hAnsi="Times New Roman"/>
          <w:sz w:val="18"/>
          <w:szCs w:val="18"/>
          <w:b w:val="1"/>
          <w:bCs w:val="1"/>
          <w:color w:val="auto"/>
        </w:rPr>
      </w:pPr>
    </w:p>
    <w:p>
      <w:pPr>
        <w:ind w:left="316" w:hanging="316"/>
        <w:spacing w:after="0"/>
        <w:tabs>
          <w:tab w:leader="none" w:pos="31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CureVac shareholders decide to not tender their shares as part of the offer?</w:t>
      </w:r>
    </w:p>
    <w:p>
      <w:pPr>
        <w:spacing w:after="0" w:line="121" w:lineRule="exact"/>
        <w:rPr>
          <w:rFonts w:ascii="Times New Roman" w:cs="Times New Roman" w:eastAsia="Times New Roman" w:hAnsi="Times New Roman"/>
          <w:sz w:val="18"/>
          <w:szCs w:val="18"/>
          <w:b w:val="1"/>
          <w:bCs w:val="1"/>
          <w:color w:val="auto"/>
        </w:rPr>
      </w:pPr>
    </w:p>
    <w:p>
      <w:pPr>
        <w:ind w:left="336"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closing of the exchange offer, BioNTech and CureVac will effectuate a corporate reorganization of CureVac and its subsidiaries, resulting in BioNTech owning 100% of CureVac’s business and interests in CureVac and its subsidiaries. CureVac shareholders who do not tender their shares in the exchange offer will ultimately receive in the corporate reorganization the same consideration received for each CureVac common share tendered in the exchange offer (without interest and subject to applicable withholding taxes). An extraordinary general meeting of CureVac’s shareholders will be convened in connection with the transaction to adopt, among other things, certain resolutions relating to the transaction.</w:t>
      </w:r>
    </w:p>
    <w:p>
      <w:pPr>
        <w:sectPr>
          <w:pgSz w:w="11900" w:h="16838" w:orient="portrait"/>
          <w:cols w:equalWidth="0" w:num="1">
            <w:col w:w="10876"/>
          </w:cols>
          <w:pgMar w:left="544" w:top="266" w:right="479" w:bottom="1440" w:gutter="0" w:footer="0" w:header="0"/>
        </w:sectPr>
      </w:pPr>
    </w:p>
    <w:bookmarkStart w:id="2" w:name="page3"/>
    <w:bookmarkEnd w:id="2"/>
    <w:p>
      <w:pPr>
        <w:ind w:left="316" w:hanging="316"/>
        <w:spacing w:after="0"/>
        <w:tabs>
          <w:tab w:leader="none" w:pos="31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any CureVac shareholders supporting the transaction?</w:t>
      </w:r>
    </w:p>
    <w:p>
      <w:pPr>
        <w:spacing w:after="0" w:line="121" w:lineRule="exact"/>
        <w:rPr>
          <w:rFonts w:ascii="Times New Roman" w:cs="Times New Roman" w:eastAsia="Times New Roman" w:hAnsi="Times New Roman"/>
          <w:sz w:val="18"/>
          <w:szCs w:val="18"/>
          <w:b w:val="1"/>
          <w:bCs w:val="1"/>
          <w:color w:val="auto"/>
        </w:rPr>
      </w:pPr>
    </w:p>
    <w:p>
      <w:pPr>
        <w:ind w:left="336"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shareholders of CureVac representing 36.76% of CureVac’s shares, including dievini Hopp BioTech holding GmbH &amp; Co. KG and certain of its affiliates and all members of CureVac’s management and supervisory boards, have entered into tender and support agreements, pursuant to which they have agreed, among other things, and subject to the terms and conditions of such agreements, to tender their shares in the exchange offer and to vote in favor of the resolutions relating to the transaction at the CureVac extraordinary general meeting to be held in connection with the transaction. In addition, the German Federal government has confirmed to generally have a positive view on the transaction. BioNTech therefore assumes that Kreditanstalt für Wiederaufbau – which holds 13.32% of the shares in CureVac on behalf of the Federal Republic of Germany – will support the transaction by tendering its shares in CureVac. As a result, BioNTech expects to have contractual commitments to support the transaction from shareholders of CureVac representing a total of 50.08% of CureVac shares towards the 80% minimum condition required under the exchange offer.</w:t>
      </w:r>
    </w:p>
    <w:p>
      <w:pPr>
        <w:spacing w:after="0" w:line="292" w:lineRule="exact"/>
        <w:rPr>
          <w:rFonts w:ascii="Times New Roman" w:cs="Times New Roman" w:eastAsia="Times New Roman" w:hAnsi="Times New Roman"/>
          <w:sz w:val="18"/>
          <w:szCs w:val="18"/>
          <w:b w:val="1"/>
          <w:bCs w:val="1"/>
          <w:color w:val="auto"/>
        </w:rPr>
      </w:pPr>
    </w:p>
    <w:p>
      <w:pPr>
        <w:ind w:left="33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rFonts w:ascii="Times New Roman" w:cs="Times New Roman" w:eastAsia="Times New Roman" w:hAnsi="Times New Roman"/>
          <w:sz w:val="18"/>
          <w:szCs w:val="18"/>
          <w:b w:val="1"/>
          <w:bCs w:val="1"/>
          <w:color w:val="auto"/>
        </w:rPr>
      </w:pPr>
    </w:p>
    <w:p>
      <w:pPr>
        <w:ind w:left="336"/>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U.S. Securities and Exchange Commission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w:t>
      </w:r>
    </w:p>
    <w:p>
      <w:pPr>
        <w:spacing w:after="0" w:line="70" w:lineRule="exact"/>
        <w:rPr>
          <w:rFonts w:ascii="Times New Roman" w:cs="Times New Roman" w:eastAsia="Times New Roman" w:hAnsi="Times New Roman"/>
          <w:sz w:val="18"/>
          <w:szCs w:val="18"/>
          <w:b w:val="1"/>
          <w:bCs w:val="1"/>
          <w:color w:val="auto"/>
        </w:rPr>
      </w:pPr>
    </w:p>
    <w:p>
      <w:pPr>
        <w:ind w:left="336"/>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BioNTech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ectPr>
          <w:pgSz w:w="11900" w:h="16838" w:orient="portrait"/>
          <w:cols w:equalWidth="0" w:num="1">
            <w:col w:w="10876"/>
          </w:cols>
          <w:pgMar w:left="544" w:top="266" w:right="47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Investors will be able to obtain free copies of the Registration Statement, exchange offer/prospectus, Schedule TO and Schedule 14D-9, as each may be amended from time to time, and other relevant documents filed by BioNTech and CureVac with the SEC (when they become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 or by contacting BioNTech’s Investor Relations Department at investors@biontech.de. These documents are also available free of charge from CureVac’s website (</w:t>
      </w:r>
      <w:r>
        <w:rPr>
          <w:rFonts w:ascii="Times New Roman" w:cs="Times New Roman" w:eastAsia="Times New Roman" w:hAnsi="Times New Roman"/>
          <w:sz w:val="18"/>
          <w:szCs w:val="18"/>
          <w:u w:val="single" w:color="auto"/>
          <w:color w:val="auto"/>
        </w:rPr>
        <w:t>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transactions contemplated by the Purchase Agreement (including the parties’ ability to satisfy the conditions to the consummation of the exchange offer contemplated thereby and the other conditions set forth in the Purchase Agreement), the expected timetable for completing the transactions, the benefits sought to be achieved in the proposed transactions, the potential and capacity of</w:t>
      </w:r>
    </w:p>
    <w:p>
      <w:pPr>
        <w:sectPr>
          <w:pgSz w:w="11900" w:h="16838" w:orient="portrait"/>
          <w:cols w:equalWidth="0" w:num="1">
            <w:col w:w="10540"/>
          </w:cols>
          <w:pgMar w:left="880" w:top="270" w:right="479" w:bottom="1440" w:gutter="0" w:footer="0" w:header="0"/>
        </w:sectPr>
      </w:pPr>
    </w:p>
    <w:bookmarkStart w:id="4" w:name="page5"/>
    <w:bookmarkEnd w:id="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exchange offer and the subsequent corporate reorganization of CureVac; uncertainties as to how many of CureVac’s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U.S. Securities and Exchange Commission (the “SEC”),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sectPr>
      <w:pgSz w:w="11900" w:h="16838" w:orient="portrait"/>
      <w:cols w:equalWidth="0" w:num="1">
        <w:col w:w="10540"/>
      </w:cols>
      <w:pgMar w:left="88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2025-06-12T15:28:50Z</dcterms:created>
  <dcterms:modified xsi:type="dcterms:W3CDTF">2025-06-12T15:28:50Z</dcterms:modified>
</cp:coreProperties>
</file>