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2"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0" w:lineRule="exact"/>
        <w:rPr>
          <w:sz w:val="24"/>
          <w:szCs w:val="24"/>
          <w:color w:val="auto"/>
        </w:rPr>
      </w:pPr>
    </w:p>
    <w:p>
      <w:pPr>
        <w:spacing w:after="0" w:line="224"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24"/>
          <w:szCs w:val="24"/>
          <w:b w:val="1"/>
          <w:bCs w:val="1"/>
          <w:color w:val="auto"/>
        </w:rPr>
        <w:t>FORM 6-K</w:t>
      </w:r>
    </w:p>
    <w:p>
      <w:pPr>
        <w:spacing w:after="0" w:line="293" w:lineRule="exact"/>
        <w:rPr>
          <w:sz w:val="24"/>
          <w:szCs w:val="24"/>
          <w:color w:val="auto"/>
        </w:rPr>
      </w:pPr>
    </w:p>
    <w:p>
      <w:pPr>
        <w:jc w:val="center"/>
        <w:ind w:right="-1120"/>
        <w:spacing w:after="0" w:line="150" w:lineRule="exact"/>
        <w:rPr>
          <w:sz w:val="20"/>
          <w:szCs w:val="20"/>
          <w:color w:val="auto"/>
        </w:rPr>
      </w:pPr>
      <w:r>
        <w:rPr>
          <w:rFonts w:ascii="Times New Roman" w:cs="Times New Roman" w:eastAsia="Times New Roman" w:hAnsi="Times New Roman"/>
          <w:sz w:val="13"/>
          <w:szCs w:val="13"/>
          <w:b w:val="1"/>
          <w:bCs w:val="1"/>
          <w:color w:val="auto"/>
        </w:rPr>
        <w:t>REPORT OF FOREIGN PRIVATE ISSUER PURSUANT TO RULE 13a</w:t>
      </w:r>
      <w:r>
        <w:rPr>
          <w:rFonts w:ascii="MS PGothic" w:cs="MS PGothic" w:eastAsia="MS PGothic" w:hAnsi="MS PGothic"/>
          <w:sz w:val="13"/>
          <w:szCs w:val="13"/>
          <w:color w:val="auto"/>
          <w:strike w:val="1"/>
        </w:rPr>
        <w:t>‑</w:t>
      </w:r>
      <w:r>
        <w:rPr>
          <w:rFonts w:ascii="Times New Roman" w:cs="Times New Roman" w:eastAsia="Times New Roman" w:hAnsi="Times New Roman"/>
          <w:sz w:val="13"/>
          <w:szCs w:val="13"/>
          <w:b w:val="1"/>
          <w:bCs w:val="1"/>
          <w:color w:val="auto"/>
        </w:rPr>
        <w:t>16 OR 15d</w:t>
      </w:r>
      <w:r>
        <w:rPr>
          <w:rFonts w:ascii="MS PGothic" w:cs="MS PGothic" w:eastAsia="MS PGothic" w:hAnsi="MS PGothic"/>
          <w:sz w:val="13"/>
          <w:szCs w:val="13"/>
          <w:color w:val="auto"/>
          <w:strike w:val="1"/>
        </w:rPr>
        <w:t>‑</w:t>
      </w:r>
      <w:r>
        <w:rPr>
          <w:rFonts w:ascii="Times New Roman" w:cs="Times New Roman" w:eastAsia="Times New Roman" w:hAnsi="Times New Roman"/>
          <w:sz w:val="13"/>
          <w:szCs w:val="13"/>
          <w:b w:val="1"/>
          <w:bCs w:val="1"/>
          <w:color w:val="auto"/>
        </w:rPr>
        <w:t>16</w:t>
      </w:r>
    </w:p>
    <w:p>
      <w:pPr>
        <w:spacing w:after="0" w:line="4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UNDER THE SECURITIES EXCHANGE ACT OF 1934</w:t>
      </w:r>
    </w:p>
    <w:p>
      <w:pPr>
        <w:spacing w:after="0" w:line="141"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3"/>
          <w:szCs w:val="13"/>
          <w:b w:val="1"/>
          <w:bCs w:val="1"/>
          <w:color w:val="auto"/>
        </w:rPr>
        <w:t>FOR THE MONTH OF MARCH 2026</w:t>
      </w:r>
    </w:p>
    <w:p>
      <w:pPr>
        <w:spacing w:after="0" w:line="3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COMMISSION FILE NUMBER 001-39081</w:t>
      </w:r>
    </w:p>
    <w:p>
      <w:pPr>
        <w:spacing w:after="0" w:line="1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BioNTech SE</w:t>
      </w:r>
    </w:p>
    <w:p>
      <w:pPr>
        <w:spacing w:after="0" w:line="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333333"/>
        </w:rPr>
        <w:t>(Translation of registrant’s name into English)</w:t>
      </w:r>
    </w:p>
    <w:p>
      <w:pPr>
        <w:spacing w:after="0" w:line="132"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3"/>
          <w:szCs w:val="13"/>
          <w:b w:val="1"/>
          <w:bCs w:val="1"/>
          <w:color w:val="auto"/>
        </w:rPr>
        <w:t>An der Goldgrube 12</w:t>
      </w:r>
    </w:p>
    <w:p>
      <w:pPr>
        <w:spacing w:after="0" w:line="24"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3"/>
          <w:szCs w:val="13"/>
          <w:b w:val="1"/>
          <w:bCs w:val="1"/>
          <w:color w:val="auto"/>
        </w:rPr>
        <w:t>D-55131 Mainz</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Germany</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+49 6131-9084-0</w:t>
      </w:r>
    </w:p>
    <w:p>
      <w:pPr>
        <w:spacing w:after="0" w:line="1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2"/>
          <w:szCs w:val="12"/>
          <w:color w:val="333333"/>
        </w:rPr>
        <w:t>(Address of principal executive offices)</w:t>
      </w:r>
    </w:p>
    <w:p>
      <w:pPr>
        <w:spacing w:after="0" w:line="27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whether the registrant files or will file annual reports under cover Form 20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 or Form 40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 Form 20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F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Form 40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F </w:t>
      </w:r>
      <w:r>
        <w:rPr>
          <w:rFonts w:ascii="MS PGothic" w:cs="MS PGothic" w:eastAsia="MS PGothic" w:hAnsi="MS PGothic"/>
          <w:sz w:val="14"/>
          <w:szCs w:val="14"/>
          <w:color w:val="auto"/>
        </w:rPr>
        <w:t>☐</w:t>
      </w:r>
    </w:p>
    <w:p>
      <w:pPr>
        <w:spacing w:after="0" w:line="16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if the registrant is submitting the Form 6</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in paper as permitted by Regulation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T Rule 101(b)(1): </w:t>
      </w:r>
      <w:r>
        <w:rPr>
          <w:rFonts w:ascii="MS PGothic" w:cs="MS PGothic" w:eastAsia="MS PGothic" w:hAnsi="MS PGothic"/>
          <w:sz w:val="14"/>
          <w:szCs w:val="14"/>
          <w:color w:val="auto"/>
        </w:rPr>
        <w:t>☐</w:t>
      </w:r>
    </w:p>
    <w:p>
      <w:pPr>
        <w:spacing w:after="0" w:line="15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if the registrant is submitting the Form 6</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in paper as permitted by Regulation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T Rule 101(b)(7): </w:t>
      </w:r>
      <w:r>
        <w:rPr>
          <w:rFonts w:ascii="MS PGothic" w:cs="MS PGothic" w:eastAsia="MS PGothic" w:hAnsi="MS PGothic"/>
          <w:sz w:val="14"/>
          <w:szCs w:val="14"/>
          <w:color w:val="auto"/>
        </w:rPr>
        <w:t>☐</w:t>
      </w:r>
    </w:p>
    <w:p>
      <w:pPr>
        <w:sectPr>
          <w:pgSz w:w="11900" w:h="16838" w:orient="portrait"/>
          <w:cols w:equalWidth="0" w:num="1">
            <w:col w:w="10159"/>
          </w:cols>
          <w:pgMar w:left="300" w:top="1001"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INCLUDED AS PART OF THIS FORM 6-K</w:t>
      </w:r>
    </w:p>
    <w:p>
      <w:pPr>
        <w:spacing w:after="0" w:line="16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4"/>
          <w:szCs w:val="14"/>
          <w:color w:val="auto"/>
        </w:rPr>
        <w:t>On March 10, 2026, BioNTech SE (the “Company”) issued a press release announcing its full year 2025 financial results and corporate update and details of a conference call to be held at 8:00 am EDT on March 10, 2026 to discuss the results. The press release and the conference call presentation are attached as Exhibits 99.1 and 99.2, respectively, and incorporated by reference herein.</w:t>
      </w:r>
    </w:p>
    <w:p>
      <w:pPr>
        <w:spacing w:after="0" w:line="99"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4"/>
          <w:szCs w:val="14"/>
          <w:color w:val="auto"/>
        </w:rPr>
        <w:t>The information contained in Exhibits 99.1 and 99.2 shall not be deemed “filed” for purposes of Section 18 of the Securities Exchange Act of 1934, as amended (the “Exchange Act”), or incorporated by reference in any filing under the Securities Act of 1933, as amended, or the Exchange Act, unless expressly set forth by specific reference in such a filing.</w:t>
      </w:r>
    </w:p>
    <w:p>
      <w:pPr>
        <w:sectPr>
          <w:pgSz w:w="11900" w:h="16838" w:orient="portrait"/>
          <w:cols w:equalWidth="0" w:num="1">
            <w:col w:w="11300"/>
          </w:cols>
          <w:pgMar w:left="300" w:top="776" w:right="299" w:bottom="1440" w:gutter="0" w:footer="0" w:header="0"/>
        </w:sectPr>
      </w:pPr>
    </w:p>
    <w:bookmarkStart w:id="2" w:name="page3"/>
    <w:bookmarkEnd w:id="2"/>
    <w:p>
      <w:pPr>
        <w:ind w:left="52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Pursuant to the requirements of the Exchange Act, the registrant has duly caused this report to be signed on its behalf by the undersigned, thereunto duly authorized.</w:t>
      </w:r>
    </w:p>
    <w:p>
      <w:pPr>
        <w:sectPr>
          <w:pgSz w:w="11900" w:h="16838" w:orient="portrait"/>
          <w:cols w:equalWidth="0" w:num="1">
            <w:col w:w="11100"/>
          </w:cols>
          <w:pgMar w:left="300" w:top="776" w:right="49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BioNTech SE</w:t>
      </w:r>
    </w:p>
    <w:p>
      <w:pPr>
        <w:spacing w:after="0" w:line="363" w:lineRule="exact"/>
        <w:rPr>
          <w:sz w:val="20"/>
          <w:szCs w:val="20"/>
          <w:color w:val="auto"/>
        </w:rPr>
      </w:pPr>
    </w:p>
    <w:tbl>
      <w:tblPr>
        <w:tblLayout w:type="fixed"/>
        <w:tblInd w:w="220" w:type="dxa"/>
        <w:tblCellMar>
          <w:top w:w="0" w:type="dxa"/>
          <w:left w:w="0" w:type="dxa"/>
          <w:bottom w:w="0" w:type="dxa"/>
          <w:right w:w="0" w:type="dxa"/>
        </w:tblCellMar>
      </w:tblPr>
      <w:tr>
        <w:trPr>
          <w:trHeight w:val="198"/>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Ramon Zapata-Gomez</w:t>
            </w:r>
          </w:p>
        </w:tc>
      </w:tr>
      <w:tr>
        <w:trPr>
          <w:trHeight w:val="196"/>
        </w:trPr>
        <w:tc>
          <w:tcPr>
            <w:tcW w:w="500" w:type="dxa"/>
            <w:vAlign w:val="bottom"/>
          </w:tcPr>
          <w:p>
            <w:pPr>
              <w:spacing w:after="0"/>
              <w:rPr>
                <w:sz w:val="17"/>
                <w:szCs w:val="17"/>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 Ramon Zapata-Gomez</w:t>
            </w:r>
          </w:p>
        </w:tc>
      </w:tr>
      <w:tr>
        <w:trPr>
          <w:trHeight w:val="216"/>
        </w:trPr>
        <w:tc>
          <w:tcPr>
            <w:tcW w:w="500" w:type="dxa"/>
            <w:vAlign w:val="bottom"/>
          </w:tcPr>
          <w:p>
            <w:pPr>
              <w:spacing w:after="0"/>
              <w:rPr>
                <w:sz w:val="18"/>
                <w:szCs w:val="18"/>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Chief Financial Officer</w:t>
            </w: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March 10,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Dr. Sierk Poetting</w:t>
            </w:r>
          </w:p>
        </w:tc>
      </w:tr>
      <w:tr>
        <w:trPr>
          <w:trHeight w:val="196"/>
        </w:trPr>
        <w:tc>
          <w:tcPr>
            <w:tcW w:w="520" w:type="dxa"/>
            <w:vAlign w:val="bottom"/>
          </w:tcPr>
          <w:p>
            <w:pPr>
              <w:spacing w:after="0"/>
              <w:rPr>
                <w:sz w:val="17"/>
                <w:szCs w:val="17"/>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 Dr. Sierk Poetting</w:t>
            </w:r>
          </w:p>
        </w:tc>
      </w:tr>
      <w:tr>
        <w:trPr>
          <w:trHeight w:val="216"/>
        </w:trPr>
        <w:tc>
          <w:tcPr>
            <w:tcW w:w="520" w:type="dxa"/>
            <w:vAlign w:val="bottom"/>
          </w:tcPr>
          <w:p>
            <w:pPr>
              <w:spacing w:after="0"/>
              <w:rPr>
                <w:sz w:val="18"/>
                <w:szCs w:val="18"/>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Chief Operating Officer</w:t>
            </w:r>
          </w:p>
        </w:tc>
      </w:tr>
    </w:tbl>
    <w:p>
      <w:pPr>
        <w:sectPr>
          <w:pgSz w:w="11900" w:h="16838" w:orient="portrait"/>
          <w:cols w:equalWidth="0" w:num="2">
            <w:col w:w="5380" w:space="560"/>
            <w:col w:w="5160"/>
          </w:cols>
          <w:pgMar w:left="300" w:top="776" w:right="499" w:bottom="144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360" w:type="dxa"/>
            <w:vAlign w:val="bottom"/>
            <w:gridSpan w:val="2"/>
          </w:tcPr>
          <w:p>
            <w:pPr>
              <w:ind w:left="254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469"/>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w w:val="96"/>
              </w:rPr>
              <w:t>Exhibit</w:t>
            </w:r>
          </w:p>
        </w:tc>
        <w:tc>
          <w:tcPr>
            <w:tcW w:w="820" w:type="dxa"/>
            <w:vAlign w:val="bottom"/>
          </w:tcPr>
          <w:p>
            <w:pPr>
              <w:spacing w:after="0"/>
              <w:rPr>
                <w:sz w:val="24"/>
                <w:szCs w:val="24"/>
                <w:color w:val="auto"/>
              </w:rPr>
            </w:pPr>
          </w:p>
        </w:tc>
        <w:tc>
          <w:tcPr>
            <w:tcW w:w="5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Description of Exhibit</w:t>
            </w:r>
          </w:p>
        </w:tc>
      </w:tr>
      <w:tr>
        <w:trPr>
          <w:trHeight w:val="20"/>
        </w:trPr>
        <w:tc>
          <w:tcPr>
            <w:tcW w:w="4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49"/>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99.1</w:t>
            </w:r>
          </w:p>
        </w:tc>
        <w:tc>
          <w:tcPr>
            <w:tcW w:w="820" w:type="dxa"/>
            <w:vAlign w:val="bottom"/>
          </w:tcPr>
          <w:p>
            <w:pPr>
              <w:spacing w:after="0"/>
              <w:rPr>
                <w:sz w:val="24"/>
                <w:szCs w:val="24"/>
                <w:color w:val="auto"/>
              </w:rPr>
            </w:pPr>
          </w:p>
        </w:tc>
        <w:tc>
          <w:tcPr>
            <w:tcW w:w="5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BioNTech Announces Fourth Quarter and Full Year 2025 Financial Results and Corporate Update</w:t>
            </w:r>
          </w:p>
        </w:tc>
      </w:tr>
      <w:tr>
        <w:trPr>
          <w:trHeight w:val="196"/>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99.2</w:t>
            </w:r>
          </w:p>
        </w:tc>
        <w:tc>
          <w:tcPr>
            <w:tcW w:w="820" w:type="dxa"/>
            <w:vAlign w:val="bottom"/>
          </w:tcPr>
          <w:p>
            <w:pPr>
              <w:spacing w:after="0"/>
              <w:rPr>
                <w:sz w:val="17"/>
                <w:szCs w:val="17"/>
                <w:color w:val="auto"/>
              </w:rPr>
            </w:pPr>
          </w:p>
        </w:tc>
        <w:tc>
          <w:tcPr>
            <w:tcW w:w="564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Fourth Quarter and Full Year 2025: Financial Results and Corporate Update</w:t>
            </w:r>
          </w:p>
        </w:tc>
      </w:tr>
      <w:tr>
        <w:trPr>
          <w:trHeight w:val="20"/>
        </w:trPr>
        <w:tc>
          <w:tcPr>
            <w:tcW w:w="42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ectPr>
          <w:pgSz w:w="11900" w:h="16838" w:orient="portrait"/>
          <w:cols w:equalWidth="0" w:num="1">
            <w:col w:w="10139"/>
          </w:cols>
          <w:pgMar w:left="320" w:top="776"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1423035"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BioNTech Announces Fourth Quarter and Full Year 2025 Financial Results and Corporate Update</w:t>
      </w:r>
    </w:p>
    <w:p>
      <w:pPr>
        <w:spacing w:after="0" w:line="178" w:lineRule="exact"/>
        <w:rPr>
          <w:sz w:val="20"/>
          <w:szCs w:val="20"/>
          <w:color w:val="auto"/>
        </w:rPr>
      </w:pPr>
    </w:p>
    <w:p>
      <w:pPr>
        <w:ind w:left="420" w:hanging="212"/>
        <w:spacing w:after="0"/>
        <w:tabs>
          <w:tab w:leader="none" w:pos="420" w:val="left"/>
        </w:tabs>
        <w:numPr>
          <w:ilvl w:val="0"/>
          <w:numId w:val="1"/>
        </w:numPr>
        <w:rPr>
          <w:rFonts w:ascii="Arial" w:cs="Arial" w:eastAsia="Arial" w:hAnsi="Arial"/>
          <w:sz w:val="12"/>
          <w:szCs w:val="12"/>
          <w:i w:val="1"/>
          <w:iCs w:val="1"/>
          <w:color w:val="auto"/>
        </w:rPr>
      </w:pPr>
      <w:r>
        <w:rPr>
          <w:rFonts w:ascii="Arial" w:cs="Arial" w:eastAsia="Arial" w:hAnsi="Arial"/>
          <w:sz w:val="12"/>
          <w:szCs w:val="12"/>
          <w:b w:val="1"/>
          <w:bCs w:val="1"/>
          <w:i w:val="1"/>
          <w:iCs w:val="1"/>
          <w:color w:val="auto"/>
        </w:rPr>
        <w:t xml:space="preserve">BioNTech on track for a catalyst-rich year </w:t>
      </w:r>
      <w:r>
        <w:rPr>
          <w:rFonts w:ascii="Arial" w:cs="Arial" w:eastAsia="Arial" w:hAnsi="Arial"/>
          <w:sz w:val="12"/>
          <w:szCs w:val="12"/>
          <w:i w:val="1"/>
          <w:iCs w:val="1"/>
          <w:color w:val="auto"/>
        </w:rPr>
        <w:t>with six late-stage data readouts expected across immunomodulators, antibody-drug conjugates and mRNA cancer immunotherapies</w:t>
      </w:r>
    </w:p>
    <w:p>
      <w:pPr>
        <w:spacing w:after="0" w:line="16" w:lineRule="exact"/>
        <w:rPr>
          <w:rFonts w:ascii="Arial" w:cs="Arial" w:eastAsia="Arial" w:hAnsi="Arial"/>
          <w:sz w:val="12"/>
          <w:szCs w:val="12"/>
          <w:i w:val="1"/>
          <w:iCs w:val="1"/>
          <w:color w:val="auto"/>
        </w:rPr>
      </w:pPr>
    </w:p>
    <w:p>
      <w:pPr>
        <w:ind w:left="420" w:hanging="212"/>
        <w:spacing w:after="0" w:line="203" w:lineRule="auto"/>
        <w:tabs>
          <w:tab w:leader="none" w:pos="420" w:val="left"/>
        </w:tabs>
        <w:numPr>
          <w:ilvl w:val="0"/>
          <w:numId w:val="1"/>
        </w:numPr>
        <w:rPr>
          <w:rFonts w:ascii="Arial" w:cs="Arial" w:eastAsia="Arial" w:hAnsi="Arial"/>
          <w:sz w:val="12"/>
          <w:szCs w:val="12"/>
          <w:i w:val="1"/>
          <w:iCs w:val="1"/>
          <w:color w:val="auto"/>
        </w:rPr>
      </w:pPr>
      <w:r>
        <w:rPr>
          <w:rFonts w:ascii="Arial" w:cs="Arial" w:eastAsia="Arial" w:hAnsi="Arial"/>
          <w:sz w:val="12"/>
          <w:szCs w:val="12"/>
          <w:b w:val="1"/>
          <w:bCs w:val="1"/>
          <w:i w:val="1"/>
          <w:iCs w:val="1"/>
          <w:color w:val="auto"/>
        </w:rPr>
        <w:t>Increased focus on PD-L1</w:t>
      </w:r>
      <w:r>
        <w:rPr>
          <w:rFonts w:ascii="Arial" w:cs="Arial" w:eastAsia="Arial" w:hAnsi="Arial"/>
          <w:sz w:val="15"/>
          <w:szCs w:val="15"/>
          <w:b w:val="1"/>
          <w:bCs w:val="1"/>
          <w:i w:val="1"/>
          <w:iCs w:val="1"/>
          <w:color w:val="auto"/>
          <w:vertAlign w:val="superscript"/>
        </w:rPr>
        <w:t>1</w:t>
      </w:r>
      <w:r>
        <w:rPr>
          <w:rFonts w:ascii="Arial" w:cs="Arial" w:eastAsia="Arial" w:hAnsi="Arial"/>
          <w:sz w:val="12"/>
          <w:szCs w:val="12"/>
          <w:b w:val="1"/>
          <w:bCs w:val="1"/>
          <w:i w:val="1"/>
          <w:iCs w:val="1"/>
          <w:color w:val="auto"/>
        </w:rPr>
        <w:t xml:space="preserve">/VEGF-A bispecific immunomodulator pumitamig with eight global Phase 3 clinical trials </w:t>
      </w:r>
      <w:r>
        <w:rPr>
          <w:rFonts w:ascii="Arial" w:cs="Arial" w:eastAsia="Arial" w:hAnsi="Arial"/>
          <w:sz w:val="12"/>
          <w:szCs w:val="12"/>
          <w:i w:val="1"/>
          <w:iCs w:val="1"/>
          <w:color w:val="auto"/>
        </w:rPr>
        <w:t>planned to be ongoing for year-end in collaboration with Bristol Myers Squibb</w:t>
      </w:r>
    </w:p>
    <w:p>
      <w:pPr>
        <w:ind w:left="200"/>
        <w:spacing w:after="0" w:line="210" w:lineRule="auto"/>
        <w:tabs>
          <w:tab w:leader="none" w:pos="400" w:val="left"/>
        </w:tabs>
        <w:rPr>
          <w:sz w:val="20"/>
          <w:szCs w:val="20"/>
          <w:color w:val="auto"/>
        </w:rPr>
      </w:pPr>
      <w:r>
        <w:rPr>
          <w:rFonts w:ascii="Arial" w:cs="Arial" w:eastAsia="Arial" w:hAnsi="Arial"/>
          <w:sz w:val="12"/>
          <w:szCs w:val="12"/>
          <w:i w:val="1"/>
          <w:iCs w:val="1"/>
          <w:color w:val="auto"/>
        </w:rPr>
        <w:t>•</w:t>
      </w:r>
      <w:r>
        <w:rPr>
          <w:sz w:val="20"/>
          <w:szCs w:val="20"/>
          <w:color w:val="auto"/>
        </w:rPr>
        <w:tab/>
      </w:r>
      <w:r>
        <w:rPr>
          <w:rFonts w:ascii="Arial" w:cs="Arial" w:eastAsia="Arial" w:hAnsi="Arial"/>
          <w:sz w:val="12"/>
          <w:szCs w:val="12"/>
          <w:b w:val="1"/>
          <w:bCs w:val="1"/>
          <w:i w:val="1"/>
          <w:iCs w:val="1"/>
          <w:color w:val="auto"/>
        </w:rPr>
        <w:t>Full year 2025 revenues of €2.9 billion</w:t>
      </w:r>
      <w:r>
        <w:rPr>
          <w:rFonts w:ascii="Arial" w:cs="Arial" w:eastAsia="Arial" w:hAnsi="Arial"/>
          <w:sz w:val="7"/>
          <w:szCs w:val="7"/>
          <w:b w:val="1"/>
          <w:bCs w:val="1"/>
          <w:i w:val="1"/>
          <w:iCs w:val="1"/>
          <w:color w:val="auto"/>
        </w:rPr>
        <w:t>2</w:t>
      </w:r>
      <w:r>
        <w:rPr>
          <w:rFonts w:ascii="Arial" w:cs="Arial" w:eastAsia="Arial" w:hAnsi="Arial"/>
          <w:sz w:val="12"/>
          <w:szCs w:val="12"/>
          <w:i w:val="1"/>
          <w:iCs w:val="1"/>
          <w:color w:val="auto"/>
        </w:rPr>
        <w:t>, net loss of €1.1 billion (adjusted</w:t>
      </w:r>
      <w:r>
        <w:rPr>
          <w:rFonts w:ascii="Arial" w:cs="Arial" w:eastAsia="Arial" w:hAnsi="Arial"/>
          <w:sz w:val="15"/>
          <w:szCs w:val="15"/>
          <w:i w:val="1"/>
          <w:iCs w:val="1"/>
          <w:color w:val="auto"/>
          <w:vertAlign w:val="superscript"/>
        </w:rPr>
        <w:t>3</w:t>
      </w:r>
      <w:r>
        <w:rPr>
          <w:rFonts w:ascii="Arial" w:cs="Arial" w:eastAsia="Arial" w:hAnsi="Arial"/>
          <w:sz w:val="12"/>
          <w:szCs w:val="12"/>
          <w:b w:val="1"/>
          <w:bCs w:val="1"/>
          <w:i w:val="1"/>
          <w:iCs w:val="1"/>
          <w:color w:val="auto"/>
        </w:rPr>
        <w:t xml:space="preserve"> </w:t>
      </w:r>
      <w:r>
        <w:rPr>
          <w:rFonts w:ascii="Arial" w:cs="Arial" w:eastAsia="Arial" w:hAnsi="Arial"/>
          <w:sz w:val="12"/>
          <w:szCs w:val="12"/>
          <w:i w:val="1"/>
          <w:iCs w:val="1"/>
          <w:color w:val="auto"/>
        </w:rPr>
        <w:t>net loss of €0.1 billion) and diluted loss per share of €4.70 ($5.31</w:t>
      </w:r>
      <w:r>
        <w:rPr>
          <w:rFonts w:ascii="Arial" w:cs="Arial" w:eastAsia="Arial" w:hAnsi="Arial"/>
          <w:sz w:val="7"/>
          <w:szCs w:val="7"/>
          <w:i w:val="1"/>
          <w:iCs w:val="1"/>
          <w:color w:val="auto"/>
        </w:rPr>
        <w:t>4</w:t>
      </w:r>
      <w:r>
        <w:rPr>
          <w:rFonts w:ascii="Arial" w:cs="Arial" w:eastAsia="Arial" w:hAnsi="Arial"/>
          <w:sz w:val="12"/>
          <w:szCs w:val="12"/>
          <w:i w:val="1"/>
          <w:iCs w:val="1"/>
          <w:color w:val="auto"/>
        </w:rPr>
        <w:t>) (adjusted</w:t>
      </w:r>
      <w:r>
        <w:rPr>
          <w:rFonts w:ascii="Arial" w:cs="Arial" w:eastAsia="Arial" w:hAnsi="Arial"/>
          <w:sz w:val="15"/>
          <w:szCs w:val="15"/>
          <w:i w:val="1"/>
          <w:iCs w:val="1"/>
          <w:color w:val="auto"/>
          <w:vertAlign w:val="superscript"/>
        </w:rPr>
        <w:t>3</w:t>
      </w:r>
      <w:r>
        <w:rPr>
          <w:rFonts w:ascii="Arial" w:cs="Arial" w:eastAsia="Arial" w:hAnsi="Arial"/>
          <w:sz w:val="12"/>
          <w:szCs w:val="12"/>
          <w:b w:val="1"/>
          <w:bCs w:val="1"/>
          <w:i w:val="1"/>
          <w:iCs w:val="1"/>
          <w:color w:val="auto"/>
        </w:rPr>
        <w:t xml:space="preserve"> </w:t>
      </w:r>
      <w:r>
        <w:rPr>
          <w:rFonts w:ascii="Arial" w:cs="Arial" w:eastAsia="Arial" w:hAnsi="Arial"/>
          <w:sz w:val="12"/>
          <w:szCs w:val="12"/>
          <w:i w:val="1"/>
          <w:iCs w:val="1"/>
          <w:color w:val="auto"/>
        </w:rPr>
        <w:t>diluted loss per share of €0.48 ($0.55</w:t>
      </w:r>
      <w:r>
        <w:rPr>
          <w:rFonts w:ascii="Arial" w:cs="Arial" w:eastAsia="Arial" w:hAnsi="Arial"/>
          <w:sz w:val="7"/>
          <w:szCs w:val="7"/>
          <w:i w:val="1"/>
          <w:iCs w:val="1"/>
          <w:color w:val="auto"/>
        </w:rPr>
        <w:t>4</w:t>
      </w:r>
      <w:r>
        <w:rPr>
          <w:rFonts w:ascii="Arial" w:cs="Arial" w:eastAsia="Arial" w:hAnsi="Arial"/>
          <w:sz w:val="12"/>
          <w:szCs w:val="12"/>
          <w:i w:val="1"/>
          <w:iCs w:val="1"/>
          <w:color w:val="auto"/>
        </w:rPr>
        <w:t>))</w:t>
      </w:r>
    </w:p>
    <w:p>
      <w:pPr>
        <w:ind w:left="420" w:hanging="212"/>
        <w:spacing w:after="0" w:line="213" w:lineRule="auto"/>
        <w:tabs>
          <w:tab w:leader="none" w:pos="420" w:val="left"/>
        </w:tabs>
        <w:numPr>
          <w:ilvl w:val="0"/>
          <w:numId w:val="2"/>
        </w:numPr>
        <w:rPr>
          <w:rFonts w:ascii="Arial" w:cs="Arial" w:eastAsia="Arial" w:hAnsi="Arial"/>
          <w:sz w:val="12"/>
          <w:szCs w:val="12"/>
          <w:i w:val="1"/>
          <w:iCs w:val="1"/>
          <w:color w:val="auto"/>
        </w:rPr>
      </w:pPr>
      <w:r>
        <w:rPr>
          <w:rFonts w:ascii="Arial" w:cs="Arial" w:eastAsia="Arial" w:hAnsi="Arial"/>
          <w:sz w:val="12"/>
          <w:szCs w:val="12"/>
          <w:b w:val="1"/>
          <w:bCs w:val="1"/>
          <w:i w:val="1"/>
          <w:iCs w:val="1"/>
          <w:color w:val="auto"/>
        </w:rPr>
        <w:t xml:space="preserve">Strong financial position continues to de-risk execution </w:t>
      </w:r>
      <w:r>
        <w:rPr>
          <w:rFonts w:ascii="Arial" w:cs="Arial" w:eastAsia="Arial" w:hAnsi="Arial"/>
          <w:sz w:val="12"/>
          <w:szCs w:val="12"/>
          <w:i w:val="1"/>
          <w:iCs w:val="1"/>
          <w:color w:val="auto"/>
        </w:rPr>
        <w:t>with cash, cash equivalents and security investments of €17.2 billion</w:t>
      </w:r>
      <w:r>
        <w:rPr>
          <w:rFonts w:ascii="Arial" w:cs="Arial" w:eastAsia="Arial" w:hAnsi="Arial"/>
          <w:sz w:val="15"/>
          <w:szCs w:val="15"/>
          <w:i w:val="1"/>
          <w:iCs w:val="1"/>
          <w:color w:val="auto"/>
          <w:vertAlign w:val="superscript"/>
        </w:rPr>
        <w:t>5</w:t>
      </w:r>
    </w:p>
    <w:p>
      <w:pPr>
        <w:ind w:left="420" w:hanging="212"/>
        <w:spacing w:after="0" w:line="212" w:lineRule="auto"/>
        <w:tabs>
          <w:tab w:leader="none" w:pos="420" w:val="left"/>
        </w:tabs>
        <w:numPr>
          <w:ilvl w:val="0"/>
          <w:numId w:val="2"/>
        </w:numPr>
        <w:rPr>
          <w:rFonts w:ascii="Arial" w:cs="Arial" w:eastAsia="Arial" w:hAnsi="Arial"/>
          <w:sz w:val="12"/>
          <w:szCs w:val="12"/>
          <w:i w:val="1"/>
          <w:iCs w:val="1"/>
          <w:color w:val="auto"/>
        </w:rPr>
      </w:pPr>
      <w:r>
        <w:rPr>
          <w:rFonts w:ascii="Arial" w:cs="Arial" w:eastAsia="Arial" w:hAnsi="Arial"/>
          <w:sz w:val="12"/>
          <w:szCs w:val="12"/>
          <w:b w:val="1"/>
          <w:bCs w:val="1"/>
          <w:i w:val="1"/>
          <w:iCs w:val="1"/>
          <w:color w:val="auto"/>
        </w:rPr>
        <w:t xml:space="preserve">Expect 2026 total revenues of €2.0 billion to €2.3 billion, </w:t>
      </w:r>
      <w:r>
        <w:rPr>
          <w:rFonts w:ascii="Arial" w:cs="Arial" w:eastAsia="Arial" w:hAnsi="Arial"/>
          <w:sz w:val="12"/>
          <w:szCs w:val="12"/>
          <w:i w:val="1"/>
          <w:iCs w:val="1"/>
          <w:color w:val="auto"/>
        </w:rPr>
        <w:t>adjusted</w:t>
      </w:r>
      <w:r>
        <w:rPr>
          <w:rFonts w:ascii="Arial" w:cs="Arial" w:eastAsia="Arial" w:hAnsi="Arial"/>
          <w:sz w:val="15"/>
          <w:szCs w:val="15"/>
          <w:i w:val="1"/>
          <w:iCs w:val="1"/>
          <w:color w:val="auto"/>
          <w:vertAlign w:val="superscript"/>
        </w:rPr>
        <w:t>3</w:t>
      </w:r>
      <w:r>
        <w:rPr>
          <w:rFonts w:ascii="Arial" w:cs="Arial" w:eastAsia="Arial" w:hAnsi="Arial"/>
          <w:sz w:val="12"/>
          <w:szCs w:val="12"/>
          <w:b w:val="1"/>
          <w:bCs w:val="1"/>
          <w:i w:val="1"/>
          <w:iCs w:val="1"/>
          <w:color w:val="auto"/>
        </w:rPr>
        <w:t xml:space="preserve"> </w:t>
      </w:r>
      <w:r>
        <w:rPr>
          <w:rFonts w:ascii="Arial" w:cs="Arial" w:eastAsia="Arial" w:hAnsi="Arial"/>
          <w:sz w:val="12"/>
          <w:szCs w:val="12"/>
          <w:i w:val="1"/>
          <w:iCs w:val="1"/>
          <w:color w:val="auto"/>
        </w:rPr>
        <w:t>R&amp;D expenses between €2.2-2.5 billion and adjusted</w:t>
      </w:r>
      <w:r>
        <w:rPr>
          <w:rFonts w:ascii="Arial" w:cs="Arial" w:eastAsia="Arial" w:hAnsi="Arial"/>
          <w:sz w:val="15"/>
          <w:szCs w:val="15"/>
          <w:i w:val="1"/>
          <w:iCs w:val="1"/>
          <w:color w:val="auto"/>
          <w:vertAlign w:val="superscript"/>
        </w:rPr>
        <w:t>3</w:t>
      </w:r>
      <w:r>
        <w:rPr>
          <w:rFonts w:ascii="Arial" w:cs="Arial" w:eastAsia="Arial" w:hAnsi="Arial"/>
          <w:sz w:val="12"/>
          <w:szCs w:val="12"/>
          <w:b w:val="1"/>
          <w:bCs w:val="1"/>
          <w:i w:val="1"/>
          <w:iCs w:val="1"/>
          <w:color w:val="auto"/>
        </w:rPr>
        <w:t xml:space="preserve"> </w:t>
      </w:r>
      <w:r>
        <w:rPr>
          <w:rFonts w:ascii="Arial" w:cs="Arial" w:eastAsia="Arial" w:hAnsi="Arial"/>
          <w:sz w:val="12"/>
          <w:szCs w:val="12"/>
          <w:i w:val="1"/>
          <w:iCs w:val="1"/>
          <w:color w:val="auto"/>
        </w:rPr>
        <w:t>SG&amp;A expenses</w:t>
      </w:r>
      <w:r>
        <w:rPr>
          <w:rFonts w:ascii="Arial" w:cs="Arial" w:eastAsia="Arial" w:hAnsi="Arial"/>
          <w:sz w:val="15"/>
          <w:szCs w:val="15"/>
          <w:i w:val="1"/>
          <w:iCs w:val="1"/>
          <w:color w:val="auto"/>
          <w:vertAlign w:val="superscript"/>
        </w:rPr>
        <w:t>7</w:t>
      </w:r>
      <w:r>
        <w:rPr>
          <w:rFonts w:ascii="Arial" w:cs="Arial" w:eastAsia="Arial" w:hAnsi="Arial"/>
          <w:sz w:val="12"/>
          <w:szCs w:val="12"/>
          <w:b w:val="1"/>
          <w:bCs w:val="1"/>
          <w:i w:val="1"/>
          <w:iCs w:val="1"/>
          <w:color w:val="auto"/>
        </w:rPr>
        <w:t xml:space="preserve"> </w:t>
      </w:r>
      <w:r>
        <w:rPr>
          <w:rFonts w:ascii="Arial" w:cs="Arial" w:eastAsia="Arial" w:hAnsi="Arial"/>
          <w:sz w:val="12"/>
          <w:szCs w:val="12"/>
          <w:i w:val="1"/>
          <w:iCs w:val="1"/>
          <w:color w:val="auto"/>
        </w:rPr>
        <w:t>between €700-800 million</w:t>
      </w:r>
    </w:p>
    <w:p>
      <w:pPr>
        <w:ind w:left="420" w:hanging="212"/>
        <w:spacing w:after="0"/>
        <w:tabs>
          <w:tab w:leader="none" w:pos="420" w:val="left"/>
        </w:tabs>
        <w:numPr>
          <w:ilvl w:val="0"/>
          <w:numId w:val="2"/>
        </w:numPr>
        <w:rPr>
          <w:rFonts w:ascii="Arial" w:cs="Arial" w:eastAsia="Arial" w:hAnsi="Arial"/>
          <w:sz w:val="12"/>
          <w:szCs w:val="12"/>
          <w:i w:val="1"/>
          <w:iCs w:val="1"/>
          <w:color w:val="auto"/>
        </w:rPr>
      </w:pPr>
      <w:r>
        <w:rPr>
          <w:rFonts w:ascii="Arial" w:cs="Arial" w:eastAsia="Arial" w:hAnsi="Arial"/>
          <w:sz w:val="12"/>
          <w:szCs w:val="12"/>
          <w:b w:val="1"/>
          <w:bCs w:val="1"/>
          <w:i w:val="1"/>
          <w:iCs w:val="1"/>
          <w:color w:val="auto"/>
        </w:rPr>
        <w:t>BioNTech co-founders Ugur Sahin and Özlem Türeci to establish an independent company </w:t>
      </w:r>
      <w:r>
        <w:rPr>
          <w:rFonts w:ascii="Arial" w:cs="Arial" w:eastAsia="Arial" w:hAnsi="Arial"/>
          <w:sz w:val="12"/>
          <w:szCs w:val="12"/>
          <w:i w:val="1"/>
          <w:iCs w:val="1"/>
          <w:color w:val="auto"/>
        </w:rPr>
        <w:t>with a focus on next-generation mRNA innovations; management transition by end of 2026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Conference call and webcast scheduled for March 10, 2026, at 8:00 a.m. EDT (1:00 p.m. CET)</w:t>
      </w:r>
    </w:p>
    <w:p>
      <w:pPr>
        <w:spacing w:after="0" w:line="27" w:lineRule="exact"/>
        <w:rPr>
          <w:sz w:val="20"/>
          <w:szCs w:val="20"/>
          <w:color w:val="auto"/>
        </w:rPr>
      </w:pPr>
    </w:p>
    <w:p>
      <w:pPr>
        <w:jc w:val="both"/>
        <w:spacing w:after="0" w:line="281" w:lineRule="auto"/>
        <w:rPr>
          <w:sz w:val="20"/>
          <w:szCs w:val="20"/>
          <w:color w:val="auto"/>
        </w:rPr>
      </w:pPr>
      <w:r>
        <w:rPr>
          <w:rFonts w:ascii="Arial" w:cs="Arial" w:eastAsia="Arial" w:hAnsi="Arial"/>
          <w:sz w:val="12"/>
          <w:szCs w:val="12"/>
          <w:b w:val="1"/>
          <w:bCs w:val="1"/>
          <w:color w:val="auto"/>
        </w:rPr>
        <w:t xml:space="preserve">MAINZ, Germany, March 10, 2026 (GLOBE NEWSWIRE) </w:t>
      </w:r>
      <w:r>
        <w:rPr>
          <w:rFonts w:ascii="Arial" w:cs="Arial" w:eastAsia="Arial" w:hAnsi="Arial"/>
          <w:sz w:val="12"/>
          <w:szCs w:val="12"/>
          <w:color w:val="auto"/>
        </w:rPr>
        <w:t>-- BioNTech SE (Nasdaq: BNTX, “BioNTech” or “the Company”) today reported financial results for the three months and full year ended December 31,</w:t>
      </w:r>
      <w:r>
        <w:rPr>
          <w:rFonts w:ascii="Arial" w:cs="Arial" w:eastAsia="Arial" w:hAnsi="Arial"/>
          <w:sz w:val="12"/>
          <w:szCs w:val="12"/>
          <w:b w:val="1"/>
          <w:bCs w:val="1"/>
          <w:color w:val="auto"/>
        </w:rPr>
        <w:t xml:space="preserve"> </w:t>
      </w:r>
      <w:r>
        <w:rPr>
          <w:rFonts w:ascii="Arial" w:cs="Arial" w:eastAsia="Arial" w:hAnsi="Arial"/>
          <w:sz w:val="12"/>
          <w:szCs w:val="12"/>
          <w:color w:val="auto"/>
        </w:rPr>
        <w:t>2025 and provided an update on its corporate progress.</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 xml:space="preserve">“2025 was a year of strong execution and pipeline momentum, marked by substantial progress in delivering on our strategy. We advanced our oncology pipeline by moving multiple programs into late-stage development and initiated trials assessing novel-novel combination approaches with the aim of delivering differentiated therapeutic profiles,” said </w:t>
      </w:r>
      <w:r>
        <w:rPr>
          <w:rFonts w:ascii="Arial" w:cs="Arial" w:eastAsia="Arial" w:hAnsi="Arial"/>
          <w:sz w:val="12"/>
          <w:szCs w:val="12"/>
          <w:b w:val="1"/>
          <w:bCs w:val="1"/>
          <w:color w:val="auto"/>
        </w:rPr>
        <w:t>Prof. Ugur Sahin, M.D., Chief Executive Officer and Co-Founder</w:t>
      </w:r>
      <w:r>
        <w:rPr>
          <w:rFonts w:ascii="Arial" w:cs="Arial" w:eastAsia="Arial" w:hAnsi="Arial"/>
          <w:sz w:val="12"/>
          <w:szCs w:val="12"/>
          <w:color w:val="auto"/>
        </w:rPr>
        <w:t xml:space="preserve"> </w:t>
      </w:r>
      <w:r>
        <w:rPr>
          <w:rFonts w:ascii="Arial" w:cs="Arial" w:eastAsia="Arial" w:hAnsi="Arial"/>
          <w:sz w:val="12"/>
          <w:szCs w:val="12"/>
          <w:b w:val="1"/>
          <w:bCs w:val="1"/>
          <w:color w:val="auto"/>
        </w:rPr>
        <w:t>of BioNTech</w:t>
      </w:r>
      <w:r>
        <w:rPr>
          <w:rFonts w:ascii="Arial" w:cs="Arial" w:eastAsia="Arial" w:hAnsi="Arial"/>
          <w:sz w:val="12"/>
          <w:szCs w:val="12"/>
          <w:color w:val="auto"/>
        </w:rPr>
        <w:t>. “With our unique pipeline and strong financial position, we remain committed to leveraging our pioneering position in the immuno-oncology space with next-generation agents designed to elevate</w:t>
      </w:r>
      <w:r>
        <w:rPr>
          <w:rFonts w:ascii="Arial" w:cs="Arial" w:eastAsia="Arial" w:hAnsi="Arial"/>
          <w:sz w:val="12"/>
          <w:szCs w:val="12"/>
          <w:b w:val="1"/>
          <w:bCs w:val="1"/>
          <w:color w:val="auto"/>
        </w:rPr>
        <w:t xml:space="preserve"> </w:t>
      </w:r>
      <w:r>
        <w:rPr>
          <w:rFonts w:ascii="Arial" w:cs="Arial" w:eastAsia="Arial" w:hAnsi="Arial"/>
          <w:sz w:val="12"/>
          <w:szCs w:val="12"/>
          <w:color w:val="auto"/>
        </w:rPr>
        <w:t>outcomes for patients with cancer. 2026 is poised to be a pivotal year with multiple readouts expected across our portfolio, representing a significant step toward our objective of becoming a multi-product company by 2030.”</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Review for Fourth Quarter and Full Year 2025</w:t>
      </w:r>
      <w:r>
        <w:rPr>
          <w:rFonts w:ascii="Arial" w:cs="Arial" w:eastAsia="Arial" w:hAnsi="Arial"/>
          <w:sz w:val="15"/>
          <w:szCs w:val="15"/>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16661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6610" cy="11430"/>
                    </a:xfrm>
                    <a:prstGeom prst="rect">
                      <a:avLst/>
                    </a:prstGeom>
                    <a:noFill/>
                  </pic:spPr>
                </pic:pic>
              </a:graphicData>
            </a:graphic>
          </wp:anchor>
        </w:drawing>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420" w:type="dxa"/>
            <w:vAlign w:val="bottom"/>
            <w:tcBorders>
              <w:right w:val="single" w:sz="8" w:color="BECE33"/>
            </w:tcBorders>
            <w:gridSpan w:val="2"/>
            <w:vMerge w:val="restart"/>
          </w:tcPr>
          <w:p>
            <w:pPr>
              <w:spacing w:after="0"/>
              <w:rPr>
                <w:sz w:val="20"/>
                <w:szCs w:val="20"/>
                <w:color w:val="auto"/>
              </w:rPr>
            </w:pPr>
            <w:r>
              <w:rPr>
                <w:rFonts w:ascii="Arial" w:cs="Arial" w:eastAsia="Arial" w:hAnsi="Arial"/>
                <w:sz w:val="11"/>
                <w:szCs w:val="11"/>
                <w:i w:val="1"/>
                <w:iCs w:val="1"/>
                <w:color w:val="005A64"/>
              </w:rPr>
              <w:t>in millions €,</w:t>
            </w:r>
          </w:p>
        </w:tc>
        <w:tc>
          <w:tcPr>
            <w:tcW w:w="60" w:type="dxa"/>
            <w:vAlign w:val="bottom"/>
            <w:tcBorders>
              <w:top w:val="single" w:sz="8" w:color="BECE33"/>
            </w:tcBorders>
          </w:tcPr>
          <w:p>
            <w:pPr>
              <w:spacing w:after="0"/>
              <w:rPr>
                <w:sz w:val="14"/>
                <w:szCs w:val="14"/>
                <w:color w:val="auto"/>
              </w:rPr>
            </w:pPr>
          </w:p>
        </w:tc>
        <w:tc>
          <w:tcPr>
            <w:tcW w:w="2960" w:type="dxa"/>
            <w:vAlign w:val="bottom"/>
            <w:tcBorders>
              <w:top w:val="single" w:sz="8" w:color="BECE33"/>
            </w:tcBorders>
            <w:gridSpan w:val="3"/>
          </w:tcPr>
          <w:p>
            <w:pPr>
              <w:ind w:left="1800"/>
              <w:spacing w:after="0"/>
              <w:rPr>
                <w:sz w:val="20"/>
                <w:szCs w:val="20"/>
                <w:color w:val="auto"/>
              </w:rPr>
            </w:pPr>
            <w:r>
              <w:rPr>
                <w:rFonts w:ascii="Arial" w:cs="Arial" w:eastAsia="Arial" w:hAnsi="Arial"/>
                <w:sz w:val="11"/>
                <w:szCs w:val="11"/>
                <w:b w:val="1"/>
                <w:bCs w:val="1"/>
                <w:color w:val="005A64"/>
              </w:rPr>
              <w:t>Full Year 2025</w:t>
            </w:r>
          </w:p>
        </w:tc>
        <w:tc>
          <w:tcPr>
            <w:tcW w:w="1360" w:type="dxa"/>
            <w:vAlign w:val="bottom"/>
            <w:tcBorders>
              <w:top w:val="single" w:sz="8" w:color="BECE33"/>
            </w:tcBorders>
          </w:tcPr>
          <w:p>
            <w:pPr>
              <w:spacing w:after="0"/>
              <w:rPr>
                <w:sz w:val="14"/>
                <w:szCs w:val="14"/>
                <w:color w:val="auto"/>
              </w:rPr>
            </w:pPr>
          </w:p>
        </w:tc>
        <w:tc>
          <w:tcPr>
            <w:tcW w:w="100" w:type="dxa"/>
            <w:vAlign w:val="bottom"/>
            <w:tcBorders>
              <w:top w:val="single" w:sz="8" w:color="BECE33"/>
              <w:right w:val="single" w:sz="8" w:color="BECE33"/>
            </w:tcBorders>
          </w:tcPr>
          <w:p>
            <w:pPr>
              <w:spacing w:after="0"/>
              <w:rPr>
                <w:sz w:val="14"/>
                <w:szCs w:val="14"/>
                <w:color w:val="auto"/>
              </w:rPr>
            </w:pPr>
          </w:p>
        </w:tc>
        <w:tc>
          <w:tcPr>
            <w:tcW w:w="60" w:type="dxa"/>
            <w:vAlign w:val="bottom"/>
          </w:tcPr>
          <w:p>
            <w:pPr>
              <w:spacing w:after="0"/>
              <w:rPr>
                <w:sz w:val="14"/>
                <w:szCs w:val="14"/>
                <w:color w:val="auto"/>
              </w:rPr>
            </w:pPr>
          </w:p>
        </w:tc>
        <w:tc>
          <w:tcPr>
            <w:tcW w:w="2960" w:type="dxa"/>
            <w:vAlign w:val="bottom"/>
            <w:gridSpan w:val="3"/>
          </w:tcPr>
          <w:p>
            <w:pPr>
              <w:ind w:left="1800"/>
              <w:spacing w:after="0"/>
              <w:rPr>
                <w:sz w:val="20"/>
                <w:szCs w:val="20"/>
                <w:color w:val="auto"/>
              </w:rPr>
            </w:pPr>
            <w:r>
              <w:rPr>
                <w:rFonts w:ascii="Arial" w:cs="Arial" w:eastAsia="Arial" w:hAnsi="Arial"/>
                <w:sz w:val="11"/>
                <w:szCs w:val="11"/>
                <w:b w:val="1"/>
                <w:bCs w:val="1"/>
                <w:color w:val="005A64"/>
              </w:rPr>
              <w:t>Full Year 2024</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2420" w:type="dxa"/>
            <w:vAlign w:val="bottom"/>
            <w:tcBorders>
              <w:right w:val="single" w:sz="8" w:color="BECE33"/>
            </w:tcBorders>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320" w:type="dxa"/>
            <w:vAlign w:val="bottom"/>
            <w:tcBorders>
              <w:bottom w:val="single" w:sz="8" w:color="005A64"/>
            </w:tcBorders>
          </w:tcPr>
          <w:p>
            <w:pPr>
              <w:spacing w:after="0"/>
              <w:rPr>
                <w:sz w:val="20"/>
                <w:szCs w:val="20"/>
                <w:color w:val="auto"/>
              </w:rPr>
            </w:pPr>
            <w:r>
              <w:rPr>
                <w:rFonts w:ascii="Arial" w:cs="Arial" w:eastAsia="Arial" w:hAnsi="Arial"/>
                <w:sz w:val="11"/>
                <w:szCs w:val="11"/>
                <w:i w:val="1"/>
                <w:iCs w:val="1"/>
                <w:color w:val="005A64"/>
              </w:rPr>
              <w:t>except per share data</w:t>
            </w:r>
          </w:p>
        </w:tc>
        <w:tc>
          <w:tcPr>
            <w:tcW w:w="100" w:type="dxa"/>
            <w:vAlign w:val="bottom"/>
            <w:tcBorders>
              <w:right w:val="single" w:sz="8" w:color="BECE33"/>
            </w:tcBorders>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IFRS Results</w:t>
            </w:r>
          </w:p>
        </w:tc>
        <w:tc>
          <w:tcPr>
            <w:tcW w:w="160" w:type="dxa"/>
            <w:vAlign w:val="bottom"/>
          </w:tcPr>
          <w:p>
            <w:pPr>
              <w:spacing w:after="0"/>
              <w:rPr>
                <w:sz w:val="14"/>
                <w:szCs w:val="14"/>
                <w:color w:val="auto"/>
              </w:rPr>
            </w:pPr>
          </w:p>
        </w:tc>
        <w:tc>
          <w:tcPr>
            <w:tcW w:w="720" w:type="dxa"/>
            <w:vAlign w:val="bottom"/>
            <w:tcBorders>
              <w:bottom w:val="single" w:sz="8" w:color="005A64"/>
            </w:tcBorders>
          </w:tcPr>
          <w:p>
            <w:pPr>
              <w:spacing w:after="0"/>
              <w:rPr>
                <w:sz w:val="14"/>
                <w:szCs w:val="14"/>
                <w:color w:val="auto"/>
              </w:rPr>
            </w:pPr>
          </w:p>
        </w:tc>
        <w:tc>
          <w:tcPr>
            <w:tcW w:w="136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Adjusted Results</w:t>
            </w:r>
            <w:r>
              <w:rPr>
                <w:rFonts w:ascii="Arial" w:cs="Arial" w:eastAsia="Arial" w:hAnsi="Arial"/>
                <w:sz w:val="14"/>
                <w:szCs w:val="14"/>
                <w:b w:val="1"/>
                <w:bCs w:val="1"/>
                <w:color w:val="005A64"/>
                <w:vertAlign w:val="superscript"/>
              </w:rPr>
              <w:t>3</w:t>
            </w:r>
          </w:p>
        </w:tc>
        <w:tc>
          <w:tcPr>
            <w:tcW w:w="100" w:type="dxa"/>
            <w:vAlign w:val="bottom"/>
            <w:tcBorders>
              <w:right w:val="single" w:sz="8" w:color="BECE33"/>
            </w:tcBorders>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IFRS Results</w:t>
            </w:r>
          </w:p>
        </w:tc>
        <w:tc>
          <w:tcPr>
            <w:tcW w:w="160" w:type="dxa"/>
            <w:vAlign w:val="bottom"/>
          </w:tcPr>
          <w:p>
            <w:pPr>
              <w:spacing w:after="0"/>
              <w:rPr>
                <w:sz w:val="14"/>
                <w:szCs w:val="14"/>
                <w:color w:val="auto"/>
              </w:rPr>
            </w:pPr>
          </w:p>
        </w:tc>
        <w:tc>
          <w:tcPr>
            <w:tcW w:w="720" w:type="dxa"/>
            <w:vAlign w:val="bottom"/>
            <w:tcBorders>
              <w:bottom w:val="single" w:sz="8" w:color="005A64"/>
            </w:tcBorders>
          </w:tcPr>
          <w:p>
            <w:pPr>
              <w:spacing w:after="0"/>
              <w:rPr>
                <w:sz w:val="14"/>
                <w:szCs w:val="14"/>
                <w:color w:val="auto"/>
              </w:rPr>
            </w:pPr>
          </w:p>
        </w:tc>
        <w:tc>
          <w:tcPr>
            <w:tcW w:w="136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Adjusted Results</w:t>
            </w:r>
            <w:r>
              <w:rPr>
                <w:rFonts w:ascii="Arial" w:cs="Arial" w:eastAsia="Arial" w:hAnsi="Arial"/>
                <w:sz w:val="14"/>
                <w:szCs w:val="14"/>
                <w:b w:val="1"/>
                <w:bCs w:val="1"/>
                <w:color w:val="005A64"/>
                <w:vertAlign w:val="superscript"/>
              </w:rPr>
              <w:t>3</w:t>
            </w:r>
          </w:p>
        </w:tc>
        <w:tc>
          <w:tcPr>
            <w:tcW w:w="0" w:type="dxa"/>
            <w:vAlign w:val="bottom"/>
          </w:tcPr>
          <w:p>
            <w:pPr>
              <w:spacing w:after="0"/>
              <w:rPr>
                <w:sz w:val="1"/>
                <w:szCs w:val="1"/>
                <w:color w:val="auto"/>
              </w:rPr>
            </w:pPr>
          </w:p>
        </w:tc>
      </w:tr>
      <w:tr>
        <w:trPr>
          <w:trHeight w:val="153"/>
        </w:trPr>
        <w:tc>
          <w:tcPr>
            <w:tcW w:w="232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005A64"/>
              </w:rPr>
              <w:t>Revenues</w:t>
            </w:r>
          </w:p>
        </w:tc>
        <w:tc>
          <w:tcPr>
            <w:tcW w:w="100" w:type="dxa"/>
            <w:vAlign w:val="bottom"/>
            <w:tcBorders>
              <w:right w:val="single" w:sz="8" w:color="BECE33"/>
            </w:tcBorders>
          </w:tcPr>
          <w:p>
            <w:pPr>
              <w:spacing w:after="0"/>
              <w:rPr>
                <w:sz w:val="13"/>
                <w:szCs w:val="13"/>
                <w:color w:val="auto"/>
              </w:rPr>
            </w:pPr>
          </w:p>
        </w:tc>
        <w:tc>
          <w:tcPr>
            <w:tcW w:w="60" w:type="dxa"/>
            <w:vAlign w:val="bottom"/>
          </w:tcPr>
          <w:p>
            <w:pPr>
              <w:spacing w:after="0"/>
              <w:rPr>
                <w:sz w:val="13"/>
                <w:szCs w:val="13"/>
                <w:color w:val="auto"/>
              </w:rPr>
            </w:pPr>
          </w:p>
        </w:tc>
        <w:tc>
          <w:tcPr>
            <w:tcW w:w="20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2,869.9</w:t>
            </w:r>
          </w:p>
        </w:tc>
        <w:tc>
          <w:tcPr>
            <w:tcW w:w="160" w:type="dxa"/>
            <w:vAlign w:val="bottom"/>
          </w:tcPr>
          <w:p>
            <w:pPr>
              <w:spacing w:after="0"/>
              <w:rPr>
                <w:sz w:val="13"/>
                <w:szCs w:val="13"/>
                <w:color w:val="auto"/>
              </w:rPr>
            </w:pPr>
          </w:p>
        </w:tc>
        <w:tc>
          <w:tcPr>
            <w:tcW w:w="720" w:type="dxa"/>
            <w:vAlign w:val="bottom"/>
            <w:tcBorders>
              <w:bottom w:val="single" w:sz="8" w:color="7FACB1"/>
            </w:tcBorders>
          </w:tcPr>
          <w:p>
            <w:pPr>
              <w:spacing w:after="0"/>
              <w:rPr>
                <w:sz w:val="13"/>
                <w:szCs w:val="13"/>
                <w:color w:val="auto"/>
              </w:rPr>
            </w:pPr>
          </w:p>
        </w:tc>
        <w:tc>
          <w:tcPr>
            <w:tcW w:w="13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2,869.9</w:t>
            </w:r>
          </w:p>
        </w:tc>
        <w:tc>
          <w:tcPr>
            <w:tcW w:w="100" w:type="dxa"/>
            <w:vAlign w:val="bottom"/>
            <w:tcBorders>
              <w:right w:val="single" w:sz="8" w:color="BECE33"/>
            </w:tcBorders>
          </w:tcPr>
          <w:p>
            <w:pPr>
              <w:spacing w:after="0"/>
              <w:rPr>
                <w:sz w:val="13"/>
                <w:szCs w:val="13"/>
                <w:color w:val="auto"/>
              </w:rPr>
            </w:pPr>
          </w:p>
        </w:tc>
        <w:tc>
          <w:tcPr>
            <w:tcW w:w="60" w:type="dxa"/>
            <w:vAlign w:val="bottom"/>
          </w:tcPr>
          <w:p>
            <w:pPr>
              <w:spacing w:after="0"/>
              <w:rPr>
                <w:sz w:val="13"/>
                <w:szCs w:val="13"/>
                <w:color w:val="auto"/>
              </w:rPr>
            </w:pPr>
          </w:p>
        </w:tc>
        <w:tc>
          <w:tcPr>
            <w:tcW w:w="20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2,751.1</w:t>
            </w:r>
          </w:p>
        </w:tc>
        <w:tc>
          <w:tcPr>
            <w:tcW w:w="160" w:type="dxa"/>
            <w:vAlign w:val="bottom"/>
          </w:tcPr>
          <w:p>
            <w:pPr>
              <w:spacing w:after="0"/>
              <w:rPr>
                <w:sz w:val="13"/>
                <w:szCs w:val="13"/>
                <w:color w:val="auto"/>
              </w:rPr>
            </w:pPr>
          </w:p>
        </w:tc>
        <w:tc>
          <w:tcPr>
            <w:tcW w:w="720" w:type="dxa"/>
            <w:vAlign w:val="bottom"/>
            <w:tcBorders>
              <w:bottom w:val="single" w:sz="8" w:color="7FACB1"/>
            </w:tcBorders>
          </w:tcPr>
          <w:p>
            <w:pPr>
              <w:spacing w:after="0"/>
              <w:rPr>
                <w:sz w:val="13"/>
                <w:szCs w:val="13"/>
                <w:color w:val="auto"/>
              </w:rPr>
            </w:pPr>
          </w:p>
        </w:tc>
        <w:tc>
          <w:tcPr>
            <w:tcW w:w="13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2,751.1</w:t>
            </w:r>
          </w:p>
        </w:tc>
        <w:tc>
          <w:tcPr>
            <w:tcW w:w="0" w:type="dxa"/>
            <w:vAlign w:val="bottom"/>
          </w:tcPr>
          <w:p>
            <w:pPr>
              <w:spacing w:after="0"/>
              <w:rPr>
                <w:sz w:val="1"/>
                <w:szCs w:val="1"/>
                <w:color w:val="auto"/>
              </w:rPr>
            </w:pPr>
          </w:p>
        </w:tc>
      </w:tr>
      <w:tr>
        <w:trPr>
          <w:trHeight w:val="160"/>
        </w:trPr>
        <w:tc>
          <w:tcPr>
            <w:tcW w:w="232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005A64"/>
              </w:rPr>
              <w:t>Net profit / (loss)</w:t>
            </w:r>
          </w:p>
        </w:tc>
        <w:tc>
          <w:tcPr>
            <w:tcW w:w="100" w:type="dxa"/>
            <w:vAlign w:val="bottom"/>
            <w:tcBorders>
              <w:right w:val="single" w:sz="8" w:color="BECE33"/>
            </w:tcBorders>
          </w:tcPr>
          <w:p>
            <w:pPr>
              <w:spacing w:after="0"/>
              <w:rPr>
                <w:sz w:val="13"/>
                <w:szCs w:val="13"/>
                <w:color w:val="auto"/>
              </w:rPr>
            </w:pPr>
          </w:p>
        </w:tc>
        <w:tc>
          <w:tcPr>
            <w:tcW w:w="60" w:type="dxa"/>
            <w:vAlign w:val="bottom"/>
          </w:tcPr>
          <w:p>
            <w:pPr>
              <w:spacing w:after="0"/>
              <w:rPr>
                <w:sz w:val="13"/>
                <w:szCs w:val="13"/>
                <w:color w:val="auto"/>
              </w:rPr>
            </w:pPr>
          </w:p>
        </w:tc>
        <w:tc>
          <w:tcPr>
            <w:tcW w:w="20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(1,136.1)</w:t>
            </w:r>
          </w:p>
        </w:tc>
        <w:tc>
          <w:tcPr>
            <w:tcW w:w="160" w:type="dxa"/>
            <w:vAlign w:val="bottom"/>
          </w:tcPr>
          <w:p>
            <w:pPr>
              <w:spacing w:after="0"/>
              <w:rPr>
                <w:sz w:val="13"/>
                <w:szCs w:val="13"/>
                <w:color w:val="auto"/>
              </w:rPr>
            </w:pPr>
          </w:p>
        </w:tc>
        <w:tc>
          <w:tcPr>
            <w:tcW w:w="720" w:type="dxa"/>
            <w:vAlign w:val="bottom"/>
            <w:tcBorders>
              <w:bottom w:val="single" w:sz="8" w:color="7FACB1"/>
            </w:tcBorders>
          </w:tcPr>
          <w:p>
            <w:pPr>
              <w:spacing w:after="0"/>
              <w:rPr>
                <w:sz w:val="13"/>
                <w:szCs w:val="13"/>
                <w:color w:val="auto"/>
              </w:rPr>
            </w:pPr>
          </w:p>
        </w:tc>
        <w:tc>
          <w:tcPr>
            <w:tcW w:w="13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(117.1)</w:t>
            </w:r>
          </w:p>
        </w:tc>
        <w:tc>
          <w:tcPr>
            <w:tcW w:w="100" w:type="dxa"/>
            <w:vAlign w:val="bottom"/>
            <w:tcBorders>
              <w:right w:val="single" w:sz="8" w:color="BECE33"/>
            </w:tcBorders>
          </w:tcPr>
          <w:p>
            <w:pPr>
              <w:spacing w:after="0"/>
              <w:rPr>
                <w:sz w:val="13"/>
                <w:szCs w:val="13"/>
                <w:color w:val="auto"/>
              </w:rPr>
            </w:pPr>
          </w:p>
        </w:tc>
        <w:tc>
          <w:tcPr>
            <w:tcW w:w="60" w:type="dxa"/>
            <w:vAlign w:val="bottom"/>
          </w:tcPr>
          <w:p>
            <w:pPr>
              <w:spacing w:after="0"/>
              <w:rPr>
                <w:sz w:val="13"/>
                <w:szCs w:val="13"/>
                <w:color w:val="auto"/>
              </w:rPr>
            </w:pPr>
          </w:p>
        </w:tc>
        <w:tc>
          <w:tcPr>
            <w:tcW w:w="20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(665.3)</w:t>
            </w:r>
          </w:p>
        </w:tc>
        <w:tc>
          <w:tcPr>
            <w:tcW w:w="160" w:type="dxa"/>
            <w:vAlign w:val="bottom"/>
          </w:tcPr>
          <w:p>
            <w:pPr>
              <w:spacing w:after="0"/>
              <w:rPr>
                <w:sz w:val="13"/>
                <w:szCs w:val="13"/>
                <w:color w:val="auto"/>
              </w:rPr>
            </w:pPr>
          </w:p>
        </w:tc>
        <w:tc>
          <w:tcPr>
            <w:tcW w:w="720" w:type="dxa"/>
            <w:vAlign w:val="bottom"/>
            <w:tcBorders>
              <w:bottom w:val="single" w:sz="8" w:color="7FACB1"/>
            </w:tcBorders>
          </w:tcPr>
          <w:p>
            <w:pPr>
              <w:spacing w:after="0"/>
              <w:rPr>
                <w:sz w:val="13"/>
                <w:szCs w:val="13"/>
                <w:color w:val="auto"/>
              </w:rPr>
            </w:pPr>
          </w:p>
        </w:tc>
        <w:tc>
          <w:tcPr>
            <w:tcW w:w="13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121.7</w:t>
            </w:r>
          </w:p>
        </w:tc>
        <w:tc>
          <w:tcPr>
            <w:tcW w:w="0" w:type="dxa"/>
            <w:vAlign w:val="bottom"/>
          </w:tcPr>
          <w:p>
            <w:pPr>
              <w:spacing w:after="0"/>
              <w:rPr>
                <w:sz w:val="1"/>
                <w:szCs w:val="1"/>
                <w:color w:val="auto"/>
              </w:rPr>
            </w:pPr>
          </w:p>
        </w:tc>
      </w:tr>
      <w:tr>
        <w:trPr>
          <w:trHeight w:val="160"/>
        </w:trPr>
        <w:tc>
          <w:tcPr>
            <w:tcW w:w="232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Diluted earnings / (loss) per share</w:t>
            </w:r>
          </w:p>
        </w:tc>
        <w:tc>
          <w:tcPr>
            <w:tcW w:w="100" w:type="dxa"/>
            <w:vAlign w:val="bottom"/>
            <w:tcBorders>
              <w:right w:val="single" w:sz="8" w:color="BECE33"/>
            </w:tcBorders>
          </w:tcPr>
          <w:p>
            <w:pPr>
              <w:spacing w:after="0"/>
              <w:rPr>
                <w:sz w:val="13"/>
                <w:szCs w:val="13"/>
                <w:color w:val="auto"/>
              </w:rPr>
            </w:pPr>
          </w:p>
        </w:tc>
        <w:tc>
          <w:tcPr>
            <w:tcW w:w="2140" w:type="dxa"/>
            <w:vAlign w:val="bottom"/>
            <w:tcBorders>
              <w:bottom w:val="single" w:sz="8" w:color="BECE33"/>
            </w:tcBorders>
            <w:gridSpan w:val="2"/>
          </w:tcPr>
          <w:p>
            <w:pPr>
              <w:jc w:val="right"/>
              <w:spacing w:after="0"/>
              <w:rPr>
                <w:sz w:val="20"/>
                <w:szCs w:val="20"/>
                <w:color w:val="auto"/>
              </w:rPr>
            </w:pPr>
            <w:r>
              <w:rPr>
                <w:rFonts w:ascii="Arial" w:cs="Arial" w:eastAsia="Arial" w:hAnsi="Arial"/>
                <w:sz w:val="11"/>
                <w:szCs w:val="11"/>
                <w:color w:val="005A64"/>
              </w:rPr>
              <w:t>(4.70)</w:t>
            </w:r>
          </w:p>
        </w:tc>
        <w:tc>
          <w:tcPr>
            <w:tcW w:w="160" w:type="dxa"/>
            <w:vAlign w:val="bottom"/>
            <w:tcBorders>
              <w:bottom w:val="single" w:sz="8" w:color="BECE33"/>
            </w:tcBorders>
          </w:tcPr>
          <w:p>
            <w:pPr>
              <w:spacing w:after="0"/>
              <w:rPr>
                <w:sz w:val="13"/>
                <w:szCs w:val="13"/>
                <w:color w:val="auto"/>
              </w:rPr>
            </w:pPr>
          </w:p>
        </w:tc>
        <w:tc>
          <w:tcPr>
            <w:tcW w:w="720" w:type="dxa"/>
            <w:vAlign w:val="bottom"/>
            <w:tcBorders>
              <w:bottom w:val="single" w:sz="8" w:color="BECE33"/>
            </w:tcBorders>
          </w:tcPr>
          <w:p>
            <w:pPr>
              <w:spacing w:after="0"/>
              <w:rPr>
                <w:sz w:val="13"/>
                <w:szCs w:val="13"/>
                <w:color w:val="auto"/>
              </w:rPr>
            </w:pPr>
          </w:p>
        </w:tc>
        <w:tc>
          <w:tcPr>
            <w:tcW w:w="1360" w:type="dxa"/>
            <w:vAlign w:val="bottom"/>
            <w:tcBorders>
              <w:bottom w:val="single" w:sz="8" w:color="BECE33"/>
            </w:tcBorders>
          </w:tcPr>
          <w:p>
            <w:pPr>
              <w:jc w:val="right"/>
              <w:spacing w:after="0"/>
              <w:rPr>
                <w:sz w:val="20"/>
                <w:szCs w:val="20"/>
                <w:color w:val="auto"/>
              </w:rPr>
            </w:pPr>
            <w:r>
              <w:rPr>
                <w:rFonts w:ascii="Arial" w:cs="Arial" w:eastAsia="Arial" w:hAnsi="Arial"/>
                <w:sz w:val="11"/>
                <w:szCs w:val="11"/>
                <w:color w:val="005A64"/>
              </w:rPr>
              <w:t>(0.48)</w:t>
            </w:r>
          </w:p>
        </w:tc>
        <w:tc>
          <w:tcPr>
            <w:tcW w:w="100" w:type="dxa"/>
            <w:vAlign w:val="bottom"/>
            <w:tcBorders>
              <w:bottom w:val="single" w:sz="8" w:color="BECE33"/>
              <w:right w:val="single" w:sz="8" w:color="BECE33"/>
            </w:tcBorders>
          </w:tcPr>
          <w:p>
            <w:pPr>
              <w:spacing w:after="0"/>
              <w:rPr>
                <w:sz w:val="13"/>
                <w:szCs w:val="13"/>
                <w:color w:val="auto"/>
              </w:rPr>
            </w:pPr>
          </w:p>
        </w:tc>
        <w:tc>
          <w:tcPr>
            <w:tcW w:w="60" w:type="dxa"/>
            <w:vAlign w:val="bottom"/>
          </w:tcPr>
          <w:p>
            <w:pPr>
              <w:spacing w:after="0"/>
              <w:rPr>
                <w:sz w:val="13"/>
                <w:szCs w:val="13"/>
                <w:color w:val="auto"/>
              </w:rPr>
            </w:pPr>
          </w:p>
        </w:tc>
        <w:tc>
          <w:tcPr>
            <w:tcW w:w="2080" w:type="dxa"/>
            <w:vAlign w:val="bottom"/>
            <w:tcBorders>
              <w:bottom w:val="single" w:sz="8" w:color="005A64"/>
            </w:tcBorders>
          </w:tcPr>
          <w:p>
            <w:pPr>
              <w:jc w:val="right"/>
              <w:spacing w:after="0"/>
              <w:rPr>
                <w:sz w:val="20"/>
                <w:szCs w:val="20"/>
                <w:color w:val="auto"/>
              </w:rPr>
            </w:pPr>
            <w:r>
              <w:rPr>
                <w:rFonts w:ascii="Arial" w:cs="Arial" w:eastAsia="Arial" w:hAnsi="Arial"/>
                <w:sz w:val="11"/>
                <w:szCs w:val="11"/>
                <w:color w:val="005A64"/>
              </w:rPr>
              <w:t>(2.77)</w:t>
            </w:r>
          </w:p>
        </w:tc>
        <w:tc>
          <w:tcPr>
            <w:tcW w:w="160" w:type="dxa"/>
            <w:vAlign w:val="bottom"/>
          </w:tcPr>
          <w:p>
            <w:pPr>
              <w:spacing w:after="0"/>
              <w:rPr>
                <w:sz w:val="13"/>
                <w:szCs w:val="13"/>
                <w:color w:val="auto"/>
              </w:rPr>
            </w:pPr>
          </w:p>
        </w:tc>
        <w:tc>
          <w:tcPr>
            <w:tcW w:w="720" w:type="dxa"/>
            <w:vAlign w:val="bottom"/>
            <w:tcBorders>
              <w:bottom w:val="single" w:sz="8" w:color="005A64"/>
            </w:tcBorders>
          </w:tcPr>
          <w:p>
            <w:pPr>
              <w:spacing w:after="0"/>
              <w:rPr>
                <w:sz w:val="13"/>
                <w:szCs w:val="13"/>
                <w:color w:val="auto"/>
              </w:rPr>
            </w:pPr>
          </w:p>
        </w:tc>
        <w:tc>
          <w:tcPr>
            <w:tcW w:w="1360" w:type="dxa"/>
            <w:vAlign w:val="bottom"/>
            <w:tcBorders>
              <w:bottom w:val="single" w:sz="8" w:color="005A64"/>
            </w:tcBorders>
          </w:tcPr>
          <w:p>
            <w:pPr>
              <w:jc w:val="right"/>
              <w:spacing w:after="0"/>
              <w:rPr>
                <w:sz w:val="20"/>
                <w:szCs w:val="20"/>
                <w:color w:val="auto"/>
              </w:rPr>
            </w:pPr>
            <w:r>
              <w:rPr>
                <w:rFonts w:ascii="Arial" w:cs="Arial" w:eastAsia="Arial" w:hAnsi="Arial"/>
                <w:sz w:val="11"/>
                <w:szCs w:val="11"/>
                <w:color w:val="005A64"/>
              </w:rPr>
              <w:t>0.50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300"/>
          </w:cols>
          <w:pgMar w:left="300" w:top="170" w:right="2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6"/>
        </w:trPr>
        <w:tc>
          <w:tcPr>
            <w:tcW w:w="2420" w:type="dxa"/>
            <w:vAlign w:val="bottom"/>
            <w:tcBorders>
              <w:right w:val="single" w:sz="8" w:color="BECE33"/>
            </w:tcBorders>
            <w:gridSpan w:val="2"/>
            <w:vMerge w:val="restart"/>
          </w:tcPr>
          <w:p>
            <w:pPr>
              <w:spacing w:after="0"/>
              <w:rPr>
                <w:sz w:val="20"/>
                <w:szCs w:val="20"/>
                <w:color w:val="auto"/>
              </w:rPr>
            </w:pPr>
            <w:r>
              <w:rPr>
                <w:rFonts w:ascii="Arial" w:cs="Arial" w:eastAsia="Arial" w:hAnsi="Arial"/>
                <w:sz w:val="11"/>
                <w:szCs w:val="11"/>
                <w:i w:val="1"/>
                <w:iCs w:val="1"/>
                <w:color w:val="005A64"/>
              </w:rPr>
              <w:t>in millions €,</w:t>
            </w:r>
          </w:p>
        </w:tc>
        <w:tc>
          <w:tcPr>
            <w:tcW w:w="60" w:type="dxa"/>
            <w:vAlign w:val="bottom"/>
            <w:tcBorders>
              <w:top w:val="single" w:sz="8" w:color="BECE33"/>
            </w:tcBorders>
          </w:tcPr>
          <w:p>
            <w:pPr>
              <w:spacing w:after="0"/>
              <w:rPr>
                <w:sz w:val="14"/>
                <w:szCs w:val="14"/>
                <w:color w:val="auto"/>
              </w:rPr>
            </w:pPr>
          </w:p>
        </w:tc>
        <w:tc>
          <w:tcPr>
            <w:tcW w:w="3020" w:type="dxa"/>
            <w:vAlign w:val="bottom"/>
            <w:tcBorders>
              <w:top w:val="single" w:sz="8" w:color="BECE33"/>
            </w:tcBorders>
            <w:gridSpan w:val="3"/>
          </w:tcPr>
          <w:p>
            <w:pPr>
              <w:ind w:left="1640"/>
              <w:spacing w:after="0"/>
              <w:rPr>
                <w:sz w:val="20"/>
                <w:szCs w:val="20"/>
                <w:color w:val="auto"/>
              </w:rPr>
            </w:pPr>
            <w:r>
              <w:rPr>
                <w:rFonts w:ascii="Arial" w:cs="Arial" w:eastAsia="Arial" w:hAnsi="Arial"/>
                <w:sz w:val="11"/>
                <w:szCs w:val="11"/>
                <w:b w:val="1"/>
                <w:bCs w:val="1"/>
                <w:color w:val="005A64"/>
              </w:rPr>
              <w:t>Fourth Quarter 2025</w:t>
            </w:r>
          </w:p>
        </w:tc>
        <w:tc>
          <w:tcPr>
            <w:tcW w:w="1300" w:type="dxa"/>
            <w:vAlign w:val="bottom"/>
            <w:tcBorders>
              <w:top w:val="single" w:sz="8" w:color="BECE33"/>
            </w:tcBorders>
          </w:tcPr>
          <w:p>
            <w:pPr>
              <w:spacing w:after="0"/>
              <w:rPr>
                <w:sz w:val="14"/>
                <w:szCs w:val="14"/>
                <w:color w:val="auto"/>
              </w:rPr>
            </w:pPr>
          </w:p>
        </w:tc>
        <w:tc>
          <w:tcPr>
            <w:tcW w:w="100" w:type="dxa"/>
            <w:vAlign w:val="bottom"/>
            <w:tcBorders>
              <w:top w:val="single" w:sz="8" w:color="BECE33"/>
              <w:right w:val="single" w:sz="8" w:color="BECE33"/>
            </w:tcBorders>
          </w:tcPr>
          <w:p>
            <w:pPr>
              <w:spacing w:after="0"/>
              <w:rPr>
                <w:sz w:val="14"/>
                <w:szCs w:val="14"/>
                <w:color w:val="auto"/>
              </w:rPr>
            </w:pPr>
          </w:p>
        </w:tc>
        <w:tc>
          <w:tcPr>
            <w:tcW w:w="60" w:type="dxa"/>
            <w:vAlign w:val="bottom"/>
          </w:tcPr>
          <w:p>
            <w:pPr>
              <w:spacing w:after="0"/>
              <w:rPr>
                <w:sz w:val="14"/>
                <w:szCs w:val="14"/>
                <w:color w:val="auto"/>
              </w:rPr>
            </w:pPr>
          </w:p>
        </w:tc>
        <w:tc>
          <w:tcPr>
            <w:tcW w:w="3020" w:type="dxa"/>
            <w:vAlign w:val="bottom"/>
            <w:gridSpan w:val="3"/>
          </w:tcPr>
          <w:p>
            <w:pPr>
              <w:ind w:left="1640"/>
              <w:spacing w:after="0"/>
              <w:rPr>
                <w:sz w:val="20"/>
                <w:szCs w:val="20"/>
                <w:color w:val="auto"/>
              </w:rPr>
            </w:pPr>
            <w:r>
              <w:rPr>
                <w:rFonts w:ascii="Arial" w:cs="Arial" w:eastAsia="Arial" w:hAnsi="Arial"/>
                <w:sz w:val="11"/>
                <w:szCs w:val="11"/>
                <w:b w:val="1"/>
                <w:bCs w:val="1"/>
                <w:color w:val="005A64"/>
              </w:rPr>
              <w:t>Fourth Quarter 2024</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2420" w:type="dxa"/>
            <w:vAlign w:val="bottom"/>
            <w:tcBorders>
              <w:right w:val="single" w:sz="8" w:color="BECE33"/>
            </w:tcBorders>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320" w:type="dxa"/>
            <w:vAlign w:val="bottom"/>
            <w:tcBorders>
              <w:bottom w:val="single" w:sz="8" w:color="005A64"/>
            </w:tcBorders>
          </w:tcPr>
          <w:p>
            <w:pPr>
              <w:spacing w:after="0"/>
              <w:rPr>
                <w:sz w:val="20"/>
                <w:szCs w:val="20"/>
                <w:color w:val="auto"/>
              </w:rPr>
            </w:pPr>
            <w:r>
              <w:rPr>
                <w:rFonts w:ascii="Arial" w:cs="Arial" w:eastAsia="Arial" w:hAnsi="Arial"/>
                <w:sz w:val="11"/>
                <w:szCs w:val="11"/>
                <w:i w:val="1"/>
                <w:iCs w:val="1"/>
                <w:color w:val="005A64"/>
              </w:rPr>
              <w:t>except per share data</w:t>
            </w:r>
          </w:p>
        </w:tc>
        <w:tc>
          <w:tcPr>
            <w:tcW w:w="100" w:type="dxa"/>
            <w:vAlign w:val="bottom"/>
            <w:tcBorders>
              <w:right w:val="single" w:sz="8" w:color="BECE33"/>
            </w:tcBorders>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IFRS Results</w:t>
            </w:r>
          </w:p>
        </w:tc>
        <w:tc>
          <w:tcPr>
            <w:tcW w:w="160" w:type="dxa"/>
            <w:vAlign w:val="bottom"/>
          </w:tcPr>
          <w:p>
            <w:pPr>
              <w:spacing w:after="0"/>
              <w:rPr>
                <w:sz w:val="14"/>
                <w:szCs w:val="14"/>
                <w:color w:val="auto"/>
              </w:rPr>
            </w:pPr>
          </w:p>
        </w:tc>
        <w:tc>
          <w:tcPr>
            <w:tcW w:w="780" w:type="dxa"/>
            <w:vAlign w:val="bottom"/>
            <w:tcBorders>
              <w:bottom w:val="single" w:sz="8" w:color="005A64"/>
            </w:tcBorders>
          </w:tcPr>
          <w:p>
            <w:pPr>
              <w:spacing w:after="0"/>
              <w:rPr>
                <w:sz w:val="14"/>
                <w:szCs w:val="14"/>
                <w:color w:val="auto"/>
              </w:rPr>
            </w:pPr>
          </w:p>
        </w:tc>
        <w:tc>
          <w:tcPr>
            <w:tcW w:w="13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Adjusted Results</w:t>
            </w:r>
            <w:r>
              <w:rPr>
                <w:rFonts w:ascii="Arial" w:cs="Arial" w:eastAsia="Arial" w:hAnsi="Arial"/>
                <w:sz w:val="14"/>
                <w:szCs w:val="14"/>
                <w:b w:val="1"/>
                <w:bCs w:val="1"/>
                <w:color w:val="005A64"/>
                <w:vertAlign w:val="superscript"/>
              </w:rPr>
              <w:t>3</w:t>
            </w:r>
          </w:p>
        </w:tc>
        <w:tc>
          <w:tcPr>
            <w:tcW w:w="100" w:type="dxa"/>
            <w:vAlign w:val="bottom"/>
            <w:tcBorders>
              <w:right w:val="single" w:sz="8" w:color="BECE33"/>
            </w:tcBorders>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IFRS Results</w:t>
            </w:r>
          </w:p>
        </w:tc>
        <w:tc>
          <w:tcPr>
            <w:tcW w:w="160" w:type="dxa"/>
            <w:vAlign w:val="bottom"/>
          </w:tcPr>
          <w:p>
            <w:pPr>
              <w:spacing w:after="0"/>
              <w:rPr>
                <w:sz w:val="14"/>
                <w:szCs w:val="14"/>
                <w:color w:val="auto"/>
              </w:rPr>
            </w:pPr>
          </w:p>
        </w:tc>
        <w:tc>
          <w:tcPr>
            <w:tcW w:w="780" w:type="dxa"/>
            <w:vAlign w:val="bottom"/>
            <w:tcBorders>
              <w:bottom w:val="single" w:sz="8" w:color="005A64"/>
            </w:tcBorders>
          </w:tcPr>
          <w:p>
            <w:pPr>
              <w:spacing w:after="0"/>
              <w:rPr>
                <w:sz w:val="14"/>
                <w:szCs w:val="14"/>
                <w:color w:val="auto"/>
              </w:rPr>
            </w:pPr>
          </w:p>
        </w:tc>
        <w:tc>
          <w:tcPr>
            <w:tcW w:w="13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Adjusted Results</w:t>
            </w:r>
            <w:r>
              <w:rPr>
                <w:rFonts w:ascii="Arial" w:cs="Arial" w:eastAsia="Arial" w:hAnsi="Arial"/>
                <w:sz w:val="14"/>
                <w:szCs w:val="14"/>
                <w:b w:val="1"/>
                <w:bCs w:val="1"/>
                <w:color w:val="005A64"/>
                <w:vertAlign w:val="superscript"/>
              </w:rPr>
              <w:t>3</w:t>
            </w:r>
          </w:p>
        </w:tc>
        <w:tc>
          <w:tcPr>
            <w:tcW w:w="0" w:type="dxa"/>
            <w:vAlign w:val="bottom"/>
          </w:tcPr>
          <w:p>
            <w:pPr>
              <w:spacing w:after="0"/>
              <w:rPr>
                <w:sz w:val="1"/>
                <w:szCs w:val="1"/>
                <w:color w:val="auto"/>
              </w:rPr>
            </w:pPr>
          </w:p>
        </w:tc>
      </w:tr>
      <w:tr>
        <w:trPr>
          <w:trHeight w:val="153"/>
        </w:trPr>
        <w:tc>
          <w:tcPr>
            <w:tcW w:w="232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005A64"/>
              </w:rPr>
              <w:t>Revenues</w:t>
            </w:r>
          </w:p>
        </w:tc>
        <w:tc>
          <w:tcPr>
            <w:tcW w:w="100" w:type="dxa"/>
            <w:vAlign w:val="bottom"/>
            <w:tcBorders>
              <w:right w:val="single" w:sz="8" w:color="BECE33"/>
            </w:tcBorders>
          </w:tcPr>
          <w:p>
            <w:pPr>
              <w:spacing w:after="0"/>
              <w:rPr>
                <w:sz w:val="13"/>
                <w:szCs w:val="13"/>
                <w:color w:val="auto"/>
              </w:rPr>
            </w:pPr>
          </w:p>
        </w:tc>
        <w:tc>
          <w:tcPr>
            <w:tcW w:w="60" w:type="dxa"/>
            <w:vAlign w:val="bottom"/>
          </w:tcPr>
          <w:p>
            <w:pPr>
              <w:spacing w:after="0"/>
              <w:rPr>
                <w:sz w:val="13"/>
                <w:szCs w:val="13"/>
                <w:color w:val="auto"/>
              </w:rPr>
            </w:pPr>
          </w:p>
        </w:tc>
        <w:tc>
          <w:tcPr>
            <w:tcW w:w="20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907.4</w:t>
            </w:r>
          </w:p>
        </w:tc>
        <w:tc>
          <w:tcPr>
            <w:tcW w:w="160" w:type="dxa"/>
            <w:vAlign w:val="bottom"/>
          </w:tcPr>
          <w:p>
            <w:pPr>
              <w:spacing w:after="0"/>
              <w:rPr>
                <w:sz w:val="13"/>
                <w:szCs w:val="13"/>
                <w:color w:val="auto"/>
              </w:rPr>
            </w:pPr>
          </w:p>
        </w:tc>
        <w:tc>
          <w:tcPr>
            <w:tcW w:w="780" w:type="dxa"/>
            <w:vAlign w:val="bottom"/>
            <w:tcBorders>
              <w:bottom w:val="single" w:sz="8" w:color="7FACB1"/>
            </w:tcBorders>
          </w:tcPr>
          <w:p>
            <w:pPr>
              <w:spacing w:after="0"/>
              <w:rPr>
                <w:sz w:val="13"/>
                <w:szCs w:val="13"/>
                <w:color w:val="auto"/>
              </w:rPr>
            </w:pPr>
          </w:p>
        </w:tc>
        <w:tc>
          <w:tcPr>
            <w:tcW w:w="13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907.4</w:t>
            </w:r>
          </w:p>
        </w:tc>
        <w:tc>
          <w:tcPr>
            <w:tcW w:w="100" w:type="dxa"/>
            <w:vAlign w:val="bottom"/>
            <w:tcBorders>
              <w:right w:val="single" w:sz="8" w:color="BECE33"/>
            </w:tcBorders>
          </w:tcPr>
          <w:p>
            <w:pPr>
              <w:spacing w:after="0"/>
              <w:rPr>
                <w:sz w:val="13"/>
                <w:szCs w:val="13"/>
                <w:color w:val="auto"/>
              </w:rPr>
            </w:pPr>
          </w:p>
        </w:tc>
        <w:tc>
          <w:tcPr>
            <w:tcW w:w="60" w:type="dxa"/>
            <w:vAlign w:val="bottom"/>
          </w:tcPr>
          <w:p>
            <w:pPr>
              <w:spacing w:after="0"/>
              <w:rPr>
                <w:sz w:val="13"/>
                <w:szCs w:val="13"/>
                <w:color w:val="auto"/>
              </w:rPr>
            </w:pPr>
          </w:p>
        </w:tc>
        <w:tc>
          <w:tcPr>
            <w:tcW w:w="20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1,190.0</w:t>
            </w:r>
          </w:p>
        </w:tc>
        <w:tc>
          <w:tcPr>
            <w:tcW w:w="160" w:type="dxa"/>
            <w:vAlign w:val="bottom"/>
          </w:tcPr>
          <w:p>
            <w:pPr>
              <w:spacing w:after="0"/>
              <w:rPr>
                <w:sz w:val="13"/>
                <w:szCs w:val="13"/>
                <w:color w:val="auto"/>
              </w:rPr>
            </w:pPr>
          </w:p>
        </w:tc>
        <w:tc>
          <w:tcPr>
            <w:tcW w:w="780" w:type="dxa"/>
            <w:vAlign w:val="bottom"/>
            <w:tcBorders>
              <w:bottom w:val="single" w:sz="8" w:color="7FACB1"/>
            </w:tcBorders>
          </w:tcPr>
          <w:p>
            <w:pPr>
              <w:spacing w:after="0"/>
              <w:rPr>
                <w:sz w:val="13"/>
                <w:szCs w:val="13"/>
                <w:color w:val="auto"/>
              </w:rPr>
            </w:pPr>
          </w:p>
        </w:tc>
        <w:tc>
          <w:tcPr>
            <w:tcW w:w="13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1,190.0</w:t>
            </w:r>
          </w:p>
        </w:tc>
        <w:tc>
          <w:tcPr>
            <w:tcW w:w="0" w:type="dxa"/>
            <w:vAlign w:val="bottom"/>
          </w:tcPr>
          <w:p>
            <w:pPr>
              <w:spacing w:after="0"/>
              <w:rPr>
                <w:sz w:val="1"/>
                <w:szCs w:val="1"/>
                <w:color w:val="auto"/>
              </w:rPr>
            </w:pPr>
          </w:p>
        </w:tc>
      </w:tr>
      <w:tr>
        <w:trPr>
          <w:trHeight w:val="160"/>
        </w:trPr>
        <w:tc>
          <w:tcPr>
            <w:tcW w:w="232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005A64"/>
              </w:rPr>
              <w:t>Net profit / (loss)</w:t>
            </w:r>
          </w:p>
        </w:tc>
        <w:tc>
          <w:tcPr>
            <w:tcW w:w="100" w:type="dxa"/>
            <w:vAlign w:val="bottom"/>
            <w:tcBorders>
              <w:right w:val="single" w:sz="8" w:color="BECE33"/>
            </w:tcBorders>
          </w:tcPr>
          <w:p>
            <w:pPr>
              <w:spacing w:after="0"/>
              <w:rPr>
                <w:sz w:val="13"/>
                <w:szCs w:val="13"/>
                <w:color w:val="auto"/>
              </w:rPr>
            </w:pPr>
          </w:p>
        </w:tc>
        <w:tc>
          <w:tcPr>
            <w:tcW w:w="60" w:type="dxa"/>
            <w:vAlign w:val="bottom"/>
          </w:tcPr>
          <w:p>
            <w:pPr>
              <w:spacing w:after="0"/>
              <w:rPr>
                <w:sz w:val="13"/>
                <w:szCs w:val="13"/>
                <w:color w:val="auto"/>
              </w:rPr>
            </w:pPr>
          </w:p>
        </w:tc>
        <w:tc>
          <w:tcPr>
            <w:tcW w:w="20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(305.0)</w:t>
            </w:r>
          </w:p>
        </w:tc>
        <w:tc>
          <w:tcPr>
            <w:tcW w:w="160" w:type="dxa"/>
            <w:vAlign w:val="bottom"/>
          </w:tcPr>
          <w:p>
            <w:pPr>
              <w:spacing w:after="0"/>
              <w:rPr>
                <w:sz w:val="13"/>
                <w:szCs w:val="13"/>
                <w:color w:val="auto"/>
              </w:rPr>
            </w:pPr>
          </w:p>
        </w:tc>
        <w:tc>
          <w:tcPr>
            <w:tcW w:w="780" w:type="dxa"/>
            <w:vAlign w:val="bottom"/>
            <w:tcBorders>
              <w:bottom w:val="single" w:sz="8" w:color="7FACB1"/>
            </w:tcBorders>
          </w:tcPr>
          <w:p>
            <w:pPr>
              <w:spacing w:after="0"/>
              <w:rPr>
                <w:sz w:val="13"/>
                <w:szCs w:val="13"/>
                <w:color w:val="auto"/>
              </w:rPr>
            </w:pPr>
          </w:p>
        </w:tc>
        <w:tc>
          <w:tcPr>
            <w:tcW w:w="13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(79.5)</w:t>
            </w:r>
          </w:p>
        </w:tc>
        <w:tc>
          <w:tcPr>
            <w:tcW w:w="100" w:type="dxa"/>
            <w:vAlign w:val="bottom"/>
            <w:tcBorders>
              <w:right w:val="single" w:sz="8" w:color="BECE33"/>
            </w:tcBorders>
          </w:tcPr>
          <w:p>
            <w:pPr>
              <w:spacing w:after="0"/>
              <w:rPr>
                <w:sz w:val="13"/>
                <w:szCs w:val="13"/>
                <w:color w:val="auto"/>
              </w:rPr>
            </w:pPr>
          </w:p>
        </w:tc>
        <w:tc>
          <w:tcPr>
            <w:tcW w:w="60" w:type="dxa"/>
            <w:vAlign w:val="bottom"/>
          </w:tcPr>
          <w:p>
            <w:pPr>
              <w:spacing w:after="0"/>
              <w:rPr>
                <w:sz w:val="13"/>
                <w:szCs w:val="13"/>
                <w:color w:val="auto"/>
              </w:rPr>
            </w:pPr>
          </w:p>
        </w:tc>
        <w:tc>
          <w:tcPr>
            <w:tcW w:w="20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259.5</w:t>
            </w:r>
          </w:p>
        </w:tc>
        <w:tc>
          <w:tcPr>
            <w:tcW w:w="160" w:type="dxa"/>
            <w:vAlign w:val="bottom"/>
          </w:tcPr>
          <w:p>
            <w:pPr>
              <w:spacing w:after="0"/>
              <w:rPr>
                <w:sz w:val="13"/>
                <w:szCs w:val="13"/>
                <w:color w:val="auto"/>
              </w:rPr>
            </w:pPr>
          </w:p>
        </w:tc>
        <w:tc>
          <w:tcPr>
            <w:tcW w:w="780" w:type="dxa"/>
            <w:vAlign w:val="bottom"/>
            <w:tcBorders>
              <w:bottom w:val="single" w:sz="8" w:color="7FACB1"/>
            </w:tcBorders>
          </w:tcPr>
          <w:p>
            <w:pPr>
              <w:spacing w:after="0"/>
              <w:rPr>
                <w:sz w:val="13"/>
                <w:szCs w:val="13"/>
                <w:color w:val="auto"/>
              </w:rPr>
            </w:pPr>
          </w:p>
        </w:tc>
        <w:tc>
          <w:tcPr>
            <w:tcW w:w="13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432.4</w:t>
            </w:r>
          </w:p>
        </w:tc>
        <w:tc>
          <w:tcPr>
            <w:tcW w:w="0" w:type="dxa"/>
            <w:vAlign w:val="bottom"/>
          </w:tcPr>
          <w:p>
            <w:pPr>
              <w:spacing w:after="0"/>
              <w:rPr>
                <w:sz w:val="1"/>
                <w:szCs w:val="1"/>
                <w:color w:val="auto"/>
              </w:rPr>
            </w:pPr>
          </w:p>
        </w:tc>
      </w:tr>
      <w:tr>
        <w:trPr>
          <w:trHeight w:val="160"/>
        </w:trPr>
        <w:tc>
          <w:tcPr>
            <w:tcW w:w="232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Diluted earnings / (loss) per share</w:t>
            </w:r>
          </w:p>
        </w:tc>
        <w:tc>
          <w:tcPr>
            <w:tcW w:w="100" w:type="dxa"/>
            <w:vAlign w:val="bottom"/>
            <w:tcBorders>
              <w:right w:val="single" w:sz="8" w:color="BECE33"/>
            </w:tcBorders>
          </w:tcPr>
          <w:p>
            <w:pPr>
              <w:spacing w:after="0"/>
              <w:rPr>
                <w:sz w:val="13"/>
                <w:szCs w:val="13"/>
                <w:color w:val="auto"/>
              </w:rPr>
            </w:pPr>
          </w:p>
        </w:tc>
        <w:tc>
          <w:tcPr>
            <w:tcW w:w="2140" w:type="dxa"/>
            <w:vAlign w:val="bottom"/>
            <w:tcBorders>
              <w:bottom w:val="single" w:sz="8" w:color="BECE33"/>
            </w:tcBorders>
            <w:gridSpan w:val="2"/>
          </w:tcPr>
          <w:p>
            <w:pPr>
              <w:jc w:val="right"/>
              <w:spacing w:after="0"/>
              <w:rPr>
                <w:sz w:val="20"/>
                <w:szCs w:val="20"/>
                <w:color w:val="auto"/>
              </w:rPr>
            </w:pPr>
            <w:r>
              <w:rPr>
                <w:rFonts w:ascii="Arial" w:cs="Arial" w:eastAsia="Arial" w:hAnsi="Arial"/>
                <w:sz w:val="11"/>
                <w:szCs w:val="11"/>
                <w:color w:val="005A64"/>
              </w:rPr>
              <w:t>(1.25)</w:t>
            </w:r>
          </w:p>
        </w:tc>
        <w:tc>
          <w:tcPr>
            <w:tcW w:w="160" w:type="dxa"/>
            <w:vAlign w:val="bottom"/>
            <w:tcBorders>
              <w:bottom w:val="single" w:sz="8" w:color="BECE33"/>
            </w:tcBorders>
          </w:tcPr>
          <w:p>
            <w:pPr>
              <w:spacing w:after="0"/>
              <w:rPr>
                <w:sz w:val="13"/>
                <w:szCs w:val="13"/>
                <w:color w:val="auto"/>
              </w:rPr>
            </w:pPr>
          </w:p>
        </w:tc>
        <w:tc>
          <w:tcPr>
            <w:tcW w:w="780" w:type="dxa"/>
            <w:vAlign w:val="bottom"/>
            <w:tcBorders>
              <w:bottom w:val="single" w:sz="8" w:color="BECE33"/>
            </w:tcBorders>
          </w:tcPr>
          <w:p>
            <w:pPr>
              <w:spacing w:after="0"/>
              <w:rPr>
                <w:sz w:val="13"/>
                <w:szCs w:val="13"/>
                <w:color w:val="auto"/>
              </w:rPr>
            </w:pPr>
          </w:p>
        </w:tc>
        <w:tc>
          <w:tcPr>
            <w:tcW w:w="1300" w:type="dxa"/>
            <w:vAlign w:val="bottom"/>
            <w:tcBorders>
              <w:bottom w:val="single" w:sz="8" w:color="BECE33"/>
            </w:tcBorders>
          </w:tcPr>
          <w:p>
            <w:pPr>
              <w:jc w:val="right"/>
              <w:spacing w:after="0"/>
              <w:rPr>
                <w:sz w:val="20"/>
                <w:szCs w:val="20"/>
                <w:color w:val="auto"/>
              </w:rPr>
            </w:pPr>
            <w:r>
              <w:rPr>
                <w:rFonts w:ascii="Arial" w:cs="Arial" w:eastAsia="Arial" w:hAnsi="Arial"/>
                <w:sz w:val="11"/>
                <w:szCs w:val="11"/>
                <w:color w:val="005A64"/>
              </w:rPr>
              <w:t>(0.33)</w:t>
            </w:r>
          </w:p>
        </w:tc>
        <w:tc>
          <w:tcPr>
            <w:tcW w:w="100" w:type="dxa"/>
            <w:vAlign w:val="bottom"/>
            <w:tcBorders>
              <w:bottom w:val="single" w:sz="8" w:color="BECE33"/>
              <w:right w:val="single" w:sz="8" w:color="BECE33"/>
            </w:tcBorders>
          </w:tcPr>
          <w:p>
            <w:pPr>
              <w:spacing w:after="0"/>
              <w:rPr>
                <w:sz w:val="13"/>
                <w:szCs w:val="13"/>
                <w:color w:val="auto"/>
              </w:rPr>
            </w:pPr>
          </w:p>
        </w:tc>
        <w:tc>
          <w:tcPr>
            <w:tcW w:w="60" w:type="dxa"/>
            <w:vAlign w:val="bottom"/>
          </w:tcPr>
          <w:p>
            <w:pPr>
              <w:spacing w:after="0"/>
              <w:rPr>
                <w:sz w:val="13"/>
                <w:szCs w:val="13"/>
                <w:color w:val="auto"/>
              </w:rPr>
            </w:pPr>
          </w:p>
        </w:tc>
        <w:tc>
          <w:tcPr>
            <w:tcW w:w="2080" w:type="dxa"/>
            <w:vAlign w:val="bottom"/>
            <w:tcBorders>
              <w:bottom w:val="single" w:sz="8" w:color="005A64"/>
            </w:tcBorders>
          </w:tcPr>
          <w:p>
            <w:pPr>
              <w:jc w:val="right"/>
              <w:spacing w:after="0"/>
              <w:rPr>
                <w:sz w:val="20"/>
                <w:szCs w:val="20"/>
                <w:color w:val="auto"/>
              </w:rPr>
            </w:pPr>
            <w:r>
              <w:rPr>
                <w:rFonts w:ascii="Arial" w:cs="Arial" w:eastAsia="Arial" w:hAnsi="Arial"/>
                <w:sz w:val="11"/>
                <w:szCs w:val="11"/>
                <w:color w:val="005A64"/>
              </w:rPr>
              <w:t>1.08</w:t>
            </w:r>
          </w:p>
        </w:tc>
        <w:tc>
          <w:tcPr>
            <w:tcW w:w="160" w:type="dxa"/>
            <w:vAlign w:val="bottom"/>
          </w:tcPr>
          <w:p>
            <w:pPr>
              <w:spacing w:after="0"/>
              <w:rPr>
                <w:sz w:val="13"/>
                <w:szCs w:val="13"/>
                <w:color w:val="auto"/>
              </w:rPr>
            </w:pPr>
          </w:p>
        </w:tc>
        <w:tc>
          <w:tcPr>
            <w:tcW w:w="780" w:type="dxa"/>
            <w:vAlign w:val="bottom"/>
            <w:tcBorders>
              <w:bottom w:val="single" w:sz="8" w:color="005A64"/>
            </w:tcBorders>
          </w:tcPr>
          <w:p>
            <w:pPr>
              <w:spacing w:after="0"/>
              <w:rPr>
                <w:sz w:val="13"/>
                <w:szCs w:val="13"/>
                <w:color w:val="auto"/>
              </w:rPr>
            </w:pPr>
          </w:p>
        </w:tc>
        <w:tc>
          <w:tcPr>
            <w:tcW w:w="1300" w:type="dxa"/>
            <w:vAlign w:val="bottom"/>
            <w:tcBorders>
              <w:bottom w:val="single" w:sz="8" w:color="005A64"/>
            </w:tcBorders>
          </w:tcPr>
          <w:p>
            <w:pPr>
              <w:jc w:val="right"/>
              <w:spacing w:after="0"/>
              <w:rPr>
                <w:sz w:val="20"/>
                <w:szCs w:val="20"/>
                <w:color w:val="auto"/>
              </w:rPr>
            </w:pPr>
            <w:r>
              <w:rPr>
                <w:rFonts w:ascii="Arial" w:cs="Arial" w:eastAsia="Arial" w:hAnsi="Arial"/>
                <w:sz w:val="11"/>
                <w:szCs w:val="11"/>
                <w:color w:val="005A64"/>
              </w:rPr>
              <w:t>1.79</w:t>
            </w:r>
          </w:p>
        </w:tc>
        <w:tc>
          <w:tcPr>
            <w:tcW w:w="0" w:type="dxa"/>
            <w:vAlign w:val="bottom"/>
          </w:tcPr>
          <w:p>
            <w:pPr>
              <w:spacing w:after="0"/>
              <w:rPr>
                <w:sz w:val="1"/>
                <w:szCs w:val="1"/>
                <w:color w:val="auto"/>
              </w:rPr>
            </w:pPr>
          </w:p>
        </w:tc>
      </w:tr>
    </w:tbl>
    <w:p>
      <w:pPr>
        <w:spacing w:after="0" w:line="2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3035"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23035" cy="15430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757555</wp:posOffset>
            </wp:positionV>
            <wp:extent cx="716661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6610" cy="11430"/>
                    </a:xfrm>
                    <a:prstGeom prst="rect">
                      <a:avLst/>
                    </a:prstGeom>
                    <a:noFill/>
                  </pic:spPr>
                </pic:pic>
              </a:graphicData>
            </a:graphic>
          </wp:anchor>
        </w:drawing>
      </w:r>
    </w:p>
    <w:p>
      <w:pPr>
        <w:jc w:val="both"/>
        <w:spacing w:after="0" w:line="276" w:lineRule="auto"/>
        <w:rPr>
          <w:sz w:val="20"/>
          <w:szCs w:val="20"/>
          <w:color w:val="auto"/>
        </w:rPr>
      </w:pPr>
      <w:r>
        <w:rPr>
          <w:rFonts w:ascii="Arial" w:cs="Arial" w:eastAsia="Arial" w:hAnsi="Arial"/>
          <w:sz w:val="12"/>
          <w:szCs w:val="12"/>
          <w:b w:val="1"/>
          <w:bCs w:val="1"/>
          <w:color w:val="auto"/>
        </w:rPr>
        <w:t xml:space="preserve">Revenues </w:t>
      </w:r>
      <w:r>
        <w:rPr>
          <w:rFonts w:ascii="Arial" w:cs="Arial" w:eastAsia="Arial" w:hAnsi="Arial"/>
          <w:sz w:val="12"/>
          <w:szCs w:val="12"/>
          <w:color w:val="auto"/>
        </w:rPr>
        <w:t>for the three months ended December 31, 2025, were €907.4 million, compared to €1,190.0 million for the comparative prior year period. For the year ended December 31, 2025, revenues were</w:t>
      </w:r>
      <w:r>
        <w:rPr>
          <w:rFonts w:ascii="Arial" w:cs="Arial" w:eastAsia="Arial" w:hAnsi="Arial"/>
          <w:sz w:val="12"/>
          <w:szCs w:val="12"/>
          <w:b w:val="1"/>
          <w:bCs w:val="1"/>
          <w:color w:val="auto"/>
        </w:rPr>
        <w:t xml:space="preserve"> </w:t>
      </w:r>
      <w:r>
        <w:rPr>
          <w:rFonts w:ascii="Arial" w:cs="Arial" w:eastAsia="Arial" w:hAnsi="Arial"/>
          <w:sz w:val="12"/>
          <w:szCs w:val="12"/>
          <w:color w:val="auto"/>
        </w:rPr>
        <w:t>€2,869.9 million, compared to €2,751.1 million for the comparative prior year period. The quarterly year-on-year decrease was primarily driven by lower sales of the Company’s COVID-19 vaccines due to reduced market demand. The full year revenue increase was primarily driven by revenues related to BioNTech’s collaboration with Bristol Myers Squibb Company (“BMS”) that were recognized in the third quarter of 2025.</w:t>
      </w:r>
    </w:p>
    <w:p>
      <w:pPr>
        <w:spacing w:after="0" w:line="136" w:lineRule="exact"/>
        <w:rPr>
          <w:sz w:val="20"/>
          <w:szCs w:val="20"/>
          <w:color w:val="auto"/>
        </w:rPr>
      </w:pPr>
    </w:p>
    <w:p>
      <w:pPr>
        <w:jc w:val="both"/>
        <w:spacing w:after="0" w:line="272" w:lineRule="auto"/>
        <w:rPr>
          <w:sz w:val="20"/>
          <w:szCs w:val="20"/>
          <w:color w:val="auto"/>
        </w:rPr>
      </w:pPr>
      <w:r>
        <w:rPr>
          <w:rFonts w:ascii="Arial" w:cs="Arial" w:eastAsia="Arial" w:hAnsi="Arial"/>
          <w:sz w:val="12"/>
          <w:szCs w:val="12"/>
          <w:b w:val="1"/>
          <w:bCs w:val="1"/>
          <w:color w:val="auto"/>
        </w:rPr>
        <w:t xml:space="preserve">Research and development </w:t>
      </w:r>
      <w:r>
        <w:rPr>
          <w:rFonts w:ascii="Arial" w:cs="Arial" w:eastAsia="Arial" w:hAnsi="Arial"/>
          <w:sz w:val="12"/>
          <w:szCs w:val="12"/>
          <w:color w:val="auto"/>
        </w:rPr>
        <w:t>(“R&amp;D”) expenses were €505.4 million for the three months ended December 31, 2025, compared to €611.8 million for the comparative prior year period. For the year ended</w:t>
      </w:r>
      <w:r>
        <w:rPr>
          <w:rFonts w:ascii="Arial" w:cs="Arial" w:eastAsia="Arial" w:hAnsi="Arial"/>
          <w:sz w:val="12"/>
          <w:szCs w:val="12"/>
          <w:b w:val="1"/>
          <w:bCs w:val="1"/>
          <w:color w:val="auto"/>
        </w:rPr>
        <w:t xml:space="preserve"> </w:t>
      </w:r>
      <w:r>
        <w:rPr>
          <w:rFonts w:ascii="Arial" w:cs="Arial" w:eastAsia="Arial" w:hAnsi="Arial"/>
          <w:sz w:val="12"/>
          <w:szCs w:val="12"/>
          <w:color w:val="auto"/>
        </w:rPr>
        <w:t>December 31, 2025, R&amp;D expenses were €2,104.9 million, compared to €2,254.2 million for the comparative prior year period. Both quarterly and full year year-on-year decreases were mainly driven by cost savings resulting from active portfolio management and positive effects resulting from our pumitamig cost sharing with BMS, partly offset by the acceleration of late-stage trials for immuno-oncology (“IO”) and antibody-drug conjugate (“ADC”) development programs.</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2"/>
          <w:szCs w:val="12"/>
          <w:b w:val="1"/>
          <w:bCs w:val="1"/>
          <w:color w:val="auto"/>
        </w:rPr>
        <w:t xml:space="preserve">Adjusted R&amp;D expenses </w:t>
      </w:r>
      <w:r>
        <w:rPr>
          <w:rFonts w:ascii="Arial" w:cs="Arial" w:eastAsia="Arial" w:hAnsi="Arial"/>
          <w:sz w:val="12"/>
          <w:szCs w:val="12"/>
          <w:color w:val="auto"/>
        </w:rPr>
        <w:t>were €505.4 million for the three months ended December 31, 2025, compared to €530.3 million for the comparative prior year period. For the year ended December 31, 2025, adjusted</w:t>
      </w:r>
      <w:r>
        <w:rPr>
          <w:rFonts w:ascii="Arial" w:cs="Arial" w:eastAsia="Arial" w:hAnsi="Arial"/>
          <w:sz w:val="12"/>
          <w:szCs w:val="12"/>
          <w:b w:val="1"/>
          <w:bCs w:val="1"/>
          <w:color w:val="auto"/>
        </w:rPr>
        <w:t xml:space="preserve"> </w:t>
      </w:r>
      <w:r>
        <w:rPr>
          <w:rFonts w:ascii="Arial" w:cs="Arial" w:eastAsia="Arial" w:hAnsi="Arial"/>
          <w:sz w:val="12"/>
          <w:szCs w:val="12"/>
          <w:color w:val="auto"/>
        </w:rPr>
        <w:t>R&amp;D expenses were €2,019.5 million, compared to €2,172.7 million for the comparative prior year period. For 2025 and 2024, the Company’s adjusted R&amp;D expenses exclude impairments.</w:t>
      </w:r>
    </w:p>
    <w:p>
      <w:pPr>
        <w:spacing w:after="0" w:line="12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color w:val="auto"/>
        </w:rPr>
        <w:t xml:space="preserve">Sales, general and administrative </w:t>
      </w:r>
      <w:r>
        <w:rPr>
          <w:rFonts w:ascii="Arial" w:cs="Arial" w:eastAsia="Arial" w:hAnsi="Arial"/>
          <w:sz w:val="12"/>
          <w:szCs w:val="12"/>
          <w:color w:val="auto"/>
        </w:rPr>
        <w:t>(“SG&amp;A”) expenses</w:t>
      </w:r>
      <w:r>
        <w:rPr>
          <w:rFonts w:ascii="Arial" w:cs="Arial" w:eastAsia="Arial" w:hAnsi="Arial"/>
          <w:sz w:val="7"/>
          <w:szCs w:val="7"/>
          <w:color w:val="auto"/>
        </w:rPr>
        <w:t>7</w:t>
      </w:r>
      <w:r>
        <w:rPr>
          <w:rFonts w:ascii="Arial" w:cs="Arial" w:eastAsia="Arial" w:hAnsi="Arial"/>
          <w:sz w:val="12"/>
          <w:szCs w:val="12"/>
          <w:b w:val="1"/>
          <w:bCs w:val="1"/>
          <w:color w:val="auto"/>
        </w:rPr>
        <w:t xml:space="preserve"> </w:t>
      </w:r>
      <w:r>
        <w:rPr>
          <w:rFonts w:ascii="Arial" w:cs="Arial" w:eastAsia="Arial" w:hAnsi="Arial"/>
          <w:sz w:val="12"/>
          <w:szCs w:val="12"/>
          <w:color w:val="auto"/>
        </w:rPr>
        <w:t>were €217.9 million for the three months ended December 31, 2025, compared to €132.1 million for the comparative prior year period. For the year ended</w:t>
      </w:r>
      <w:r>
        <w:rPr>
          <w:rFonts w:ascii="Arial" w:cs="Arial" w:eastAsia="Arial" w:hAnsi="Arial"/>
          <w:sz w:val="12"/>
          <w:szCs w:val="12"/>
          <w:b w:val="1"/>
          <w:bCs w:val="1"/>
          <w:color w:val="auto"/>
        </w:rPr>
        <w:t xml:space="preserve"> </w:t>
      </w:r>
      <w:r>
        <w:rPr>
          <w:rFonts w:ascii="Arial" w:cs="Arial" w:eastAsia="Arial" w:hAnsi="Arial"/>
          <w:sz w:val="12"/>
          <w:szCs w:val="12"/>
          <w:color w:val="auto"/>
        </w:rPr>
        <w:t>December 31, 2025, SG&amp;A expenses were €624.4 million, compared to €599.0 million for the comparative prior year period. Both quarterly and full year year-on-year increases were mainly driven by our ongoing commercial build-up, partly offset by lower costs for external services.</w:t>
      </w:r>
    </w:p>
    <w:p>
      <w:pPr>
        <w:spacing w:after="0" w:line="13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color w:val="auto"/>
        </w:rPr>
        <w:t xml:space="preserve">Other operating result </w:t>
      </w:r>
      <w:r>
        <w:rPr>
          <w:rFonts w:ascii="Arial" w:cs="Arial" w:eastAsia="Arial" w:hAnsi="Arial"/>
          <w:sz w:val="12"/>
          <w:szCs w:val="12"/>
          <w:color w:val="auto"/>
        </w:rPr>
        <w:t>was negative €173.6 million during the three months ended December 31, 2025, compared to negative €54.0 million for the comparative prior year period. For the year ended December 31,</w:t>
      </w:r>
      <w:r>
        <w:rPr>
          <w:rFonts w:ascii="Arial" w:cs="Arial" w:eastAsia="Arial" w:hAnsi="Arial"/>
          <w:sz w:val="12"/>
          <w:szCs w:val="12"/>
          <w:b w:val="1"/>
          <w:bCs w:val="1"/>
          <w:color w:val="auto"/>
        </w:rPr>
        <w:t xml:space="preserve"> </w:t>
      </w:r>
      <w:r>
        <w:rPr>
          <w:rFonts w:ascii="Arial" w:cs="Arial" w:eastAsia="Arial" w:hAnsi="Arial"/>
          <w:sz w:val="12"/>
          <w:szCs w:val="12"/>
          <w:color w:val="auto"/>
        </w:rPr>
        <w:t>2025, other operating result was negative €903.7 million compared to negative €670.9 million for the prior year period. Both quarterly and full year year-on-year decreases were primarily driven by expenses from settlements of contractual disputes, expenses in connection with our pipeline prioritization and foreign exchange differences.</w:t>
      </w:r>
    </w:p>
    <w:p>
      <w:pPr>
        <w:spacing w:after="0" w:line="136" w:lineRule="exact"/>
        <w:rPr>
          <w:sz w:val="20"/>
          <w:szCs w:val="20"/>
          <w:color w:val="auto"/>
        </w:rPr>
      </w:pPr>
    </w:p>
    <w:p>
      <w:pPr>
        <w:jc w:val="both"/>
        <w:spacing w:after="0" w:line="272" w:lineRule="auto"/>
        <w:rPr>
          <w:sz w:val="20"/>
          <w:szCs w:val="20"/>
          <w:color w:val="auto"/>
        </w:rPr>
      </w:pPr>
      <w:r>
        <w:rPr>
          <w:rFonts w:ascii="Arial" w:cs="Arial" w:eastAsia="Arial" w:hAnsi="Arial"/>
          <w:sz w:val="12"/>
          <w:szCs w:val="12"/>
          <w:b w:val="1"/>
          <w:bCs w:val="1"/>
          <w:color w:val="auto"/>
        </w:rPr>
        <w:t xml:space="preserve">Adjusted other operating result </w:t>
      </w:r>
      <w:r>
        <w:rPr>
          <w:rFonts w:ascii="Arial" w:cs="Arial" w:eastAsia="Arial" w:hAnsi="Arial"/>
          <w:sz w:val="12"/>
          <w:szCs w:val="12"/>
          <w:color w:val="auto"/>
        </w:rPr>
        <w:t>was €21.4 million during the three months ended December 31, 2025, compared to negative €1.6 million for the comparative prior year period. For the year ended December 31,</w:t>
      </w:r>
      <w:r>
        <w:rPr>
          <w:rFonts w:ascii="Arial" w:cs="Arial" w:eastAsia="Arial" w:hAnsi="Arial"/>
          <w:sz w:val="12"/>
          <w:szCs w:val="12"/>
          <w:b w:val="1"/>
          <w:bCs w:val="1"/>
          <w:color w:val="auto"/>
        </w:rPr>
        <w:t xml:space="preserve"> </w:t>
      </w:r>
      <w:r>
        <w:rPr>
          <w:rFonts w:ascii="Arial" w:cs="Arial" w:eastAsia="Arial" w:hAnsi="Arial"/>
          <w:sz w:val="12"/>
          <w:szCs w:val="12"/>
          <w:color w:val="auto"/>
        </w:rPr>
        <w:t>2025, other operating result was negative €0.6 million compared to negative €13.5 million for the prior year period. For fiscal years 2025 and 2024, our quarterly and full year adjusted other operating results exclude expenses in connection with the settlements of legal proceedings. In addition, our quarterly and full year adjusted other operating results during fiscal year 2025 exclude employee-related costs in connection with our pipeline prioritization and a bargain purchase.</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Net loss </w:t>
      </w:r>
      <w:r>
        <w:rPr>
          <w:rFonts w:ascii="Arial" w:cs="Arial" w:eastAsia="Arial" w:hAnsi="Arial"/>
          <w:sz w:val="12"/>
          <w:szCs w:val="12"/>
          <w:color w:val="auto"/>
        </w:rPr>
        <w:t>was €305.0 million for the three months ended December 31, 2025, compared to a net income of €259.5 million for the comparative prior year period. For the year ended December 31,</w:t>
      </w: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300"/>
          </w:cols>
          <w:pgMar w:left="300" w:top="1353" w:right="299" w:bottom="1440" w:gutter="0" w:footer="0" w:header="0"/>
        </w:sectPr>
      </w:pPr>
    </w:p>
    <w:bookmarkStart w:id="6" w:name="page7"/>
    <w:bookmarkEnd w:id="6"/>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3035"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23035" cy="154305"/>
                    </a:xfrm>
                    <a:prstGeom prst="rect">
                      <a:avLst/>
                    </a:prstGeom>
                    <a:noFill/>
                  </pic:spPr>
                </pic:pic>
              </a:graphicData>
            </a:graphic>
          </wp:anchor>
        </w:drawing>
        <w:t>2025, net loss was €1,136.1 million, compared to a net loss of €665.3 million for the comparative prior year period.</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2"/>
          <w:szCs w:val="12"/>
          <w:b w:val="1"/>
          <w:bCs w:val="1"/>
          <w:color w:val="auto"/>
        </w:rPr>
        <w:t xml:space="preserve">Adjusted net loss </w:t>
      </w:r>
      <w:r>
        <w:rPr>
          <w:rFonts w:ascii="Arial" w:cs="Arial" w:eastAsia="Arial" w:hAnsi="Arial"/>
          <w:sz w:val="12"/>
          <w:szCs w:val="12"/>
          <w:color w:val="auto"/>
        </w:rPr>
        <w:t>was €79.5 million for the three months ended December 31, 2025, compared to an adjusted net profit of €432.4 million for the comparative prior year period. For the year ended December 31,</w:t>
      </w:r>
      <w:r>
        <w:rPr>
          <w:rFonts w:ascii="Arial" w:cs="Arial" w:eastAsia="Arial" w:hAnsi="Arial"/>
          <w:sz w:val="12"/>
          <w:szCs w:val="12"/>
          <w:b w:val="1"/>
          <w:bCs w:val="1"/>
          <w:color w:val="auto"/>
        </w:rPr>
        <w:t xml:space="preserve"> </w:t>
      </w:r>
      <w:r>
        <w:rPr>
          <w:rFonts w:ascii="Arial" w:cs="Arial" w:eastAsia="Arial" w:hAnsi="Arial"/>
          <w:sz w:val="12"/>
          <w:szCs w:val="12"/>
          <w:color w:val="auto"/>
        </w:rPr>
        <w:t>2025, adjusted net loss was €117.1 million, compared to an adjusted net profit of €121.7 million for the comparative prior year period.</w:t>
      </w:r>
    </w:p>
    <w:p>
      <w:pPr>
        <w:spacing w:after="0" w:line="113" w:lineRule="exact"/>
        <w:rPr>
          <w:sz w:val="20"/>
          <w:szCs w:val="20"/>
          <w:color w:val="auto"/>
        </w:rPr>
      </w:pPr>
    </w:p>
    <w:p>
      <w:pPr>
        <w:jc w:val="both"/>
        <w:spacing w:after="0" w:line="301" w:lineRule="auto"/>
        <w:rPr>
          <w:sz w:val="20"/>
          <w:szCs w:val="20"/>
          <w:color w:val="auto"/>
        </w:rPr>
      </w:pPr>
      <w:r>
        <w:rPr>
          <w:rFonts w:ascii="Arial" w:cs="Arial" w:eastAsia="Arial" w:hAnsi="Arial"/>
          <w:sz w:val="12"/>
          <w:szCs w:val="12"/>
          <w:b w:val="1"/>
          <w:bCs w:val="1"/>
          <w:color w:val="auto"/>
        </w:rPr>
        <w:t xml:space="preserve">Diluted loss per share </w:t>
      </w:r>
      <w:r>
        <w:rPr>
          <w:rFonts w:ascii="Arial" w:cs="Arial" w:eastAsia="Arial" w:hAnsi="Arial"/>
          <w:sz w:val="12"/>
          <w:szCs w:val="12"/>
          <w:color w:val="auto"/>
        </w:rPr>
        <w:t>was €1.25 for the three months ended December 31, 2025, compared to diluted earnings per share of €1.08 for the comparative prior year period. For the year ended December 31, 2025,</w:t>
      </w:r>
      <w:r>
        <w:rPr>
          <w:rFonts w:ascii="Arial" w:cs="Arial" w:eastAsia="Arial" w:hAnsi="Arial"/>
          <w:sz w:val="12"/>
          <w:szCs w:val="12"/>
          <w:b w:val="1"/>
          <w:bCs w:val="1"/>
          <w:color w:val="auto"/>
        </w:rPr>
        <w:t xml:space="preserve"> </w:t>
      </w:r>
      <w:r>
        <w:rPr>
          <w:rFonts w:ascii="Arial" w:cs="Arial" w:eastAsia="Arial" w:hAnsi="Arial"/>
          <w:sz w:val="12"/>
          <w:szCs w:val="12"/>
          <w:color w:val="auto"/>
        </w:rPr>
        <w:t>diluted loss per share was €4.70, compared to diluted loss per share of €2.77 for the comparative prior year period.</w:t>
      </w:r>
    </w:p>
    <w:p>
      <w:pPr>
        <w:spacing w:after="0" w:line="113" w:lineRule="exact"/>
        <w:rPr>
          <w:sz w:val="20"/>
          <w:szCs w:val="20"/>
          <w:color w:val="auto"/>
        </w:rPr>
      </w:pPr>
    </w:p>
    <w:p>
      <w:pPr>
        <w:jc w:val="both"/>
        <w:ind w:right="20"/>
        <w:spacing w:after="0" w:line="301" w:lineRule="auto"/>
        <w:rPr>
          <w:sz w:val="20"/>
          <w:szCs w:val="20"/>
          <w:color w:val="auto"/>
        </w:rPr>
      </w:pPr>
      <w:r>
        <w:rPr>
          <w:rFonts w:ascii="Arial" w:cs="Arial" w:eastAsia="Arial" w:hAnsi="Arial"/>
          <w:sz w:val="12"/>
          <w:szCs w:val="12"/>
          <w:b w:val="1"/>
          <w:bCs w:val="1"/>
          <w:color w:val="auto"/>
        </w:rPr>
        <w:t xml:space="preserve">Adjusted diluted loss per share </w:t>
      </w:r>
      <w:r>
        <w:rPr>
          <w:rFonts w:ascii="Arial" w:cs="Arial" w:eastAsia="Arial" w:hAnsi="Arial"/>
          <w:sz w:val="12"/>
          <w:szCs w:val="12"/>
          <w:color w:val="auto"/>
        </w:rPr>
        <w:t>was €0.33 for the three months ended December 31, 2025, compared to adjusted diluted earnings per share of €1.79 for the comparative prior year period. For the year ended</w:t>
      </w:r>
      <w:r>
        <w:rPr>
          <w:rFonts w:ascii="Arial" w:cs="Arial" w:eastAsia="Arial" w:hAnsi="Arial"/>
          <w:sz w:val="12"/>
          <w:szCs w:val="12"/>
          <w:b w:val="1"/>
          <w:bCs w:val="1"/>
          <w:color w:val="auto"/>
        </w:rPr>
        <w:t xml:space="preserve"> </w:t>
      </w:r>
      <w:r>
        <w:rPr>
          <w:rFonts w:ascii="Arial" w:cs="Arial" w:eastAsia="Arial" w:hAnsi="Arial"/>
          <w:sz w:val="12"/>
          <w:szCs w:val="12"/>
          <w:color w:val="auto"/>
        </w:rPr>
        <w:t>December 31, 2025, adjusted diluted loss per share was €0.48, compared to adjusted diluted earnings per share of €0.50 for the comparative prior year period.</w:t>
      </w:r>
    </w:p>
    <w:p>
      <w:pPr>
        <w:spacing w:after="0" w:line="122"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color w:val="auto"/>
        </w:rPr>
        <w:t xml:space="preserve">Cash, cash equivalents and security investments </w:t>
      </w:r>
      <w:r>
        <w:rPr>
          <w:rFonts w:ascii="Arial" w:cs="Arial" w:eastAsia="Arial" w:hAnsi="Arial"/>
          <w:sz w:val="12"/>
          <w:szCs w:val="12"/>
          <w:color w:val="auto"/>
        </w:rPr>
        <w:t>as of December 31, 2025, were €17,235.6 million, comprising €7,675.4 million in cash and cash equivalents, €7,158.5 million in current security investments</w:t>
      </w:r>
      <w:r>
        <w:rPr>
          <w:rFonts w:ascii="Arial" w:cs="Arial" w:eastAsia="Arial" w:hAnsi="Arial"/>
          <w:sz w:val="12"/>
          <w:szCs w:val="12"/>
          <w:b w:val="1"/>
          <w:bCs w:val="1"/>
          <w:color w:val="auto"/>
        </w:rPr>
        <w:t xml:space="preserve"> </w:t>
      </w:r>
      <w:r>
        <w:rPr>
          <w:rFonts w:ascii="Arial" w:cs="Arial" w:eastAsia="Arial" w:hAnsi="Arial"/>
          <w:sz w:val="12"/>
          <w:szCs w:val="12"/>
          <w:color w:val="auto"/>
        </w:rPr>
        <w:t>disclosed as financial assets and €2,401.7 million in non-current security investments disclosed as financial assets.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Shares outstanding </w:t>
      </w:r>
      <w:r>
        <w:rPr>
          <w:rFonts w:ascii="Arial" w:cs="Arial" w:eastAsia="Arial" w:hAnsi="Arial"/>
          <w:sz w:val="12"/>
          <w:szCs w:val="12"/>
          <w:color w:val="auto"/>
        </w:rPr>
        <w:t>as of December 31, 2025, were 251,325,340, excluding 7,702,147 shares held in treasury.</w:t>
      </w:r>
    </w:p>
    <w:p>
      <w:pPr>
        <w:spacing w:after="0" w:line="177" w:lineRule="exact"/>
        <w:rPr>
          <w:sz w:val="20"/>
          <w:szCs w:val="20"/>
          <w:color w:val="auto"/>
        </w:rPr>
      </w:pPr>
    </w:p>
    <w:p>
      <w:pPr>
        <w:jc w:val="both"/>
        <w:spacing w:after="0" w:line="296" w:lineRule="auto"/>
        <w:rPr>
          <w:sz w:val="20"/>
          <w:szCs w:val="20"/>
          <w:color w:val="auto"/>
        </w:rPr>
      </w:pPr>
      <w:r>
        <w:rPr>
          <w:rFonts w:ascii="Arial" w:cs="Arial" w:eastAsia="Arial" w:hAnsi="Arial"/>
          <w:sz w:val="12"/>
          <w:szCs w:val="12"/>
          <w:color w:val="auto"/>
        </w:rPr>
        <w:t xml:space="preserve">“Our strong financial position fuels and de-risks our R&amp;D activities as we prepare for multiple product launches in the coming years. Our financial discipline, active portfolio management and targeted investments will continue to drive innovation and create long-term value for BioNTech’s stakeholders,” </w:t>
      </w:r>
      <w:r>
        <w:rPr>
          <w:rFonts w:ascii="Arial" w:cs="Arial" w:eastAsia="Arial" w:hAnsi="Arial"/>
          <w:sz w:val="12"/>
          <w:szCs w:val="12"/>
          <w:b w:val="1"/>
          <w:bCs w:val="1"/>
          <w:color w:val="auto"/>
        </w:rPr>
        <w:t>said Ramón Zapata, Chief Financial Officer at BioNTech</w:t>
      </w:r>
      <w:r>
        <w:rPr>
          <w:rFonts w:ascii="Arial" w:cs="Arial" w:eastAsia="Arial" w:hAnsi="Arial"/>
          <w:sz w:val="12"/>
          <w:szCs w:val="12"/>
          <w:color w:val="auto"/>
        </w:rPr>
        <w:t>.</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2026 Financial Year Guidance</w:t>
      </w:r>
      <w:r>
        <w:rPr>
          <w:rFonts w:ascii="Arial" w:cs="Arial" w:eastAsia="Arial" w:hAnsi="Arial"/>
          <w:sz w:val="7"/>
          <w:szCs w:val="7"/>
          <w:color w:val="auto"/>
        </w:rPr>
        <w:t>6</w:t>
      </w:r>
      <w:r>
        <w:rPr>
          <w:rFonts w:ascii="Arial" w:cs="Arial" w:eastAsia="Arial" w:hAnsi="Arial"/>
          <w:sz w:val="12"/>
          <w:szCs w:val="12"/>
          <w:b w:val="1"/>
          <w:bCs w:val="1"/>
          <w:color w:val="auto"/>
        </w:rPr>
        <w: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20" w:type="dxa"/>
            <w:vAlign w:val="bottom"/>
            <w:tcBorders>
              <w:top w:val="single" w:sz="8" w:color="005A64"/>
              <w:bottom w:val="single" w:sz="8" w:color="005A64"/>
            </w:tcBorders>
          </w:tcPr>
          <w:p>
            <w:pPr>
              <w:spacing w:after="0"/>
              <w:rPr>
                <w:sz w:val="20"/>
                <w:szCs w:val="20"/>
                <w:color w:val="auto"/>
              </w:rPr>
            </w:pPr>
            <w:r>
              <w:rPr>
                <w:rFonts w:ascii="Arial" w:cs="Arial" w:eastAsia="Arial" w:hAnsi="Arial"/>
                <w:sz w:val="11"/>
                <w:szCs w:val="11"/>
                <w:b w:val="1"/>
                <w:bCs w:val="1"/>
                <w:color w:val="005A64"/>
              </w:rPr>
              <w:t>Revenues for the 2026 financial year</w:t>
            </w:r>
          </w:p>
        </w:tc>
        <w:tc>
          <w:tcPr>
            <w:tcW w:w="180" w:type="dxa"/>
            <w:vAlign w:val="bottom"/>
            <w:tcBorders>
              <w:right w:val="single" w:sz="8" w:color="BECE33"/>
            </w:tcBorders>
          </w:tcPr>
          <w:p>
            <w:pPr>
              <w:spacing w:after="0"/>
              <w:rPr>
                <w:sz w:val="14"/>
                <w:szCs w:val="14"/>
                <w:color w:val="auto"/>
              </w:rPr>
            </w:pPr>
          </w:p>
        </w:tc>
        <w:tc>
          <w:tcPr>
            <w:tcW w:w="6800" w:type="dxa"/>
            <w:vAlign w:val="bottom"/>
            <w:tcBorders>
              <w:top w:val="single" w:sz="8" w:color="BECE33"/>
              <w:bottom w:val="single" w:sz="8" w:color="BECE33"/>
              <w:right w:val="single" w:sz="8" w:color="BECE33"/>
            </w:tcBorders>
          </w:tcPr>
          <w:p>
            <w:pPr>
              <w:ind w:left="2940"/>
              <w:spacing w:after="0"/>
              <w:rPr>
                <w:sz w:val="20"/>
                <w:szCs w:val="20"/>
                <w:color w:val="auto"/>
              </w:rPr>
            </w:pPr>
            <w:r>
              <w:rPr>
                <w:rFonts w:ascii="Arial" w:cs="Arial" w:eastAsia="Arial" w:hAnsi="Arial"/>
                <w:sz w:val="11"/>
                <w:szCs w:val="11"/>
                <w:b w:val="1"/>
                <w:bCs w:val="1"/>
                <w:color w:val="005A64"/>
              </w:rPr>
              <w:t>€2,000 – €2,300 m</w:t>
            </w:r>
          </w:p>
        </w:tc>
      </w:tr>
    </w:tbl>
    <w:p>
      <w:pPr>
        <w:spacing w:after="0" w:line="203" w:lineRule="exact"/>
        <w:rPr>
          <w:sz w:val="20"/>
          <w:szCs w:val="20"/>
          <w:color w:val="auto"/>
        </w:rPr>
      </w:pPr>
    </w:p>
    <w:p>
      <w:pPr>
        <w:jc w:val="both"/>
        <w:spacing w:after="0" w:line="270" w:lineRule="auto"/>
        <w:rPr>
          <w:sz w:val="20"/>
          <w:szCs w:val="20"/>
          <w:color w:val="auto"/>
        </w:rPr>
      </w:pPr>
      <w:r>
        <w:rPr>
          <w:rFonts w:ascii="Arial" w:cs="Arial" w:eastAsia="Arial" w:hAnsi="Arial"/>
          <w:sz w:val="12"/>
          <w:szCs w:val="12"/>
          <w:color w:val="auto"/>
        </w:rPr>
        <w:t>In 2026, BioNTech anticipates lower COVID-19 vaccine revenues compared to 2025, driven by declines in both the European and United States markets. The United States continues to be a competitive and dynamic market, where as a result, lower revenues are expected. In Europe, we expect lower revenues as we defend our market share and begin managing the transition of multi-year contracts. In Germany, specifically, BioNTech recognizes direct sales of its COVID-19 vaccines as revenue. Hence, the anticipated declines in the Company’s sales of COVID-19 vaccines in the country will have a direct impact on its topline, whereas revenues outside of Germany only affect the Company’s topline as part of the 50% gross profit split with our partner Pfizer Inc. (“Pfizer”). Per the outlined partnership terms, revenues from the collaboration with BMS in 2026 are expected to be broadly in line with 2025. Revenues from the pandemic preparedness contract with the German government and service businesses are expected to remain stable.</w:t>
      </w:r>
    </w:p>
    <w:p>
      <w:pPr>
        <w:sectPr>
          <w:pgSz w:w="11900" w:h="16838" w:orient="portrait"/>
          <w:cols w:equalWidth="0" w:num="1">
            <w:col w:w="11300"/>
          </w:cols>
          <w:pgMar w:left="300" w:top="1162" w:right="299" w:bottom="1440" w:gutter="0" w:footer="0" w:header="0"/>
        </w:sectPr>
      </w:pPr>
    </w:p>
    <w:p>
      <w:pPr>
        <w:spacing w:after="0" w:line="13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Planned 2026 Financial Year Adjusted Expenses</w:t>
      </w:r>
      <w:r>
        <w:rPr>
          <w:rFonts w:ascii="Arial" w:cs="Arial" w:eastAsia="Arial" w:hAnsi="Arial"/>
          <w:sz w:val="6"/>
          <w:szCs w:val="6"/>
          <w:color w:val="auto"/>
        </w:rPr>
        <w:t>6</w:t>
      </w:r>
      <w:r>
        <w:rPr>
          <w:rFonts w:ascii="Arial" w:cs="Arial" w:eastAsia="Arial" w:hAnsi="Arial"/>
          <w:sz w:val="11"/>
          <w:szCs w:val="1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274891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48915" cy="571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1"/>
          <w:szCs w:val="11"/>
          <w:b w:val="1"/>
          <w:bCs w:val="1"/>
          <w:color w:val="005A64"/>
        </w:rPr>
        <w:t>Adjusted R&amp;D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274891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48915" cy="571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1"/>
          <w:szCs w:val="11"/>
          <w:b w:val="1"/>
          <w:bCs w:val="1"/>
          <w:color w:val="005A64"/>
        </w:rPr>
        <w:t>Adjusted SG&amp;A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274891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4891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jc w:val="center"/>
        <w:ind w:right="2960"/>
        <w:spacing w:after="0"/>
        <w:rPr>
          <w:sz w:val="20"/>
          <w:szCs w:val="20"/>
          <w:color w:val="auto"/>
        </w:rPr>
      </w:pPr>
      <w:r>
        <w:rPr>
          <w:rFonts w:ascii="Arial" w:cs="Arial" w:eastAsia="Arial" w:hAnsi="Arial"/>
          <w:sz w:val="10"/>
          <w:szCs w:val="10"/>
          <w:b w:val="1"/>
          <w:bCs w:val="1"/>
          <w:color w:val="005A64"/>
        </w:rPr>
        <w:t>€2,200 – €2,500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-1877060</wp:posOffset>
            </wp:positionH>
            <wp:positionV relativeFrom="paragraph">
              <wp:posOffset>-83820</wp:posOffset>
            </wp:positionV>
            <wp:extent cx="4320540" cy="234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320540" cy="234315"/>
                    </a:xfrm>
                    <a:prstGeom prst="rect">
                      <a:avLst/>
                    </a:prstGeom>
                    <a:noFill/>
                  </pic:spPr>
                </pic:pic>
              </a:graphicData>
            </a:graphic>
          </wp:anchor>
        </w:drawing>
      </w:r>
    </w:p>
    <w:p>
      <w:pPr>
        <w:spacing w:after="0" w:line="45" w:lineRule="exact"/>
        <w:rPr>
          <w:sz w:val="20"/>
          <w:szCs w:val="20"/>
          <w:color w:val="auto"/>
        </w:rPr>
      </w:pPr>
    </w:p>
    <w:p>
      <w:pPr>
        <w:jc w:val="center"/>
        <w:ind w:right="2960"/>
        <w:spacing w:after="0"/>
        <w:rPr>
          <w:sz w:val="20"/>
          <w:szCs w:val="20"/>
          <w:color w:val="auto"/>
        </w:rPr>
      </w:pPr>
      <w:r>
        <w:rPr>
          <w:rFonts w:ascii="Arial" w:cs="Arial" w:eastAsia="Arial" w:hAnsi="Arial"/>
          <w:sz w:val="11"/>
          <w:szCs w:val="11"/>
          <w:b w:val="1"/>
          <w:bCs w:val="1"/>
          <w:color w:val="005A64"/>
        </w:rPr>
        <w:t>€700 – €800 m</w:t>
      </w:r>
    </w:p>
    <w:p>
      <w:pPr>
        <w:spacing w:after="0" w:line="200" w:lineRule="exact"/>
        <w:rPr>
          <w:sz w:val="20"/>
          <w:szCs w:val="20"/>
          <w:color w:val="auto"/>
        </w:rPr>
      </w:pPr>
    </w:p>
    <w:p>
      <w:pPr>
        <w:sectPr>
          <w:pgSz w:w="11900" w:h="16838" w:orient="portrait"/>
          <w:cols w:equalWidth="0" w:num="2">
            <w:col w:w="6720" w:space="720"/>
            <w:col w:w="3860"/>
          </w:cols>
          <w:pgMar w:left="300" w:top="1162" w:right="299" w:bottom="1440" w:gutter="0" w:footer="0" w:header="0"/>
          <w:type w:val="continuous"/>
        </w:sectPr>
      </w:pPr>
    </w:p>
    <w:p>
      <w:pPr>
        <w:spacing w:after="0" w:line="200" w:lineRule="exact"/>
        <w:rPr>
          <w:sz w:val="20"/>
          <w:szCs w:val="20"/>
          <w:color w:val="auto"/>
        </w:rPr>
      </w:pPr>
    </w:p>
    <w:p>
      <w:pPr>
        <w:spacing w:after="0" w:line="397" w:lineRule="exact"/>
        <w:rPr>
          <w:sz w:val="20"/>
          <w:szCs w:val="20"/>
          <w:color w:val="auto"/>
        </w:rPr>
      </w:pPr>
    </w:p>
    <w:p>
      <w:pPr>
        <w:ind w:left="11220"/>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0"/>
          </w:cols>
          <w:pgMar w:left="300" w:top="1162" w:right="299" w:bottom="1440" w:gutter="0" w:footer="0" w:header="0"/>
          <w:type w:val="continuous"/>
        </w:sectPr>
      </w:pPr>
    </w:p>
    <w:bookmarkStart w:id="7" w:name="page8"/>
    <w:bookmarkEnd w:id="7"/>
    <w:p>
      <w:pPr>
        <w:jc w:val="both"/>
        <w:ind w:left="8"/>
        <w:spacing w:after="0" w:line="28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3035"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23035" cy="154305"/>
                    </a:xfrm>
                    <a:prstGeom prst="rect">
                      <a:avLst/>
                    </a:prstGeom>
                    <a:noFill/>
                  </pic:spPr>
                </pic:pic>
              </a:graphicData>
            </a:graphic>
          </wp:anchor>
        </w:drawing>
        <w:t>BioNTech will continue to focus investments on R&amp;D and scaling the business for late-stage development and commercial readiness in oncology, while remaining cost-disciplined. Strategic capital allocation will continue to foster innovation and be a key driver of the Company’s trajectory. As part of BioNTech’s strategy, the Company may continue to evaluate appropriate corporate development opportunities with the aim of driving sustainable long-term growth and creating future value.</w:t>
      </w:r>
    </w:p>
    <w:p>
      <w:pPr>
        <w:spacing w:after="0" w:line="122" w:lineRule="exact"/>
        <w:rPr>
          <w:sz w:val="20"/>
          <w:szCs w:val="20"/>
          <w:color w:val="auto"/>
        </w:rPr>
      </w:pPr>
    </w:p>
    <w:p>
      <w:pPr>
        <w:jc w:val="both"/>
        <w:ind w:left="8" w:right="20"/>
        <w:spacing w:after="0" w:line="301" w:lineRule="auto"/>
        <w:rPr>
          <w:sz w:val="20"/>
          <w:szCs w:val="20"/>
          <w:color w:val="auto"/>
        </w:rPr>
      </w:pPr>
      <w:r>
        <w:rPr>
          <w:rFonts w:ascii="Arial" w:cs="Arial" w:eastAsia="Arial" w:hAnsi="Arial"/>
          <w:sz w:val="12"/>
          <w:szCs w:val="12"/>
          <w:color w:val="auto"/>
        </w:rPr>
        <w:t xml:space="preserve">The full audited consolidated financial statements as of and for the year ended December 31, 2025, can be found in BioNTech’s Annual Report on Form 20-F filed today with the U.S. Securities and Exchange Commission (“SEC”) and available at </w:t>
      </w:r>
      <w:r>
        <w:rPr>
          <w:rFonts w:ascii="Arial" w:cs="Arial" w:eastAsia="Arial" w:hAnsi="Arial"/>
          <w:sz w:val="12"/>
          <w:szCs w:val="12"/>
          <w:u w:val="single" w:color="auto"/>
          <w:color w:val="auto"/>
        </w:rPr>
        <w:t>www.sec.gov</w:t>
      </w:r>
      <w:r>
        <w:rPr>
          <w:rFonts w:ascii="Arial" w:cs="Arial" w:eastAsia="Arial" w:hAnsi="Arial"/>
          <w:sz w:val="12"/>
          <w:szCs w:val="12"/>
          <w:color w:val="auto"/>
        </w:rPr>
        <w:t>.</w:t>
      </w:r>
    </w:p>
    <w:p>
      <w:pPr>
        <w:spacing w:after="0" w:line="117"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Endnotes</w:t>
      </w:r>
    </w:p>
    <w:p>
      <w:pPr>
        <w:ind w:left="68" w:hanging="68"/>
        <w:spacing w:after="0" w:line="223" w:lineRule="auto"/>
        <w:tabs>
          <w:tab w:leader="none" w:pos="68" w:val="left"/>
        </w:tabs>
        <w:numPr>
          <w:ilvl w:val="0"/>
          <w:numId w:val="3"/>
        </w:numPr>
        <w:rPr>
          <w:rFonts w:ascii="Arial" w:cs="Arial" w:eastAsia="Arial" w:hAnsi="Arial"/>
          <w:sz w:val="14"/>
          <w:szCs w:val="14"/>
          <w:color w:val="auto"/>
          <w:vertAlign w:val="superscript"/>
        </w:rPr>
      </w:pPr>
      <w:r>
        <w:rPr>
          <w:rFonts w:ascii="Arial" w:cs="Arial" w:eastAsia="Arial" w:hAnsi="Arial"/>
          <w:sz w:val="11"/>
          <w:szCs w:val="11"/>
          <w:color w:val="auto"/>
        </w:rPr>
        <w:t>An overview of abbreviations is compiled in a directory at the end of this press release.</w:t>
      </w:r>
    </w:p>
    <w:p>
      <w:pPr>
        <w:spacing w:after="0" w:line="3" w:lineRule="exact"/>
        <w:rPr>
          <w:rFonts w:ascii="Arial" w:cs="Arial" w:eastAsia="Arial" w:hAnsi="Arial"/>
          <w:sz w:val="14"/>
          <w:szCs w:val="14"/>
          <w:color w:val="auto"/>
          <w:vertAlign w:val="superscript"/>
        </w:rPr>
      </w:pPr>
    </w:p>
    <w:p>
      <w:pPr>
        <w:ind w:left="8"/>
        <w:spacing w:after="0" w:line="201" w:lineRule="auto"/>
        <w:rPr>
          <w:rFonts w:ascii="Arial" w:cs="Arial" w:eastAsia="Arial" w:hAnsi="Arial"/>
          <w:sz w:val="14"/>
          <w:szCs w:val="14"/>
          <w:color w:val="auto"/>
          <w:vertAlign w:val="superscript"/>
        </w:rPr>
      </w:pPr>
      <w:r>
        <w:rPr>
          <w:rFonts w:ascii="Arial" w:cs="Arial" w:eastAsia="Arial" w:hAnsi="Arial"/>
          <w:sz w:val="14"/>
          <w:szCs w:val="14"/>
          <w:color w:val="auto"/>
          <w:vertAlign w:val="superscript"/>
        </w:rPr>
        <w:t>2</w:t>
      </w:r>
      <w:r>
        <w:rPr>
          <w:rFonts w:ascii="Arial" w:cs="Arial" w:eastAsia="Arial" w:hAnsi="Arial"/>
          <w:sz w:val="11"/>
          <w:szCs w:val="11"/>
          <w:color w:val="auto"/>
        </w:rPr>
        <w:t xml:space="preserve"> All numbers in this press release have been rounded.</w:t>
      </w:r>
    </w:p>
    <w:p>
      <w:pPr>
        <w:jc w:val="both"/>
        <w:ind w:left="8"/>
        <w:spacing w:after="0" w:line="244" w:lineRule="auto"/>
        <w:rPr>
          <w:rFonts w:ascii="Arial" w:cs="Arial" w:eastAsia="Arial" w:hAnsi="Arial"/>
          <w:sz w:val="14"/>
          <w:szCs w:val="14"/>
          <w:color w:val="auto"/>
          <w:vertAlign w:val="superscript"/>
        </w:rPr>
      </w:pPr>
      <w:r>
        <w:rPr>
          <w:rFonts w:ascii="Arial" w:cs="Arial" w:eastAsia="Arial" w:hAnsi="Arial"/>
          <w:sz w:val="14"/>
          <w:szCs w:val="14"/>
          <w:color w:val="auto"/>
          <w:vertAlign w:val="superscript"/>
        </w:rPr>
        <w:t>3</w:t>
      </w:r>
      <w:r>
        <w:rPr>
          <w:rFonts w:ascii="Arial" w:cs="Arial" w:eastAsia="Arial" w:hAnsi="Arial"/>
          <w:sz w:val="11"/>
          <w:szCs w:val="11"/>
          <w:color w:val="auto"/>
        </w:rPr>
        <w:t xml:space="preserve"> In addition to BioNTech’s results determined in accordance with International Financial Reporting Standards (“IFRS”), or IFRS Accounting Standards, or IFRS results, BioNTech reports certain adjusted, non-IFRS measures used internally as a supplemental measure of our business performance (each referred to with the prefix “Adjusted” or, as a whole, “Adjusted Results”). The calculation of these measures and the adjusted results as a whole is based on the concepts of the applicable IFRS Accounting Standards, but includes certain adjustments. Reconciliation of the adjusted results to BioNTech’s measures based on IFRS Accounting Standards and more information can be found at the end of this press release and in BioNTech’s Report on Form 20-F for the year ended December 31, 2025 filed on March 10, 2026, which is available at www.sec.gov. While non-IFRS measures may offer additional insights, BioNTech’s non-IFRS measures are not, and should not be viewed as, a substitute for their most directly comparable IFRS Accounting Standards measures, and should always be considered alongside our financial statements prepared in accordance with IFRS Accounting Standards.</w:t>
      </w:r>
    </w:p>
    <w:p>
      <w:pPr>
        <w:ind w:left="8"/>
        <w:spacing w:after="0" w:line="206" w:lineRule="auto"/>
        <w:rPr>
          <w:rFonts w:ascii="Arial" w:cs="Arial" w:eastAsia="Arial" w:hAnsi="Arial"/>
          <w:sz w:val="14"/>
          <w:szCs w:val="14"/>
          <w:color w:val="auto"/>
          <w:vertAlign w:val="superscript"/>
        </w:rPr>
      </w:pPr>
      <w:r>
        <w:rPr>
          <w:rFonts w:ascii="Arial" w:cs="Arial" w:eastAsia="Arial" w:hAnsi="Arial"/>
          <w:sz w:val="14"/>
          <w:szCs w:val="14"/>
          <w:color w:val="auto"/>
          <w:vertAlign w:val="superscript"/>
        </w:rPr>
        <w:t>4</w:t>
      </w:r>
      <w:r>
        <w:rPr>
          <w:rFonts w:ascii="Arial" w:cs="Arial" w:eastAsia="Arial" w:hAnsi="Arial"/>
          <w:sz w:val="11"/>
          <w:szCs w:val="11"/>
          <w:color w:val="auto"/>
        </w:rPr>
        <w:t xml:space="preserve"> Calculated applying the average foreign exchange rate for the year ended December 31, 2025, as published by the German Central Bank (Deutsche Bundesbank).</w:t>
      </w:r>
    </w:p>
    <w:p>
      <w:pPr>
        <w:ind w:left="8"/>
        <w:spacing w:after="0" w:line="201" w:lineRule="auto"/>
        <w:rPr>
          <w:rFonts w:ascii="Arial" w:cs="Arial" w:eastAsia="Arial" w:hAnsi="Arial"/>
          <w:sz w:val="14"/>
          <w:szCs w:val="14"/>
          <w:color w:val="auto"/>
          <w:vertAlign w:val="superscript"/>
        </w:rPr>
      </w:pPr>
      <w:r>
        <w:rPr>
          <w:rFonts w:ascii="Arial" w:cs="Arial" w:eastAsia="Arial" w:hAnsi="Arial"/>
          <w:sz w:val="14"/>
          <w:szCs w:val="14"/>
          <w:color w:val="auto"/>
          <w:vertAlign w:val="superscript"/>
        </w:rPr>
        <w:t>5</w:t>
      </w:r>
      <w:r>
        <w:rPr>
          <w:rFonts w:ascii="Arial" w:cs="Arial" w:eastAsia="Arial" w:hAnsi="Arial"/>
          <w:sz w:val="11"/>
          <w:szCs w:val="11"/>
          <w:color w:val="auto"/>
        </w:rPr>
        <w:t xml:space="preserve"> As of December 31, 2025.</w:t>
      </w:r>
    </w:p>
    <w:p>
      <w:pPr>
        <w:jc w:val="both"/>
        <w:ind w:left="8"/>
        <w:spacing w:after="0" w:line="232" w:lineRule="auto"/>
        <w:rPr>
          <w:rFonts w:ascii="Arial" w:cs="Arial" w:eastAsia="Arial" w:hAnsi="Arial"/>
          <w:sz w:val="14"/>
          <w:szCs w:val="14"/>
          <w:color w:val="auto"/>
          <w:vertAlign w:val="superscript"/>
        </w:rPr>
      </w:pPr>
      <w:r>
        <w:rPr>
          <w:rFonts w:ascii="Arial" w:cs="Arial" w:eastAsia="Arial" w:hAnsi="Arial"/>
          <w:sz w:val="14"/>
          <w:szCs w:val="14"/>
          <w:color w:val="auto"/>
          <w:vertAlign w:val="superscript"/>
        </w:rPr>
        <w:t>6</w:t>
      </w:r>
      <w:r>
        <w:rPr>
          <w:rFonts w:ascii="Arial" w:cs="Arial" w:eastAsia="Arial" w:hAnsi="Arial"/>
          <w:sz w:val="11"/>
          <w:szCs w:val="11"/>
          <w:color w:val="auto"/>
        </w:rPr>
        <w:t xml:space="preserve"> Excludes risks that are not yet known and/or quantifiable and related activities. It includes effects identified from licensing arrangements, collaborations and Merger &amp; Acquisitions (“M&amp;A”) transactions to the extent disclosed. The guidance is based on non-IFRS measures and excludes certain effects compared to measures based on IFRS Accounting Standards. More information can be found in BioNTech’s Report on Form 20-F for the year ended December 31, 2025 filed on March 10, 2026, which is available at </w:t>
      </w:r>
      <w:r>
        <w:rPr>
          <w:rFonts w:ascii="Arial" w:cs="Arial" w:eastAsia="Arial" w:hAnsi="Arial"/>
          <w:sz w:val="11"/>
          <w:szCs w:val="11"/>
          <w:u w:val="single" w:color="auto"/>
          <w:color w:val="auto"/>
        </w:rPr>
        <w:t>www.sec.gov</w:t>
      </w:r>
      <w:r>
        <w:rPr>
          <w:rFonts w:ascii="Arial" w:cs="Arial" w:eastAsia="Arial" w:hAnsi="Arial"/>
          <w:sz w:val="11"/>
          <w:szCs w:val="11"/>
          <w:color w:val="auto"/>
        </w:rPr>
        <w:t>.</w:t>
      </w:r>
    </w:p>
    <w:p>
      <w:pPr>
        <w:spacing w:after="0" w:line="1" w:lineRule="exact"/>
        <w:rPr>
          <w:rFonts w:ascii="Arial" w:cs="Arial" w:eastAsia="Arial" w:hAnsi="Arial"/>
          <w:sz w:val="14"/>
          <w:szCs w:val="14"/>
          <w:color w:val="auto"/>
          <w:vertAlign w:val="superscript"/>
        </w:rPr>
      </w:pPr>
    </w:p>
    <w:p>
      <w:pPr>
        <w:ind w:left="8" w:right="20"/>
        <w:spacing w:after="0" w:line="225" w:lineRule="auto"/>
        <w:rPr>
          <w:rFonts w:ascii="Arial" w:cs="Arial" w:eastAsia="Arial" w:hAnsi="Arial"/>
          <w:sz w:val="14"/>
          <w:szCs w:val="14"/>
          <w:color w:val="auto"/>
          <w:vertAlign w:val="superscript"/>
        </w:rPr>
      </w:pPr>
      <w:r>
        <w:rPr>
          <w:rFonts w:ascii="Arial" w:cs="Arial" w:eastAsia="Arial" w:hAnsi="Arial"/>
          <w:sz w:val="14"/>
          <w:szCs w:val="14"/>
          <w:color w:val="auto"/>
          <w:vertAlign w:val="superscript"/>
        </w:rPr>
        <w:t>7</w:t>
      </w:r>
      <w:r>
        <w:rPr>
          <w:rFonts w:ascii="Arial" w:cs="Arial" w:eastAsia="Arial" w:hAnsi="Arial"/>
          <w:sz w:val="11"/>
          <w:szCs w:val="11"/>
          <w:color w:val="auto"/>
        </w:rPr>
        <w:t xml:space="preserve"> Sales, general and administrative expenses (“SG&amp;A”) include sales and marketing expenses as well as general and administrative expenses. Adjusted SG&amp;A expenses include adjusted sales and marketing expenses as well as adjusted general and administrative expenses.</w:t>
      </w:r>
    </w:p>
    <w:p>
      <w:pPr>
        <w:spacing w:after="0" w:line="15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Operational Review for the Fourth Quarter and Full Year 2025, Key Post Period-End Events and Outlook on 2026</w:t>
      </w:r>
    </w:p>
    <w:p>
      <w:pPr>
        <w:spacing w:after="0" w:line="179"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Corporate Update for the Fourth Quarter 2025 and Post Period Events</w:t>
      </w:r>
    </w:p>
    <w:p>
      <w:pPr>
        <w:spacing w:after="0" w:line="175" w:lineRule="exact"/>
        <w:rPr>
          <w:sz w:val="20"/>
          <w:szCs w:val="20"/>
          <w:color w:val="auto"/>
        </w:rPr>
      </w:pPr>
    </w:p>
    <w:p>
      <w:pPr>
        <w:jc w:val="both"/>
        <w:ind w:left="428" w:hanging="212"/>
        <w:spacing w:after="0" w:line="267" w:lineRule="auto"/>
        <w:tabs>
          <w:tab w:leader="none" w:pos="425" w:val="left"/>
        </w:tabs>
        <w:numPr>
          <w:ilvl w:val="0"/>
          <w:numId w:val="4"/>
        </w:numPr>
        <w:rPr>
          <w:rFonts w:ascii="Arial" w:cs="Arial" w:eastAsia="Arial" w:hAnsi="Arial"/>
          <w:sz w:val="12"/>
          <w:szCs w:val="12"/>
          <w:color w:val="auto"/>
        </w:rPr>
      </w:pPr>
      <w:r>
        <w:rPr>
          <w:rFonts w:ascii="Arial" w:cs="Arial" w:eastAsia="Arial" w:hAnsi="Arial"/>
          <w:sz w:val="12"/>
          <w:szCs w:val="12"/>
          <w:color w:val="auto"/>
        </w:rPr>
        <w:t>On March 10, 2026, BioNTech announced plans for an independent company to be established and led by BioNTech co-founders Prof. Ugur Sahin, M.D., and Prof. Özlem Türeci, M.D. The new company with distinct resources, operations and funding options will advance next-generation mRNA innovations. BioNTech plans to contribute related rights and mRNA technologies to the new company to enable and support the prioritized development of next-generation mRNA innovations with disruptive potential. With both companies focusing on their respective strategic priorities, BioNTech expects to maximize value for patients and shareholders alike. Ugur Sahin and Özlem Türeci will transition into the management of their new company by the end of 2026 after their current service agreements end. BioNTech’s Supervisory Board has initiated an executive search to identify successors for the positions to ensure a smooth transition and seamless execution of BioNTech’s strategy.</w:t>
      </w:r>
    </w:p>
    <w:p>
      <w:pPr>
        <w:spacing w:after="0" w:line="141" w:lineRule="exact"/>
        <w:rPr>
          <w:rFonts w:ascii="Arial" w:cs="Arial" w:eastAsia="Arial" w:hAnsi="Arial"/>
          <w:sz w:val="12"/>
          <w:szCs w:val="12"/>
          <w:color w:val="auto"/>
        </w:rPr>
      </w:pPr>
    </w:p>
    <w:p>
      <w:pPr>
        <w:ind w:left="428" w:hanging="212"/>
        <w:spacing w:after="0"/>
        <w:tabs>
          <w:tab w:leader="none" w:pos="428" w:val="left"/>
        </w:tabs>
        <w:numPr>
          <w:ilvl w:val="0"/>
          <w:numId w:val="4"/>
        </w:numPr>
        <w:rPr>
          <w:rFonts w:ascii="Arial" w:cs="Arial" w:eastAsia="Arial" w:hAnsi="Arial"/>
          <w:sz w:val="12"/>
          <w:szCs w:val="12"/>
          <w:color w:val="auto"/>
        </w:rPr>
      </w:pPr>
      <w:r>
        <w:rPr>
          <w:rFonts w:ascii="Arial" w:cs="Arial" w:eastAsia="Arial" w:hAnsi="Arial"/>
          <w:sz w:val="12"/>
          <w:szCs w:val="12"/>
          <w:color w:val="auto"/>
        </w:rPr>
        <w:t>On March 1, Kylie Jimenez joined BioNTech’s Management Board as Chief People Officer (“CPO”). The appointment is in line with BioNTech’s strategy to become a multi-product</w:t>
      </w: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308"/>
          </w:cols>
          <w:pgMar w:left="292" w:top="1162" w:right="299" w:bottom="1440" w:gutter="0" w:footer="0" w:header="0"/>
        </w:sectPr>
      </w:pPr>
    </w:p>
    <w:bookmarkStart w:id="8" w:name="page9"/>
    <w:bookmarkEnd w:id="8"/>
    <w:p>
      <w:pPr>
        <w:ind w:left="420" w:right="20"/>
        <w:spacing w:after="0" w:line="30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3035"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23035" cy="154305"/>
                    </a:xfrm>
                    <a:prstGeom prst="rect">
                      <a:avLst/>
                    </a:prstGeom>
                    <a:noFill/>
                  </pic:spPr>
                </pic:pic>
              </a:graphicData>
            </a:graphic>
          </wp:anchor>
        </w:drawing>
        <w:t>biopharmaceutical company by 2030 and underscores the importance of its global, highly skilled workforce in achieving this objective. Kylie will focus on attracting, developing and retaining talent, while strengthening an inclusive culture.</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Select Oncology Pipeline Updates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Next-Generation Immunomodulators and Combinations</w:t>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Pumitamig (BNT327/BMS986545) </w:t>
      </w:r>
      <w:r>
        <w:rPr>
          <w:rFonts w:ascii="Arial" w:cs="Arial" w:eastAsia="Arial" w:hAnsi="Arial"/>
          <w:sz w:val="12"/>
          <w:szCs w:val="12"/>
          <w:color w:val="auto"/>
        </w:rPr>
        <w:t>is a bispecific immunomodulator candidate combining PD-L1 checkpoint inhibition with VEGF-A neutralization that is being developed in collaboration with BMS.</w:t>
      </w:r>
    </w:p>
    <w:p>
      <w:pPr>
        <w:spacing w:after="0" w:line="18" w:lineRule="exact"/>
        <w:rPr>
          <w:sz w:val="20"/>
          <w:szCs w:val="20"/>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A global Phase 3 clinical trial in patients with first-line triple-negative breast cancer (“TNBC”) (ROSETTA Breast-01; </w:t>
      </w:r>
      <w:r>
        <w:rPr>
          <w:rFonts w:ascii="Arial" w:cs="Arial" w:eastAsia="Arial" w:hAnsi="Arial"/>
          <w:sz w:val="12"/>
          <w:szCs w:val="12"/>
          <w:u w:val="single" w:color="auto"/>
          <w:color w:val="auto"/>
        </w:rPr>
        <w:t>NCT07173751</w:t>
      </w:r>
      <w:r>
        <w:rPr>
          <w:rFonts w:ascii="Arial" w:cs="Arial" w:eastAsia="Arial" w:hAnsi="Arial"/>
          <w:sz w:val="12"/>
          <w:szCs w:val="12"/>
          <w:color w:val="auto"/>
        </w:rPr>
        <w:t>) is enrolling.</w:t>
      </w:r>
    </w:p>
    <w:p>
      <w:pPr>
        <w:spacing w:after="0" w:line="165"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A global Phase 2/3 clinical trial to evaluate pumitamig in first-line microsatellite stable colorectal cancer (“CRC”) (ROSETTA CRC-203; </w:t>
      </w:r>
      <w:r>
        <w:rPr>
          <w:rFonts w:ascii="Arial" w:cs="Arial" w:eastAsia="Arial" w:hAnsi="Arial"/>
          <w:sz w:val="12"/>
          <w:szCs w:val="12"/>
          <w:u w:val="single" w:color="auto"/>
          <w:color w:val="auto"/>
        </w:rPr>
        <w:t>NCT07221357</w:t>
      </w:r>
      <w:r>
        <w:rPr>
          <w:rFonts w:ascii="Arial" w:cs="Arial" w:eastAsia="Arial" w:hAnsi="Arial"/>
          <w:sz w:val="12"/>
          <w:szCs w:val="12"/>
          <w:color w:val="auto"/>
        </w:rPr>
        <w:t>) is enrolling.</w:t>
      </w:r>
    </w:p>
    <w:p>
      <w:pPr>
        <w:spacing w:after="0" w:line="177"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A global Phase 2/3 clinical trial to evaluate pumitamig in first-line gastric cancer (ROSETTA Gastric-204; </w:t>
      </w:r>
      <w:r>
        <w:rPr>
          <w:rFonts w:ascii="Arial" w:cs="Arial" w:eastAsia="Arial" w:hAnsi="Arial"/>
          <w:sz w:val="12"/>
          <w:szCs w:val="12"/>
          <w:u w:val="single" w:color="auto"/>
          <w:color w:val="auto"/>
        </w:rPr>
        <w:t>NCT07221149</w:t>
      </w:r>
      <w:r>
        <w:rPr>
          <w:rFonts w:ascii="Arial" w:cs="Arial" w:eastAsia="Arial" w:hAnsi="Arial"/>
          <w:sz w:val="12"/>
          <w:szCs w:val="12"/>
          <w:color w:val="auto"/>
        </w:rPr>
        <w:t>) is enrolling.</w:t>
      </w:r>
    </w:p>
    <w:p>
      <w:pPr>
        <w:spacing w:after="0" w:line="168" w:lineRule="exact"/>
        <w:rPr>
          <w:rFonts w:ascii="Arial" w:cs="Arial" w:eastAsia="Arial" w:hAnsi="Arial"/>
          <w:sz w:val="12"/>
          <w:szCs w:val="12"/>
          <w:color w:val="auto"/>
        </w:rPr>
      </w:pPr>
    </w:p>
    <w:p>
      <w:pPr>
        <w:jc w:val="both"/>
        <w:ind w:left="420" w:hanging="212"/>
        <w:spacing w:after="0" w:line="284"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A global Phase 2/3 clinical trial (ROSETTA Lung-02; </w:t>
      </w:r>
      <w:r>
        <w:rPr>
          <w:rFonts w:ascii="Arial" w:cs="Arial" w:eastAsia="Arial" w:hAnsi="Arial"/>
          <w:sz w:val="12"/>
          <w:szCs w:val="12"/>
          <w:u w:val="single" w:color="auto"/>
          <w:color w:val="auto"/>
        </w:rPr>
        <w:t>NCT06712316</w:t>
      </w:r>
      <w:r>
        <w:rPr>
          <w:rFonts w:ascii="Arial" w:cs="Arial" w:eastAsia="Arial" w:hAnsi="Arial"/>
          <w:sz w:val="12"/>
          <w:szCs w:val="12"/>
          <w:color w:val="auto"/>
        </w:rPr>
        <w:t>) is ongoing to evaluate pumitamig in combination with chemotherapy compared to pembrolizumab and chemotherapy in patients with first-line non-small cell lung cancer (“NSCLC”). The Phase 2 part of the seamless Phase 2/3 trial achieved full enrollment and the Phase 3 portion is currently recruiting. Data from the Phase 2 part of the trial are expected in 2026.</w:t>
      </w:r>
    </w:p>
    <w:p>
      <w:pPr>
        <w:spacing w:after="0" w:line="122" w:lineRule="exact"/>
        <w:rPr>
          <w:rFonts w:ascii="Arial" w:cs="Arial" w:eastAsia="Arial" w:hAnsi="Arial"/>
          <w:sz w:val="12"/>
          <w:szCs w:val="12"/>
          <w:color w:val="auto"/>
        </w:rPr>
      </w:pPr>
    </w:p>
    <w:p>
      <w:pPr>
        <w:ind w:left="420" w:hanging="212"/>
        <w:spacing w:after="0" w:line="301"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Additional pivotal Phase 2/3 and Phase 3 trials are planned to start in 2026, in unresectable stage III NSCLC (ROSETTA Lung-201, </w:t>
      </w:r>
      <w:r>
        <w:rPr>
          <w:rFonts w:ascii="Arial" w:cs="Arial" w:eastAsia="Arial" w:hAnsi="Arial"/>
          <w:sz w:val="12"/>
          <w:szCs w:val="12"/>
          <w:u w:val="single" w:color="auto"/>
          <w:color w:val="auto"/>
        </w:rPr>
        <w:t>NCT07361497</w:t>
      </w:r>
      <w:r>
        <w:rPr>
          <w:rFonts w:ascii="Arial" w:cs="Arial" w:eastAsia="Arial" w:hAnsi="Arial"/>
          <w:sz w:val="12"/>
          <w:szCs w:val="12"/>
          <w:color w:val="auto"/>
        </w:rPr>
        <w:t xml:space="preserve">), first-line PD-L1 ≥ 50% NSCLC (ROSETTA Lung-202, </w:t>
      </w:r>
      <w:r>
        <w:rPr>
          <w:rFonts w:ascii="Arial" w:cs="Arial" w:eastAsia="Arial" w:hAnsi="Arial"/>
          <w:sz w:val="12"/>
          <w:szCs w:val="12"/>
          <w:u w:val="single" w:color="auto"/>
          <w:color w:val="auto"/>
        </w:rPr>
        <w:t>NCT07361510</w:t>
      </w:r>
      <w:r>
        <w:rPr>
          <w:rFonts w:ascii="Arial" w:cs="Arial" w:eastAsia="Arial" w:hAnsi="Arial"/>
          <w:sz w:val="12"/>
          <w:szCs w:val="12"/>
          <w:color w:val="auto"/>
        </w:rPr>
        <w:t>) and first-line head and neck squamous cell carcinoma (“HNSCC”) (ROSETTA HNSCC-205).</w:t>
      </w:r>
    </w:p>
    <w:p>
      <w:pPr>
        <w:spacing w:after="0" w:line="121" w:lineRule="exact"/>
        <w:rPr>
          <w:rFonts w:ascii="Arial" w:cs="Arial" w:eastAsia="Arial" w:hAnsi="Arial"/>
          <w:sz w:val="12"/>
          <w:szCs w:val="12"/>
          <w:color w:val="auto"/>
        </w:rPr>
      </w:pPr>
    </w:p>
    <w:p>
      <w:pPr>
        <w:ind w:left="420" w:hanging="212"/>
        <w:spacing w:after="0" w:line="286"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auto"/>
        </w:rPr>
        <w:t>Pumitamig is also being evaluated in additional solid tumor indications, including first-line hepatocellular carcinoma (“HCC”), second-line glioblastoma (“GBM”), first-line pancreatic ductal adenocarcinoma (“PDAC”) and first-line renal cell carcinoma (“RCC”) in various Phase 1/2 and Phase 2 trials, both as monotherapy and in combination with standard of care.</w:t>
      </w:r>
    </w:p>
    <w:p>
      <w:pPr>
        <w:spacing w:after="0" w:line="130" w:lineRule="exact"/>
        <w:rPr>
          <w:rFonts w:ascii="Arial" w:cs="Arial" w:eastAsia="Arial" w:hAnsi="Arial"/>
          <w:sz w:val="12"/>
          <w:szCs w:val="12"/>
          <w:color w:val="auto"/>
        </w:rPr>
      </w:pPr>
    </w:p>
    <w:p>
      <w:pPr>
        <w:ind w:left="420" w:hanging="212"/>
        <w:spacing w:after="0" w:line="301"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auto"/>
        </w:rPr>
        <w:t>In 2025, BioNTech initiated several signal-seeking clinical trials to evaluate pumitamig with the Company’s proprietary assets. These trials will inform the dose selection for pumitamig and explore anti-tumor activity in multiple tumors for later-stage development.</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Gotistobart (BNT316/ONC-392) </w:t>
      </w:r>
      <w:r>
        <w:rPr>
          <w:rFonts w:ascii="Arial" w:cs="Arial" w:eastAsia="Arial" w:hAnsi="Arial"/>
          <w:sz w:val="12"/>
          <w:szCs w:val="12"/>
          <w:color w:val="auto"/>
        </w:rPr>
        <w:t>is a tumor microenvironment-selective regulatory T cell depletion candidate that targets CTLA-4 and is being developed in collaboration with OncoC4, Inc. (“OncoC4”).</w:t>
      </w:r>
    </w:p>
    <w:p>
      <w:pPr>
        <w:spacing w:after="0" w:line="27" w:lineRule="exact"/>
        <w:rPr>
          <w:sz w:val="20"/>
          <w:szCs w:val="20"/>
          <w:color w:val="auto"/>
        </w:rPr>
      </w:pPr>
    </w:p>
    <w:p>
      <w:pPr>
        <w:ind w:left="420" w:hanging="212"/>
        <w:spacing w:after="0" w:line="281" w:lineRule="auto"/>
        <w:tabs>
          <w:tab w:leader="none" w:pos="417"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A global Phase 3 clinical trial (PRESERVE-003; </w:t>
      </w:r>
      <w:r>
        <w:rPr>
          <w:rFonts w:ascii="Arial" w:cs="Arial" w:eastAsia="Arial" w:hAnsi="Arial"/>
          <w:sz w:val="12"/>
          <w:szCs w:val="12"/>
          <w:u w:val="single" w:color="auto"/>
          <w:color w:val="auto"/>
        </w:rPr>
        <w:t>NCT05671510</w:t>
      </w:r>
      <w:r>
        <w:rPr>
          <w:rFonts w:ascii="Arial" w:cs="Arial" w:eastAsia="Arial" w:hAnsi="Arial"/>
          <w:sz w:val="12"/>
          <w:szCs w:val="12"/>
          <w:color w:val="auto"/>
        </w:rPr>
        <w:t>) is ongoing to evaluate the efficacy and safety of gotistobart as monotherapy in patients with metastatic squamous NSCLC (“sqNSCLC”) that progressed under previous platinum-based chemotherapy and PD-(L)1-inhibitor treatment.</w:t>
      </w:r>
    </w:p>
    <w:p>
      <w:pPr>
        <w:spacing w:after="0" w:line="124" w:lineRule="exact"/>
        <w:rPr>
          <w:rFonts w:ascii="Arial" w:cs="Arial" w:eastAsia="Arial" w:hAnsi="Arial"/>
          <w:sz w:val="12"/>
          <w:szCs w:val="12"/>
          <w:color w:val="auto"/>
        </w:rPr>
      </w:pPr>
    </w:p>
    <w:p>
      <w:pPr>
        <w:jc w:val="both"/>
        <w:ind w:left="420" w:hanging="212"/>
        <w:spacing w:after="0" w:line="284" w:lineRule="auto"/>
        <w:tabs>
          <w:tab w:leader="none" w:pos="417" w:val="left"/>
        </w:tabs>
        <w:numPr>
          <w:ilvl w:val="0"/>
          <w:numId w:val="6"/>
        </w:numPr>
        <w:rPr>
          <w:rFonts w:ascii="Arial" w:cs="Arial" w:eastAsia="Arial" w:hAnsi="Arial"/>
          <w:sz w:val="12"/>
          <w:szCs w:val="12"/>
          <w:color w:val="auto"/>
        </w:rPr>
      </w:pPr>
      <w:r>
        <w:rPr>
          <w:rFonts w:ascii="Arial" w:cs="Arial" w:eastAsia="Arial" w:hAnsi="Arial"/>
          <w:sz w:val="12"/>
          <w:szCs w:val="12"/>
          <w:color w:val="auto"/>
        </w:rPr>
        <w:t>In December 2025, data from the non-pivotal dose-confirmation stage, the first of two stages of the global Phase 3 clinical trial, were presented at the International Association for the Study of Lung Cancer (“IASLC”) American Society of Clinical Oncology (“ASCO“) 2025 North America Conference on Lung Cancer (“NACLC”). Gotistobart demonstrated a clinically meaningful overall survival benefit compared to standard of care chemotherapy and a manageable safety profile in patients with squamous NSCLC whose disease had progressed following anti-PD-(L)1 therapy and platinum-based chemotherapy.</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300"/>
          </w:cols>
          <w:pgMar w:left="300" w:top="1162" w:right="299" w:bottom="1440" w:gutter="0" w:footer="0" w:header="0"/>
        </w:sectPr>
      </w:pPr>
    </w:p>
    <w:bookmarkStart w:id="9" w:name="page10"/>
    <w:bookmarkEnd w:id="9"/>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3035"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23035" cy="154305"/>
                    </a:xfrm>
                    <a:prstGeom prst="rect">
                      <a:avLst/>
                    </a:prstGeom>
                    <a:noFill/>
                  </pic:spPr>
                </pic:pic>
              </a:graphicData>
            </a:graphic>
          </wp:anchor>
        </w:drawing>
        <w:t>Based on current event accrual projections, interim data from the pivotal stage of the two-stage Phase 3 clinical trial are expected in 2026.</w:t>
      </w:r>
    </w:p>
    <w:p>
      <w:pPr>
        <w:spacing w:after="0" w:line="177" w:lineRule="exact"/>
        <w:rPr>
          <w:rFonts w:ascii="Arial" w:cs="Arial" w:eastAsia="Arial" w:hAnsi="Arial"/>
          <w:sz w:val="12"/>
          <w:szCs w:val="12"/>
          <w:color w:val="auto"/>
        </w:rPr>
      </w:pPr>
    </w:p>
    <w:p>
      <w:pPr>
        <w:ind w:left="420" w:right="20" w:hanging="212"/>
        <w:spacing w:after="0" w:line="301" w:lineRule="auto"/>
        <w:tabs>
          <w:tab w:leader="none" w:pos="417" w:val="left"/>
        </w:tabs>
        <w:numPr>
          <w:ilvl w:val="0"/>
          <w:numId w:val="7"/>
        </w:numPr>
        <w:rPr>
          <w:rFonts w:ascii="Arial" w:cs="Arial" w:eastAsia="Arial" w:hAnsi="Arial"/>
          <w:sz w:val="12"/>
          <w:szCs w:val="12"/>
          <w:color w:val="auto"/>
        </w:rPr>
      </w:pPr>
      <w:r>
        <w:rPr>
          <w:rFonts w:ascii="Arial" w:cs="Arial" w:eastAsia="Arial" w:hAnsi="Arial"/>
          <w:sz w:val="12"/>
          <w:szCs w:val="12"/>
          <w:color w:val="auto"/>
        </w:rPr>
        <w:t>In January 2026, gotistobart received Orphan Drug Designation from the U.S. Food and Drug Administration (“FDA”) for the treatment of squamous NSCLC. In 2022, gotistobart received Fast Track Designation from the FDA for the treatment of patients with metastatic NSCLC whose disease progressed on prior anti-PD-(L)1 therapy.</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Antibody-Drug Conjugates</w:t>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Trastuzumab pamirtecan </w:t>
      </w:r>
      <w:r>
        <w:rPr>
          <w:rFonts w:ascii="Arial" w:cs="Arial" w:eastAsia="Arial" w:hAnsi="Arial"/>
          <w:sz w:val="12"/>
          <w:szCs w:val="12"/>
          <w:color w:val="auto"/>
        </w:rPr>
        <w:t>(BNT323/DB-1303) is an ADC candidate targeting HER2 that is being developed in collaboration with Duality Biologics (Suzhou) Co. Ltd. (“DualityBio”).</w:t>
      </w:r>
    </w:p>
    <w:p>
      <w:pPr>
        <w:spacing w:after="0" w:line="168" w:lineRule="exact"/>
        <w:rPr>
          <w:sz w:val="20"/>
          <w:szCs w:val="20"/>
          <w:color w:val="auto"/>
        </w:rPr>
      </w:pPr>
    </w:p>
    <w:p>
      <w:pPr>
        <w:jc w:val="both"/>
        <w:ind w:left="420" w:hanging="212"/>
        <w:spacing w:after="0" w:line="284" w:lineRule="auto"/>
        <w:tabs>
          <w:tab w:leader="none" w:pos="417" w:val="left"/>
        </w:tabs>
        <w:numPr>
          <w:ilvl w:val="0"/>
          <w:numId w:val="8"/>
        </w:numPr>
        <w:rPr>
          <w:rFonts w:ascii="Arial" w:cs="Arial" w:eastAsia="Arial" w:hAnsi="Arial"/>
          <w:sz w:val="12"/>
          <w:szCs w:val="12"/>
          <w:color w:val="auto"/>
        </w:rPr>
      </w:pPr>
      <w:r>
        <w:rPr>
          <w:rFonts w:ascii="Arial" w:cs="Arial" w:eastAsia="Arial" w:hAnsi="Arial"/>
          <w:sz w:val="12"/>
          <w:szCs w:val="12"/>
          <w:color w:val="auto"/>
        </w:rPr>
        <w:t>A Phase 1/2 clinical trial (</w:t>
      </w:r>
      <w:r>
        <w:rPr>
          <w:rFonts w:ascii="Arial" w:cs="Arial" w:eastAsia="Arial" w:hAnsi="Arial"/>
          <w:sz w:val="12"/>
          <w:szCs w:val="12"/>
          <w:u w:val="single" w:color="auto"/>
          <w:color w:val="auto"/>
        </w:rPr>
        <w:t>NCT05150691</w:t>
      </w:r>
      <w:r>
        <w:rPr>
          <w:rFonts w:ascii="Arial" w:cs="Arial" w:eastAsia="Arial" w:hAnsi="Arial"/>
          <w:sz w:val="12"/>
          <w:szCs w:val="12"/>
          <w:color w:val="auto"/>
        </w:rPr>
        <w:t>) is ongoing to evaluate trastuzumab pamirtecan in patients with advanced HER2-expressing tumors. A potentially registrational cohort with HER2-expressing (IHC3+, 2+, 1+ or ISH-positive) patients with recurrent endometrial cancer is ongoing. Data are expected to be shared at a medical conference in 2026. BioNTech and DualityBio plan to file a biologics license application (“BLA”) in 2026, subject to regulatory feedback from the FDA.</w:t>
      </w:r>
    </w:p>
    <w:p>
      <w:pPr>
        <w:spacing w:after="0" w:line="122" w:lineRule="exact"/>
        <w:rPr>
          <w:rFonts w:ascii="Arial" w:cs="Arial" w:eastAsia="Arial" w:hAnsi="Arial"/>
          <w:sz w:val="12"/>
          <w:szCs w:val="12"/>
          <w:color w:val="auto"/>
        </w:rPr>
      </w:pPr>
    </w:p>
    <w:p>
      <w:pPr>
        <w:ind w:left="420" w:hanging="212"/>
        <w:spacing w:after="0" w:line="301" w:lineRule="auto"/>
        <w:tabs>
          <w:tab w:leader="none" w:pos="417" w:val="left"/>
        </w:tabs>
        <w:numPr>
          <w:ilvl w:val="0"/>
          <w:numId w:val="8"/>
        </w:numPr>
        <w:rPr>
          <w:rFonts w:ascii="Arial" w:cs="Arial" w:eastAsia="Arial" w:hAnsi="Arial"/>
          <w:sz w:val="12"/>
          <w:szCs w:val="12"/>
          <w:color w:val="auto"/>
        </w:rPr>
      </w:pPr>
      <w:r>
        <w:rPr>
          <w:rFonts w:ascii="Arial" w:cs="Arial" w:eastAsia="Arial" w:hAnsi="Arial"/>
          <w:sz w:val="12"/>
          <w:szCs w:val="12"/>
          <w:color w:val="auto"/>
        </w:rPr>
        <w:t xml:space="preserve">A global Phase 3 clinical trial (DYNASTY-Breast02, </w:t>
      </w:r>
      <w:r>
        <w:rPr>
          <w:rFonts w:ascii="Arial" w:cs="Arial" w:eastAsia="Arial" w:hAnsi="Arial"/>
          <w:sz w:val="12"/>
          <w:szCs w:val="12"/>
          <w:u w:val="single" w:color="auto"/>
          <w:color w:val="auto"/>
        </w:rPr>
        <w:t>NCT06018337</w:t>
      </w:r>
      <w:r>
        <w:rPr>
          <w:rFonts w:ascii="Arial" w:cs="Arial" w:eastAsia="Arial" w:hAnsi="Arial"/>
          <w:sz w:val="12"/>
          <w:szCs w:val="12"/>
          <w:color w:val="auto"/>
        </w:rPr>
        <w:t>) to evaluate trastuzumab pamirtecan in patients with HR-positive, HER2-low metastatic breast cancer is ongoing. Based on current event accrual projections, data are expected in 2026.</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BNT324/DB-1311 </w:t>
      </w:r>
      <w:r>
        <w:rPr>
          <w:rFonts w:ascii="Arial" w:cs="Arial" w:eastAsia="Arial" w:hAnsi="Arial"/>
          <w:sz w:val="12"/>
          <w:szCs w:val="12"/>
          <w:color w:val="auto"/>
        </w:rPr>
        <w:t>is an ADC candidate targeting B7H3 that is being developed in collaboration with DualityBio.</w:t>
      </w:r>
    </w:p>
    <w:p>
      <w:pPr>
        <w:spacing w:after="0" w:line="168" w:lineRule="exact"/>
        <w:rPr>
          <w:sz w:val="20"/>
          <w:szCs w:val="20"/>
          <w:color w:val="auto"/>
        </w:rPr>
      </w:pPr>
    </w:p>
    <w:p>
      <w:pPr>
        <w:ind w:left="420" w:right="20" w:hanging="212"/>
        <w:spacing w:after="0" w:line="301" w:lineRule="auto"/>
        <w:tabs>
          <w:tab w:leader="none" w:pos="417" w:val="left"/>
        </w:tabs>
        <w:numPr>
          <w:ilvl w:val="0"/>
          <w:numId w:val="9"/>
        </w:numPr>
        <w:rPr>
          <w:rFonts w:ascii="Arial" w:cs="Arial" w:eastAsia="Arial" w:hAnsi="Arial"/>
          <w:sz w:val="12"/>
          <w:szCs w:val="12"/>
          <w:color w:val="auto"/>
        </w:rPr>
      </w:pPr>
      <w:r>
        <w:rPr>
          <w:rFonts w:ascii="Arial" w:cs="Arial" w:eastAsia="Arial" w:hAnsi="Arial"/>
          <w:sz w:val="12"/>
          <w:szCs w:val="12"/>
          <w:color w:val="auto"/>
        </w:rPr>
        <w:t>In February 2026, updated data from a Phase 1/2 clinical trial (</w:t>
      </w:r>
      <w:r>
        <w:rPr>
          <w:rFonts w:ascii="Arial" w:cs="Arial" w:eastAsia="Arial" w:hAnsi="Arial"/>
          <w:sz w:val="12"/>
          <w:szCs w:val="12"/>
          <w:u w:val="single" w:color="auto"/>
          <w:color w:val="auto"/>
        </w:rPr>
        <w:t>NCT05914116</w:t>
      </w:r>
      <w:r>
        <w:rPr>
          <w:rFonts w:ascii="Arial" w:cs="Arial" w:eastAsia="Arial" w:hAnsi="Arial"/>
          <w:sz w:val="12"/>
          <w:szCs w:val="12"/>
          <w:color w:val="auto"/>
        </w:rPr>
        <w:t>) were presented at the ASCO Genitourinary Cancers Symposium. BNT324/DB-1311 demonstrated durable efficacy in heavily pretreated metastatic castration-resistant prostate cancer (“mCRPC”) patients with no new safety signals reported.</w:t>
      </w:r>
    </w:p>
    <w:p>
      <w:pPr>
        <w:spacing w:after="0" w:line="121" w:lineRule="exact"/>
        <w:rPr>
          <w:rFonts w:ascii="Arial" w:cs="Arial" w:eastAsia="Arial" w:hAnsi="Arial"/>
          <w:sz w:val="12"/>
          <w:szCs w:val="12"/>
          <w:color w:val="auto"/>
        </w:rPr>
      </w:pPr>
    </w:p>
    <w:p>
      <w:pPr>
        <w:ind w:left="420" w:hanging="212"/>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A Phase 3 clinical trial (</w:t>
      </w:r>
      <w:r>
        <w:rPr>
          <w:rFonts w:ascii="Arial" w:cs="Arial" w:eastAsia="Arial" w:hAnsi="Arial"/>
          <w:sz w:val="12"/>
          <w:szCs w:val="12"/>
          <w:u w:val="single" w:color="auto"/>
          <w:color w:val="auto"/>
        </w:rPr>
        <w:t>NCT07365995</w:t>
      </w:r>
      <w:r>
        <w:rPr>
          <w:rFonts w:ascii="Arial" w:cs="Arial" w:eastAsia="Arial" w:hAnsi="Arial"/>
          <w:sz w:val="12"/>
          <w:szCs w:val="12"/>
          <w:color w:val="auto"/>
        </w:rPr>
        <w:t>) to evaluate BNT324/DB-1311 compared to docetaxel in patients with mCRPC is expected to initiate in 2026.</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mRNA Cancer Immunotherapies</w:t>
      </w:r>
    </w:p>
    <w:p>
      <w:pPr>
        <w:spacing w:after="0" w:line="175" w:lineRule="exact"/>
        <w:rPr>
          <w:sz w:val="20"/>
          <w:szCs w:val="20"/>
          <w:color w:val="auto"/>
        </w:rPr>
      </w:pPr>
    </w:p>
    <w:p>
      <w:pPr>
        <w:ind w:right="660"/>
        <w:spacing w:after="0" w:line="301" w:lineRule="auto"/>
        <w:rPr>
          <w:sz w:val="20"/>
          <w:szCs w:val="20"/>
          <w:color w:val="auto"/>
        </w:rPr>
      </w:pPr>
      <w:r>
        <w:rPr>
          <w:rFonts w:ascii="Arial" w:cs="Arial" w:eastAsia="Arial" w:hAnsi="Arial"/>
          <w:sz w:val="12"/>
          <w:szCs w:val="12"/>
          <w:b w:val="1"/>
          <w:bCs w:val="1"/>
          <w:color w:val="auto"/>
        </w:rPr>
        <w:t xml:space="preserve">BNT113 </w:t>
      </w:r>
      <w:r>
        <w:rPr>
          <w:rFonts w:ascii="Arial" w:cs="Arial" w:eastAsia="Arial" w:hAnsi="Arial"/>
          <w:sz w:val="12"/>
          <w:szCs w:val="12"/>
          <w:color w:val="auto"/>
        </w:rPr>
        <w:t>is an mRNA cancer immunotherapy candidate and based on BioNTech’s fully owned, off-the-shelf FixVac platform, encoding the two oncoproteins E6 and E7 that are frequently found in human</w:t>
      </w:r>
      <w:r>
        <w:rPr>
          <w:rFonts w:ascii="Arial" w:cs="Arial" w:eastAsia="Arial" w:hAnsi="Arial"/>
          <w:sz w:val="12"/>
          <w:szCs w:val="12"/>
          <w:b w:val="1"/>
          <w:bCs w:val="1"/>
          <w:color w:val="auto"/>
        </w:rPr>
        <w:t xml:space="preserve"> </w:t>
      </w:r>
      <w:r>
        <w:rPr>
          <w:rFonts w:ascii="Arial" w:cs="Arial" w:eastAsia="Arial" w:hAnsi="Arial"/>
          <w:sz w:val="12"/>
          <w:szCs w:val="12"/>
          <w:color w:val="auto"/>
        </w:rPr>
        <w:t>papillomavirus type 16 positive (“HPV16+”) solid tumors.</w:t>
      </w:r>
    </w:p>
    <w:p>
      <w:pPr>
        <w:spacing w:after="0" w:line="113" w:lineRule="exact"/>
        <w:rPr>
          <w:sz w:val="20"/>
          <w:szCs w:val="20"/>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 December 2025, the FDA granted Fast Track designation to BNT113 for the treatment of patients with PD-L1+, HPV16+ HNSCC.</w:t>
      </w:r>
    </w:p>
    <w:p>
      <w:pPr>
        <w:spacing w:after="0" w:line="177" w:lineRule="exact"/>
        <w:rPr>
          <w:rFonts w:ascii="Arial" w:cs="Arial" w:eastAsia="Arial" w:hAnsi="Arial"/>
          <w:sz w:val="12"/>
          <w:szCs w:val="12"/>
          <w:color w:val="auto"/>
        </w:rPr>
      </w:pPr>
    </w:p>
    <w:p>
      <w:pPr>
        <w:ind w:left="420" w:hanging="212"/>
        <w:spacing w:after="0" w:line="301" w:lineRule="auto"/>
        <w:tabs>
          <w:tab w:leader="none" w:pos="417" w:val="left"/>
        </w:tabs>
        <w:numPr>
          <w:ilvl w:val="0"/>
          <w:numId w:val="10"/>
        </w:numPr>
        <w:rPr>
          <w:rFonts w:ascii="Arial" w:cs="Arial" w:eastAsia="Arial" w:hAnsi="Arial"/>
          <w:sz w:val="12"/>
          <w:szCs w:val="12"/>
          <w:color w:val="auto"/>
        </w:rPr>
      </w:pPr>
      <w:r>
        <w:rPr>
          <w:rFonts w:ascii="Arial" w:cs="Arial" w:eastAsia="Arial" w:hAnsi="Arial"/>
          <w:sz w:val="12"/>
          <w:szCs w:val="12"/>
          <w:color w:val="auto"/>
        </w:rPr>
        <w:t xml:space="preserve">Based on current event accrual projections, data are expected in 2026 from the first interim analysis of the Phase 3 part of the ongoing Phase 2/3 clinical trial (AHEAD-MERIT; </w:t>
      </w:r>
      <w:r>
        <w:rPr>
          <w:rFonts w:ascii="Arial" w:cs="Arial" w:eastAsia="Arial" w:hAnsi="Arial"/>
          <w:sz w:val="12"/>
          <w:szCs w:val="12"/>
          <w:u w:val="single" w:color="auto"/>
          <w:color w:val="auto"/>
        </w:rPr>
        <w:t>NCT04534205</w:t>
      </w:r>
      <w:r>
        <w:rPr>
          <w:rFonts w:ascii="Arial" w:cs="Arial" w:eastAsia="Arial" w:hAnsi="Arial"/>
          <w:sz w:val="12"/>
          <w:szCs w:val="12"/>
          <w:color w:val="auto"/>
        </w:rPr>
        <w:t>) evaluating BNT113 in combination with pembrolizumab versus pembrolizumab monotherapy as a first-line treatment for patients with unresectable recurrent or metastatic, PD-L1+, HPV16+ HNSCC.</w:t>
      </w:r>
    </w:p>
    <w:p>
      <w:pPr>
        <w:spacing w:after="0" w:line="113" w:lineRule="exact"/>
        <w:rPr>
          <w:sz w:val="20"/>
          <w:szCs w:val="20"/>
          <w:color w:val="auto"/>
        </w:rPr>
      </w:pPr>
    </w:p>
    <w:p>
      <w:pPr>
        <w:ind w:right="20"/>
        <w:spacing w:after="0" w:line="301" w:lineRule="auto"/>
        <w:rPr>
          <w:sz w:val="20"/>
          <w:szCs w:val="20"/>
          <w:color w:val="auto"/>
        </w:rPr>
      </w:pPr>
      <w:r>
        <w:rPr>
          <w:rFonts w:ascii="Arial" w:cs="Arial" w:eastAsia="Arial" w:hAnsi="Arial"/>
          <w:sz w:val="12"/>
          <w:szCs w:val="12"/>
          <w:b w:val="1"/>
          <w:bCs w:val="1"/>
          <w:color w:val="auto"/>
        </w:rPr>
        <w:t xml:space="preserve">Autogene cevumeran </w:t>
      </w:r>
      <w:r>
        <w:rPr>
          <w:rFonts w:ascii="Arial" w:cs="Arial" w:eastAsia="Arial" w:hAnsi="Arial"/>
          <w:sz w:val="12"/>
          <w:szCs w:val="12"/>
          <w:color w:val="auto"/>
        </w:rPr>
        <w:t>(BNT122/RO7198457) is an mRNA cancer immunotherapy candidate for individualized neoantigen-specific immunotherapy (“iNeST”) that is being developed in collaboration with</w:t>
      </w:r>
      <w:r>
        <w:rPr>
          <w:rFonts w:ascii="Arial" w:cs="Arial" w:eastAsia="Arial" w:hAnsi="Arial"/>
          <w:sz w:val="12"/>
          <w:szCs w:val="12"/>
          <w:b w:val="1"/>
          <w:bCs w:val="1"/>
          <w:color w:val="auto"/>
        </w:rPr>
        <w:t xml:space="preserve"> </w:t>
      </w:r>
      <w:r>
        <w:rPr>
          <w:rFonts w:ascii="Arial" w:cs="Arial" w:eastAsia="Arial" w:hAnsi="Arial"/>
          <w:sz w:val="12"/>
          <w:szCs w:val="12"/>
          <w:color w:val="auto"/>
        </w:rPr>
        <w:t>Genentech, Inc. (“Genentech”), a member of the Roche Group (“Roche”).</w:t>
      </w: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300"/>
          </w:cols>
          <w:pgMar w:left="300" w:top="1324" w:right="299" w:bottom="1440" w:gutter="0" w:footer="0" w:header="0"/>
        </w:sectPr>
      </w:pPr>
    </w:p>
    <w:bookmarkStart w:id="10" w:name="page11"/>
    <w:bookmarkEnd w:id="10"/>
    <w:p>
      <w:pPr>
        <w:ind w:left="420" w:hanging="212"/>
        <w:spacing w:after="0" w:line="301" w:lineRule="auto"/>
        <w:tabs>
          <w:tab w:leader="none" w:pos="417" w:val="left"/>
        </w:tabs>
        <w:numPr>
          <w:ilvl w:val="0"/>
          <w:numId w:val="11"/>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3035"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23035" cy="154305"/>
                    </a:xfrm>
                    <a:prstGeom prst="rect">
                      <a:avLst/>
                    </a:prstGeom>
                    <a:noFill/>
                  </pic:spPr>
                </pic:pic>
              </a:graphicData>
            </a:graphic>
          </wp:anchor>
        </w:drawing>
        <w:t>An update from the ongoing Phase 2 clinical trial in Stage II (high-risk)/Stage III circulating tumor DNA positive (“ctDNA+”) adjuvant colorectal cancer (“CRC”) is expected in early 2026. Data read-out from the final analysis of this trial has been updated from 2026 to 2027, given that events have accrued more slowly than projected.</w:t>
      </w:r>
    </w:p>
    <w:p>
      <w:pPr>
        <w:spacing w:after="0" w:line="121" w:lineRule="exact"/>
        <w:rPr>
          <w:rFonts w:ascii="Arial" w:cs="Arial" w:eastAsia="Arial" w:hAnsi="Arial"/>
          <w:sz w:val="12"/>
          <w:szCs w:val="12"/>
          <w:color w:val="auto"/>
        </w:rPr>
      </w:pPr>
    </w:p>
    <w:p>
      <w:pPr>
        <w:jc w:val="both"/>
        <w:ind w:left="420" w:hanging="212"/>
        <w:spacing w:after="0" w:line="276" w:lineRule="auto"/>
        <w:tabs>
          <w:tab w:leader="none" w:pos="417" w:val="left"/>
        </w:tabs>
        <w:numPr>
          <w:ilvl w:val="0"/>
          <w:numId w:val="11"/>
        </w:numPr>
        <w:rPr>
          <w:rFonts w:ascii="Arial" w:cs="Arial" w:eastAsia="Arial" w:hAnsi="Arial"/>
          <w:sz w:val="12"/>
          <w:szCs w:val="12"/>
          <w:color w:val="auto"/>
        </w:rPr>
      </w:pPr>
      <w:r>
        <w:rPr>
          <w:rFonts w:ascii="Arial" w:cs="Arial" w:eastAsia="Arial" w:hAnsi="Arial"/>
          <w:sz w:val="12"/>
          <w:szCs w:val="12"/>
          <w:color w:val="auto"/>
        </w:rPr>
        <w:t xml:space="preserve">BioNTech and Roche, the sponsor of the trial, have decided to discontinue the Phase 2 clinical trial (IMcode004; </w:t>
      </w:r>
      <w:r>
        <w:rPr>
          <w:rFonts w:ascii="Arial" w:cs="Arial" w:eastAsia="Arial" w:hAnsi="Arial"/>
          <w:sz w:val="12"/>
          <w:szCs w:val="12"/>
          <w:u w:val="single" w:color="auto"/>
          <w:color w:val="auto"/>
        </w:rPr>
        <w:t>NCT06534983</w:t>
      </w:r>
      <w:r>
        <w:rPr>
          <w:rFonts w:ascii="Arial" w:cs="Arial" w:eastAsia="Arial" w:hAnsi="Arial"/>
          <w:sz w:val="12"/>
          <w:szCs w:val="12"/>
          <w:color w:val="auto"/>
        </w:rPr>
        <w:t>) evaluating autogene cevumeran as an adjuvant treatment in combination with nivolumab compared to nivolumab alone in patients with high-risk muscle-invasive urothelial carcinoma due to the rapidly emerging treatment landscape and shifting standard of care. The companies will focus on advancing autogene cevumeran in the currently ongoing randomized Phase 2 clinical trials in adjuvant pancreatic ductal adenocarcinoma (“PDAC”) and adjuvant CRC.</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260" w:type="dxa"/>
            <w:vAlign w:val="bottom"/>
          </w:tcPr>
          <w:p>
            <w:pPr>
              <w:spacing w:after="0"/>
              <w:rPr>
                <w:sz w:val="20"/>
                <w:szCs w:val="20"/>
                <w:color w:val="auto"/>
              </w:rPr>
            </w:pPr>
            <w:r>
              <w:rPr>
                <w:rFonts w:ascii="Arial" w:cs="Arial" w:eastAsia="Arial" w:hAnsi="Arial"/>
                <w:sz w:val="12"/>
                <w:szCs w:val="12"/>
                <w:b w:val="1"/>
                <w:bCs w:val="1"/>
                <w:color w:val="auto"/>
              </w:rPr>
              <w:t>Expected 2026 Milestones</w:t>
            </w:r>
          </w:p>
        </w:tc>
        <w:tc>
          <w:tcPr>
            <w:tcW w:w="22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260" w:type="dxa"/>
            <w:vAlign w:val="bottom"/>
            <w:tcBorders>
              <w:bottom w:val="single" w:sz="8" w:color="A6A6A6"/>
            </w:tcBorders>
          </w:tcPr>
          <w:p>
            <w:pPr>
              <w:spacing w:after="0"/>
              <w:rPr>
                <w:sz w:val="17"/>
                <w:szCs w:val="17"/>
                <w:color w:val="auto"/>
              </w:rPr>
            </w:pPr>
          </w:p>
        </w:tc>
        <w:tc>
          <w:tcPr>
            <w:tcW w:w="2240" w:type="dxa"/>
            <w:vAlign w:val="bottom"/>
            <w:tcBorders>
              <w:bottom w:val="single" w:sz="8" w:color="A6A6A6"/>
            </w:tcBorders>
          </w:tcPr>
          <w:p>
            <w:pPr>
              <w:spacing w:after="0"/>
              <w:rPr>
                <w:sz w:val="20"/>
                <w:szCs w:val="20"/>
                <w:color w:val="auto"/>
              </w:rPr>
            </w:pPr>
            <w:r>
              <w:rPr>
                <w:rFonts w:ascii="Arial" w:cs="Arial" w:eastAsia="Arial" w:hAnsi="Arial"/>
                <w:sz w:val="12"/>
                <w:szCs w:val="12"/>
                <w:b w:val="1"/>
                <w:bCs w:val="1"/>
                <w:color w:val="auto"/>
              </w:rPr>
              <w:t>Program</w:t>
            </w:r>
          </w:p>
        </w:tc>
        <w:tc>
          <w:tcPr>
            <w:tcW w:w="2460" w:type="dxa"/>
            <w:vAlign w:val="bottom"/>
            <w:tcBorders>
              <w:bottom w:val="single" w:sz="8" w:color="A6A6A6"/>
            </w:tcBorders>
          </w:tcPr>
          <w:p>
            <w:pPr>
              <w:ind w:left="20"/>
              <w:spacing w:after="0"/>
              <w:rPr>
                <w:sz w:val="20"/>
                <w:szCs w:val="20"/>
                <w:color w:val="auto"/>
              </w:rPr>
            </w:pPr>
            <w:r>
              <w:rPr>
                <w:rFonts w:ascii="Arial" w:cs="Arial" w:eastAsia="Arial" w:hAnsi="Arial"/>
                <w:sz w:val="12"/>
                <w:szCs w:val="12"/>
                <w:b w:val="1"/>
                <w:bCs w:val="1"/>
                <w:color w:val="auto"/>
              </w:rPr>
              <w:t>Modality</w:t>
            </w:r>
          </w:p>
        </w:tc>
        <w:tc>
          <w:tcPr>
            <w:tcW w:w="1860" w:type="dxa"/>
            <w:vAlign w:val="bottom"/>
            <w:tcBorders>
              <w:bottom w:val="single" w:sz="8" w:color="A6A6A6"/>
            </w:tcBorders>
          </w:tcPr>
          <w:p>
            <w:pPr>
              <w:ind w:left="20"/>
              <w:spacing w:after="0"/>
              <w:rPr>
                <w:sz w:val="20"/>
                <w:szCs w:val="20"/>
                <w:color w:val="auto"/>
              </w:rPr>
            </w:pPr>
            <w:r>
              <w:rPr>
                <w:rFonts w:ascii="Arial" w:cs="Arial" w:eastAsia="Arial" w:hAnsi="Arial"/>
                <w:sz w:val="12"/>
                <w:szCs w:val="12"/>
                <w:b w:val="1"/>
                <w:bCs w:val="1"/>
                <w:color w:val="auto"/>
              </w:rPr>
              <w:t>Trial Readout Phase</w:t>
            </w:r>
          </w:p>
        </w:tc>
        <w:tc>
          <w:tcPr>
            <w:tcW w:w="2480" w:type="dxa"/>
            <w:vAlign w:val="bottom"/>
            <w:tcBorders>
              <w:bottom w:val="single" w:sz="8" w:color="A6A6A6"/>
            </w:tcBorders>
            <w:gridSpan w:val="2"/>
          </w:tcPr>
          <w:p>
            <w:pPr>
              <w:ind w:left="60"/>
              <w:spacing w:after="0"/>
              <w:rPr>
                <w:sz w:val="20"/>
                <w:szCs w:val="20"/>
                <w:color w:val="auto"/>
              </w:rPr>
            </w:pPr>
            <w:r>
              <w:rPr>
                <w:rFonts w:ascii="Arial" w:cs="Arial" w:eastAsia="Arial" w:hAnsi="Arial"/>
                <w:sz w:val="12"/>
                <w:szCs w:val="12"/>
                <w:b w:val="1"/>
                <w:bCs w:val="1"/>
                <w:color w:val="auto"/>
              </w:rPr>
              <w:t>Indication</w:t>
            </w:r>
          </w:p>
        </w:tc>
        <w:tc>
          <w:tcPr>
            <w:tcW w:w="0" w:type="dxa"/>
            <w:vAlign w:val="bottom"/>
          </w:tcPr>
          <w:p>
            <w:pPr>
              <w:spacing w:after="0"/>
              <w:rPr>
                <w:sz w:val="1"/>
                <w:szCs w:val="1"/>
                <w:color w:val="auto"/>
              </w:rPr>
            </w:pPr>
          </w:p>
        </w:tc>
      </w:tr>
      <w:tr>
        <w:trPr>
          <w:trHeight w:val="213"/>
        </w:trPr>
        <w:tc>
          <w:tcPr>
            <w:tcW w:w="2260" w:type="dxa"/>
            <w:vAlign w:val="bottom"/>
          </w:tcPr>
          <w:p>
            <w:pPr>
              <w:spacing w:after="0"/>
              <w:rPr>
                <w:sz w:val="20"/>
                <w:szCs w:val="20"/>
                <w:color w:val="auto"/>
              </w:rPr>
            </w:pPr>
            <w:r>
              <w:rPr>
                <w:rFonts w:ascii="Arial" w:cs="Arial" w:eastAsia="Arial" w:hAnsi="Arial"/>
                <w:sz w:val="12"/>
                <w:szCs w:val="12"/>
                <w:b w:val="1"/>
                <w:bCs w:val="1"/>
                <w:color w:val="auto"/>
              </w:rPr>
              <w:t>Late-Stage Trial Readouts</w:t>
            </w:r>
          </w:p>
        </w:tc>
        <w:tc>
          <w:tcPr>
            <w:tcW w:w="2240" w:type="dxa"/>
            <w:vAlign w:val="bottom"/>
          </w:tcPr>
          <w:p>
            <w:pPr>
              <w:spacing w:after="0"/>
              <w:rPr>
                <w:sz w:val="20"/>
                <w:szCs w:val="20"/>
                <w:color w:val="auto"/>
              </w:rPr>
            </w:pPr>
            <w:r>
              <w:rPr>
                <w:rFonts w:ascii="Arial" w:cs="Arial" w:eastAsia="Arial" w:hAnsi="Arial"/>
                <w:sz w:val="12"/>
                <w:szCs w:val="12"/>
                <w:b w:val="1"/>
                <w:bCs w:val="1"/>
                <w:color w:val="auto"/>
              </w:rPr>
              <w:t>Trastuzumab pamirtecan</w:t>
            </w:r>
            <w:r>
              <w:rPr>
                <w:rFonts w:ascii="Arial" w:cs="Arial" w:eastAsia="Arial" w:hAnsi="Arial"/>
                <w:sz w:val="15"/>
                <w:szCs w:val="15"/>
                <w:b w:val="1"/>
                <w:bCs w:val="1"/>
                <w:color w:val="auto"/>
                <w:vertAlign w:val="superscript"/>
              </w:rPr>
              <w:t>3</w:t>
            </w:r>
          </w:p>
        </w:tc>
        <w:tc>
          <w:tcPr>
            <w:tcW w:w="2460" w:type="dxa"/>
            <w:vAlign w:val="bottom"/>
          </w:tcPr>
          <w:p>
            <w:pPr>
              <w:ind w:left="20"/>
              <w:spacing w:after="0"/>
              <w:rPr>
                <w:sz w:val="20"/>
                <w:szCs w:val="20"/>
                <w:color w:val="auto"/>
              </w:rPr>
            </w:pPr>
            <w:r>
              <w:rPr>
                <w:rFonts w:ascii="Arial" w:cs="Arial" w:eastAsia="Arial" w:hAnsi="Arial"/>
                <w:sz w:val="12"/>
                <w:szCs w:val="12"/>
                <w:color w:val="auto"/>
              </w:rPr>
              <w:t>ADC</w:t>
            </w:r>
          </w:p>
        </w:tc>
        <w:tc>
          <w:tcPr>
            <w:tcW w:w="1860" w:type="dxa"/>
            <w:vAlign w:val="bottom"/>
          </w:tcPr>
          <w:p>
            <w:pPr>
              <w:ind w:left="20"/>
              <w:spacing w:after="0"/>
              <w:rPr>
                <w:sz w:val="20"/>
                <w:szCs w:val="20"/>
                <w:color w:val="auto"/>
              </w:rPr>
            </w:pPr>
            <w:r>
              <w:rPr>
                <w:rFonts w:ascii="Arial" w:cs="Arial" w:eastAsia="Arial" w:hAnsi="Arial"/>
                <w:sz w:val="12"/>
                <w:szCs w:val="12"/>
                <w:color w:val="auto"/>
              </w:rPr>
              <w:t>Single-arm Phase 2</w:t>
            </w:r>
          </w:p>
        </w:tc>
        <w:tc>
          <w:tcPr>
            <w:tcW w:w="2480" w:type="dxa"/>
            <w:vAlign w:val="bottom"/>
            <w:gridSpan w:val="2"/>
          </w:tcPr>
          <w:p>
            <w:pPr>
              <w:ind w:left="60"/>
              <w:spacing w:after="0"/>
              <w:rPr>
                <w:sz w:val="20"/>
                <w:szCs w:val="20"/>
                <w:color w:val="auto"/>
              </w:rPr>
            </w:pPr>
            <w:r>
              <w:rPr>
                <w:rFonts w:ascii="Arial" w:cs="Arial" w:eastAsia="Arial" w:hAnsi="Arial"/>
                <w:sz w:val="12"/>
                <w:szCs w:val="12"/>
                <w:color w:val="auto"/>
              </w:rPr>
              <w:t>2L+ HER2-expressing endometrial cancer</w:t>
            </w:r>
          </w:p>
        </w:tc>
        <w:tc>
          <w:tcPr>
            <w:tcW w:w="0" w:type="dxa"/>
            <w:vAlign w:val="bottom"/>
          </w:tcPr>
          <w:p>
            <w:pPr>
              <w:spacing w:after="0"/>
              <w:rPr>
                <w:sz w:val="1"/>
                <w:szCs w:val="1"/>
                <w:color w:val="auto"/>
              </w:rPr>
            </w:pPr>
          </w:p>
        </w:tc>
      </w:tr>
      <w:tr>
        <w:trPr>
          <w:trHeight w:val="244"/>
        </w:trPr>
        <w:tc>
          <w:tcPr>
            <w:tcW w:w="22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860" w:type="dxa"/>
            <w:vAlign w:val="bottom"/>
            <w:tcBorders>
              <w:bottom w:val="single" w:sz="8" w:color="A6A6A6"/>
            </w:tcBorders>
          </w:tcPr>
          <w:p>
            <w:pPr>
              <w:spacing w:after="0"/>
              <w:rPr>
                <w:sz w:val="21"/>
                <w:szCs w:val="21"/>
                <w:color w:val="auto"/>
              </w:rPr>
            </w:pPr>
          </w:p>
        </w:tc>
        <w:tc>
          <w:tcPr>
            <w:tcW w:w="2480" w:type="dxa"/>
            <w:vAlign w:val="bottom"/>
            <w:tcBorders>
              <w:bottom w:val="single" w:sz="8" w:color="A6A6A6"/>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2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60" w:type="dxa"/>
            <w:vAlign w:val="bottom"/>
          </w:tcPr>
          <w:p>
            <w:pPr>
              <w:ind w:left="20"/>
              <w:spacing w:after="0"/>
              <w:rPr>
                <w:sz w:val="20"/>
                <w:szCs w:val="20"/>
                <w:color w:val="auto"/>
              </w:rPr>
            </w:pPr>
            <w:r>
              <w:rPr>
                <w:rFonts w:ascii="Arial" w:cs="Arial" w:eastAsia="Arial" w:hAnsi="Arial"/>
                <w:sz w:val="12"/>
                <w:szCs w:val="12"/>
                <w:color w:val="auto"/>
              </w:rPr>
              <w:t>Phase 3 interim analysis</w:t>
            </w:r>
          </w:p>
        </w:tc>
        <w:tc>
          <w:tcPr>
            <w:tcW w:w="2480" w:type="dxa"/>
            <w:vAlign w:val="bottom"/>
            <w:gridSpan w:val="2"/>
          </w:tcPr>
          <w:p>
            <w:pPr>
              <w:ind w:left="60"/>
              <w:spacing w:after="0"/>
              <w:rPr>
                <w:sz w:val="20"/>
                <w:szCs w:val="20"/>
                <w:color w:val="auto"/>
              </w:rPr>
            </w:pPr>
            <w:r>
              <w:rPr>
                <w:rFonts w:ascii="Arial" w:cs="Arial" w:eastAsia="Arial" w:hAnsi="Arial"/>
                <w:sz w:val="12"/>
                <w:szCs w:val="12"/>
                <w:color w:val="auto"/>
              </w:rPr>
              <w:t>Chemo naïve HR+ HER2-low breast cancer</w:t>
            </w:r>
          </w:p>
        </w:tc>
        <w:tc>
          <w:tcPr>
            <w:tcW w:w="0" w:type="dxa"/>
            <w:vAlign w:val="bottom"/>
          </w:tcPr>
          <w:p>
            <w:pPr>
              <w:spacing w:after="0"/>
              <w:rPr>
                <w:sz w:val="1"/>
                <w:szCs w:val="1"/>
                <w:color w:val="auto"/>
              </w:rPr>
            </w:pPr>
          </w:p>
        </w:tc>
      </w:tr>
      <w:tr>
        <w:trPr>
          <w:trHeight w:val="295"/>
        </w:trPr>
        <w:tc>
          <w:tcPr>
            <w:tcW w:w="2260" w:type="dxa"/>
            <w:vAlign w:val="bottom"/>
          </w:tcPr>
          <w:p>
            <w:pPr>
              <w:spacing w:after="0"/>
              <w:rPr>
                <w:sz w:val="24"/>
                <w:szCs w:val="24"/>
                <w:color w:val="auto"/>
              </w:rPr>
            </w:pPr>
          </w:p>
        </w:tc>
        <w:tc>
          <w:tcPr>
            <w:tcW w:w="2240" w:type="dxa"/>
            <w:vAlign w:val="bottom"/>
            <w:vMerge w:val="restart"/>
          </w:tcPr>
          <w:p>
            <w:pPr>
              <w:spacing w:after="0"/>
              <w:rPr>
                <w:sz w:val="20"/>
                <w:szCs w:val="20"/>
                <w:color w:val="auto"/>
              </w:rPr>
            </w:pPr>
            <w:r>
              <w:rPr>
                <w:rFonts w:ascii="Arial" w:cs="Arial" w:eastAsia="Arial" w:hAnsi="Arial"/>
                <w:sz w:val="12"/>
                <w:szCs w:val="12"/>
                <w:b w:val="1"/>
                <w:bCs w:val="1"/>
                <w:color w:val="auto"/>
              </w:rPr>
              <w:t>Gotistobart</w:t>
            </w:r>
            <w:r>
              <w:rPr>
                <w:rFonts w:ascii="Arial" w:cs="Arial" w:eastAsia="Arial" w:hAnsi="Arial"/>
                <w:sz w:val="15"/>
                <w:szCs w:val="15"/>
                <w:b w:val="1"/>
                <w:bCs w:val="1"/>
                <w:color w:val="auto"/>
                <w:vertAlign w:val="superscript"/>
              </w:rPr>
              <w:t>2</w:t>
            </w:r>
          </w:p>
        </w:tc>
        <w:tc>
          <w:tcPr>
            <w:tcW w:w="2460" w:type="dxa"/>
            <w:vAlign w:val="bottom"/>
            <w:tcBorders>
              <w:bottom w:val="single" w:sz="8" w:color="A6A6A6"/>
            </w:tcBorders>
          </w:tcPr>
          <w:p>
            <w:pPr>
              <w:spacing w:after="0"/>
              <w:rPr>
                <w:sz w:val="24"/>
                <w:szCs w:val="24"/>
                <w:color w:val="auto"/>
              </w:rPr>
            </w:pPr>
          </w:p>
        </w:tc>
        <w:tc>
          <w:tcPr>
            <w:tcW w:w="1860" w:type="dxa"/>
            <w:vAlign w:val="bottom"/>
            <w:tcBorders>
              <w:bottom w:val="single" w:sz="8" w:color="A6A6A6"/>
            </w:tcBorders>
          </w:tcPr>
          <w:p>
            <w:pPr>
              <w:spacing w:after="0"/>
              <w:rPr>
                <w:sz w:val="24"/>
                <w:szCs w:val="24"/>
                <w:color w:val="auto"/>
              </w:rPr>
            </w:pPr>
          </w:p>
        </w:tc>
        <w:tc>
          <w:tcPr>
            <w:tcW w:w="2480" w:type="dxa"/>
            <w:vAlign w:val="bottom"/>
            <w:tcBorders>
              <w:bottom w:val="single" w:sz="8" w:color="A6A6A6"/>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260" w:type="dxa"/>
            <w:vAlign w:val="bottom"/>
          </w:tcPr>
          <w:p>
            <w:pPr>
              <w:spacing w:after="0"/>
              <w:rPr>
                <w:sz w:val="16"/>
                <w:szCs w:val="16"/>
                <w:color w:val="auto"/>
              </w:rPr>
            </w:pPr>
          </w:p>
        </w:tc>
        <w:tc>
          <w:tcPr>
            <w:tcW w:w="2240" w:type="dxa"/>
            <w:vAlign w:val="bottom"/>
            <w:vMerge w:val="continue"/>
          </w:tcPr>
          <w:p>
            <w:pPr>
              <w:spacing w:after="0"/>
              <w:rPr>
                <w:sz w:val="16"/>
                <w:szCs w:val="16"/>
                <w:color w:val="auto"/>
              </w:rPr>
            </w:pPr>
          </w:p>
        </w:tc>
        <w:tc>
          <w:tcPr>
            <w:tcW w:w="2460" w:type="dxa"/>
            <w:vAlign w:val="bottom"/>
          </w:tcPr>
          <w:p>
            <w:pPr>
              <w:ind w:left="20"/>
              <w:spacing w:after="0"/>
              <w:rPr>
                <w:sz w:val="20"/>
                <w:szCs w:val="20"/>
                <w:color w:val="auto"/>
              </w:rPr>
            </w:pPr>
            <w:r>
              <w:rPr>
                <w:rFonts w:ascii="Arial" w:cs="Arial" w:eastAsia="Arial" w:hAnsi="Arial"/>
                <w:sz w:val="12"/>
                <w:szCs w:val="12"/>
                <w:color w:val="auto"/>
              </w:rPr>
              <w:t>Immunomodulator</w:t>
            </w:r>
          </w:p>
        </w:tc>
        <w:tc>
          <w:tcPr>
            <w:tcW w:w="1860" w:type="dxa"/>
            <w:vAlign w:val="bottom"/>
          </w:tcPr>
          <w:p>
            <w:pPr>
              <w:ind w:left="20"/>
              <w:spacing w:after="0"/>
              <w:rPr>
                <w:sz w:val="20"/>
                <w:szCs w:val="20"/>
                <w:color w:val="auto"/>
              </w:rPr>
            </w:pPr>
            <w:r>
              <w:rPr>
                <w:rFonts w:ascii="Arial" w:cs="Arial" w:eastAsia="Arial" w:hAnsi="Arial"/>
                <w:sz w:val="12"/>
                <w:szCs w:val="12"/>
                <w:color w:val="auto"/>
              </w:rPr>
              <w:t>Phase 3 interim analysis</w:t>
            </w:r>
          </w:p>
        </w:tc>
        <w:tc>
          <w:tcPr>
            <w:tcW w:w="2480" w:type="dxa"/>
            <w:vAlign w:val="bottom"/>
            <w:gridSpan w:val="2"/>
          </w:tcPr>
          <w:p>
            <w:pPr>
              <w:ind w:left="60"/>
              <w:spacing w:after="0"/>
              <w:rPr>
                <w:sz w:val="20"/>
                <w:szCs w:val="20"/>
                <w:color w:val="auto"/>
              </w:rPr>
            </w:pPr>
            <w:r>
              <w:rPr>
                <w:rFonts w:ascii="Arial" w:cs="Arial" w:eastAsia="Arial" w:hAnsi="Arial"/>
                <w:sz w:val="12"/>
                <w:szCs w:val="12"/>
                <w:color w:val="auto"/>
              </w:rPr>
              <w:t>2L+ sqNSCLC</w:t>
            </w:r>
          </w:p>
        </w:tc>
        <w:tc>
          <w:tcPr>
            <w:tcW w:w="0" w:type="dxa"/>
            <w:vAlign w:val="bottom"/>
          </w:tcPr>
          <w:p>
            <w:pPr>
              <w:spacing w:after="0"/>
              <w:rPr>
                <w:sz w:val="1"/>
                <w:szCs w:val="1"/>
                <w:color w:val="auto"/>
              </w:rPr>
            </w:pPr>
          </w:p>
        </w:tc>
      </w:tr>
      <w:tr>
        <w:trPr>
          <w:trHeight w:val="100"/>
        </w:trPr>
        <w:tc>
          <w:tcPr>
            <w:tcW w:w="2260" w:type="dxa"/>
            <w:vAlign w:val="bottom"/>
          </w:tcPr>
          <w:p>
            <w:pPr>
              <w:spacing w:after="0"/>
              <w:rPr>
                <w:sz w:val="8"/>
                <w:szCs w:val="8"/>
                <w:color w:val="auto"/>
              </w:rPr>
            </w:pPr>
          </w:p>
        </w:tc>
        <w:tc>
          <w:tcPr>
            <w:tcW w:w="224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860" w:type="dxa"/>
            <w:vAlign w:val="bottom"/>
            <w:tcBorders>
              <w:bottom w:val="single" w:sz="8" w:color="A6A6A6"/>
            </w:tcBorders>
          </w:tcPr>
          <w:p>
            <w:pPr>
              <w:spacing w:after="0"/>
              <w:rPr>
                <w:sz w:val="8"/>
                <w:szCs w:val="8"/>
                <w:color w:val="auto"/>
              </w:rPr>
            </w:pPr>
          </w:p>
        </w:tc>
        <w:tc>
          <w:tcPr>
            <w:tcW w:w="2480" w:type="dxa"/>
            <w:vAlign w:val="bottom"/>
            <w:tcBorders>
              <w:bottom w:val="single" w:sz="8" w:color="A6A6A6"/>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2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60" w:type="dxa"/>
            <w:vAlign w:val="bottom"/>
          </w:tcPr>
          <w:p>
            <w:pPr>
              <w:ind w:left="20"/>
              <w:spacing w:after="0"/>
              <w:rPr>
                <w:sz w:val="20"/>
                <w:szCs w:val="20"/>
                <w:color w:val="auto"/>
              </w:rPr>
            </w:pPr>
            <w:r>
              <w:rPr>
                <w:rFonts w:ascii="Arial" w:cs="Arial" w:eastAsia="Arial" w:hAnsi="Arial"/>
                <w:sz w:val="12"/>
                <w:szCs w:val="12"/>
                <w:color w:val="auto"/>
              </w:rPr>
              <w:t>Phase 2</w:t>
            </w:r>
          </w:p>
        </w:tc>
        <w:tc>
          <w:tcPr>
            <w:tcW w:w="2480" w:type="dxa"/>
            <w:vAlign w:val="bottom"/>
            <w:gridSpan w:val="2"/>
          </w:tcPr>
          <w:p>
            <w:pPr>
              <w:ind w:left="60"/>
              <w:spacing w:after="0"/>
              <w:rPr>
                <w:sz w:val="20"/>
                <w:szCs w:val="20"/>
                <w:color w:val="auto"/>
              </w:rPr>
            </w:pPr>
            <w:r>
              <w:rPr>
                <w:rFonts w:ascii="Arial" w:cs="Arial" w:eastAsia="Arial" w:hAnsi="Arial"/>
                <w:sz w:val="12"/>
                <w:szCs w:val="12"/>
                <w:color w:val="auto"/>
              </w:rPr>
              <w:t>2L+ mCRPC</w:t>
            </w:r>
          </w:p>
        </w:tc>
        <w:tc>
          <w:tcPr>
            <w:tcW w:w="0" w:type="dxa"/>
            <w:vAlign w:val="bottom"/>
          </w:tcPr>
          <w:p>
            <w:pPr>
              <w:spacing w:after="0"/>
              <w:rPr>
                <w:sz w:val="1"/>
                <w:szCs w:val="1"/>
                <w:color w:val="auto"/>
              </w:rPr>
            </w:pPr>
          </w:p>
        </w:tc>
      </w:tr>
      <w:tr>
        <w:trPr>
          <w:trHeight w:val="25"/>
        </w:trPr>
        <w:tc>
          <w:tcPr>
            <w:tcW w:w="2260" w:type="dxa"/>
            <w:vAlign w:val="bottom"/>
          </w:tcPr>
          <w:p>
            <w:pPr>
              <w:spacing w:after="0"/>
              <w:rPr>
                <w:sz w:val="2"/>
                <w:szCs w:val="2"/>
                <w:color w:val="auto"/>
              </w:rPr>
            </w:pPr>
          </w:p>
        </w:tc>
        <w:tc>
          <w:tcPr>
            <w:tcW w:w="2240" w:type="dxa"/>
            <w:vAlign w:val="bottom"/>
            <w:tcBorders>
              <w:bottom w:val="single" w:sz="8" w:color="A6A6A6"/>
            </w:tcBorders>
          </w:tcPr>
          <w:p>
            <w:pPr>
              <w:spacing w:after="0"/>
              <w:rPr>
                <w:sz w:val="2"/>
                <w:szCs w:val="2"/>
                <w:color w:val="auto"/>
              </w:rPr>
            </w:pPr>
          </w:p>
        </w:tc>
        <w:tc>
          <w:tcPr>
            <w:tcW w:w="2460" w:type="dxa"/>
            <w:vAlign w:val="bottom"/>
            <w:tcBorders>
              <w:bottom w:val="single" w:sz="8" w:color="A6A6A6"/>
            </w:tcBorders>
          </w:tcPr>
          <w:p>
            <w:pPr>
              <w:spacing w:after="0"/>
              <w:rPr>
                <w:sz w:val="2"/>
                <w:szCs w:val="2"/>
                <w:color w:val="auto"/>
              </w:rPr>
            </w:pPr>
          </w:p>
        </w:tc>
        <w:tc>
          <w:tcPr>
            <w:tcW w:w="1860" w:type="dxa"/>
            <w:vAlign w:val="bottom"/>
            <w:tcBorders>
              <w:bottom w:val="single" w:sz="8" w:color="A6A6A6"/>
            </w:tcBorders>
          </w:tcPr>
          <w:p>
            <w:pPr>
              <w:spacing w:after="0"/>
              <w:rPr>
                <w:sz w:val="2"/>
                <w:szCs w:val="2"/>
                <w:color w:val="auto"/>
              </w:rPr>
            </w:pPr>
          </w:p>
        </w:tc>
        <w:tc>
          <w:tcPr>
            <w:tcW w:w="200" w:type="dxa"/>
            <w:vAlign w:val="bottom"/>
            <w:tcBorders>
              <w:bottom w:val="single" w:sz="8" w:color="A6A6A6"/>
            </w:tcBorders>
          </w:tcPr>
          <w:p>
            <w:pPr>
              <w:spacing w:after="0"/>
              <w:rPr>
                <w:sz w:val="2"/>
                <w:szCs w:val="2"/>
                <w:color w:val="auto"/>
              </w:rPr>
            </w:pPr>
          </w:p>
        </w:tc>
        <w:tc>
          <w:tcPr>
            <w:tcW w:w="2280" w:type="dxa"/>
            <w:vAlign w:val="bottom"/>
            <w:tcBorders>
              <w:bottom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260" w:type="dxa"/>
            <w:vAlign w:val="bottom"/>
          </w:tcPr>
          <w:p>
            <w:pPr>
              <w:spacing w:after="0"/>
              <w:rPr>
                <w:sz w:val="13"/>
                <w:szCs w:val="13"/>
                <w:color w:val="auto"/>
              </w:rPr>
            </w:pPr>
          </w:p>
        </w:tc>
        <w:tc>
          <w:tcPr>
            <w:tcW w:w="2240" w:type="dxa"/>
            <w:vAlign w:val="bottom"/>
          </w:tcPr>
          <w:p>
            <w:pPr>
              <w:spacing w:after="0"/>
              <w:rPr>
                <w:sz w:val="20"/>
                <w:szCs w:val="20"/>
                <w:color w:val="auto"/>
              </w:rPr>
            </w:pPr>
            <w:r>
              <w:rPr>
                <w:rFonts w:ascii="Arial" w:cs="Arial" w:eastAsia="Arial" w:hAnsi="Arial"/>
                <w:sz w:val="12"/>
                <w:szCs w:val="12"/>
                <w:b w:val="1"/>
                <w:bCs w:val="1"/>
                <w:color w:val="auto"/>
              </w:rPr>
              <w:t>BNT113</w:t>
            </w:r>
          </w:p>
        </w:tc>
        <w:tc>
          <w:tcPr>
            <w:tcW w:w="2460" w:type="dxa"/>
            <w:vAlign w:val="bottom"/>
          </w:tcPr>
          <w:p>
            <w:pPr>
              <w:ind w:left="20"/>
              <w:spacing w:after="0"/>
              <w:rPr>
                <w:sz w:val="20"/>
                <w:szCs w:val="20"/>
                <w:color w:val="auto"/>
              </w:rPr>
            </w:pPr>
            <w:r>
              <w:rPr>
                <w:rFonts w:ascii="Arial" w:cs="Arial" w:eastAsia="Arial" w:hAnsi="Arial"/>
                <w:sz w:val="12"/>
                <w:szCs w:val="12"/>
                <w:color w:val="auto"/>
              </w:rPr>
              <w:t>mRNA cancer immunotherapy</w:t>
            </w:r>
          </w:p>
        </w:tc>
        <w:tc>
          <w:tcPr>
            <w:tcW w:w="1860" w:type="dxa"/>
            <w:vAlign w:val="bottom"/>
          </w:tcPr>
          <w:p>
            <w:pPr>
              <w:ind w:left="20"/>
              <w:spacing w:after="0"/>
              <w:rPr>
                <w:sz w:val="20"/>
                <w:szCs w:val="20"/>
                <w:color w:val="auto"/>
              </w:rPr>
            </w:pPr>
            <w:r>
              <w:rPr>
                <w:rFonts w:ascii="Arial" w:cs="Arial" w:eastAsia="Arial" w:hAnsi="Arial"/>
                <w:sz w:val="12"/>
                <w:szCs w:val="12"/>
                <w:color w:val="auto"/>
              </w:rPr>
              <w:t>Phase 3 interim analysis</w:t>
            </w:r>
          </w:p>
        </w:tc>
        <w:tc>
          <w:tcPr>
            <w:tcW w:w="200" w:type="dxa"/>
            <w:vAlign w:val="bottom"/>
          </w:tcPr>
          <w:p>
            <w:pPr>
              <w:ind w:left="60"/>
              <w:spacing w:after="0"/>
              <w:rPr>
                <w:sz w:val="20"/>
                <w:szCs w:val="20"/>
                <w:color w:val="auto"/>
              </w:rPr>
            </w:pPr>
            <w:r>
              <w:rPr>
                <w:rFonts w:ascii="Arial" w:cs="Arial" w:eastAsia="Arial" w:hAnsi="Arial"/>
                <w:sz w:val="12"/>
                <w:szCs w:val="12"/>
                <w:color w:val="auto"/>
                <w:w w:val="89"/>
              </w:rPr>
              <w:t>1L</w:t>
            </w:r>
          </w:p>
        </w:tc>
        <w:tc>
          <w:tcPr>
            <w:tcW w:w="2280" w:type="dxa"/>
            <w:vAlign w:val="bottom"/>
          </w:tcPr>
          <w:p>
            <w:pPr>
              <w:ind w:left="20"/>
              <w:spacing w:after="0"/>
              <w:rPr>
                <w:sz w:val="20"/>
                <w:szCs w:val="20"/>
                <w:color w:val="auto"/>
              </w:rPr>
            </w:pPr>
            <w:r>
              <w:rPr>
                <w:rFonts w:ascii="Arial" w:cs="Arial" w:eastAsia="Arial" w:hAnsi="Arial"/>
                <w:sz w:val="12"/>
                <w:szCs w:val="12"/>
                <w:color w:val="auto"/>
              </w:rPr>
              <w:t>HPV16+ PD-L1+ HNSCC</w:t>
            </w:r>
          </w:p>
        </w:tc>
        <w:tc>
          <w:tcPr>
            <w:tcW w:w="0" w:type="dxa"/>
            <w:vAlign w:val="bottom"/>
          </w:tcPr>
          <w:p>
            <w:pPr>
              <w:spacing w:after="0"/>
              <w:rPr>
                <w:sz w:val="1"/>
                <w:szCs w:val="1"/>
                <w:color w:val="auto"/>
              </w:rPr>
            </w:pPr>
          </w:p>
        </w:tc>
      </w:tr>
      <w:tr>
        <w:trPr>
          <w:trHeight w:val="136"/>
        </w:trPr>
        <w:tc>
          <w:tcPr>
            <w:tcW w:w="2260" w:type="dxa"/>
            <w:vAlign w:val="bottom"/>
          </w:tcPr>
          <w:p>
            <w:pPr>
              <w:spacing w:after="0"/>
              <w:rPr>
                <w:sz w:val="11"/>
                <w:szCs w:val="11"/>
                <w:color w:val="auto"/>
              </w:rPr>
            </w:pPr>
          </w:p>
        </w:tc>
        <w:tc>
          <w:tcPr>
            <w:tcW w:w="2240" w:type="dxa"/>
            <w:vAlign w:val="bottom"/>
            <w:tcBorders>
              <w:bottom w:val="single" w:sz="8" w:color="A6A6A6"/>
            </w:tcBorders>
          </w:tcPr>
          <w:p>
            <w:pPr>
              <w:spacing w:after="0"/>
              <w:rPr>
                <w:sz w:val="11"/>
                <w:szCs w:val="11"/>
                <w:color w:val="auto"/>
              </w:rPr>
            </w:pPr>
          </w:p>
        </w:tc>
        <w:tc>
          <w:tcPr>
            <w:tcW w:w="2460" w:type="dxa"/>
            <w:vAlign w:val="bottom"/>
            <w:tcBorders>
              <w:bottom w:val="single" w:sz="8" w:color="A6A6A6"/>
            </w:tcBorders>
          </w:tcPr>
          <w:p>
            <w:pPr>
              <w:spacing w:after="0"/>
              <w:rPr>
                <w:sz w:val="11"/>
                <w:szCs w:val="11"/>
                <w:color w:val="auto"/>
              </w:rPr>
            </w:pPr>
          </w:p>
        </w:tc>
        <w:tc>
          <w:tcPr>
            <w:tcW w:w="186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2280" w:type="dxa"/>
            <w:vAlign w:val="bottom"/>
            <w:tcBorders>
              <w:bottom w:val="single" w:sz="8" w:color="A6A6A6"/>
            </w:tcBorders>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2260" w:type="dxa"/>
            <w:vAlign w:val="bottom"/>
          </w:tcPr>
          <w:p>
            <w:pPr>
              <w:spacing w:after="0"/>
              <w:rPr>
                <w:sz w:val="17"/>
                <w:szCs w:val="17"/>
                <w:color w:val="auto"/>
              </w:rPr>
            </w:pPr>
          </w:p>
        </w:tc>
        <w:tc>
          <w:tcPr>
            <w:tcW w:w="2240" w:type="dxa"/>
            <w:vAlign w:val="bottom"/>
          </w:tcPr>
          <w:p>
            <w:pPr>
              <w:spacing w:after="0"/>
              <w:rPr>
                <w:sz w:val="20"/>
                <w:szCs w:val="20"/>
                <w:color w:val="auto"/>
              </w:rPr>
            </w:pPr>
            <w:r>
              <w:rPr>
                <w:rFonts w:ascii="Arial" w:cs="Arial" w:eastAsia="Arial" w:hAnsi="Arial"/>
                <w:sz w:val="12"/>
                <w:szCs w:val="12"/>
                <w:b w:val="1"/>
                <w:bCs w:val="1"/>
                <w:color w:val="auto"/>
              </w:rPr>
              <w:t>Pumitamig</w:t>
            </w:r>
            <w:r>
              <w:rPr>
                <w:rFonts w:ascii="Arial" w:cs="Arial" w:eastAsia="Arial" w:hAnsi="Arial"/>
                <w:sz w:val="15"/>
                <w:szCs w:val="15"/>
                <w:b w:val="1"/>
                <w:bCs w:val="1"/>
                <w:color w:val="auto"/>
                <w:vertAlign w:val="superscript"/>
              </w:rPr>
              <w:t>1</w:t>
            </w:r>
          </w:p>
        </w:tc>
        <w:tc>
          <w:tcPr>
            <w:tcW w:w="2460" w:type="dxa"/>
            <w:vAlign w:val="bottom"/>
          </w:tcPr>
          <w:p>
            <w:pPr>
              <w:ind w:left="20"/>
              <w:spacing w:after="0"/>
              <w:rPr>
                <w:sz w:val="20"/>
                <w:szCs w:val="20"/>
                <w:color w:val="auto"/>
              </w:rPr>
            </w:pPr>
            <w:r>
              <w:rPr>
                <w:rFonts w:ascii="Arial" w:cs="Arial" w:eastAsia="Arial" w:hAnsi="Arial"/>
                <w:sz w:val="12"/>
                <w:szCs w:val="12"/>
                <w:color w:val="auto"/>
              </w:rPr>
              <w:t>Immunomodulator</w:t>
            </w:r>
          </w:p>
        </w:tc>
        <w:tc>
          <w:tcPr>
            <w:tcW w:w="1860" w:type="dxa"/>
            <w:vAlign w:val="bottom"/>
          </w:tcPr>
          <w:p>
            <w:pPr>
              <w:ind w:left="20"/>
              <w:spacing w:after="0"/>
              <w:rPr>
                <w:sz w:val="20"/>
                <w:szCs w:val="20"/>
                <w:color w:val="auto"/>
              </w:rPr>
            </w:pPr>
            <w:r>
              <w:rPr>
                <w:rFonts w:ascii="Arial" w:cs="Arial" w:eastAsia="Arial" w:hAnsi="Arial"/>
                <w:sz w:val="12"/>
                <w:szCs w:val="12"/>
                <w:color w:val="auto"/>
              </w:rPr>
              <w:t>Phase 3 in China interim analysis</w:t>
            </w:r>
          </w:p>
        </w:tc>
        <w:tc>
          <w:tcPr>
            <w:tcW w:w="200" w:type="dxa"/>
            <w:vAlign w:val="bottom"/>
          </w:tcPr>
          <w:p>
            <w:pPr>
              <w:ind w:left="60"/>
              <w:spacing w:after="0"/>
              <w:rPr>
                <w:sz w:val="20"/>
                <w:szCs w:val="20"/>
                <w:color w:val="auto"/>
              </w:rPr>
            </w:pPr>
            <w:r>
              <w:rPr>
                <w:rFonts w:ascii="Arial" w:cs="Arial" w:eastAsia="Arial" w:hAnsi="Arial"/>
                <w:sz w:val="12"/>
                <w:szCs w:val="12"/>
                <w:color w:val="auto"/>
                <w:w w:val="89"/>
              </w:rPr>
              <w:t>1L</w:t>
            </w:r>
          </w:p>
        </w:tc>
        <w:tc>
          <w:tcPr>
            <w:tcW w:w="2280" w:type="dxa"/>
            <w:vAlign w:val="bottom"/>
          </w:tcPr>
          <w:p>
            <w:pPr>
              <w:ind w:left="20"/>
              <w:spacing w:after="0"/>
              <w:rPr>
                <w:sz w:val="20"/>
                <w:szCs w:val="20"/>
                <w:color w:val="auto"/>
              </w:rPr>
            </w:pPr>
            <w:r>
              <w:rPr>
                <w:rFonts w:ascii="Arial" w:cs="Arial" w:eastAsia="Arial" w:hAnsi="Arial"/>
                <w:sz w:val="12"/>
                <w:szCs w:val="12"/>
                <w:color w:val="auto"/>
              </w:rPr>
              <w:t>TNBC</w:t>
            </w:r>
          </w:p>
        </w:tc>
        <w:tc>
          <w:tcPr>
            <w:tcW w:w="0" w:type="dxa"/>
            <w:vAlign w:val="bottom"/>
          </w:tcPr>
          <w:p>
            <w:pPr>
              <w:spacing w:after="0"/>
              <w:rPr>
                <w:sz w:val="1"/>
                <w:szCs w:val="1"/>
                <w:color w:val="auto"/>
              </w:rPr>
            </w:pPr>
          </w:p>
        </w:tc>
      </w:tr>
      <w:tr>
        <w:trPr>
          <w:trHeight w:val="244"/>
        </w:trPr>
        <w:tc>
          <w:tcPr>
            <w:tcW w:w="2260" w:type="dxa"/>
            <w:vAlign w:val="bottom"/>
            <w:tcBorders>
              <w:bottom w:val="single" w:sz="8" w:color="A6A6A6"/>
            </w:tcBorders>
          </w:tcPr>
          <w:p>
            <w:pPr>
              <w:spacing w:after="0"/>
              <w:rPr>
                <w:sz w:val="21"/>
                <w:szCs w:val="21"/>
                <w:color w:val="auto"/>
              </w:rPr>
            </w:pPr>
          </w:p>
        </w:tc>
        <w:tc>
          <w:tcPr>
            <w:tcW w:w="2240" w:type="dxa"/>
            <w:vAlign w:val="bottom"/>
            <w:tcBorders>
              <w:bottom w:val="single" w:sz="8" w:color="A6A6A6"/>
            </w:tcBorders>
          </w:tcPr>
          <w:p>
            <w:pPr>
              <w:spacing w:after="0"/>
              <w:rPr>
                <w:sz w:val="21"/>
                <w:szCs w:val="21"/>
                <w:color w:val="auto"/>
              </w:rPr>
            </w:pPr>
          </w:p>
        </w:tc>
        <w:tc>
          <w:tcPr>
            <w:tcW w:w="2460" w:type="dxa"/>
            <w:vAlign w:val="bottom"/>
            <w:tcBorders>
              <w:bottom w:val="single" w:sz="8" w:color="A6A6A6"/>
            </w:tcBorders>
          </w:tcPr>
          <w:p>
            <w:pPr>
              <w:spacing w:after="0"/>
              <w:rPr>
                <w:sz w:val="21"/>
                <w:szCs w:val="21"/>
                <w:color w:val="auto"/>
              </w:rPr>
            </w:pPr>
          </w:p>
        </w:tc>
        <w:tc>
          <w:tcPr>
            <w:tcW w:w="1860" w:type="dxa"/>
            <w:vAlign w:val="bottom"/>
            <w:tcBorders>
              <w:bottom w:val="single" w:sz="8" w:color="A6A6A6"/>
            </w:tcBorders>
          </w:tcPr>
          <w:p>
            <w:pPr>
              <w:spacing w:after="0"/>
              <w:rPr>
                <w:sz w:val="21"/>
                <w:szCs w:val="21"/>
                <w:color w:val="auto"/>
              </w:rPr>
            </w:pPr>
          </w:p>
        </w:tc>
        <w:tc>
          <w:tcPr>
            <w:tcW w:w="200" w:type="dxa"/>
            <w:vAlign w:val="bottom"/>
            <w:tcBorders>
              <w:bottom w:val="single" w:sz="8" w:color="A6A6A6"/>
            </w:tcBorders>
          </w:tcPr>
          <w:p>
            <w:pPr>
              <w:spacing w:after="0"/>
              <w:rPr>
                <w:sz w:val="21"/>
                <w:szCs w:val="21"/>
                <w:color w:val="auto"/>
              </w:rPr>
            </w:pPr>
          </w:p>
        </w:tc>
        <w:tc>
          <w:tcPr>
            <w:tcW w:w="2280" w:type="dxa"/>
            <w:vAlign w:val="bottom"/>
            <w:tcBorders>
              <w:bottom w:val="single" w:sz="8" w:color="A6A6A6"/>
            </w:tcBorders>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260" w:type="dxa"/>
            <w:vAlign w:val="bottom"/>
            <w:tcBorders>
              <w:bottom w:val="single" w:sz="8" w:color="A6A6A6"/>
            </w:tcBorders>
          </w:tcPr>
          <w:p>
            <w:pPr>
              <w:spacing w:after="0"/>
              <w:rPr>
                <w:sz w:val="13"/>
                <w:szCs w:val="13"/>
                <w:color w:val="auto"/>
              </w:rPr>
            </w:pPr>
          </w:p>
        </w:tc>
        <w:tc>
          <w:tcPr>
            <w:tcW w:w="2240" w:type="dxa"/>
            <w:vAlign w:val="bottom"/>
            <w:tcBorders>
              <w:bottom w:val="single" w:sz="8" w:color="A6A6A6"/>
            </w:tcBorders>
          </w:tcPr>
          <w:p>
            <w:pPr>
              <w:spacing w:after="0"/>
              <w:rPr>
                <w:sz w:val="13"/>
                <w:szCs w:val="13"/>
                <w:color w:val="auto"/>
              </w:rPr>
            </w:pPr>
          </w:p>
        </w:tc>
        <w:tc>
          <w:tcPr>
            <w:tcW w:w="2460" w:type="dxa"/>
            <w:vAlign w:val="bottom"/>
            <w:tcBorders>
              <w:bottom w:val="single" w:sz="8" w:color="A6A6A6"/>
            </w:tcBorders>
          </w:tcPr>
          <w:p>
            <w:pPr>
              <w:spacing w:after="0"/>
              <w:rPr>
                <w:sz w:val="13"/>
                <w:szCs w:val="13"/>
                <w:color w:val="auto"/>
              </w:rPr>
            </w:pPr>
          </w:p>
        </w:tc>
        <w:tc>
          <w:tcPr>
            <w:tcW w:w="1860" w:type="dxa"/>
            <w:vAlign w:val="bottom"/>
            <w:tcBorders>
              <w:bottom w:val="single" w:sz="8" w:color="A6A6A6"/>
            </w:tcBorders>
          </w:tcPr>
          <w:p>
            <w:pPr>
              <w:spacing w:after="0"/>
              <w:rPr>
                <w:sz w:val="13"/>
                <w:szCs w:val="13"/>
                <w:color w:val="auto"/>
              </w:rPr>
            </w:pPr>
          </w:p>
        </w:tc>
        <w:tc>
          <w:tcPr>
            <w:tcW w:w="200" w:type="dxa"/>
            <w:vAlign w:val="bottom"/>
            <w:tcBorders>
              <w:bottom w:val="single" w:sz="8" w:color="A6A6A6"/>
            </w:tcBorders>
          </w:tcPr>
          <w:p>
            <w:pPr>
              <w:spacing w:after="0"/>
              <w:rPr>
                <w:sz w:val="13"/>
                <w:szCs w:val="13"/>
                <w:color w:val="auto"/>
              </w:rPr>
            </w:pPr>
          </w:p>
        </w:tc>
        <w:tc>
          <w:tcPr>
            <w:tcW w:w="2280" w:type="dxa"/>
            <w:vAlign w:val="bottom"/>
            <w:tcBorders>
              <w:bottom w:val="single" w:sz="8" w:color="A6A6A6"/>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300"/>
          </w:cols>
          <w:pgMar w:left="300" w:top="1324" w:right="2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7"/>
        </w:trPr>
        <w:tc>
          <w:tcPr>
            <w:tcW w:w="2260" w:type="dxa"/>
            <w:vAlign w:val="bottom"/>
            <w:tcBorders>
              <w:top w:val="single" w:sz="8" w:color="A6A6A6"/>
            </w:tcBorders>
          </w:tcPr>
          <w:p>
            <w:pPr>
              <w:spacing w:after="0"/>
              <w:rPr>
                <w:sz w:val="20"/>
                <w:szCs w:val="20"/>
                <w:color w:val="auto"/>
              </w:rPr>
            </w:pPr>
            <w:r>
              <w:rPr>
                <w:rFonts w:ascii="Arial" w:cs="Arial" w:eastAsia="Arial" w:hAnsi="Arial"/>
                <w:sz w:val="12"/>
                <w:szCs w:val="12"/>
                <w:b w:val="1"/>
                <w:bCs w:val="1"/>
                <w:color w:val="auto"/>
              </w:rPr>
              <w:t>Early-Stage Pumitamig &amp; ADC Trial</w:t>
            </w:r>
          </w:p>
        </w:tc>
        <w:tc>
          <w:tcPr>
            <w:tcW w:w="2240" w:type="dxa"/>
            <w:vAlign w:val="bottom"/>
            <w:tcBorders>
              <w:top w:val="single" w:sz="8" w:color="A6A6A6"/>
            </w:tcBorders>
          </w:tcPr>
          <w:p>
            <w:pPr>
              <w:spacing w:after="0" w:line="167" w:lineRule="exact"/>
              <w:rPr>
                <w:sz w:val="20"/>
                <w:szCs w:val="20"/>
                <w:color w:val="auto"/>
              </w:rPr>
            </w:pPr>
            <w:r>
              <w:rPr>
                <w:rFonts w:ascii="Arial" w:cs="Arial" w:eastAsia="Arial" w:hAnsi="Arial"/>
                <w:sz w:val="12"/>
                <w:szCs w:val="12"/>
                <w:b w:val="1"/>
                <w:bCs w:val="1"/>
                <w:color w:val="auto"/>
              </w:rPr>
              <w:t>Pumitamig</w:t>
            </w:r>
            <w:r>
              <w:rPr>
                <w:rFonts w:ascii="Arial" w:cs="Arial" w:eastAsia="Arial" w:hAnsi="Arial"/>
                <w:sz w:val="15"/>
                <w:szCs w:val="15"/>
                <w:b w:val="1"/>
                <w:bCs w:val="1"/>
                <w:color w:val="auto"/>
                <w:vertAlign w:val="superscript"/>
              </w:rPr>
              <w:t>1</w:t>
            </w:r>
          </w:p>
        </w:tc>
        <w:tc>
          <w:tcPr>
            <w:tcW w:w="2460" w:type="dxa"/>
            <w:vAlign w:val="bottom"/>
            <w:tcBorders>
              <w:top w:val="single" w:sz="8" w:color="A6A6A6"/>
            </w:tcBorders>
          </w:tcPr>
          <w:p>
            <w:pPr>
              <w:ind w:left="20"/>
              <w:spacing w:after="0"/>
              <w:rPr>
                <w:sz w:val="20"/>
                <w:szCs w:val="20"/>
                <w:color w:val="auto"/>
              </w:rPr>
            </w:pPr>
            <w:r>
              <w:rPr>
                <w:rFonts w:ascii="Arial" w:cs="Arial" w:eastAsia="Arial" w:hAnsi="Arial"/>
                <w:sz w:val="12"/>
                <w:szCs w:val="12"/>
                <w:color w:val="auto"/>
              </w:rPr>
              <w:t>Immunomodulator</w:t>
            </w:r>
          </w:p>
        </w:tc>
        <w:tc>
          <w:tcPr>
            <w:tcW w:w="1420" w:type="dxa"/>
            <w:vAlign w:val="bottom"/>
            <w:tcBorders>
              <w:top w:val="single" w:sz="8" w:color="A6A6A6"/>
            </w:tcBorders>
          </w:tcPr>
          <w:p>
            <w:pPr>
              <w:ind w:left="20"/>
              <w:spacing w:after="0"/>
              <w:rPr>
                <w:sz w:val="20"/>
                <w:szCs w:val="20"/>
                <w:color w:val="auto"/>
              </w:rPr>
            </w:pPr>
            <w:r>
              <w:rPr>
                <w:rFonts w:ascii="Arial" w:cs="Arial" w:eastAsia="Arial" w:hAnsi="Arial"/>
                <w:sz w:val="12"/>
                <w:szCs w:val="12"/>
                <w:color w:val="auto"/>
              </w:rPr>
              <w:t>Phase 2</w:t>
            </w:r>
          </w:p>
        </w:tc>
        <w:tc>
          <w:tcPr>
            <w:tcW w:w="2920" w:type="dxa"/>
            <w:vAlign w:val="bottom"/>
            <w:tcBorders>
              <w:top w:val="single" w:sz="8" w:color="A6A6A6"/>
            </w:tcBorders>
          </w:tcPr>
          <w:p>
            <w:pPr>
              <w:ind w:left="500"/>
              <w:spacing w:after="0"/>
              <w:rPr>
                <w:sz w:val="20"/>
                <w:szCs w:val="20"/>
                <w:color w:val="auto"/>
              </w:rPr>
            </w:pPr>
            <w:r>
              <w:rPr>
                <w:rFonts w:ascii="Arial" w:cs="Arial" w:eastAsia="Arial" w:hAnsi="Arial"/>
                <w:sz w:val="12"/>
                <w:szCs w:val="12"/>
                <w:color w:val="auto"/>
              </w:rPr>
              <w:t>1L NSCLC</w:t>
            </w:r>
          </w:p>
        </w:tc>
        <w:tc>
          <w:tcPr>
            <w:tcW w:w="0" w:type="dxa"/>
            <w:vAlign w:val="bottom"/>
          </w:tcPr>
          <w:p>
            <w:pPr>
              <w:spacing w:after="0"/>
              <w:rPr>
                <w:sz w:val="1"/>
                <w:szCs w:val="1"/>
                <w:color w:val="auto"/>
              </w:rPr>
            </w:pPr>
          </w:p>
        </w:tc>
      </w:tr>
      <w:tr>
        <w:trPr>
          <w:trHeight w:val="31"/>
        </w:trPr>
        <w:tc>
          <w:tcPr>
            <w:tcW w:w="2260" w:type="dxa"/>
            <w:vAlign w:val="bottom"/>
            <w:vMerge w:val="restart"/>
          </w:tcPr>
          <w:p>
            <w:pPr>
              <w:spacing w:after="0"/>
              <w:rPr>
                <w:sz w:val="20"/>
                <w:szCs w:val="20"/>
                <w:color w:val="auto"/>
              </w:rPr>
            </w:pPr>
            <w:r>
              <w:rPr>
                <w:rFonts w:ascii="Arial" w:cs="Arial" w:eastAsia="Arial" w:hAnsi="Arial"/>
                <w:sz w:val="12"/>
                <w:szCs w:val="12"/>
                <w:b w:val="1"/>
                <w:bCs w:val="1"/>
                <w:color w:val="auto"/>
              </w:rPr>
              <w:t>Readouts</w:t>
            </w:r>
          </w:p>
        </w:tc>
        <w:tc>
          <w:tcPr>
            <w:tcW w:w="22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420" w:type="dxa"/>
            <w:vAlign w:val="bottom"/>
            <w:tcBorders>
              <w:bottom w:val="single" w:sz="8" w:color="A6A6A6"/>
            </w:tcBorders>
          </w:tcPr>
          <w:p>
            <w:pPr>
              <w:spacing w:after="0"/>
              <w:rPr>
                <w:sz w:val="2"/>
                <w:szCs w:val="2"/>
                <w:color w:val="auto"/>
              </w:rPr>
            </w:pPr>
          </w:p>
        </w:tc>
        <w:tc>
          <w:tcPr>
            <w:tcW w:w="2920" w:type="dxa"/>
            <w:vAlign w:val="bottom"/>
            <w:tcBorders>
              <w:bottom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2260" w:type="dxa"/>
            <w:vAlign w:val="bottom"/>
            <w:vMerge w:val="continue"/>
          </w:tcPr>
          <w:p>
            <w:pPr>
              <w:spacing w:after="0"/>
              <w:rPr>
                <w:sz w:val="12"/>
                <w:szCs w:val="12"/>
                <w:color w:val="auto"/>
              </w:rPr>
            </w:pPr>
          </w:p>
        </w:tc>
        <w:tc>
          <w:tcPr>
            <w:tcW w:w="22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20" w:type="dxa"/>
            <w:vAlign w:val="bottom"/>
          </w:tcPr>
          <w:p>
            <w:pPr>
              <w:ind w:left="20"/>
              <w:spacing w:after="0"/>
              <w:rPr>
                <w:sz w:val="20"/>
                <w:szCs w:val="20"/>
                <w:color w:val="auto"/>
              </w:rPr>
            </w:pPr>
            <w:r>
              <w:rPr>
                <w:rFonts w:ascii="Arial" w:cs="Arial" w:eastAsia="Arial" w:hAnsi="Arial"/>
                <w:sz w:val="12"/>
                <w:szCs w:val="12"/>
                <w:color w:val="auto"/>
              </w:rPr>
              <w:t>Phase 2</w:t>
            </w:r>
          </w:p>
        </w:tc>
        <w:tc>
          <w:tcPr>
            <w:tcW w:w="2920" w:type="dxa"/>
            <w:vAlign w:val="bottom"/>
          </w:tcPr>
          <w:p>
            <w:pPr>
              <w:ind w:left="500"/>
              <w:spacing w:after="0"/>
              <w:rPr>
                <w:sz w:val="20"/>
                <w:szCs w:val="20"/>
                <w:color w:val="auto"/>
              </w:rPr>
            </w:pPr>
            <w:r>
              <w:rPr>
                <w:rFonts w:ascii="Arial" w:cs="Arial" w:eastAsia="Arial" w:hAnsi="Arial"/>
                <w:sz w:val="12"/>
                <w:szCs w:val="12"/>
                <w:color w:val="auto"/>
              </w:rPr>
              <w:t>1L extensive-stage small-cell lung cancer</w:t>
            </w:r>
          </w:p>
        </w:tc>
        <w:tc>
          <w:tcPr>
            <w:tcW w:w="0" w:type="dxa"/>
            <w:vAlign w:val="bottom"/>
          </w:tcPr>
          <w:p>
            <w:pPr>
              <w:spacing w:after="0"/>
              <w:rPr>
                <w:sz w:val="1"/>
                <w:szCs w:val="1"/>
                <w:color w:val="auto"/>
              </w:rPr>
            </w:pPr>
          </w:p>
        </w:tc>
      </w:tr>
      <w:tr>
        <w:trPr>
          <w:trHeight w:val="159"/>
        </w:trPr>
        <w:tc>
          <w:tcPr>
            <w:tcW w:w="22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920" w:type="dxa"/>
            <w:vAlign w:val="bottom"/>
          </w:tcPr>
          <w:p>
            <w:pPr>
              <w:ind w:left="500"/>
              <w:spacing w:after="0"/>
              <w:rPr>
                <w:sz w:val="20"/>
                <w:szCs w:val="20"/>
                <w:color w:val="auto"/>
              </w:rPr>
            </w:pPr>
            <w:r>
              <w:rPr>
                <w:rFonts w:ascii="Arial" w:cs="Arial" w:eastAsia="Arial" w:hAnsi="Arial"/>
                <w:sz w:val="12"/>
                <w:szCs w:val="12"/>
                <w:color w:val="auto"/>
              </w:rPr>
              <w:t>(“ES-SCLC”)</w:t>
            </w:r>
          </w:p>
        </w:tc>
        <w:tc>
          <w:tcPr>
            <w:tcW w:w="0" w:type="dxa"/>
            <w:vAlign w:val="bottom"/>
          </w:tcPr>
          <w:p>
            <w:pPr>
              <w:spacing w:after="0"/>
              <w:rPr>
                <w:sz w:val="1"/>
                <w:szCs w:val="1"/>
                <w:color w:val="auto"/>
              </w:rPr>
            </w:pPr>
          </w:p>
        </w:tc>
      </w:tr>
      <w:tr>
        <w:trPr>
          <w:trHeight w:val="142"/>
        </w:trPr>
        <w:tc>
          <w:tcPr>
            <w:tcW w:w="22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20" w:type="dxa"/>
            <w:vAlign w:val="bottom"/>
            <w:tcBorders>
              <w:bottom w:val="single" w:sz="8" w:color="A6A6A6"/>
            </w:tcBorders>
          </w:tcPr>
          <w:p>
            <w:pPr>
              <w:spacing w:after="0"/>
              <w:rPr>
                <w:sz w:val="12"/>
                <w:szCs w:val="12"/>
                <w:color w:val="auto"/>
              </w:rPr>
            </w:pPr>
          </w:p>
        </w:tc>
        <w:tc>
          <w:tcPr>
            <w:tcW w:w="2920" w:type="dxa"/>
            <w:vAlign w:val="bottom"/>
            <w:tcBorders>
              <w:bottom w:val="single" w:sz="8" w:color="A6A6A6"/>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420" w:type="dxa"/>
            <w:vAlign w:val="bottom"/>
          </w:tcPr>
          <w:p>
            <w:pPr>
              <w:ind w:left="20"/>
              <w:spacing w:after="0"/>
              <w:rPr>
                <w:sz w:val="20"/>
                <w:szCs w:val="20"/>
                <w:color w:val="auto"/>
              </w:rPr>
            </w:pPr>
            <w:r>
              <w:rPr>
                <w:rFonts w:ascii="Arial" w:cs="Arial" w:eastAsia="Arial" w:hAnsi="Arial"/>
                <w:sz w:val="12"/>
                <w:szCs w:val="12"/>
                <w:color w:val="auto"/>
              </w:rPr>
              <w:t>Phase 2 in China</w:t>
            </w:r>
          </w:p>
        </w:tc>
        <w:tc>
          <w:tcPr>
            <w:tcW w:w="2920" w:type="dxa"/>
            <w:vAlign w:val="bottom"/>
          </w:tcPr>
          <w:p>
            <w:pPr>
              <w:ind w:left="500"/>
              <w:spacing w:after="0"/>
              <w:rPr>
                <w:sz w:val="20"/>
                <w:szCs w:val="20"/>
                <w:color w:val="auto"/>
              </w:rPr>
            </w:pPr>
            <w:r>
              <w:rPr>
                <w:rFonts w:ascii="Arial" w:cs="Arial" w:eastAsia="Arial" w:hAnsi="Arial"/>
                <w:sz w:val="12"/>
                <w:szCs w:val="12"/>
                <w:color w:val="auto"/>
              </w:rPr>
              <w:t>1L HCC</w:t>
            </w:r>
          </w:p>
        </w:tc>
        <w:tc>
          <w:tcPr>
            <w:tcW w:w="0" w:type="dxa"/>
            <w:vAlign w:val="bottom"/>
          </w:tcPr>
          <w:p>
            <w:pPr>
              <w:spacing w:after="0"/>
              <w:rPr>
                <w:sz w:val="1"/>
                <w:szCs w:val="1"/>
                <w:color w:val="auto"/>
              </w:rPr>
            </w:pPr>
          </w:p>
        </w:tc>
      </w:tr>
      <w:tr>
        <w:trPr>
          <w:trHeight w:val="142"/>
        </w:trPr>
        <w:tc>
          <w:tcPr>
            <w:tcW w:w="22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20" w:type="dxa"/>
            <w:vAlign w:val="bottom"/>
            <w:tcBorders>
              <w:bottom w:val="single" w:sz="8" w:color="A6A6A6"/>
            </w:tcBorders>
          </w:tcPr>
          <w:p>
            <w:pPr>
              <w:spacing w:after="0"/>
              <w:rPr>
                <w:sz w:val="12"/>
                <w:szCs w:val="12"/>
                <w:color w:val="auto"/>
              </w:rPr>
            </w:pPr>
          </w:p>
        </w:tc>
        <w:tc>
          <w:tcPr>
            <w:tcW w:w="2920" w:type="dxa"/>
            <w:vAlign w:val="bottom"/>
            <w:tcBorders>
              <w:bottom w:val="single" w:sz="8" w:color="A6A6A6"/>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20" w:type="dxa"/>
            <w:vAlign w:val="bottom"/>
          </w:tcPr>
          <w:p>
            <w:pPr>
              <w:ind w:left="20"/>
              <w:spacing w:after="0"/>
              <w:rPr>
                <w:sz w:val="20"/>
                <w:szCs w:val="20"/>
                <w:color w:val="auto"/>
              </w:rPr>
            </w:pPr>
            <w:r>
              <w:rPr>
                <w:rFonts w:ascii="Arial" w:cs="Arial" w:eastAsia="Arial" w:hAnsi="Arial"/>
                <w:sz w:val="12"/>
                <w:szCs w:val="12"/>
                <w:color w:val="auto"/>
              </w:rPr>
              <w:t>Phase 2 in China</w:t>
            </w:r>
          </w:p>
        </w:tc>
        <w:tc>
          <w:tcPr>
            <w:tcW w:w="2920" w:type="dxa"/>
            <w:vAlign w:val="bottom"/>
          </w:tcPr>
          <w:p>
            <w:pPr>
              <w:ind w:left="500"/>
              <w:spacing w:after="0"/>
              <w:rPr>
                <w:sz w:val="20"/>
                <w:szCs w:val="20"/>
                <w:color w:val="auto"/>
              </w:rPr>
            </w:pPr>
            <w:r>
              <w:rPr>
                <w:rFonts w:ascii="Arial" w:cs="Arial" w:eastAsia="Arial" w:hAnsi="Arial"/>
                <w:sz w:val="12"/>
                <w:szCs w:val="12"/>
                <w:color w:val="auto"/>
              </w:rPr>
              <w:t>1L microsatellite stable colorectal cancer</w:t>
            </w:r>
          </w:p>
        </w:tc>
        <w:tc>
          <w:tcPr>
            <w:tcW w:w="0" w:type="dxa"/>
            <w:vAlign w:val="bottom"/>
          </w:tcPr>
          <w:p>
            <w:pPr>
              <w:spacing w:after="0"/>
              <w:rPr>
                <w:sz w:val="1"/>
                <w:szCs w:val="1"/>
                <w:color w:val="auto"/>
              </w:rPr>
            </w:pPr>
          </w:p>
        </w:tc>
      </w:tr>
      <w:tr>
        <w:trPr>
          <w:trHeight w:val="159"/>
        </w:trPr>
        <w:tc>
          <w:tcPr>
            <w:tcW w:w="22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920" w:type="dxa"/>
            <w:vAlign w:val="bottom"/>
          </w:tcPr>
          <w:p>
            <w:pPr>
              <w:ind w:left="500"/>
              <w:spacing w:after="0"/>
              <w:rPr>
                <w:sz w:val="20"/>
                <w:szCs w:val="20"/>
                <w:color w:val="auto"/>
              </w:rPr>
            </w:pPr>
            <w:r>
              <w:rPr>
                <w:rFonts w:ascii="Arial" w:cs="Arial" w:eastAsia="Arial" w:hAnsi="Arial"/>
                <w:sz w:val="12"/>
                <w:szCs w:val="12"/>
                <w:color w:val="auto"/>
              </w:rPr>
              <w:t>(“MSS-CRC”)</w:t>
            </w:r>
          </w:p>
        </w:tc>
        <w:tc>
          <w:tcPr>
            <w:tcW w:w="0" w:type="dxa"/>
            <w:vAlign w:val="bottom"/>
          </w:tcPr>
          <w:p>
            <w:pPr>
              <w:spacing w:after="0"/>
              <w:rPr>
                <w:sz w:val="1"/>
                <w:szCs w:val="1"/>
                <w:color w:val="auto"/>
              </w:rPr>
            </w:pPr>
          </w:p>
        </w:tc>
      </w:tr>
      <w:tr>
        <w:trPr>
          <w:trHeight w:val="286"/>
        </w:trPr>
        <w:tc>
          <w:tcPr>
            <w:tcW w:w="2260" w:type="dxa"/>
            <w:vAlign w:val="bottom"/>
          </w:tcPr>
          <w:p>
            <w:pPr>
              <w:spacing w:after="0"/>
              <w:rPr>
                <w:sz w:val="24"/>
                <w:szCs w:val="24"/>
                <w:color w:val="auto"/>
              </w:rPr>
            </w:pPr>
          </w:p>
        </w:tc>
        <w:tc>
          <w:tcPr>
            <w:tcW w:w="2240" w:type="dxa"/>
            <w:vAlign w:val="bottom"/>
            <w:tcBorders>
              <w:bottom w:val="single" w:sz="8" w:color="A6A6A6"/>
            </w:tcBorders>
          </w:tcPr>
          <w:p>
            <w:pPr>
              <w:spacing w:after="0"/>
              <w:rPr>
                <w:sz w:val="24"/>
                <w:szCs w:val="24"/>
                <w:color w:val="auto"/>
              </w:rPr>
            </w:pPr>
          </w:p>
        </w:tc>
        <w:tc>
          <w:tcPr>
            <w:tcW w:w="2460" w:type="dxa"/>
            <w:vAlign w:val="bottom"/>
            <w:tcBorders>
              <w:bottom w:val="single" w:sz="8" w:color="A6A6A6"/>
            </w:tcBorders>
          </w:tcPr>
          <w:p>
            <w:pPr>
              <w:spacing w:after="0"/>
              <w:rPr>
                <w:sz w:val="24"/>
                <w:szCs w:val="24"/>
                <w:color w:val="auto"/>
              </w:rPr>
            </w:pPr>
          </w:p>
        </w:tc>
        <w:tc>
          <w:tcPr>
            <w:tcW w:w="1420" w:type="dxa"/>
            <w:vAlign w:val="bottom"/>
            <w:tcBorders>
              <w:bottom w:val="single" w:sz="8" w:color="A6A6A6"/>
            </w:tcBorders>
          </w:tcPr>
          <w:p>
            <w:pPr>
              <w:spacing w:after="0"/>
              <w:rPr>
                <w:sz w:val="24"/>
                <w:szCs w:val="24"/>
                <w:color w:val="auto"/>
              </w:rPr>
            </w:pPr>
          </w:p>
        </w:tc>
        <w:tc>
          <w:tcPr>
            <w:tcW w:w="2920" w:type="dxa"/>
            <w:vAlign w:val="bottom"/>
            <w:tcBorders>
              <w:bottom w:val="single" w:sz="8" w:color="A6A6A6"/>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260" w:type="dxa"/>
            <w:vAlign w:val="bottom"/>
          </w:tcPr>
          <w:p>
            <w:pPr>
              <w:spacing w:after="0"/>
              <w:rPr>
                <w:sz w:val="12"/>
                <w:szCs w:val="12"/>
                <w:color w:val="auto"/>
              </w:rPr>
            </w:pPr>
          </w:p>
        </w:tc>
        <w:tc>
          <w:tcPr>
            <w:tcW w:w="2240" w:type="dxa"/>
            <w:vAlign w:val="bottom"/>
          </w:tcPr>
          <w:p>
            <w:pPr>
              <w:spacing w:after="0" w:line="145" w:lineRule="exact"/>
              <w:rPr>
                <w:sz w:val="20"/>
                <w:szCs w:val="20"/>
                <w:color w:val="auto"/>
              </w:rPr>
            </w:pPr>
            <w:r>
              <w:rPr>
                <w:rFonts w:ascii="Arial" w:cs="Arial" w:eastAsia="Arial" w:hAnsi="Arial"/>
                <w:sz w:val="12"/>
                <w:szCs w:val="12"/>
                <w:b w:val="1"/>
                <w:bCs w:val="1"/>
                <w:color w:val="auto"/>
              </w:rPr>
              <w:t>Pumitamig</w:t>
            </w:r>
            <w:r>
              <w:rPr>
                <w:rFonts w:ascii="Arial" w:cs="Arial" w:eastAsia="Arial" w:hAnsi="Arial"/>
                <w:sz w:val="15"/>
                <w:szCs w:val="15"/>
                <w:b w:val="1"/>
                <w:bCs w:val="1"/>
                <w:color w:val="auto"/>
                <w:vertAlign w:val="superscript"/>
              </w:rPr>
              <w:t>1</w:t>
            </w:r>
            <w:r>
              <w:rPr>
                <w:rFonts w:ascii="Arial" w:cs="Arial" w:eastAsia="Arial" w:hAnsi="Arial"/>
                <w:sz w:val="12"/>
                <w:szCs w:val="12"/>
                <w:b w:val="1"/>
                <w:bCs w:val="1"/>
                <w:color w:val="auto"/>
              </w:rPr>
              <w:t xml:space="preserve"> +</w:t>
            </w:r>
          </w:p>
        </w:tc>
        <w:tc>
          <w:tcPr>
            <w:tcW w:w="2460" w:type="dxa"/>
            <w:vAlign w:val="bottom"/>
          </w:tcPr>
          <w:p>
            <w:pPr>
              <w:ind w:left="20"/>
              <w:spacing w:after="0"/>
              <w:rPr>
                <w:sz w:val="20"/>
                <w:szCs w:val="20"/>
                <w:color w:val="auto"/>
              </w:rPr>
            </w:pPr>
            <w:r>
              <w:rPr>
                <w:rFonts w:ascii="Arial" w:cs="Arial" w:eastAsia="Arial" w:hAnsi="Arial"/>
                <w:sz w:val="12"/>
                <w:szCs w:val="12"/>
                <w:color w:val="auto"/>
              </w:rPr>
              <w:t>Immunomodulator</w:t>
            </w:r>
          </w:p>
        </w:tc>
        <w:tc>
          <w:tcPr>
            <w:tcW w:w="1420" w:type="dxa"/>
            <w:vAlign w:val="bottom"/>
          </w:tcPr>
          <w:p>
            <w:pPr>
              <w:ind w:left="20"/>
              <w:spacing w:after="0"/>
              <w:rPr>
                <w:sz w:val="20"/>
                <w:szCs w:val="20"/>
                <w:color w:val="auto"/>
              </w:rPr>
            </w:pPr>
            <w:r>
              <w:rPr>
                <w:rFonts w:ascii="Arial" w:cs="Arial" w:eastAsia="Arial" w:hAnsi="Arial"/>
                <w:sz w:val="12"/>
                <w:szCs w:val="12"/>
                <w:color w:val="auto"/>
              </w:rPr>
              <w:t>Phase 1/2</w:t>
            </w:r>
          </w:p>
        </w:tc>
        <w:tc>
          <w:tcPr>
            <w:tcW w:w="2920" w:type="dxa"/>
            <w:vAlign w:val="bottom"/>
          </w:tcPr>
          <w:p>
            <w:pPr>
              <w:ind w:left="500"/>
              <w:spacing w:after="0"/>
              <w:rPr>
                <w:sz w:val="20"/>
                <w:szCs w:val="20"/>
                <w:color w:val="auto"/>
              </w:rPr>
            </w:pPr>
            <w:r>
              <w:rPr>
                <w:rFonts w:ascii="Arial" w:cs="Arial" w:eastAsia="Arial" w:hAnsi="Arial"/>
                <w:sz w:val="12"/>
                <w:szCs w:val="12"/>
                <w:color w:val="auto"/>
              </w:rPr>
              <w:t>Breast cancer</w:t>
            </w:r>
          </w:p>
        </w:tc>
        <w:tc>
          <w:tcPr>
            <w:tcW w:w="0" w:type="dxa"/>
            <w:vAlign w:val="bottom"/>
          </w:tcPr>
          <w:p>
            <w:pPr>
              <w:spacing w:after="0"/>
              <w:rPr>
                <w:sz w:val="1"/>
                <w:szCs w:val="1"/>
                <w:color w:val="auto"/>
              </w:rPr>
            </w:pPr>
          </w:p>
        </w:tc>
      </w:tr>
      <w:tr>
        <w:trPr>
          <w:trHeight w:val="212"/>
        </w:trPr>
        <w:tc>
          <w:tcPr>
            <w:tcW w:w="226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2"/>
                <w:szCs w:val="12"/>
                <w:b w:val="1"/>
                <w:bCs w:val="1"/>
                <w:color w:val="auto"/>
              </w:rPr>
              <w:t>Trastuzumab pamirtecan (HER2-ADC)</w:t>
            </w:r>
            <w:r>
              <w:rPr>
                <w:rFonts w:ascii="Arial" w:cs="Arial" w:eastAsia="Arial" w:hAnsi="Arial"/>
                <w:sz w:val="15"/>
                <w:szCs w:val="15"/>
                <w:b w:val="1"/>
                <w:bCs w:val="1"/>
                <w:color w:val="auto"/>
                <w:vertAlign w:val="superscript"/>
              </w:rPr>
              <w:t>3</w:t>
            </w:r>
          </w:p>
        </w:tc>
        <w:tc>
          <w:tcPr>
            <w:tcW w:w="2460" w:type="dxa"/>
            <w:vAlign w:val="bottom"/>
          </w:tcPr>
          <w:p>
            <w:pPr>
              <w:ind w:left="20"/>
              <w:spacing w:after="0"/>
              <w:rPr>
                <w:sz w:val="20"/>
                <w:szCs w:val="20"/>
                <w:color w:val="auto"/>
              </w:rPr>
            </w:pPr>
            <w:r>
              <w:rPr>
                <w:rFonts w:ascii="Arial" w:cs="Arial" w:eastAsia="Arial" w:hAnsi="Arial"/>
                <w:sz w:val="12"/>
                <w:szCs w:val="12"/>
                <w:color w:val="auto"/>
              </w:rPr>
              <w:t>+ ADC</w:t>
            </w:r>
          </w:p>
        </w:tc>
        <w:tc>
          <w:tcPr>
            <w:tcW w:w="14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260" w:type="dxa"/>
            <w:vAlign w:val="bottom"/>
          </w:tcPr>
          <w:p>
            <w:pPr>
              <w:spacing w:after="0"/>
              <w:rPr>
                <w:sz w:val="20"/>
                <w:szCs w:val="20"/>
                <w:color w:val="auto"/>
              </w:rPr>
            </w:pPr>
          </w:p>
        </w:tc>
        <w:tc>
          <w:tcPr>
            <w:tcW w:w="2240" w:type="dxa"/>
            <w:vAlign w:val="bottom"/>
            <w:tcBorders>
              <w:bottom w:val="single" w:sz="8" w:color="A6A6A6"/>
            </w:tcBorders>
          </w:tcPr>
          <w:p>
            <w:pPr>
              <w:spacing w:after="0"/>
              <w:rPr>
                <w:sz w:val="20"/>
                <w:szCs w:val="20"/>
                <w:color w:val="auto"/>
              </w:rPr>
            </w:pPr>
          </w:p>
        </w:tc>
        <w:tc>
          <w:tcPr>
            <w:tcW w:w="2460" w:type="dxa"/>
            <w:vAlign w:val="bottom"/>
          </w:tcPr>
          <w:p>
            <w:pPr>
              <w:spacing w:after="0"/>
              <w:rPr>
                <w:sz w:val="20"/>
                <w:szCs w:val="20"/>
                <w:color w:val="auto"/>
              </w:rPr>
            </w:pPr>
          </w:p>
        </w:tc>
        <w:tc>
          <w:tcPr>
            <w:tcW w:w="1420" w:type="dxa"/>
            <w:vAlign w:val="bottom"/>
            <w:tcBorders>
              <w:bottom w:val="single" w:sz="8" w:color="A6A6A6"/>
            </w:tcBorders>
          </w:tcPr>
          <w:p>
            <w:pPr>
              <w:spacing w:after="0"/>
              <w:rPr>
                <w:sz w:val="20"/>
                <w:szCs w:val="20"/>
                <w:color w:val="auto"/>
              </w:rPr>
            </w:pPr>
          </w:p>
        </w:tc>
        <w:tc>
          <w:tcPr>
            <w:tcW w:w="2920" w:type="dxa"/>
            <w:vAlign w:val="bottom"/>
            <w:tcBorders>
              <w:bottom w:val="single" w:sz="8" w:color="A6A6A6"/>
            </w:tcBorders>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260" w:type="dxa"/>
            <w:vAlign w:val="bottom"/>
          </w:tcPr>
          <w:p>
            <w:pPr>
              <w:spacing w:after="0"/>
              <w:rPr>
                <w:sz w:val="12"/>
                <w:szCs w:val="12"/>
                <w:color w:val="auto"/>
              </w:rPr>
            </w:pPr>
          </w:p>
        </w:tc>
        <w:tc>
          <w:tcPr>
            <w:tcW w:w="2240" w:type="dxa"/>
            <w:vAlign w:val="bottom"/>
          </w:tcPr>
          <w:p>
            <w:pPr>
              <w:spacing w:after="0" w:line="145" w:lineRule="exact"/>
              <w:rPr>
                <w:sz w:val="20"/>
                <w:szCs w:val="20"/>
                <w:color w:val="auto"/>
              </w:rPr>
            </w:pPr>
            <w:r>
              <w:rPr>
                <w:rFonts w:ascii="Arial" w:cs="Arial" w:eastAsia="Arial" w:hAnsi="Arial"/>
                <w:sz w:val="12"/>
                <w:szCs w:val="12"/>
                <w:b w:val="1"/>
                <w:bCs w:val="1"/>
                <w:color w:val="auto"/>
              </w:rPr>
              <w:t>Pumitamig</w:t>
            </w:r>
            <w:r>
              <w:rPr>
                <w:rFonts w:ascii="Arial" w:cs="Arial" w:eastAsia="Arial" w:hAnsi="Arial"/>
                <w:sz w:val="15"/>
                <w:szCs w:val="15"/>
                <w:b w:val="1"/>
                <w:bCs w:val="1"/>
                <w:color w:val="auto"/>
                <w:vertAlign w:val="superscript"/>
              </w:rPr>
              <w:t>1</w:t>
            </w:r>
            <w:r>
              <w:rPr>
                <w:rFonts w:ascii="Arial" w:cs="Arial" w:eastAsia="Arial" w:hAnsi="Arial"/>
                <w:sz w:val="12"/>
                <w:szCs w:val="12"/>
                <w:b w:val="1"/>
                <w:bCs w:val="1"/>
                <w:color w:val="auto"/>
              </w:rPr>
              <w:t xml:space="preserve"> + BNT324/DB-1311 (B7H3-</w:t>
            </w:r>
          </w:p>
        </w:tc>
        <w:tc>
          <w:tcPr>
            <w:tcW w:w="2460" w:type="dxa"/>
            <w:vAlign w:val="bottom"/>
          </w:tcPr>
          <w:p>
            <w:pPr>
              <w:spacing w:after="0"/>
              <w:rPr>
                <w:sz w:val="12"/>
                <w:szCs w:val="12"/>
                <w:color w:val="auto"/>
              </w:rPr>
            </w:pPr>
          </w:p>
        </w:tc>
        <w:tc>
          <w:tcPr>
            <w:tcW w:w="1420" w:type="dxa"/>
            <w:vAlign w:val="bottom"/>
          </w:tcPr>
          <w:p>
            <w:pPr>
              <w:ind w:left="20"/>
              <w:spacing w:after="0"/>
              <w:rPr>
                <w:sz w:val="20"/>
                <w:szCs w:val="20"/>
                <w:color w:val="auto"/>
              </w:rPr>
            </w:pPr>
            <w:r>
              <w:rPr>
                <w:rFonts w:ascii="Arial" w:cs="Arial" w:eastAsia="Arial" w:hAnsi="Arial"/>
                <w:sz w:val="12"/>
                <w:szCs w:val="12"/>
                <w:color w:val="auto"/>
              </w:rPr>
              <w:t>Phase 1/2</w:t>
            </w:r>
          </w:p>
        </w:tc>
        <w:tc>
          <w:tcPr>
            <w:tcW w:w="2920" w:type="dxa"/>
            <w:vAlign w:val="bottom"/>
          </w:tcPr>
          <w:p>
            <w:pPr>
              <w:ind w:left="500"/>
              <w:spacing w:after="0"/>
              <w:rPr>
                <w:sz w:val="20"/>
                <w:szCs w:val="20"/>
                <w:color w:val="auto"/>
              </w:rPr>
            </w:pPr>
            <w:r>
              <w:rPr>
                <w:rFonts w:ascii="Arial" w:cs="Arial" w:eastAsia="Arial" w:hAnsi="Arial"/>
                <w:sz w:val="12"/>
                <w:szCs w:val="12"/>
                <w:color w:val="auto"/>
              </w:rPr>
              <w:t>Advanced solid tumors</w:t>
            </w:r>
          </w:p>
        </w:tc>
        <w:tc>
          <w:tcPr>
            <w:tcW w:w="0" w:type="dxa"/>
            <w:vAlign w:val="bottom"/>
          </w:tcPr>
          <w:p>
            <w:pPr>
              <w:spacing w:after="0"/>
              <w:rPr>
                <w:sz w:val="1"/>
                <w:szCs w:val="1"/>
                <w:color w:val="auto"/>
              </w:rPr>
            </w:pPr>
          </w:p>
        </w:tc>
      </w:tr>
      <w:tr>
        <w:trPr>
          <w:trHeight w:val="151"/>
        </w:trPr>
        <w:tc>
          <w:tcPr>
            <w:tcW w:w="2260" w:type="dxa"/>
            <w:vAlign w:val="bottom"/>
          </w:tcPr>
          <w:p>
            <w:pPr>
              <w:spacing w:after="0"/>
              <w:rPr>
                <w:sz w:val="13"/>
                <w:szCs w:val="13"/>
                <w:color w:val="auto"/>
              </w:rPr>
            </w:pPr>
          </w:p>
        </w:tc>
        <w:tc>
          <w:tcPr>
            <w:tcW w:w="2240" w:type="dxa"/>
            <w:vAlign w:val="bottom"/>
          </w:tcPr>
          <w:p>
            <w:pPr>
              <w:spacing w:after="0" w:line="151" w:lineRule="exact"/>
              <w:rPr>
                <w:sz w:val="20"/>
                <w:szCs w:val="20"/>
                <w:color w:val="auto"/>
              </w:rPr>
            </w:pPr>
            <w:r>
              <w:rPr>
                <w:rFonts w:ascii="Arial" w:cs="Arial" w:eastAsia="Arial" w:hAnsi="Arial"/>
                <w:sz w:val="12"/>
                <w:szCs w:val="12"/>
                <w:b w:val="1"/>
                <w:bCs w:val="1"/>
                <w:color w:val="auto"/>
              </w:rPr>
              <w:t>ADC)</w:t>
            </w:r>
            <w:r>
              <w:rPr>
                <w:rFonts w:ascii="Arial" w:cs="Arial" w:eastAsia="Arial" w:hAnsi="Arial"/>
                <w:sz w:val="15"/>
                <w:szCs w:val="15"/>
                <w:b w:val="1"/>
                <w:bCs w:val="1"/>
                <w:color w:val="auto"/>
                <w:vertAlign w:val="superscript"/>
              </w:rPr>
              <w:t>3</w:t>
            </w:r>
          </w:p>
        </w:tc>
        <w:tc>
          <w:tcPr>
            <w:tcW w:w="2460" w:type="dxa"/>
            <w:vAlign w:val="bottom"/>
          </w:tcPr>
          <w:p>
            <w:pPr>
              <w:spacing w:after="0"/>
              <w:rPr>
                <w:sz w:val="13"/>
                <w:szCs w:val="13"/>
                <w:color w:val="auto"/>
              </w:rPr>
            </w:pPr>
          </w:p>
        </w:tc>
        <w:tc>
          <w:tcPr>
            <w:tcW w:w="1420" w:type="dxa"/>
            <w:vAlign w:val="bottom"/>
            <w:tcBorders>
              <w:bottom w:val="single" w:sz="8" w:color="A6A6A6"/>
            </w:tcBorders>
          </w:tcPr>
          <w:p>
            <w:pPr>
              <w:spacing w:after="0"/>
              <w:rPr>
                <w:sz w:val="13"/>
                <w:szCs w:val="13"/>
                <w:color w:val="auto"/>
              </w:rPr>
            </w:pPr>
          </w:p>
        </w:tc>
        <w:tc>
          <w:tcPr>
            <w:tcW w:w="2920" w:type="dxa"/>
            <w:vAlign w:val="bottom"/>
            <w:tcBorders>
              <w:bottom w:val="single" w:sz="8" w:color="A6A6A6"/>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420" w:type="dxa"/>
            <w:vAlign w:val="bottom"/>
          </w:tcPr>
          <w:p>
            <w:pPr>
              <w:ind w:left="20"/>
              <w:spacing w:after="0"/>
              <w:rPr>
                <w:sz w:val="20"/>
                <w:szCs w:val="20"/>
                <w:color w:val="auto"/>
              </w:rPr>
            </w:pPr>
            <w:r>
              <w:rPr>
                <w:rFonts w:ascii="Arial" w:cs="Arial" w:eastAsia="Arial" w:hAnsi="Arial"/>
                <w:sz w:val="12"/>
                <w:szCs w:val="12"/>
                <w:color w:val="auto"/>
              </w:rPr>
              <w:t>Phase 2</w:t>
            </w:r>
          </w:p>
        </w:tc>
        <w:tc>
          <w:tcPr>
            <w:tcW w:w="2920" w:type="dxa"/>
            <w:vAlign w:val="bottom"/>
          </w:tcPr>
          <w:p>
            <w:pPr>
              <w:ind w:left="500"/>
              <w:spacing w:after="0"/>
              <w:rPr>
                <w:sz w:val="20"/>
                <w:szCs w:val="20"/>
                <w:color w:val="auto"/>
              </w:rPr>
            </w:pPr>
            <w:r>
              <w:rPr>
                <w:rFonts w:ascii="Arial" w:cs="Arial" w:eastAsia="Arial" w:hAnsi="Arial"/>
                <w:sz w:val="12"/>
                <w:szCs w:val="12"/>
                <w:color w:val="auto"/>
              </w:rPr>
              <w:t>NSCLC/SCLC</w:t>
            </w:r>
          </w:p>
        </w:tc>
        <w:tc>
          <w:tcPr>
            <w:tcW w:w="0" w:type="dxa"/>
            <w:vAlign w:val="bottom"/>
          </w:tcPr>
          <w:p>
            <w:pPr>
              <w:spacing w:after="0"/>
              <w:rPr>
                <w:sz w:val="1"/>
                <w:szCs w:val="1"/>
                <w:color w:val="auto"/>
              </w:rPr>
            </w:pPr>
          </w:p>
        </w:tc>
      </w:tr>
      <w:tr>
        <w:trPr>
          <w:trHeight w:val="25"/>
        </w:trPr>
        <w:tc>
          <w:tcPr>
            <w:tcW w:w="2260" w:type="dxa"/>
            <w:vAlign w:val="bottom"/>
          </w:tcPr>
          <w:p>
            <w:pPr>
              <w:spacing w:after="0"/>
              <w:rPr>
                <w:sz w:val="2"/>
                <w:szCs w:val="2"/>
                <w:color w:val="auto"/>
              </w:rPr>
            </w:pPr>
          </w:p>
        </w:tc>
        <w:tc>
          <w:tcPr>
            <w:tcW w:w="2240" w:type="dxa"/>
            <w:vAlign w:val="bottom"/>
            <w:tcBorders>
              <w:bottom w:val="single" w:sz="8" w:color="A6A6A6"/>
            </w:tcBorders>
          </w:tcPr>
          <w:p>
            <w:pPr>
              <w:spacing w:after="0"/>
              <w:rPr>
                <w:sz w:val="2"/>
                <w:szCs w:val="2"/>
                <w:color w:val="auto"/>
              </w:rPr>
            </w:pPr>
          </w:p>
        </w:tc>
        <w:tc>
          <w:tcPr>
            <w:tcW w:w="2460" w:type="dxa"/>
            <w:vAlign w:val="bottom"/>
          </w:tcPr>
          <w:p>
            <w:pPr>
              <w:spacing w:after="0"/>
              <w:rPr>
                <w:sz w:val="2"/>
                <w:szCs w:val="2"/>
                <w:color w:val="auto"/>
              </w:rPr>
            </w:pPr>
          </w:p>
        </w:tc>
        <w:tc>
          <w:tcPr>
            <w:tcW w:w="1420" w:type="dxa"/>
            <w:vAlign w:val="bottom"/>
            <w:tcBorders>
              <w:bottom w:val="single" w:sz="8" w:color="A6A6A6"/>
            </w:tcBorders>
          </w:tcPr>
          <w:p>
            <w:pPr>
              <w:spacing w:after="0"/>
              <w:rPr>
                <w:sz w:val="2"/>
                <w:szCs w:val="2"/>
                <w:color w:val="auto"/>
              </w:rPr>
            </w:pPr>
          </w:p>
        </w:tc>
        <w:tc>
          <w:tcPr>
            <w:tcW w:w="2920" w:type="dxa"/>
            <w:vAlign w:val="bottom"/>
            <w:tcBorders>
              <w:bottom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260" w:type="dxa"/>
            <w:vAlign w:val="bottom"/>
          </w:tcPr>
          <w:p>
            <w:pPr>
              <w:spacing w:after="0"/>
              <w:rPr>
                <w:sz w:val="12"/>
                <w:szCs w:val="12"/>
                <w:color w:val="auto"/>
              </w:rPr>
            </w:pPr>
          </w:p>
        </w:tc>
        <w:tc>
          <w:tcPr>
            <w:tcW w:w="2240" w:type="dxa"/>
            <w:vAlign w:val="bottom"/>
          </w:tcPr>
          <w:p>
            <w:pPr>
              <w:spacing w:after="0" w:line="145" w:lineRule="exact"/>
              <w:rPr>
                <w:sz w:val="20"/>
                <w:szCs w:val="20"/>
                <w:color w:val="auto"/>
              </w:rPr>
            </w:pPr>
            <w:r>
              <w:rPr>
                <w:rFonts w:ascii="Arial" w:cs="Arial" w:eastAsia="Arial" w:hAnsi="Arial"/>
                <w:sz w:val="12"/>
                <w:szCs w:val="12"/>
                <w:b w:val="1"/>
                <w:bCs w:val="1"/>
                <w:color w:val="auto"/>
              </w:rPr>
              <w:t>Pumitamig</w:t>
            </w:r>
            <w:r>
              <w:rPr>
                <w:rFonts w:ascii="Arial" w:cs="Arial" w:eastAsia="Arial" w:hAnsi="Arial"/>
                <w:sz w:val="15"/>
                <w:szCs w:val="15"/>
                <w:b w:val="1"/>
                <w:bCs w:val="1"/>
                <w:color w:val="auto"/>
                <w:vertAlign w:val="superscript"/>
              </w:rPr>
              <w:t>1</w:t>
            </w:r>
            <w:r>
              <w:rPr>
                <w:rFonts w:ascii="Arial" w:cs="Arial" w:eastAsia="Arial" w:hAnsi="Arial"/>
                <w:sz w:val="12"/>
                <w:szCs w:val="12"/>
                <w:b w:val="1"/>
                <w:bCs w:val="1"/>
                <w:color w:val="auto"/>
              </w:rPr>
              <w:t xml:space="preserve"> + BNT325/DB-1305</w:t>
            </w:r>
          </w:p>
        </w:tc>
        <w:tc>
          <w:tcPr>
            <w:tcW w:w="2460" w:type="dxa"/>
            <w:vAlign w:val="bottom"/>
          </w:tcPr>
          <w:p>
            <w:pPr>
              <w:spacing w:after="0"/>
              <w:rPr>
                <w:sz w:val="12"/>
                <w:szCs w:val="12"/>
                <w:color w:val="auto"/>
              </w:rPr>
            </w:pPr>
          </w:p>
        </w:tc>
        <w:tc>
          <w:tcPr>
            <w:tcW w:w="1420" w:type="dxa"/>
            <w:vAlign w:val="bottom"/>
          </w:tcPr>
          <w:p>
            <w:pPr>
              <w:ind w:left="20"/>
              <w:spacing w:after="0"/>
              <w:rPr>
                <w:sz w:val="20"/>
                <w:szCs w:val="20"/>
                <w:color w:val="auto"/>
              </w:rPr>
            </w:pPr>
            <w:r>
              <w:rPr>
                <w:rFonts w:ascii="Arial" w:cs="Arial" w:eastAsia="Arial" w:hAnsi="Arial"/>
                <w:sz w:val="12"/>
                <w:szCs w:val="12"/>
                <w:color w:val="auto"/>
              </w:rPr>
              <w:t>Phase 2</w:t>
            </w:r>
          </w:p>
        </w:tc>
        <w:tc>
          <w:tcPr>
            <w:tcW w:w="2920" w:type="dxa"/>
            <w:vAlign w:val="bottom"/>
          </w:tcPr>
          <w:p>
            <w:pPr>
              <w:ind w:left="500"/>
              <w:spacing w:after="0"/>
              <w:rPr>
                <w:sz w:val="20"/>
                <w:szCs w:val="20"/>
                <w:color w:val="auto"/>
              </w:rPr>
            </w:pPr>
            <w:r>
              <w:rPr>
                <w:rFonts w:ascii="Arial" w:cs="Arial" w:eastAsia="Arial" w:hAnsi="Arial"/>
                <w:sz w:val="12"/>
                <w:szCs w:val="12"/>
                <w:color w:val="auto"/>
              </w:rPr>
              <w:t>TNBC</w:t>
            </w:r>
          </w:p>
        </w:tc>
        <w:tc>
          <w:tcPr>
            <w:tcW w:w="0" w:type="dxa"/>
            <w:vAlign w:val="bottom"/>
          </w:tcPr>
          <w:p>
            <w:pPr>
              <w:spacing w:after="0"/>
              <w:rPr>
                <w:sz w:val="1"/>
                <w:szCs w:val="1"/>
                <w:color w:val="auto"/>
              </w:rPr>
            </w:pPr>
          </w:p>
        </w:tc>
      </w:tr>
      <w:tr>
        <w:trPr>
          <w:trHeight w:val="212"/>
        </w:trPr>
        <w:tc>
          <w:tcPr>
            <w:tcW w:w="226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2"/>
                <w:szCs w:val="12"/>
                <w:b w:val="1"/>
                <w:bCs w:val="1"/>
                <w:color w:val="auto"/>
              </w:rPr>
              <w:t>(TROP2-ADC)</w:t>
            </w:r>
            <w:r>
              <w:rPr>
                <w:rFonts w:ascii="Arial" w:cs="Arial" w:eastAsia="Arial" w:hAnsi="Arial"/>
                <w:sz w:val="15"/>
                <w:szCs w:val="15"/>
                <w:b w:val="1"/>
                <w:bCs w:val="1"/>
                <w:color w:val="auto"/>
                <w:vertAlign w:val="superscript"/>
              </w:rPr>
              <w:t>3</w:t>
            </w:r>
          </w:p>
        </w:tc>
        <w:tc>
          <w:tcPr>
            <w:tcW w:w="2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260" w:type="dxa"/>
            <w:vAlign w:val="bottom"/>
          </w:tcPr>
          <w:p>
            <w:pPr>
              <w:spacing w:after="0"/>
              <w:rPr>
                <w:sz w:val="7"/>
                <w:szCs w:val="7"/>
                <w:color w:val="auto"/>
              </w:rPr>
            </w:pPr>
          </w:p>
        </w:tc>
        <w:tc>
          <w:tcPr>
            <w:tcW w:w="2240" w:type="dxa"/>
            <w:vAlign w:val="bottom"/>
            <w:tcBorders>
              <w:bottom w:val="single" w:sz="8" w:color="A6A6A6"/>
            </w:tcBorders>
          </w:tcPr>
          <w:p>
            <w:pPr>
              <w:spacing w:after="0"/>
              <w:rPr>
                <w:sz w:val="7"/>
                <w:szCs w:val="7"/>
                <w:color w:val="auto"/>
              </w:rPr>
            </w:pPr>
          </w:p>
        </w:tc>
        <w:tc>
          <w:tcPr>
            <w:tcW w:w="2460" w:type="dxa"/>
            <w:vAlign w:val="bottom"/>
          </w:tcPr>
          <w:p>
            <w:pPr>
              <w:spacing w:after="0"/>
              <w:rPr>
                <w:sz w:val="7"/>
                <w:szCs w:val="7"/>
                <w:color w:val="auto"/>
              </w:rPr>
            </w:pPr>
          </w:p>
        </w:tc>
        <w:tc>
          <w:tcPr>
            <w:tcW w:w="1420" w:type="dxa"/>
            <w:vAlign w:val="bottom"/>
            <w:tcBorders>
              <w:bottom w:val="single" w:sz="8" w:color="A6A6A6"/>
            </w:tcBorders>
          </w:tcPr>
          <w:p>
            <w:pPr>
              <w:spacing w:after="0"/>
              <w:rPr>
                <w:sz w:val="7"/>
                <w:szCs w:val="7"/>
                <w:color w:val="auto"/>
              </w:rPr>
            </w:pPr>
          </w:p>
        </w:tc>
        <w:tc>
          <w:tcPr>
            <w:tcW w:w="2920" w:type="dxa"/>
            <w:vAlign w:val="bottom"/>
            <w:tcBorders>
              <w:bottom w:val="single" w:sz="8" w:color="A6A6A6"/>
            </w:tcBorders>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260" w:type="dxa"/>
            <w:vAlign w:val="bottom"/>
          </w:tcPr>
          <w:p>
            <w:pPr>
              <w:spacing w:after="0"/>
              <w:rPr>
                <w:sz w:val="12"/>
                <w:szCs w:val="12"/>
                <w:color w:val="auto"/>
              </w:rPr>
            </w:pPr>
          </w:p>
        </w:tc>
        <w:tc>
          <w:tcPr>
            <w:tcW w:w="2240" w:type="dxa"/>
            <w:vAlign w:val="bottom"/>
          </w:tcPr>
          <w:p>
            <w:pPr>
              <w:spacing w:after="0" w:line="145" w:lineRule="exact"/>
              <w:rPr>
                <w:sz w:val="20"/>
                <w:szCs w:val="20"/>
                <w:color w:val="auto"/>
              </w:rPr>
            </w:pPr>
            <w:r>
              <w:rPr>
                <w:rFonts w:ascii="Arial" w:cs="Arial" w:eastAsia="Arial" w:hAnsi="Arial"/>
                <w:sz w:val="12"/>
                <w:szCs w:val="12"/>
                <w:b w:val="1"/>
                <w:bCs w:val="1"/>
                <w:color w:val="auto"/>
              </w:rPr>
              <w:t>Pumitamig</w:t>
            </w:r>
            <w:r>
              <w:rPr>
                <w:rFonts w:ascii="Arial" w:cs="Arial" w:eastAsia="Arial" w:hAnsi="Arial"/>
                <w:sz w:val="15"/>
                <w:szCs w:val="15"/>
                <w:b w:val="1"/>
                <w:bCs w:val="1"/>
                <w:color w:val="auto"/>
                <w:vertAlign w:val="superscript"/>
              </w:rPr>
              <w:t>1</w:t>
            </w:r>
            <w:r>
              <w:rPr>
                <w:rFonts w:ascii="Arial" w:cs="Arial" w:eastAsia="Arial" w:hAnsi="Arial"/>
                <w:sz w:val="12"/>
                <w:szCs w:val="12"/>
                <w:b w:val="1"/>
                <w:bCs w:val="1"/>
                <w:color w:val="auto"/>
              </w:rPr>
              <w:t xml:space="preserve"> + BNT326/YL202 (HER3-</w:t>
            </w:r>
          </w:p>
        </w:tc>
        <w:tc>
          <w:tcPr>
            <w:tcW w:w="2460" w:type="dxa"/>
            <w:vAlign w:val="bottom"/>
          </w:tcPr>
          <w:p>
            <w:pPr>
              <w:spacing w:after="0"/>
              <w:rPr>
                <w:sz w:val="12"/>
                <w:szCs w:val="12"/>
                <w:color w:val="auto"/>
              </w:rPr>
            </w:pPr>
          </w:p>
        </w:tc>
        <w:tc>
          <w:tcPr>
            <w:tcW w:w="1420" w:type="dxa"/>
            <w:vAlign w:val="bottom"/>
          </w:tcPr>
          <w:p>
            <w:pPr>
              <w:ind w:left="20"/>
              <w:spacing w:after="0"/>
              <w:rPr>
                <w:sz w:val="20"/>
                <w:szCs w:val="20"/>
                <w:color w:val="auto"/>
              </w:rPr>
            </w:pPr>
            <w:r>
              <w:rPr>
                <w:rFonts w:ascii="Arial" w:cs="Arial" w:eastAsia="Arial" w:hAnsi="Arial"/>
                <w:sz w:val="12"/>
                <w:szCs w:val="12"/>
                <w:color w:val="auto"/>
              </w:rPr>
              <w:t>Phase 1/2</w:t>
            </w:r>
          </w:p>
        </w:tc>
        <w:tc>
          <w:tcPr>
            <w:tcW w:w="2920" w:type="dxa"/>
            <w:vAlign w:val="bottom"/>
          </w:tcPr>
          <w:p>
            <w:pPr>
              <w:ind w:left="500"/>
              <w:spacing w:after="0"/>
              <w:rPr>
                <w:sz w:val="20"/>
                <w:szCs w:val="20"/>
                <w:color w:val="auto"/>
              </w:rPr>
            </w:pPr>
            <w:r>
              <w:rPr>
                <w:rFonts w:ascii="Arial" w:cs="Arial" w:eastAsia="Arial" w:hAnsi="Arial"/>
                <w:sz w:val="12"/>
                <w:szCs w:val="12"/>
                <w:color w:val="auto"/>
              </w:rPr>
              <w:t>NSCLC</w:t>
            </w:r>
          </w:p>
        </w:tc>
        <w:tc>
          <w:tcPr>
            <w:tcW w:w="0" w:type="dxa"/>
            <w:vAlign w:val="bottom"/>
          </w:tcPr>
          <w:p>
            <w:pPr>
              <w:spacing w:after="0"/>
              <w:rPr>
                <w:sz w:val="1"/>
                <w:szCs w:val="1"/>
                <w:color w:val="auto"/>
              </w:rPr>
            </w:pPr>
          </w:p>
        </w:tc>
      </w:tr>
      <w:tr>
        <w:trPr>
          <w:trHeight w:val="212"/>
        </w:trPr>
        <w:tc>
          <w:tcPr>
            <w:tcW w:w="226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2"/>
                <w:szCs w:val="12"/>
                <w:b w:val="1"/>
                <w:bCs w:val="1"/>
                <w:color w:val="auto"/>
              </w:rPr>
              <w:t>ADC)</w:t>
            </w:r>
            <w:r>
              <w:rPr>
                <w:rFonts w:ascii="Arial" w:cs="Arial" w:eastAsia="Arial" w:hAnsi="Arial"/>
                <w:sz w:val="15"/>
                <w:szCs w:val="15"/>
                <w:b w:val="1"/>
                <w:bCs w:val="1"/>
                <w:color w:val="auto"/>
                <w:vertAlign w:val="superscript"/>
              </w:rPr>
              <w:t>4</w:t>
            </w:r>
          </w:p>
        </w:tc>
        <w:tc>
          <w:tcPr>
            <w:tcW w:w="2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260" w:type="dxa"/>
            <w:vAlign w:val="bottom"/>
          </w:tcPr>
          <w:p>
            <w:pPr>
              <w:spacing w:after="0"/>
              <w:rPr>
                <w:sz w:val="7"/>
                <w:szCs w:val="7"/>
                <w:color w:val="auto"/>
              </w:rPr>
            </w:pPr>
          </w:p>
        </w:tc>
        <w:tc>
          <w:tcPr>
            <w:tcW w:w="2240" w:type="dxa"/>
            <w:vAlign w:val="bottom"/>
            <w:tcBorders>
              <w:bottom w:val="single" w:sz="8" w:color="A6A6A6"/>
            </w:tcBorders>
          </w:tcPr>
          <w:p>
            <w:pPr>
              <w:spacing w:after="0"/>
              <w:rPr>
                <w:sz w:val="7"/>
                <w:szCs w:val="7"/>
                <w:color w:val="auto"/>
              </w:rPr>
            </w:pPr>
          </w:p>
        </w:tc>
        <w:tc>
          <w:tcPr>
            <w:tcW w:w="2460" w:type="dxa"/>
            <w:vAlign w:val="bottom"/>
            <w:tcBorders>
              <w:bottom w:val="single" w:sz="8" w:color="A6A6A6"/>
            </w:tcBorders>
          </w:tcPr>
          <w:p>
            <w:pPr>
              <w:spacing w:after="0"/>
              <w:rPr>
                <w:sz w:val="7"/>
                <w:szCs w:val="7"/>
                <w:color w:val="auto"/>
              </w:rPr>
            </w:pPr>
          </w:p>
        </w:tc>
        <w:tc>
          <w:tcPr>
            <w:tcW w:w="1420" w:type="dxa"/>
            <w:vAlign w:val="bottom"/>
            <w:tcBorders>
              <w:bottom w:val="single" w:sz="8" w:color="A6A6A6"/>
            </w:tcBorders>
          </w:tcPr>
          <w:p>
            <w:pPr>
              <w:spacing w:after="0"/>
              <w:rPr>
                <w:sz w:val="7"/>
                <w:szCs w:val="7"/>
                <w:color w:val="auto"/>
              </w:rPr>
            </w:pPr>
          </w:p>
        </w:tc>
        <w:tc>
          <w:tcPr>
            <w:tcW w:w="2920" w:type="dxa"/>
            <w:vAlign w:val="bottom"/>
            <w:tcBorders>
              <w:bottom w:val="single" w:sz="8" w:color="A6A6A6"/>
            </w:tcBorders>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26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2"/>
                <w:szCs w:val="12"/>
                <w:b w:val="1"/>
                <w:bCs w:val="1"/>
                <w:color w:val="auto"/>
              </w:rPr>
              <w:t>BNT324/DB-1311 (B7H3-ADC)</w:t>
            </w:r>
            <w:r>
              <w:rPr>
                <w:rFonts w:ascii="Arial" w:cs="Arial" w:eastAsia="Arial" w:hAnsi="Arial"/>
                <w:sz w:val="15"/>
                <w:szCs w:val="15"/>
                <w:b w:val="1"/>
                <w:bCs w:val="1"/>
                <w:color w:val="auto"/>
                <w:vertAlign w:val="superscript"/>
              </w:rPr>
              <w:t>3</w:t>
            </w:r>
          </w:p>
        </w:tc>
        <w:tc>
          <w:tcPr>
            <w:tcW w:w="2460" w:type="dxa"/>
            <w:vAlign w:val="bottom"/>
          </w:tcPr>
          <w:p>
            <w:pPr>
              <w:ind w:left="20"/>
              <w:spacing w:after="0"/>
              <w:rPr>
                <w:sz w:val="20"/>
                <w:szCs w:val="20"/>
                <w:color w:val="auto"/>
              </w:rPr>
            </w:pPr>
            <w:r>
              <w:rPr>
                <w:rFonts w:ascii="Arial" w:cs="Arial" w:eastAsia="Arial" w:hAnsi="Arial"/>
                <w:sz w:val="12"/>
                <w:szCs w:val="12"/>
                <w:color w:val="auto"/>
              </w:rPr>
              <w:t>ADC</w:t>
            </w:r>
          </w:p>
        </w:tc>
        <w:tc>
          <w:tcPr>
            <w:tcW w:w="1420" w:type="dxa"/>
            <w:vAlign w:val="bottom"/>
          </w:tcPr>
          <w:p>
            <w:pPr>
              <w:ind w:left="20"/>
              <w:spacing w:after="0"/>
              <w:rPr>
                <w:sz w:val="20"/>
                <w:szCs w:val="20"/>
                <w:color w:val="auto"/>
              </w:rPr>
            </w:pPr>
            <w:r>
              <w:rPr>
                <w:rFonts w:ascii="Arial" w:cs="Arial" w:eastAsia="Arial" w:hAnsi="Arial"/>
                <w:sz w:val="12"/>
                <w:szCs w:val="12"/>
                <w:color w:val="auto"/>
              </w:rPr>
              <w:t>Phase 1/2</w:t>
            </w:r>
          </w:p>
        </w:tc>
        <w:tc>
          <w:tcPr>
            <w:tcW w:w="2920" w:type="dxa"/>
            <w:vAlign w:val="bottom"/>
          </w:tcPr>
          <w:p>
            <w:pPr>
              <w:ind w:left="500"/>
              <w:spacing w:after="0"/>
              <w:rPr>
                <w:sz w:val="20"/>
                <w:szCs w:val="20"/>
                <w:color w:val="auto"/>
              </w:rPr>
            </w:pPr>
            <w:r>
              <w:rPr>
                <w:rFonts w:ascii="Arial" w:cs="Arial" w:eastAsia="Arial" w:hAnsi="Arial"/>
                <w:sz w:val="12"/>
                <w:szCs w:val="12"/>
                <w:color w:val="auto"/>
              </w:rPr>
              <w:t>2L+ mCRPC</w:t>
            </w:r>
          </w:p>
        </w:tc>
        <w:tc>
          <w:tcPr>
            <w:tcW w:w="0" w:type="dxa"/>
            <w:vAlign w:val="bottom"/>
          </w:tcPr>
          <w:p>
            <w:pPr>
              <w:spacing w:after="0"/>
              <w:rPr>
                <w:sz w:val="1"/>
                <w:szCs w:val="1"/>
                <w:color w:val="auto"/>
              </w:rPr>
            </w:pPr>
          </w:p>
        </w:tc>
      </w:tr>
      <w:tr>
        <w:trPr>
          <w:trHeight w:val="82"/>
        </w:trPr>
        <w:tc>
          <w:tcPr>
            <w:tcW w:w="2260" w:type="dxa"/>
            <w:vAlign w:val="bottom"/>
            <w:tcBorders>
              <w:bottom w:val="single" w:sz="8" w:color="A6A6A6"/>
            </w:tcBorders>
          </w:tcPr>
          <w:p>
            <w:pPr>
              <w:spacing w:after="0"/>
              <w:rPr>
                <w:sz w:val="7"/>
                <w:szCs w:val="7"/>
                <w:color w:val="auto"/>
              </w:rPr>
            </w:pPr>
          </w:p>
        </w:tc>
        <w:tc>
          <w:tcPr>
            <w:tcW w:w="2240" w:type="dxa"/>
            <w:vAlign w:val="bottom"/>
            <w:tcBorders>
              <w:bottom w:val="single" w:sz="8" w:color="A6A6A6"/>
            </w:tcBorders>
          </w:tcPr>
          <w:p>
            <w:pPr>
              <w:spacing w:after="0"/>
              <w:rPr>
                <w:sz w:val="7"/>
                <w:szCs w:val="7"/>
                <w:color w:val="auto"/>
              </w:rPr>
            </w:pPr>
          </w:p>
        </w:tc>
        <w:tc>
          <w:tcPr>
            <w:tcW w:w="2460" w:type="dxa"/>
            <w:vAlign w:val="bottom"/>
            <w:tcBorders>
              <w:bottom w:val="single" w:sz="8" w:color="A6A6A6"/>
            </w:tcBorders>
          </w:tcPr>
          <w:p>
            <w:pPr>
              <w:spacing w:after="0"/>
              <w:rPr>
                <w:sz w:val="7"/>
                <w:szCs w:val="7"/>
                <w:color w:val="auto"/>
              </w:rPr>
            </w:pPr>
          </w:p>
        </w:tc>
        <w:tc>
          <w:tcPr>
            <w:tcW w:w="1420" w:type="dxa"/>
            <w:vAlign w:val="bottom"/>
            <w:tcBorders>
              <w:bottom w:val="single" w:sz="8" w:color="A6A6A6"/>
            </w:tcBorders>
          </w:tcPr>
          <w:p>
            <w:pPr>
              <w:spacing w:after="0"/>
              <w:rPr>
                <w:sz w:val="7"/>
                <w:szCs w:val="7"/>
                <w:color w:val="auto"/>
              </w:rPr>
            </w:pPr>
          </w:p>
        </w:tc>
        <w:tc>
          <w:tcPr>
            <w:tcW w:w="2920" w:type="dxa"/>
            <w:vAlign w:val="bottom"/>
            <w:tcBorders>
              <w:bottom w:val="single" w:sz="8" w:color="A6A6A6"/>
            </w:tcBorders>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260" w:type="dxa"/>
            <w:vAlign w:val="bottom"/>
            <w:tcBorders>
              <w:bottom w:val="single" w:sz="8" w:color="A6A6A6"/>
            </w:tcBorders>
          </w:tcPr>
          <w:p>
            <w:pPr>
              <w:spacing w:after="0"/>
              <w:rPr>
                <w:sz w:val="13"/>
                <w:szCs w:val="13"/>
                <w:color w:val="auto"/>
              </w:rPr>
            </w:pPr>
          </w:p>
        </w:tc>
        <w:tc>
          <w:tcPr>
            <w:tcW w:w="2240" w:type="dxa"/>
            <w:vAlign w:val="bottom"/>
            <w:tcBorders>
              <w:bottom w:val="single" w:sz="8" w:color="A6A6A6"/>
            </w:tcBorders>
          </w:tcPr>
          <w:p>
            <w:pPr>
              <w:spacing w:after="0"/>
              <w:rPr>
                <w:sz w:val="13"/>
                <w:szCs w:val="13"/>
                <w:color w:val="auto"/>
              </w:rPr>
            </w:pPr>
          </w:p>
        </w:tc>
        <w:tc>
          <w:tcPr>
            <w:tcW w:w="2460" w:type="dxa"/>
            <w:vAlign w:val="bottom"/>
            <w:tcBorders>
              <w:bottom w:val="single" w:sz="8" w:color="A6A6A6"/>
            </w:tcBorders>
          </w:tcPr>
          <w:p>
            <w:pPr>
              <w:spacing w:after="0"/>
              <w:rPr>
                <w:sz w:val="13"/>
                <w:szCs w:val="13"/>
                <w:color w:val="auto"/>
              </w:rPr>
            </w:pPr>
          </w:p>
        </w:tc>
        <w:tc>
          <w:tcPr>
            <w:tcW w:w="1420" w:type="dxa"/>
            <w:vAlign w:val="bottom"/>
            <w:tcBorders>
              <w:bottom w:val="single" w:sz="8" w:color="A6A6A6"/>
            </w:tcBorders>
          </w:tcPr>
          <w:p>
            <w:pPr>
              <w:spacing w:after="0"/>
              <w:rPr>
                <w:sz w:val="13"/>
                <w:szCs w:val="13"/>
                <w:color w:val="auto"/>
              </w:rPr>
            </w:pPr>
          </w:p>
        </w:tc>
        <w:tc>
          <w:tcPr>
            <w:tcW w:w="2920" w:type="dxa"/>
            <w:vAlign w:val="bottom"/>
            <w:tcBorders>
              <w:bottom w:val="single" w:sz="8" w:color="A6A6A6"/>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260" w:type="dxa"/>
            <w:vAlign w:val="bottom"/>
          </w:tcPr>
          <w:p>
            <w:pPr>
              <w:spacing w:after="0"/>
              <w:rPr>
                <w:sz w:val="20"/>
                <w:szCs w:val="20"/>
                <w:color w:val="auto"/>
              </w:rPr>
            </w:pPr>
            <w:r>
              <w:rPr>
                <w:rFonts w:ascii="Arial" w:cs="Arial" w:eastAsia="Arial" w:hAnsi="Arial"/>
                <w:sz w:val="12"/>
                <w:szCs w:val="12"/>
                <w:b w:val="1"/>
                <w:bCs w:val="1"/>
                <w:color w:val="auto"/>
              </w:rPr>
              <w:t>Phase 3 Trial Initiations</w:t>
            </w:r>
          </w:p>
        </w:tc>
        <w:tc>
          <w:tcPr>
            <w:tcW w:w="2240" w:type="dxa"/>
            <w:vAlign w:val="bottom"/>
          </w:tcPr>
          <w:p>
            <w:pPr>
              <w:spacing w:after="0"/>
              <w:rPr>
                <w:sz w:val="20"/>
                <w:szCs w:val="20"/>
                <w:color w:val="auto"/>
              </w:rPr>
            </w:pPr>
            <w:r>
              <w:rPr>
                <w:rFonts w:ascii="Arial" w:cs="Arial" w:eastAsia="Arial" w:hAnsi="Arial"/>
                <w:sz w:val="12"/>
                <w:szCs w:val="12"/>
                <w:b w:val="1"/>
                <w:bCs w:val="1"/>
                <w:color w:val="auto"/>
              </w:rPr>
              <w:t>Pumitamig</w:t>
            </w:r>
            <w:r>
              <w:rPr>
                <w:rFonts w:ascii="Arial" w:cs="Arial" w:eastAsia="Arial" w:hAnsi="Arial"/>
                <w:sz w:val="15"/>
                <w:szCs w:val="15"/>
                <w:b w:val="1"/>
                <w:bCs w:val="1"/>
                <w:color w:val="auto"/>
                <w:vertAlign w:val="superscript"/>
              </w:rPr>
              <w:t>1</w:t>
            </w:r>
          </w:p>
        </w:tc>
        <w:tc>
          <w:tcPr>
            <w:tcW w:w="2460" w:type="dxa"/>
            <w:vAlign w:val="bottom"/>
          </w:tcPr>
          <w:p>
            <w:pPr>
              <w:ind w:left="20"/>
              <w:spacing w:after="0"/>
              <w:rPr>
                <w:sz w:val="20"/>
                <w:szCs w:val="20"/>
                <w:color w:val="auto"/>
              </w:rPr>
            </w:pPr>
            <w:r>
              <w:rPr>
                <w:rFonts w:ascii="Arial" w:cs="Arial" w:eastAsia="Arial" w:hAnsi="Arial"/>
                <w:sz w:val="12"/>
                <w:szCs w:val="12"/>
                <w:color w:val="auto"/>
              </w:rPr>
              <w:t>Immunomodulator</w:t>
            </w:r>
          </w:p>
        </w:tc>
        <w:tc>
          <w:tcPr>
            <w:tcW w:w="1420" w:type="dxa"/>
            <w:vAlign w:val="bottom"/>
            <w:tcBorders>
              <w:bottom w:val="single" w:sz="8" w:color="A6A6A6"/>
            </w:tcBorders>
          </w:tcPr>
          <w:p>
            <w:pPr>
              <w:ind w:left="20"/>
              <w:spacing w:after="0"/>
              <w:rPr>
                <w:sz w:val="20"/>
                <w:szCs w:val="20"/>
                <w:color w:val="auto"/>
              </w:rPr>
            </w:pPr>
            <w:r>
              <w:rPr>
                <w:rFonts w:ascii="Arial" w:cs="Arial" w:eastAsia="Arial" w:hAnsi="Arial"/>
                <w:sz w:val="12"/>
                <w:szCs w:val="12"/>
                <w:color w:val="auto"/>
              </w:rPr>
              <w:t>Phase 3</w:t>
            </w:r>
          </w:p>
        </w:tc>
        <w:tc>
          <w:tcPr>
            <w:tcW w:w="2920" w:type="dxa"/>
            <w:vAlign w:val="bottom"/>
            <w:tcBorders>
              <w:bottom w:val="single" w:sz="8" w:color="A6A6A6"/>
            </w:tcBorders>
          </w:tcPr>
          <w:p>
            <w:pPr>
              <w:ind w:left="500"/>
              <w:spacing w:after="0"/>
              <w:rPr>
                <w:sz w:val="20"/>
                <w:szCs w:val="20"/>
                <w:color w:val="auto"/>
              </w:rPr>
            </w:pPr>
            <w:r>
              <w:rPr>
                <w:rFonts w:ascii="Arial" w:cs="Arial" w:eastAsia="Arial" w:hAnsi="Arial"/>
                <w:sz w:val="12"/>
                <w:szCs w:val="12"/>
                <w:color w:val="auto"/>
              </w:rPr>
              <w:t>1L MSS-CRC</w:t>
            </w:r>
          </w:p>
        </w:tc>
        <w:tc>
          <w:tcPr>
            <w:tcW w:w="0" w:type="dxa"/>
            <w:vAlign w:val="bottom"/>
          </w:tcPr>
          <w:p>
            <w:pPr>
              <w:spacing w:after="0"/>
              <w:rPr>
                <w:sz w:val="1"/>
                <w:szCs w:val="1"/>
                <w:color w:val="auto"/>
              </w:rPr>
            </w:pPr>
          </w:p>
        </w:tc>
      </w:tr>
      <w:tr>
        <w:trPr>
          <w:trHeight w:val="153"/>
        </w:trPr>
        <w:tc>
          <w:tcPr>
            <w:tcW w:w="22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420" w:type="dxa"/>
            <w:vAlign w:val="bottom"/>
          </w:tcPr>
          <w:p>
            <w:pPr>
              <w:ind w:left="20"/>
              <w:spacing w:after="0"/>
              <w:rPr>
                <w:sz w:val="20"/>
                <w:szCs w:val="20"/>
                <w:color w:val="auto"/>
              </w:rPr>
            </w:pPr>
            <w:r>
              <w:rPr>
                <w:rFonts w:ascii="Arial" w:cs="Arial" w:eastAsia="Arial" w:hAnsi="Arial"/>
                <w:sz w:val="12"/>
                <w:szCs w:val="12"/>
                <w:color w:val="auto"/>
              </w:rPr>
              <w:t>Phase 3</w:t>
            </w:r>
          </w:p>
        </w:tc>
        <w:tc>
          <w:tcPr>
            <w:tcW w:w="2920" w:type="dxa"/>
            <w:vAlign w:val="bottom"/>
          </w:tcPr>
          <w:p>
            <w:pPr>
              <w:ind w:left="500"/>
              <w:spacing w:after="0"/>
              <w:rPr>
                <w:sz w:val="20"/>
                <w:szCs w:val="20"/>
                <w:color w:val="auto"/>
              </w:rPr>
            </w:pPr>
            <w:r>
              <w:rPr>
                <w:rFonts w:ascii="Arial" w:cs="Arial" w:eastAsia="Arial" w:hAnsi="Arial"/>
                <w:sz w:val="12"/>
                <w:szCs w:val="12"/>
                <w:color w:val="auto"/>
              </w:rPr>
              <w:t>1L HER2- PD-L1+ gastric cancer</w:t>
            </w:r>
          </w:p>
        </w:tc>
        <w:tc>
          <w:tcPr>
            <w:tcW w:w="0" w:type="dxa"/>
            <w:vAlign w:val="bottom"/>
          </w:tcPr>
          <w:p>
            <w:pPr>
              <w:spacing w:after="0"/>
              <w:rPr>
                <w:sz w:val="1"/>
                <w:szCs w:val="1"/>
                <w:color w:val="auto"/>
              </w:rPr>
            </w:pPr>
          </w:p>
        </w:tc>
      </w:tr>
      <w:tr>
        <w:trPr>
          <w:trHeight w:val="142"/>
        </w:trPr>
        <w:tc>
          <w:tcPr>
            <w:tcW w:w="22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20" w:type="dxa"/>
            <w:vAlign w:val="bottom"/>
            <w:tcBorders>
              <w:bottom w:val="single" w:sz="8" w:color="A6A6A6"/>
            </w:tcBorders>
          </w:tcPr>
          <w:p>
            <w:pPr>
              <w:spacing w:after="0"/>
              <w:rPr>
                <w:sz w:val="12"/>
                <w:szCs w:val="12"/>
                <w:color w:val="auto"/>
              </w:rPr>
            </w:pPr>
          </w:p>
        </w:tc>
        <w:tc>
          <w:tcPr>
            <w:tcW w:w="2920" w:type="dxa"/>
            <w:vAlign w:val="bottom"/>
            <w:tcBorders>
              <w:bottom w:val="single" w:sz="8" w:color="A6A6A6"/>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420" w:type="dxa"/>
            <w:vAlign w:val="bottom"/>
          </w:tcPr>
          <w:p>
            <w:pPr>
              <w:ind w:left="20"/>
              <w:spacing w:after="0"/>
              <w:rPr>
                <w:sz w:val="20"/>
                <w:szCs w:val="20"/>
                <w:color w:val="auto"/>
              </w:rPr>
            </w:pPr>
            <w:r>
              <w:rPr>
                <w:rFonts w:ascii="Arial" w:cs="Arial" w:eastAsia="Arial" w:hAnsi="Arial"/>
                <w:sz w:val="12"/>
                <w:szCs w:val="12"/>
                <w:color w:val="auto"/>
              </w:rPr>
              <w:t>Phase 3</w:t>
            </w:r>
          </w:p>
        </w:tc>
        <w:tc>
          <w:tcPr>
            <w:tcW w:w="2920" w:type="dxa"/>
            <w:vAlign w:val="bottom"/>
          </w:tcPr>
          <w:p>
            <w:pPr>
              <w:ind w:left="500"/>
              <w:spacing w:after="0"/>
              <w:rPr>
                <w:sz w:val="20"/>
                <w:szCs w:val="20"/>
                <w:color w:val="auto"/>
              </w:rPr>
            </w:pPr>
            <w:r>
              <w:rPr>
                <w:rFonts w:ascii="Arial" w:cs="Arial" w:eastAsia="Arial" w:hAnsi="Arial"/>
                <w:sz w:val="12"/>
                <w:szCs w:val="12"/>
                <w:color w:val="auto"/>
              </w:rPr>
              <w:t>1L HNSCC</w:t>
            </w:r>
          </w:p>
        </w:tc>
        <w:tc>
          <w:tcPr>
            <w:tcW w:w="0" w:type="dxa"/>
            <w:vAlign w:val="bottom"/>
          </w:tcPr>
          <w:p>
            <w:pPr>
              <w:spacing w:after="0"/>
              <w:rPr>
                <w:sz w:val="1"/>
                <w:szCs w:val="1"/>
                <w:color w:val="auto"/>
              </w:rPr>
            </w:pPr>
          </w:p>
        </w:tc>
      </w:tr>
      <w:tr>
        <w:trPr>
          <w:trHeight w:val="189"/>
        </w:trPr>
        <w:tc>
          <w:tcPr>
            <w:tcW w:w="22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420" w:type="dxa"/>
            <w:vAlign w:val="bottom"/>
          </w:tcPr>
          <w:p>
            <w:pPr>
              <w:ind w:left="20"/>
              <w:spacing w:after="0"/>
              <w:rPr>
                <w:sz w:val="20"/>
                <w:szCs w:val="20"/>
                <w:color w:val="auto"/>
              </w:rPr>
            </w:pPr>
            <w:r>
              <w:rPr>
                <w:rFonts w:ascii="Arial" w:cs="Arial" w:eastAsia="Arial" w:hAnsi="Arial"/>
                <w:sz w:val="12"/>
                <w:szCs w:val="12"/>
                <w:color w:val="auto"/>
              </w:rPr>
              <w:t>Phase 3</w:t>
            </w:r>
          </w:p>
        </w:tc>
        <w:tc>
          <w:tcPr>
            <w:tcW w:w="2920" w:type="dxa"/>
            <w:vAlign w:val="bottom"/>
          </w:tcPr>
          <w:p>
            <w:pPr>
              <w:ind w:left="500"/>
              <w:spacing w:after="0"/>
              <w:rPr>
                <w:sz w:val="20"/>
                <w:szCs w:val="20"/>
                <w:color w:val="auto"/>
              </w:rPr>
            </w:pPr>
            <w:r>
              <w:rPr>
                <w:rFonts w:ascii="Arial" w:cs="Arial" w:eastAsia="Arial" w:hAnsi="Arial"/>
                <w:sz w:val="12"/>
                <w:szCs w:val="12"/>
                <w:color w:val="auto"/>
              </w:rPr>
              <w:t>NSCLC stage 3 unresectable</w:t>
            </w:r>
          </w:p>
        </w:tc>
        <w:tc>
          <w:tcPr>
            <w:tcW w:w="0" w:type="dxa"/>
            <w:vAlign w:val="bottom"/>
          </w:tcPr>
          <w:p>
            <w:pPr>
              <w:spacing w:after="0"/>
              <w:rPr>
                <w:sz w:val="1"/>
                <w:szCs w:val="1"/>
                <w:color w:val="auto"/>
              </w:rPr>
            </w:pPr>
          </w:p>
        </w:tc>
      </w:tr>
      <w:tr>
        <w:trPr>
          <w:trHeight w:val="315"/>
        </w:trPr>
        <w:tc>
          <w:tcPr>
            <w:tcW w:w="22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420" w:type="dxa"/>
            <w:vAlign w:val="bottom"/>
          </w:tcPr>
          <w:p>
            <w:pPr>
              <w:ind w:left="20"/>
              <w:spacing w:after="0"/>
              <w:rPr>
                <w:sz w:val="20"/>
                <w:szCs w:val="20"/>
                <w:color w:val="auto"/>
              </w:rPr>
            </w:pPr>
            <w:r>
              <w:rPr>
                <w:rFonts w:ascii="Arial" w:cs="Arial" w:eastAsia="Arial" w:hAnsi="Arial"/>
                <w:sz w:val="12"/>
                <w:szCs w:val="12"/>
                <w:color w:val="auto"/>
              </w:rPr>
              <w:t>Phase 3</w:t>
            </w:r>
          </w:p>
        </w:tc>
        <w:tc>
          <w:tcPr>
            <w:tcW w:w="2920" w:type="dxa"/>
            <w:vAlign w:val="bottom"/>
          </w:tcPr>
          <w:p>
            <w:pPr>
              <w:ind w:left="500"/>
              <w:spacing w:after="0"/>
              <w:rPr>
                <w:sz w:val="20"/>
                <w:szCs w:val="20"/>
                <w:color w:val="auto"/>
              </w:rPr>
            </w:pPr>
            <w:r>
              <w:rPr>
                <w:rFonts w:ascii="Arial" w:cs="Arial" w:eastAsia="Arial" w:hAnsi="Arial"/>
                <w:sz w:val="12"/>
                <w:szCs w:val="12"/>
                <w:color w:val="auto"/>
              </w:rPr>
              <w:t>1L NSCLC PD-L1 high</w:t>
            </w:r>
          </w:p>
        </w:tc>
        <w:tc>
          <w:tcPr>
            <w:tcW w:w="0" w:type="dxa"/>
            <w:vAlign w:val="bottom"/>
          </w:tcPr>
          <w:p>
            <w:pPr>
              <w:spacing w:after="0"/>
              <w:rPr>
                <w:sz w:val="1"/>
                <w:szCs w:val="1"/>
                <w:color w:val="auto"/>
              </w:rPr>
            </w:pPr>
          </w:p>
        </w:tc>
      </w:tr>
      <w:tr>
        <w:trPr>
          <w:trHeight w:val="151"/>
        </w:trPr>
        <w:tc>
          <w:tcPr>
            <w:tcW w:w="2260" w:type="dxa"/>
            <w:vAlign w:val="bottom"/>
          </w:tcPr>
          <w:p>
            <w:pPr>
              <w:spacing w:after="0"/>
              <w:rPr>
                <w:sz w:val="13"/>
                <w:szCs w:val="13"/>
                <w:color w:val="auto"/>
              </w:rPr>
            </w:pPr>
          </w:p>
        </w:tc>
        <w:tc>
          <w:tcPr>
            <w:tcW w:w="2240" w:type="dxa"/>
            <w:vAlign w:val="bottom"/>
            <w:tcBorders>
              <w:bottom w:val="single" w:sz="8" w:color="A6A6A6"/>
            </w:tcBorders>
          </w:tcPr>
          <w:p>
            <w:pPr>
              <w:spacing w:after="0"/>
              <w:rPr>
                <w:sz w:val="13"/>
                <w:szCs w:val="13"/>
                <w:color w:val="auto"/>
              </w:rPr>
            </w:pPr>
          </w:p>
        </w:tc>
        <w:tc>
          <w:tcPr>
            <w:tcW w:w="2460" w:type="dxa"/>
            <w:vAlign w:val="bottom"/>
            <w:tcBorders>
              <w:bottom w:val="single" w:sz="8" w:color="A6A6A6"/>
            </w:tcBorders>
          </w:tcPr>
          <w:p>
            <w:pPr>
              <w:spacing w:after="0"/>
              <w:rPr>
                <w:sz w:val="13"/>
                <w:szCs w:val="13"/>
                <w:color w:val="auto"/>
              </w:rPr>
            </w:pPr>
          </w:p>
        </w:tc>
        <w:tc>
          <w:tcPr>
            <w:tcW w:w="1420" w:type="dxa"/>
            <w:vAlign w:val="bottom"/>
            <w:tcBorders>
              <w:bottom w:val="single" w:sz="8" w:color="A6A6A6"/>
            </w:tcBorders>
          </w:tcPr>
          <w:p>
            <w:pPr>
              <w:spacing w:after="0"/>
              <w:rPr>
                <w:sz w:val="13"/>
                <w:szCs w:val="13"/>
                <w:color w:val="auto"/>
              </w:rPr>
            </w:pPr>
          </w:p>
        </w:tc>
        <w:tc>
          <w:tcPr>
            <w:tcW w:w="2920" w:type="dxa"/>
            <w:vAlign w:val="bottom"/>
            <w:tcBorders>
              <w:bottom w:val="single" w:sz="8" w:color="A6A6A6"/>
            </w:tcBorders>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26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2"/>
                <w:szCs w:val="12"/>
                <w:b w:val="1"/>
                <w:bCs w:val="1"/>
                <w:color w:val="auto"/>
              </w:rPr>
              <w:t>BNT324 /DB-1311 (B7H3-ADC)</w:t>
            </w:r>
            <w:r>
              <w:rPr>
                <w:rFonts w:ascii="Arial" w:cs="Arial" w:eastAsia="Arial" w:hAnsi="Arial"/>
                <w:sz w:val="15"/>
                <w:szCs w:val="15"/>
                <w:b w:val="1"/>
                <w:bCs w:val="1"/>
                <w:color w:val="auto"/>
                <w:vertAlign w:val="superscript"/>
              </w:rPr>
              <w:t>3</w:t>
            </w:r>
          </w:p>
        </w:tc>
        <w:tc>
          <w:tcPr>
            <w:tcW w:w="2460" w:type="dxa"/>
            <w:vAlign w:val="bottom"/>
          </w:tcPr>
          <w:p>
            <w:pPr>
              <w:ind w:left="20"/>
              <w:spacing w:after="0"/>
              <w:rPr>
                <w:sz w:val="20"/>
                <w:szCs w:val="20"/>
                <w:color w:val="auto"/>
              </w:rPr>
            </w:pPr>
            <w:r>
              <w:rPr>
                <w:rFonts w:ascii="Arial" w:cs="Arial" w:eastAsia="Arial" w:hAnsi="Arial"/>
                <w:sz w:val="12"/>
                <w:szCs w:val="12"/>
                <w:color w:val="auto"/>
              </w:rPr>
              <w:t>ADC</w:t>
            </w:r>
          </w:p>
        </w:tc>
        <w:tc>
          <w:tcPr>
            <w:tcW w:w="1420" w:type="dxa"/>
            <w:vAlign w:val="bottom"/>
          </w:tcPr>
          <w:p>
            <w:pPr>
              <w:ind w:left="20"/>
              <w:spacing w:after="0"/>
              <w:rPr>
                <w:sz w:val="20"/>
                <w:szCs w:val="20"/>
                <w:color w:val="auto"/>
              </w:rPr>
            </w:pPr>
            <w:r>
              <w:rPr>
                <w:rFonts w:ascii="Arial" w:cs="Arial" w:eastAsia="Arial" w:hAnsi="Arial"/>
                <w:sz w:val="12"/>
                <w:szCs w:val="12"/>
                <w:color w:val="auto"/>
              </w:rPr>
              <w:t>Phase 3</w:t>
            </w:r>
          </w:p>
        </w:tc>
        <w:tc>
          <w:tcPr>
            <w:tcW w:w="2920" w:type="dxa"/>
            <w:vAlign w:val="bottom"/>
          </w:tcPr>
          <w:p>
            <w:pPr>
              <w:ind w:left="500"/>
              <w:spacing w:after="0"/>
              <w:rPr>
                <w:sz w:val="20"/>
                <w:szCs w:val="20"/>
                <w:color w:val="auto"/>
              </w:rPr>
            </w:pPr>
            <w:r>
              <w:rPr>
                <w:rFonts w:ascii="Arial" w:cs="Arial" w:eastAsia="Arial" w:hAnsi="Arial"/>
                <w:sz w:val="12"/>
                <w:szCs w:val="12"/>
                <w:color w:val="auto"/>
              </w:rPr>
              <w:t>1L mCRPC</w:t>
            </w:r>
          </w:p>
        </w:tc>
        <w:tc>
          <w:tcPr>
            <w:tcW w:w="0" w:type="dxa"/>
            <w:vAlign w:val="bottom"/>
          </w:tcPr>
          <w:p>
            <w:pPr>
              <w:spacing w:after="0"/>
              <w:rPr>
                <w:sz w:val="1"/>
                <w:szCs w:val="1"/>
                <w:color w:val="auto"/>
              </w:rPr>
            </w:pPr>
          </w:p>
        </w:tc>
      </w:tr>
      <w:tr>
        <w:trPr>
          <w:trHeight w:val="82"/>
        </w:trPr>
        <w:tc>
          <w:tcPr>
            <w:tcW w:w="2260" w:type="dxa"/>
            <w:vAlign w:val="bottom"/>
            <w:tcBorders>
              <w:bottom w:val="single" w:sz="8" w:color="A6A6A6"/>
            </w:tcBorders>
          </w:tcPr>
          <w:p>
            <w:pPr>
              <w:spacing w:after="0"/>
              <w:rPr>
                <w:sz w:val="7"/>
                <w:szCs w:val="7"/>
                <w:color w:val="auto"/>
              </w:rPr>
            </w:pPr>
          </w:p>
        </w:tc>
        <w:tc>
          <w:tcPr>
            <w:tcW w:w="2240" w:type="dxa"/>
            <w:vAlign w:val="bottom"/>
            <w:tcBorders>
              <w:bottom w:val="single" w:sz="8" w:color="A6A6A6"/>
            </w:tcBorders>
          </w:tcPr>
          <w:p>
            <w:pPr>
              <w:spacing w:after="0"/>
              <w:rPr>
                <w:sz w:val="7"/>
                <w:szCs w:val="7"/>
                <w:color w:val="auto"/>
              </w:rPr>
            </w:pPr>
          </w:p>
        </w:tc>
        <w:tc>
          <w:tcPr>
            <w:tcW w:w="2460" w:type="dxa"/>
            <w:vAlign w:val="bottom"/>
            <w:tcBorders>
              <w:bottom w:val="single" w:sz="8" w:color="A6A6A6"/>
            </w:tcBorders>
          </w:tcPr>
          <w:p>
            <w:pPr>
              <w:spacing w:after="0"/>
              <w:rPr>
                <w:sz w:val="7"/>
                <w:szCs w:val="7"/>
                <w:color w:val="auto"/>
              </w:rPr>
            </w:pPr>
          </w:p>
        </w:tc>
        <w:tc>
          <w:tcPr>
            <w:tcW w:w="1420" w:type="dxa"/>
            <w:vAlign w:val="bottom"/>
            <w:tcBorders>
              <w:bottom w:val="single" w:sz="8" w:color="A6A6A6"/>
            </w:tcBorders>
          </w:tcPr>
          <w:p>
            <w:pPr>
              <w:spacing w:after="0"/>
              <w:rPr>
                <w:sz w:val="7"/>
                <w:szCs w:val="7"/>
                <w:color w:val="auto"/>
              </w:rPr>
            </w:pPr>
          </w:p>
        </w:tc>
        <w:tc>
          <w:tcPr>
            <w:tcW w:w="2920" w:type="dxa"/>
            <w:vAlign w:val="bottom"/>
            <w:tcBorders>
              <w:bottom w:val="single" w:sz="8" w:color="A6A6A6"/>
            </w:tcBorders>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260" w:type="dxa"/>
            <w:vAlign w:val="bottom"/>
            <w:tcBorders>
              <w:bottom w:val="single" w:sz="8" w:color="A6A6A6"/>
            </w:tcBorders>
          </w:tcPr>
          <w:p>
            <w:pPr>
              <w:spacing w:after="0"/>
              <w:rPr>
                <w:sz w:val="13"/>
                <w:szCs w:val="13"/>
                <w:color w:val="auto"/>
              </w:rPr>
            </w:pPr>
          </w:p>
        </w:tc>
        <w:tc>
          <w:tcPr>
            <w:tcW w:w="2240" w:type="dxa"/>
            <w:vAlign w:val="bottom"/>
            <w:tcBorders>
              <w:bottom w:val="single" w:sz="8" w:color="A6A6A6"/>
            </w:tcBorders>
          </w:tcPr>
          <w:p>
            <w:pPr>
              <w:spacing w:after="0"/>
              <w:rPr>
                <w:sz w:val="13"/>
                <w:szCs w:val="13"/>
                <w:color w:val="auto"/>
              </w:rPr>
            </w:pPr>
          </w:p>
        </w:tc>
        <w:tc>
          <w:tcPr>
            <w:tcW w:w="2460" w:type="dxa"/>
            <w:vAlign w:val="bottom"/>
            <w:tcBorders>
              <w:bottom w:val="single" w:sz="8" w:color="A6A6A6"/>
            </w:tcBorders>
          </w:tcPr>
          <w:p>
            <w:pPr>
              <w:spacing w:after="0"/>
              <w:rPr>
                <w:sz w:val="13"/>
                <w:szCs w:val="13"/>
                <w:color w:val="auto"/>
              </w:rPr>
            </w:pPr>
          </w:p>
        </w:tc>
        <w:tc>
          <w:tcPr>
            <w:tcW w:w="1420" w:type="dxa"/>
            <w:vAlign w:val="bottom"/>
            <w:tcBorders>
              <w:bottom w:val="single" w:sz="8" w:color="A6A6A6"/>
            </w:tcBorders>
          </w:tcPr>
          <w:p>
            <w:pPr>
              <w:spacing w:after="0"/>
              <w:rPr>
                <w:sz w:val="13"/>
                <w:szCs w:val="13"/>
                <w:color w:val="auto"/>
              </w:rPr>
            </w:pPr>
          </w:p>
        </w:tc>
        <w:tc>
          <w:tcPr>
            <w:tcW w:w="2920" w:type="dxa"/>
            <w:vAlign w:val="bottom"/>
            <w:tcBorders>
              <w:bottom w:val="single" w:sz="8" w:color="A6A6A6"/>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260" w:type="dxa"/>
            <w:vAlign w:val="bottom"/>
            <w:tcBorders>
              <w:bottom w:val="single" w:sz="8" w:color="A6A6A6"/>
            </w:tcBorders>
          </w:tcPr>
          <w:p>
            <w:pPr>
              <w:spacing w:after="0"/>
              <w:rPr>
                <w:sz w:val="20"/>
                <w:szCs w:val="20"/>
                <w:color w:val="auto"/>
              </w:rPr>
            </w:pPr>
            <w:r>
              <w:rPr>
                <w:rFonts w:ascii="Arial" w:cs="Arial" w:eastAsia="Arial" w:hAnsi="Arial"/>
                <w:sz w:val="12"/>
                <w:szCs w:val="12"/>
                <w:b w:val="1"/>
                <w:bCs w:val="1"/>
                <w:color w:val="auto"/>
              </w:rPr>
              <w:t>BLA Submission</w:t>
            </w:r>
          </w:p>
        </w:tc>
        <w:tc>
          <w:tcPr>
            <w:tcW w:w="2240" w:type="dxa"/>
            <w:vAlign w:val="bottom"/>
            <w:tcBorders>
              <w:bottom w:val="single" w:sz="8" w:color="A6A6A6"/>
            </w:tcBorders>
          </w:tcPr>
          <w:p>
            <w:pPr>
              <w:spacing w:after="0"/>
              <w:rPr>
                <w:sz w:val="20"/>
                <w:szCs w:val="20"/>
                <w:color w:val="auto"/>
              </w:rPr>
            </w:pPr>
            <w:r>
              <w:rPr>
                <w:rFonts w:ascii="Arial" w:cs="Arial" w:eastAsia="Arial" w:hAnsi="Arial"/>
                <w:sz w:val="12"/>
                <w:szCs w:val="12"/>
                <w:b w:val="1"/>
                <w:bCs w:val="1"/>
                <w:color w:val="auto"/>
              </w:rPr>
              <w:t>Trastuzumab pamirtecan (HER2-ADC)</w:t>
            </w:r>
            <w:r>
              <w:rPr>
                <w:rFonts w:ascii="Arial" w:cs="Arial" w:eastAsia="Arial" w:hAnsi="Arial"/>
                <w:sz w:val="15"/>
                <w:szCs w:val="15"/>
                <w:b w:val="1"/>
                <w:bCs w:val="1"/>
                <w:color w:val="auto"/>
                <w:vertAlign w:val="superscript"/>
              </w:rPr>
              <w:t>3</w:t>
            </w:r>
          </w:p>
        </w:tc>
        <w:tc>
          <w:tcPr>
            <w:tcW w:w="2460" w:type="dxa"/>
            <w:vAlign w:val="bottom"/>
            <w:tcBorders>
              <w:bottom w:val="single" w:sz="8" w:color="A6A6A6"/>
            </w:tcBorders>
          </w:tcPr>
          <w:p>
            <w:pPr>
              <w:ind w:left="20"/>
              <w:spacing w:after="0"/>
              <w:rPr>
                <w:sz w:val="20"/>
                <w:szCs w:val="20"/>
                <w:color w:val="auto"/>
              </w:rPr>
            </w:pPr>
            <w:r>
              <w:rPr>
                <w:rFonts w:ascii="Arial" w:cs="Arial" w:eastAsia="Arial" w:hAnsi="Arial"/>
                <w:sz w:val="12"/>
                <w:szCs w:val="12"/>
                <w:color w:val="auto"/>
              </w:rPr>
              <w:t>ADC</w:t>
            </w:r>
          </w:p>
        </w:tc>
        <w:tc>
          <w:tcPr>
            <w:tcW w:w="1420" w:type="dxa"/>
            <w:vAlign w:val="bottom"/>
            <w:tcBorders>
              <w:bottom w:val="single" w:sz="8" w:color="A6A6A6"/>
            </w:tcBorders>
          </w:tcPr>
          <w:p>
            <w:pPr>
              <w:ind w:left="20"/>
              <w:spacing w:after="0"/>
              <w:rPr>
                <w:sz w:val="20"/>
                <w:szCs w:val="20"/>
                <w:color w:val="auto"/>
              </w:rPr>
            </w:pPr>
            <w:r>
              <w:rPr>
                <w:rFonts w:ascii="Arial" w:cs="Arial" w:eastAsia="Arial" w:hAnsi="Arial"/>
                <w:sz w:val="12"/>
                <w:szCs w:val="12"/>
                <w:color w:val="auto"/>
              </w:rPr>
              <w:t>-</w:t>
            </w:r>
          </w:p>
        </w:tc>
        <w:tc>
          <w:tcPr>
            <w:tcW w:w="2920" w:type="dxa"/>
            <w:vAlign w:val="bottom"/>
            <w:tcBorders>
              <w:bottom w:val="single" w:sz="8" w:color="A6A6A6"/>
            </w:tcBorders>
          </w:tcPr>
          <w:p>
            <w:pPr>
              <w:ind w:left="500"/>
              <w:spacing w:after="0"/>
              <w:rPr>
                <w:sz w:val="20"/>
                <w:szCs w:val="20"/>
                <w:color w:val="auto"/>
              </w:rPr>
            </w:pPr>
            <w:r>
              <w:rPr>
                <w:rFonts w:ascii="Arial" w:cs="Arial" w:eastAsia="Arial" w:hAnsi="Arial"/>
                <w:sz w:val="12"/>
                <w:szCs w:val="12"/>
                <w:color w:val="auto"/>
              </w:rPr>
              <w:t>2L+ HER2-expressing endometrial cancer</w:t>
            </w:r>
          </w:p>
        </w:tc>
        <w:tc>
          <w:tcPr>
            <w:tcW w:w="0" w:type="dxa"/>
            <w:vAlign w:val="bottom"/>
          </w:tcPr>
          <w:p>
            <w:pPr>
              <w:spacing w:after="0"/>
              <w:rPr>
                <w:sz w:val="1"/>
                <w:szCs w:val="1"/>
                <w:color w:val="auto"/>
              </w:rPr>
            </w:pPr>
          </w:p>
        </w:tc>
      </w:tr>
      <w:tr>
        <w:trPr>
          <w:trHeight w:val="217"/>
        </w:trPr>
        <w:tc>
          <w:tcPr>
            <w:tcW w:w="6960" w:type="dxa"/>
            <w:vAlign w:val="bottom"/>
            <w:gridSpan w:val="3"/>
          </w:tcPr>
          <w:p>
            <w:pPr>
              <w:spacing w:after="0"/>
              <w:rPr>
                <w:sz w:val="20"/>
                <w:szCs w:val="20"/>
                <w:color w:val="auto"/>
              </w:rPr>
            </w:pPr>
            <w:r>
              <w:rPr>
                <w:rFonts w:ascii="Arial" w:cs="Arial" w:eastAsia="Arial" w:hAnsi="Arial"/>
                <w:sz w:val="10"/>
                <w:szCs w:val="10"/>
                <w:color w:val="auto"/>
              </w:rPr>
              <w:t>Partnered with: 1. BMS; 2. OncoC4; 3. DualityBio; 4. MediLink Therapeutics (Suzhou) Co., Ltd. (“MediLink").</w:t>
            </w:r>
          </w:p>
        </w:tc>
        <w:tc>
          <w:tcPr>
            <w:tcW w:w="14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3035"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23035" cy="15430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color w:val="auto"/>
        </w:rPr>
        <w:t>Upcoming Investor and Analyst Events</w:t>
      </w:r>
    </w:p>
    <w:p>
      <w:pPr>
        <w:spacing w:after="0" w:line="177" w:lineRule="exact"/>
        <w:rPr>
          <w:sz w:val="20"/>
          <w:szCs w:val="20"/>
          <w:color w:val="auto"/>
        </w:rPr>
      </w:pPr>
    </w:p>
    <w:p>
      <w:pPr>
        <w:ind w:left="200" w:hanging="154"/>
        <w:spacing w:after="0"/>
        <w:tabs>
          <w:tab w:leader="none" w:pos="2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BioNTech First Quarter 2026 Financial Results and Corporate Update: May 5, 2026</w:t>
      </w:r>
    </w:p>
    <w:p>
      <w:pPr>
        <w:spacing w:after="0" w:line="18" w:lineRule="exact"/>
        <w:rPr>
          <w:rFonts w:ascii="Arial" w:cs="Arial" w:eastAsia="Arial" w:hAnsi="Arial"/>
          <w:sz w:val="12"/>
          <w:szCs w:val="12"/>
          <w:color w:val="auto"/>
        </w:rPr>
      </w:pPr>
    </w:p>
    <w:p>
      <w:pPr>
        <w:ind w:left="200" w:hanging="154"/>
        <w:spacing w:after="0"/>
        <w:tabs>
          <w:tab w:leader="none" w:pos="2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BioNTech Annual General Meeting: May 15, 2026</w:t>
      </w: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300"/>
          </w:cols>
          <w:pgMar w:left="300" w:top="1173" w:right="299" w:bottom="1440" w:gutter="0" w:footer="0" w:header="0"/>
        </w:sectPr>
      </w:pPr>
    </w:p>
    <w:bookmarkStart w:id="12" w:name="page13"/>
    <w:bookmarkEnd w:id="12"/>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303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23035" cy="154305"/>
                    </a:xfrm>
                    <a:prstGeom prst="rect">
                      <a:avLst/>
                    </a:prstGeom>
                    <a:noFill/>
                  </pic:spPr>
                </pic:pic>
              </a:graphicData>
            </a:graphic>
          </wp:anchor>
        </w:drawing>
        <w:t>Conference Call and Webcast Information</w:t>
      </w:r>
    </w:p>
    <w:p>
      <w:pPr>
        <w:spacing w:after="0" w:line="27" w:lineRule="exact"/>
        <w:rPr>
          <w:sz w:val="20"/>
          <w:szCs w:val="20"/>
          <w:color w:val="auto"/>
        </w:rPr>
      </w:pPr>
    </w:p>
    <w:p>
      <w:pPr>
        <w:jc w:val="both"/>
        <w:ind w:right="20"/>
        <w:spacing w:after="0" w:line="281" w:lineRule="auto"/>
        <w:rPr>
          <w:sz w:val="20"/>
          <w:szCs w:val="20"/>
          <w:color w:val="auto"/>
        </w:rPr>
      </w:pPr>
      <w:r>
        <w:rPr>
          <w:rFonts w:ascii="Arial" w:cs="Arial" w:eastAsia="Arial" w:hAnsi="Arial"/>
          <w:sz w:val="12"/>
          <w:szCs w:val="12"/>
          <w:color w:val="auto"/>
        </w:rPr>
        <w:t>BioNTech invites investors and the general public to join a conference call and webcast with investment analysts today, March 10, 2026, at 8:00 a.m. EDT (1:00 p.m. CET) to report its financial results and provide a corporate update for the fourth quarter and full year 2025.</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To access the live conference call via telephone, please register </w:t>
      </w:r>
      <w:r>
        <w:rPr>
          <w:rFonts w:ascii="Arial" w:cs="Arial" w:eastAsia="Arial" w:hAnsi="Arial"/>
          <w:sz w:val="12"/>
          <w:szCs w:val="12"/>
          <w:u w:val="single" w:color="auto"/>
          <w:color w:val="auto"/>
        </w:rPr>
        <w:t>via this link</w:t>
      </w:r>
      <w:r>
        <w:rPr>
          <w:rFonts w:ascii="Arial" w:cs="Arial" w:eastAsia="Arial" w:hAnsi="Arial"/>
          <w:sz w:val="12"/>
          <w:szCs w:val="12"/>
          <w:color w:val="auto"/>
        </w:rPr>
        <w:t>. Once registered, dial-in numbers and a PIN number will be provided.</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The slide presentation and audio of the webcast will be available </w:t>
      </w:r>
      <w:r>
        <w:rPr>
          <w:rFonts w:ascii="Arial" w:cs="Arial" w:eastAsia="Arial" w:hAnsi="Arial"/>
          <w:sz w:val="12"/>
          <w:szCs w:val="12"/>
          <w:u w:val="single" w:color="auto"/>
          <w:color w:val="auto"/>
        </w:rPr>
        <w:t>via this link</w:t>
      </w:r>
      <w:r>
        <w:rPr>
          <w:rFonts w:ascii="Arial" w:cs="Arial" w:eastAsia="Arial" w:hAnsi="Arial"/>
          <w:sz w:val="12"/>
          <w:szCs w:val="12"/>
          <w:color w:val="auto"/>
        </w:rPr>
        <w:t>.</w:t>
      </w:r>
    </w:p>
    <w:p>
      <w:pPr>
        <w:spacing w:after="0" w:line="168" w:lineRule="exact"/>
        <w:rPr>
          <w:sz w:val="20"/>
          <w:szCs w:val="20"/>
          <w:color w:val="auto"/>
        </w:rPr>
      </w:pPr>
    </w:p>
    <w:p>
      <w:pPr>
        <w:jc w:val="both"/>
        <w:ind w:right="20"/>
        <w:spacing w:after="0" w:line="301" w:lineRule="auto"/>
        <w:rPr>
          <w:sz w:val="20"/>
          <w:szCs w:val="20"/>
          <w:color w:val="auto"/>
        </w:rPr>
      </w:pPr>
      <w:r>
        <w:rPr>
          <w:rFonts w:ascii="Arial" w:cs="Arial" w:eastAsia="Arial" w:hAnsi="Arial"/>
          <w:sz w:val="12"/>
          <w:szCs w:val="12"/>
          <w:color w:val="auto"/>
        </w:rPr>
        <w:t xml:space="preserve">Participants may also access the slides and the webcast of the conference call via the “Events &amp; Presentations” page of the Investor section of the Company’s website at </w:t>
      </w:r>
      <w:r>
        <w:rPr>
          <w:rFonts w:ascii="Arial" w:cs="Arial" w:eastAsia="Arial" w:hAnsi="Arial"/>
          <w:sz w:val="12"/>
          <w:szCs w:val="12"/>
          <w:u w:val="single" w:color="auto"/>
          <w:color w:val="auto"/>
        </w:rPr>
        <w:t>www.BioNTech.com</w:t>
      </w:r>
      <w:r>
        <w:rPr>
          <w:rFonts w:ascii="Arial" w:cs="Arial" w:eastAsia="Arial" w:hAnsi="Arial"/>
          <w:sz w:val="12"/>
          <w:szCs w:val="12"/>
          <w:color w:val="auto"/>
        </w:rPr>
        <w:t>. A replay of the webcast will be made available shortly after the closing of the call and archived on the Company’s website for 30 days following the call.</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BioNTech</w:t>
      </w:r>
    </w:p>
    <w:p>
      <w:pPr>
        <w:spacing w:after="0" w:line="18"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Biopharmaceutical New Technologies (BioNTech) is a global next generation immunotherapy company pioneering novel investigative therapies for cancer and other serious diseases. BioNTech exploits a wide array of computational discovery and therapeutic modalities with the intent of rapid development of novel biopharmaceuticals. Its diversified portfolio of oncology product candidates aiming to address the full continuum of cancer includes mRNA cancer immunotherapies, next-generation immunomodulators and targeted therapies such as antibody-drug conjugates (ADCs) and innovative chimeric antigen receptor (CAR) T cell therapies. Based on its deep expertise in mRNA development and in-house manufacturing capabilities, BioNTech and its collaborators are researching and developing multiple mRNA vaccine candidates for a range of infectious diseases alongside its diverse oncology pipeline. BioNTech has established a broad set of relationships with multiple global and specialized pharmaceutical collaborators, including Bristol Myers Squibb, Duality Biologics, Genentech, a member of the Roche Group, Genmab, MediLink, OncoC4, Pfizer and Regeneron.</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For more information, please visit </w:t>
      </w:r>
      <w:r>
        <w:rPr>
          <w:rFonts w:ascii="Arial" w:cs="Arial" w:eastAsia="Arial" w:hAnsi="Arial"/>
          <w:sz w:val="12"/>
          <w:szCs w:val="12"/>
          <w:u w:val="single" w:color="auto"/>
          <w:color w:val="auto"/>
        </w:rPr>
        <w:t>www.BioNTech.com</w:t>
      </w:r>
      <w:r>
        <w:rPr>
          <w:rFonts w:ascii="Arial" w:cs="Arial" w:eastAsia="Arial" w:hAnsi="Arial"/>
          <w:sz w:val="12"/>
          <w:szCs w:val="12"/>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27"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This press release contains forward-looking statements within the meaning of the Private Securities Litigation Reform Act of 1995, as amended, including, but not limited to, statements concerning: expected changes to BioNTech’s leadership and the transition of responsibilities at the Management Board, including identification and recruitment of successors; the terms of the preliminary discussions between BioNTech and the co-founders regarding the potential contribution of certain BioNTech assets to an independent company; BioNTech’s expected revenues and net profit/(loss) related to sales of BioNTech’s COVID-19 vaccine in territories controlled by BioNTech’s collaboration partners, particularly for those figures that are derived from preliminary estimates provided by BioNTech’s partners; the rate and degree of market acceptance of BioNTech’s COVID-19 vaccine and, if approved, BioNTech’s investigational medicines; expectations regarding anticipated changes in COVID-19 vaccine demand; the initiation, timing, progress, results, and cost of BioNTech’s research and development programs, including BioNTech’s current and future preclinical studies and clinical trials, including statements regarding the expected timing of initiation, enrollment, and completion of studies or clinical trials and related preparatory work and the availability of results, and the timing and outcome of applications for regulatory approvals and marketing authorizations; BioNTech’s expectations regarding potential future commercialization in oncology, including goals regarding timing and indications; the targeted timing and number of additional potentially registrational clinical trials, and the registrational potential of any clinical trial BioNTech may initiate; discussions with regulatory agencies; BioNTech’s expectations with respect to intellectual property; the impact of BioNTech’s collaboration and licensing agreements, including BioNTech’s partnership with Bristol Myers Squibb; BioNTech’s expectations with respect to developments in law, public policy, and</w:t>
      </w:r>
    </w:p>
    <w:p>
      <w:pPr>
        <w:spacing w:after="0" w:line="200" w:lineRule="exact"/>
        <w:rPr>
          <w:sz w:val="20"/>
          <w:szCs w:val="20"/>
          <w:color w:val="auto"/>
        </w:rPr>
      </w:pPr>
    </w:p>
    <w:p>
      <w:pPr>
        <w:spacing w:after="0" w:line="325" w:lineRule="exact"/>
        <w:rPr>
          <w:sz w:val="20"/>
          <w:szCs w:val="20"/>
          <w:color w:val="auto"/>
        </w:rPr>
      </w:pPr>
    </w:p>
    <w:p>
      <w:pPr>
        <w:ind w:left="11220"/>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300"/>
          </w:cols>
          <w:pgMar w:left="300" w:top="1324" w:right="299" w:bottom="1440" w:gutter="0" w:footer="0" w:header="0"/>
        </w:sectPr>
      </w:pPr>
    </w:p>
    <w:bookmarkStart w:id="13" w:name="page14"/>
    <w:bookmarkEnd w:id="13"/>
    <w:p>
      <w:pPr>
        <w:jc w:val="both"/>
        <w:spacing w:after="0" w:line="27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3035"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423035" cy="154305"/>
                    </a:xfrm>
                    <a:prstGeom prst="rect">
                      <a:avLst/>
                    </a:prstGeom>
                    <a:noFill/>
                  </pic:spPr>
                </pic:pic>
              </a:graphicData>
            </a:graphic>
          </wp:anchor>
        </w:drawing>
        <w:t>international trade; BioNTech’s estimates of revenues, research and development expenses, selling, general and administrative expenses and capital expenditures for operating activities; BioNTech’s expectations for upcoming scientific and investor presentations; and BioNTech’s expectations of net profit/(loss).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w:t>
      </w:r>
    </w:p>
    <w:p>
      <w:pPr>
        <w:spacing w:after="0" w:line="13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forward-looking statements in this press release are based on BioNTech’s current expectations and beliefs of future events, and are neither promises nor guarantees. You should not place undue reliance on these forward-looking statements because they involve known and unknown risks, uncertainties, and other factors, many of which are beyond BioNTech’s control and which could cause actual results to differ materially and adversely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projected data release timelines, regulatory submission dates, regulatory approval dates and/or launch dates, as well as risks associated with preclinical and clinical data, including the data discussed in this release, and including the possibility of unfavorable new preclinical, clinical or safety data and further analyses of existing preclinical, clinical or safety data; the nature of the clinical data, which is subject to ongoing peer review, regulatory review and market interpretation; BioNTech’s pricing and coverage negotiations with governmental authorities, private health insurers and other third-party payors; the future commercial demand and medical need for initial or annual booster doses of a COVID-19 vaccine; the impact of tariffs and escalations in trade policy; competition from other COVID-19 vaccines or related to BioNTech’s other product candidates; the timing of and BioNTech’s ability to obtain and maintain regulatory approval for its product candidates; the ability of BioNTech’s COVID-19 vaccines to prevent COVID-19 caused by emerging virus variants; BioNTech’s ability to identify research opportunities and discover and develop investigational medicines; the ability and willingness of BioNTech’s third-party collaborators to continue research and development activities relating to BioNTech's development candidates and investigational medicines; unforeseen safety issues and potential claims that are alleged to arise from the use of products and product candidates developed or manufactured by BioNTech; BioNTech’s and its collaborators’ ability to commercialize and market its product candidates, if approved; BioNTech’s ability to manage its development and related expenses; regulatory and political developments; BioNTech’s ability to effectively scale its production capabilities and manufacture its products and product candidates; risks relating to the global financial system and markets; and other factors not known to BioNTech at this time.</w:t>
      </w:r>
    </w:p>
    <w:p>
      <w:pPr>
        <w:spacing w:after="0" w:line="140" w:lineRule="exact"/>
        <w:rPr>
          <w:sz w:val="20"/>
          <w:szCs w:val="20"/>
          <w:color w:val="auto"/>
        </w:rPr>
      </w:pPr>
    </w:p>
    <w:p>
      <w:pPr>
        <w:jc w:val="both"/>
        <w:ind w:right="20"/>
        <w:spacing w:after="0" w:line="284" w:lineRule="auto"/>
        <w:rPr>
          <w:sz w:val="20"/>
          <w:szCs w:val="20"/>
          <w:color w:val="auto"/>
        </w:rPr>
      </w:pPr>
      <w:r>
        <w:rPr>
          <w:rFonts w:ascii="Arial" w:cs="Arial" w:eastAsia="Arial" w:hAnsi="Arial"/>
          <w:sz w:val="12"/>
          <w:szCs w:val="12"/>
          <w:color w:val="auto"/>
        </w:rPr>
        <w:t>You should review the risks and uncertainties described under the heading “Risk Factors” in BioNTech’s Annual Report on Form 20-F for the period ended December 31, 2025 and in subsequent filings made by BioNTech with the SEC, which are available on the SEC’s website at www.sec.gov. These forward-looking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300"/>
          </w:cols>
          <w:pgMar w:left="300" w:top="1162" w:right="299" w:bottom="1440" w:gutter="0" w:footer="0" w:header="0"/>
        </w:sectPr>
      </w:pPr>
    </w:p>
    <w:bookmarkStart w:id="14" w:name="page15"/>
    <w:bookmarkEnd w:id="14"/>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303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23035" cy="154305"/>
                    </a:xfrm>
                    <a:prstGeom prst="rect">
                      <a:avLst/>
                    </a:prstGeom>
                    <a:noFill/>
                  </pic:spPr>
                </pic:pic>
              </a:graphicData>
            </a:graphic>
          </wp:anchor>
        </w:drawing>
        <w:t>CONTACTS</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Douglas Maffei, PhD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Investors@biontech.de</w:t>
      </w:r>
    </w:p>
    <w:p>
      <w:pPr>
        <w:spacing w:after="0" w:line="1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Media Relations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Jasmina Alatovic</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Media@biontech.de</w:t>
      </w:r>
    </w:p>
    <w:p>
      <w:pPr>
        <w:spacing w:after="0" w:line="33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Abbreviation Overview</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42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1L</w:t>
            </w:r>
          </w:p>
        </w:tc>
        <w:tc>
          <w:tcPr>
            <w:tcW w:w="7020" w:type="dxa"/>
            <w:vAlign w:val="bottom"/>
            <w:tcBorders>
              <w:top w:val="single" w:sz="8" w:color="auto"/>
              <w:right w:val="single" w:sz="8" w:color="auto"/>
            </w:tcBorders>
          </w:tcPr>
          <w:p>
            <w:pPr>
              <w:spacing w:after="0"/>
              <w:rPr>
                <w:sz w:val="20"/>
                <w:szCs w:val="20"/>
                <w:color w:val="auto"/>
              </w:rPr>
            </w:pPr>
            <w:r>
              <w:rPr>
                <w:rFonts w:ascii="Arial" w:cs="Arial" w:eastAsia="Arial" w:hAnsi="Arial"/>
                <w:sz w:val="12"/>
                <w:szCs w:val="12"/>
                <w:color w:val="auto"/>
              </w:rPr>
              <w:t>First line</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2L</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Second line</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adj.</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Adjuvant</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B7H3</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B7 homologue B3</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(MSS-)CRC</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(Microsatellite stable-) colorectal cancer</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ctDNA</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Circulating tumor DNA</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CTLA-4</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Cytotoxic T-lymphocyte-associated protein</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ES-SCLC</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Extensive-stage small cell lung cancer</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GBM</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Glioblastoma</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HCC</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Hepatocellular carcinoma</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HER2 (or HER3)</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Human epidermal growth factor receptor 2 (or 3)</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HNSCC</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Head and neck squamous cell carcinoma</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HPV16</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Human papilloma virus 16</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HR</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Hormone receptor</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IHC3+, 2+, 1+</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Immunohistochemistry score 1+ (or 2+ or 3+)</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ISH-positive</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i w:val="1"/>
                <w:iCs w:val="1"/>
                <w:color w:val="auto"/>
              </w:rPr>
              <w:t xml:space="preserve">In-situ </w:t>
            </w:r>
            <w:r>
              <w:rPr>
                <w:rFonts w:ascii="Arial" w:cs="Arial" w:eastAsia="Arial" w:hAnsi="Arial"/>
                <w:sz w:val="12"/>
                <w:szCs w:val="12"/>
                <w:color w:val="auto"/>
              </w:rPr>
              <w:t>hybridization positive</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mCRPC</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Metastatic castration resistant prostate cancer</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RCC</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Renal cell carcinoma</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(sq) NSCLC</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(Squamous) non-small cell lung cancer</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PDAC</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Pancreatic ductal adenocarcinoma</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PD-(L)1</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Programmed cell death protein (death-ligand) 1</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TNBC</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Triple-negative breast cancer</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TROP2</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Trophoblast cell-surface antigen 2</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VEGF-A</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Vascular endothelial growth factor A</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300"/>
          </w:cols>
          <w:pgMar w:left="300" w:top="1162" w:right="29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303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423035" cy="154305"/>
                    </a:xfrm>
                    <a:prstGeom prst="rect">
                      <a:avLst/>
                    </a:prstGeom>
                    <a:noFill/>
                  </pic:spPr>
                </pic:pic>
              </a:graphicData>
            </a:graphic>
          </wp:anchor>
        </w:drawing>
        <w:t>Consolidated Statements of Profit or Loss (IFRS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166610"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6610" cy="11430"/>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5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4"/>
          </w:tcPr>
          <w:p>
            <w:pPr>
              <w:jc w:val="center"/>
              <w:ind w:left="666"/>
              <w:spacing w:after="0"/>
              <w:rPr>
                <w:sz w:val="20"/>
                <w:szCs w:val="20"/>
                <w:color w:val="auto"/>
              </w:rPr>
            </w:pPr>
            <w:r>
              <w:rPr>
                <w:rFonts w:ascii="Arial" w:cs="Arial" w:eastAsia="Arial" w:hAnsi="Arial"/>
                <w:sz w:val="11"/>
                <w:szCs w:val="11"/>
                <w:b w:val="1"/>
                <w:bCs w:val="1"/>
                <w:color w:val="005A64"/>
                <w:w w:val="97"/>
              </w:rPr>
              <w:t>Three months ended</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4"/>
          </w:tcPr>
          <w:p>
            <w:pPr>
              <w:jc w:val="center"/>
              <w:ind w:left="686"/>
              <w:spacing w:after="0"/>
              <w:rPr>
                <w:sz w:val="20"/>
                <w:szCs w:val="20"/>
                <w:color w:val="auto"/>
              </w:rPr>
            </w:pPr>
            <w:r>
              <w:rPr>
                <w:rFonts w:ascii="Arial" w:cs="Arial" w:eastAsia="Arial" w:hAnsi="Arial"/>
                <w:sz w:val="11"/>
                <w:szCs w:val="11"/>
                <w:b w:val="1"/>
                <w:bCs w:val="1"/>
                <w:color w:val="005A64"/>
                <w:w w:val="97"/>
              </w:rPr>
              <w:t>Years ended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gridSpan w:val="4"/>
          </w:tcPr>
          <w:p>
            <w:pPr>
              <w:jc w:val="center"/>
              <w:ind w:left="666"/>
              <w:spacing w:after="0"/>
              <w:rPr>
                <w:sz w:val="20"/>
                <w:szCs w:val="20"/>
                <w:color w:val="auto"/>
              </w:rPr>
            </w:pPr>
            <w:r>
              <w:rPr>
                <w:rFonts w:ascii="Arial" w:cs="Arial" w:eastAsia="Arial" w:hAnsi="Arial"/>
                <w:sz w:val="11"/>
                <w:szCs w:val="11"/>
                <w:b w:val="1"/>
                <w:bCs w:val="1"/>
                <w:color w:val="005A64"/>
                <w:w w:val="97"/>
              </w:rPr>
              <w:t>December 31,</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20" w:type="dxa"/>
            <w:vAlign w:val="bottom"/>
            <w:gridSpan w:val="4"/>
          </w:tcPr>
          <w:p>
            <w:pPr>
              <w:jc w:val="center"/>
              <w:ind w:left="686"/>
              <w:spacing w:after="0"/>
              <w:rPr>
                <w:sz w:val="20"/>
                <w:szCs w:val="20"/>
                <w:color w:val="auto"/>
              </w:rPr>
            </w:pPr>
            <w:r>
              <w:rPr>
                <w:rFonts w:ascii="Arial" w:cs="Arial" w:eastAsia="Arial" w:hAnsi="Arial"/>
                <w:sz w:val="11"/>
                <w:szCs w:val="11"/>
                <w:b w:val="1"/>
                <w:bCs w:val="1"/>
                <w:color w:val="005A64"/>
              </w:rPr>
              <w:t>December 31,</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bottom w:val="single" w:sz="8" w:color="BECE33"/>
            </w:tcBorders>
            <w:gridSpan w:val="2"/>
          </w:tcPr>
          <w:p>
            <w:pPr>
              <w:spacing w:after="0"/>
              <w:rPr>
                <w:sz w:val="15"/>
                <w:szCs w:val="15"/>
                <w:color w:val="auto"/>
              </w:rPr>
            </w:pPr>
          </w:p>
        </w:tc>
        <w:tc>
          <w:tcPr>
            <w:tcW w:w="100" w:type="dxa"/>
            <w:vAlign w:val="bottom"/>
            <w:tcBorders>
              <w:bottom w:val="single" w:sz="8" w:color="BECE33"/>
            </w:tcBorders>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b w:val="1"/>
                <w:bCs w:val="1"/>
                <w:color w:val="005A64"/>
              </w:rPr>
              <w:t>2024</w:t>
            </w:r>
          </w:p>
        </w:tc>
        <w:tc>
          <w:tcPr>
            <w:tcW w:w="100" w:type="dxa"/>
            <w:vAlign w:val="bottom"/>
          </w:tcPr>
          <w:p>
            <w:pPr>
              <w:spacing w:after="0"/>
              <w:rPr>
                <w:sz w:val="15"/>
                <w:szCs w:val="15"/>
                <w:color w:val="auto"/>
              </w:rPr>
            </w:pPr>
          </w:p>
        </w:tc>
        <w:tc>
          <w:tcPr>
            <w:tcW w:w="1360" w:type="dxa"/>
            <w:vAlign w:val="bottom"/>
            <w:tcBorders>
              <w:bottom w:val="single" w:sz="8" w:color="BECE33"/>
            </w:tcBorders>
            <w:gridSpan w:val="2"/>
          </w:tcPr>
          <w:p>
            <w:pPr>
              <w:spacing w:after="0"/>
              <w:rPr>
                <w:sz w:val="15"/>
                <w:szCs w:val="15"/>
                <w:color w:val="auto"/>
              </w:rPr>
            </w:pPr>
          </w:p>
        </w:tc>
        <w:tc>
          <w:tcPr>
            <w:tcW w:w="100" w:type="dxa"/>
            <w:vAlign w:val="bottom"/>
            <w:tcBorders>
              <w:bottom w:val="single" w:sz="8" w:color="BECE33"/>
            </w:tcBorders>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b w:val="1"/>
                <w:bCs w:val="1"/>
                <w:color w:val="005A64"/>
              </w:rPr>
              <w:t>2024</w:t>
            </w:r>
          </w:p>
        </w:tc>
        <w:tc>
          <w:tcPr>
            <w:tcW w:w="0" w:type="dxa"/>
            <w:vAlign w:val="bottom"/>
          </w:tcPr>
          <w:p>
            <w:pPr>
              <w:spacing w:after="0"/>
              <w:rPr>
                <w:sz w:val="1"/>
                <w:szCs w:val="1"/>
                <w:color w:val="auto"/>
              </w:rPr>
            </w:pPr>
          </w:p>
        </w:tc>
      </w:tr>
      <w:tr>
        <w:trPr>
          <w:trHeight w:val="146"/>
        </w:trPr>
        <w:tc>
          <w:tcPr>
            <w:tcW w:w="5440" w:type="dxa"/>
            <w:vAlign w:val="bottom"/>
          </w:tcPr>
          <w:p>
            <w:pPr>
              <w:spacing w:after="0"/>
              <w:rPr>
                <w:sz w:val="12"/>
                <w:szCs w:val="12"/>
                <w:color w:val="auto"/>
              </w:rPr>
            </w:pPr>
          </w:p>
        </w:tc>
        <w:tc>
          <w:tcPr>
            <w:tcW w:w="100" w:type="dxa"/>
            <w:vAlign w:val="bottom"/>
            <w:tcBorders>
              <w:right w:val="single" w:sz="8" w:color="BECD32"/>
            </w:tcBorders>
          </w:tcPr>
          <w:p>
            <w:pPr>
              <w:spacing w:after="0"/>
              <w:rPr>
                <w:sz w:val="12"/>
                <w:szCs w:val="12"/>
                <w:color w:val="auto"/>
              </w:rPr>
            </w:pPr>
          </w:p>
        </w:tc>
        <w:tc>
          <w:tcPr>
            <w:tcW w:w="1360" w:type="dxa"/>
            <w:vAlign w:val="bottom"/>
            <w:gridSpan w:val="2"/>
          </w:tcPr>
          <w:p>
            <w:pPr>
              <w:jc w:val="right"/>
              <w:spacing w:after="0"/>
              <w:rPr>
                <w:sz w:val="20"/>
                <w:szCs w:val="20"/>
                <w:color w:val="auto"/>
              </w:rPr>
            </w:pPr>
            <w:r>
              <w:rPr>
                <w:rFonts w:ascii="Arial" w:cs="Arial" w:eastAsia="Arial" w:hAnsi="Arial"/>
                <w:sz w:val="11"/>
                <w:szCs w:val="11"/>
                <w:b w:val="1"/>
                <w:bCs w:val="1"/>
                <w:color w:val="005A64"/>
              </w:rPr>
              <w:t>2025</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Borders>
              <w:right w:val="single" w:sz="8" w:color="BECD32"/>
            </w:tcBorders>
          </w:tcPr>
          <w:p>
            <w:pPr>
              <w:spacing w:after="0"/>
              <w:rPr>
                <w:sz w:val="12"/>
                <w:szCs w:val="12"/>
                <w:color w:val="auto"/>
              </w:rPr>
            </w:pPr>
          </w:p>
        </w:tc>
        <w:tc>
          <w:tcPr>
            <w:tcW w:w="1360" w:type="dxa"/>
            <w:vAlign w:val="bottom"/>
            <w:gridSpan w:val="2"/>
          </w:tcPr>
          <w:p>
            <w:pPr>
              <w:jc w:val="right"/>
              <w:spacing w:after="0"/>
              <w:rPr>
                <w:sz w:val="20"/>
                <w:szCs w:val="20"/>
                <w:color w:val="auto"/>
              </w:rPr>
            </w:pPr>
            <w:r>
              <w:rPr>
                <w:rFonts w:ascii="Arial" w:cs="Arial" w:eastAsia="Arial" w:hAnsi="Arial"/>
                <w:sz w:val="11"/>
                <w:szCs w:val="11"/>
                <w:b w:val="1"/>
                <w:bCs w:val="1"/>
                <w:color w:val="005A64"/>
              </w:rPr>
              <w:t>2025</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540" w:type="dxa"/>
            <w:vAlign w:val="bottom"/>
            <w:tcBorders>
              <w:right w:val="single" w:sz="8" w:color="BECD32"/>
            </w:tcBorders>
            <w:gridSpan w:val="2"/>
          </w:tcPr>
          <w:p>
            <w:pPr>
              <w:spacing w:after="0"/>
              <w:rPr>
                <w:sz w:val="20"/>
                <w:szCs w:val="20"/>
                <w:color w:val="auto"/>
              </w:rPr>
            </w:pPr>
            <w:r>
              <w:rPr>
                <w:rFonts w:ascii="Arial" w:cs="Arial" w:eastAsia="Arial" w:hAnsi="Arial"/>
                <w:sz w:val="11"/>
                <w:szCs w:val="11"/>
                <w:i w:val="1"/>
                <w:iCs w:val="1"/>
                <w:color w:val="005A64"/>
              </w:rPr>
              <w:t>(in millions €, except per share data)</w:t>
            </w:r>
          </w:p>
        </w:tc>
        <w:tc>
          <w:tcPr>
            <w:tcW w:w="60" w:type="dxa"/>
            <w:vAlign w:val="bottom"/>
          </w:tcPr>
          <w:p>
            <w:pPr>
              <w:spacing w:after="0"/>
              <w:rPr>
                <w:sz w:val="15"/>
                <w:szCs w:val="15"/>
                <w:color w:val="auto"/>
              </w:rPr>
            </w:pPr>
          </w:p>
        </w:tc>
        <w:tc>
          <w:tcPr>
            <w:tcW w:w="1400" w:type="dxa"/>
            <w:vAlign w:val="bottom"/>
            <w:tcBorders>
              <w:right w:val="single" w:sz="8" w:color="BECD32"/>
            </w:tcBorders>
            <w:gridSpan w:val="2"/>
          </w:tcPr>
          <w:p>
            <w:pPr>
              <w:ind w:left="740"/>
              <w:spacing w:after="0"/>
              <w:rPr>
                <w:sz w:val="20"/>
                <w:szCs w:val="20"/>
                <w:color w:val="auto"/>
              </w:rPr>
            </w:pPr>
            <w:r>
              <w:rPr>
                <w:rFonts w:ascii="Arial" w:cs="Arial" w:eastAsia="Arial" w:hAnsi="Arial"/>
                <w:sz w:val="11"/>
                <w:szCs w:val="11"/>
                <w:i w:val="1"/>
                <w:iCs w:val="1"/>
                <w:color w:val="005A64"/>
              </w:rPr>
              <w:t>(unaudited)</w:t>
            </w:r>
          </w:p>
        </w:tc>
        <w:tc>
          <w:tcPr>
            <w:tcW w:w="660" w:type="dxa"/>
            <w:vAlign w:val="bottom"/>
            <w:gridSpan w:val="2"/>
          </w:tcPr>
          <w:p>
            <w:pPr>
              <w:spacing w:after="0"/>
              <w:rPr>
                <w:sz w:val="15"/>
                <w:szCs w:val="15"/>
                <w:color w:val="auto"/>
              </w:rPr>
            </w:pPr>
          </w:p>
        </w:tc>
        <w:tc>
          <w:tcPr>
            <w:tcW w:w="800" w:type="dxa"/>
            <w:vAlign w:val="bottom"/>
            <w:tcBorders>
              <w:right w:val="single" w:sz="8" w:color="BECD32"/>
            </w:tcBorders>
            <w:gridSpan w:val="2"/>
          </w:tcPr>
          <w:p>
            <w:pPr>
              <w:ind w:left="140"/>
              <w:spacing w:after="0"/>
              <w:rPr>
                <w:sz w:val="20"/>
                <w:szCs w:val="20"/>
                <w:color w:val="auto"/>
              </w:rPr>
            </w:pPr>
            <w:r>
              <w:rPr>
                <w:rFonts w:ascii="Arial" w:cs="Arial" w:eastAsia="Arial" w:hAnsi="Arial"/>
                <w:sz w:val="11"/>
                <w:szCs w:val="11"/>
                <w:i w:val="1"/>
                <w:iCs w:val="1"/>
                <w:color w:val="005A64"/>
              </w:rPr>
              <w:t>(unaudited)</w:t>
            </w:r>
          </w:p>
        </w:tc>
        <w:tc>
          <w:tcPr>
            <w:tcW w:w="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Borders>
              <w:right w:val="single" w:sz="8" w:color="BECD32"/>
            </w:tcBorders>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5540" w:type="dxa"/>
            <w:vAlign w:val="bottom"/>
            <w:tcBorders>
              <w:top w:val="single" w:sz="8" w:color="005A64"/>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Revenues</w:t>
            </w:r>
          </w:p>
        </w:tc>
        <w:tc>
          <w:tcPr>
            <w:tcW w:w="1360" w:type="dxa"/>
            <w:vAlign w:val="bottom"/>
            <w:tcBorders>
              <w:top w:val="single" w:sz="8" w:color="005A64"/>
              <w:bottom w:val="single" w:sz="8" w:color="7FACB1"/>
            </w:tcBorders>
            <w:gridSpan w:val="2"/>
          </w:tcPr>
          <w:p>
            <w:pPr>
              <w:jc w:val="right"/>
              <w:spacing w:after="0"/>
              <w:rPr>
                <w:sz w:val="20"/>
                <w:szCs w:val="20"/>
                <w:color w:val="auto"/>
              </w:rPr>
            </w:pPr>
            <w:r>
              <w:rPr>
                <w:rFonts w:ascii="Arial" w:cs="Arial" w:eastAsia="Arial" w:hAnsi="Arial"/>
                <w:sz w:val="11"/>
                <w:szCs w:val="11"/>
                <w:color w:val="005A64"/>
              </w:rPr>
              <w:t>907.4</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Borders>
              <w:top w:val="single" w:sz="8" w:color="005A64"/>
              <w:bottom w:val="single" w:sz="8" w:color="7FACB1"/>
            </w:tcBorders>
          </w:tcPr>
          <w:p>
            <w:pPr>
              <w:spacing w:after="0"/>
              <w:rPr>
                <w:sz w:val="13"/>
                <w:szCs w:val="13"/>
                <w:color w:val="auto"/>
              </w:rPr>
            </w:pPr>
          </w:p>
        </w:tc>
        <w:tc>
          <w:tcPr>
            <w:tcW w:w="700" w:type="dxa"/>
            <w:vAlign w:val="bottom"/>
            <w:tcBorders>
              <w:top w:val="single" w:sz="8" w:color="005A64"/>
              <w:bottom w:val="single" w:sz="8" w:color="7FACB1"/>
            </w:tcBorders>
          </w:tcPr>
          <w:p>
            <w:pPr>
              <w:jc w:val="right"/>
              <w:spacing w:after="0"/>
              <w:rPr>
                <w:sz w:val="20"/>
                <w:szCs w:val="20"/>
                <w:color w:val="auto"/>
              </w:rPr>
            </w:pPr>
            <w:r>
              <w:rPr>
                <w:rFonts w:ascii="Arial" w:cs="Arial" w:eastAsia="Arial" w:hAnsi="Arial"/>
                <w:sz w:val="11"/>
                <w:szCs w:val="11"/>
                <w:color w:val="005A64"/>
              </w:rPr>
              <w:t>1,190.0</w:t>
            </w:r>
          </w:p>
        </w:tc>
        <w:tc>
          <w:tcPr>
            <w:tcW w:w="100" w:type="dxa"/>
            <w:vAlign w:val="bottom"/>
            <w:tcBorders>
              <w:right w:val="single" w:sz="8" w:color="BECD32"/>
            </w:tcBorders>
          </w:tcPr>
          <w:p>
            <w:pPr>
              <w:spacing w:after="0"/>
              <w:rPr>
                <w:sz w:val="13"/>
                <w:szCs w:val="13"/>
                <w:color w:val="auto"/>
              </w:rPr>
            </w:pPr>
          </w:p>
        </w:tc>
        <w:tc>
          <w:tcPr>
            <w:tcW w:w="1360" w:type="dxa"/>
            <w:vAlign w:val="bottom"/>
            <w:tcBorders>
              <w:top w:val="single" w:sz="8" w:color="005A64"/>
              <w:bottom w:val="single" w:sz="8" w:color="7FACB1"/>
            </w:tcBorders>
            <w:gridSpan w:val="2"/>
          </w:tcPr>
          <w:p>
            <w:pPr>
              <w:jc w:val="right"/>
              <w:spacing w:after="0"/>
              <w:rPr>
                <w:sz w:val="20"/>
                <w:szCs w:val="20"/>
                <w:color w:val="auto"/>
              </w:rPr>
            </w:pPr>
            <w:r>
              <w:rPr>
                <w:rFonts w:ascii="Arial" w:cs="Arial" w:eastAsia="Arial" w:hAnsi="Arial"/>
                <w:sz w:val="11"/>
                <w:szCs w:val="11"/>
                <w:color w:val="005A64"/>
              </w:rPr>
              <w:t>2,869.9</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top w:val="single" w:sz="8" w:color="005A64"/>
              <w:bottom w:val="single" w:sz="8" w:color="7FACB1"/>
            </w:tcBorders>
          </w:tcPr>
          <w:p>
            <w:pPr>
              <w:spacing w:after="0"/>
              <w:rPr>
                <w:sz w:val="13"/>
                <w:szCs w:val="13"/>
                <w:color w:val="auto"/>
              </w:rPr>
            </w:pPr>
          </w:p>
        </w:tc>
        <w:tc>
          <w:tcPr>
            <w:tcW w:w="740" w:type="dxa"/>
            <w:vAlign w:val="bottom"/>
            <w:tcBorders>
              <w:top w:val="single" w:sz="8" w:color="005A64"/>
              <w:bottom w:val="single" w:sz="8" w:color="7FACB1"/>
            </w:tcBorders>
          </w:tcPr>
          <w:p>
            <w:pPr>
              <w:jc w:val="right"/>
              <w:spacing w:after="0"/>
              <w:rPr>
                <w:sz w:val="20"/>
                <w:szCs w:val="20"/>
                <w:color w:val="auto"/>
              </w:rPr>
            </w:pPr>
            <w:r>
              <w:rPr>
                <w:rFonts w:ascii="Arial" w:cs="Arial" w:eastAsia="Arial" w:hAnsi="Arial"/>
                <w:sz w:val="11"/>
                <w:szCs w:val="11"/>
                <w:color w:val="005A64"/>
              </w:rPr>
              <w:t>2,751.1</w:t>
            </w:r>
          </w:p>
        </w:tc>
        <w:tc>
          <w:tcPr>
            <w:tcW w:w="0" w:type="dxa"/>
            <w:vAlign w:val="bottom"/>
          </w:tcPr>
          <w:p>
            <w:pPr>
              <w:spacing w:after="0"/>
              <w:rPr>
                <w:sz w:val="1"/>
                <w:szCs w:val="1"/>
                <w:color w:val="auto"/>
              </w:rPr>
            </w:pPr>
          </w:p>
        </w:tc>
      </w:tr>
      <w:tr>
        <w:trPr>
          <w:trHeight w:val="160"/>
        </w:trPr>
        <w:tc>
          <w:tcPr>
            <w:tcW w:w="554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Cost of sales</w:t>
            </w:r>
          </w:p>
        </w:tc>
        <w:tc>
          <w:tcPr>
            <w:tcW w:w="13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(333.3)</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Borders>
              <w:bottom w:val="single" w:sz="8" w:color="7FACB1"/>
            </w:tcBorders>
          </w:tcPr>
          <w:p>
            <w:pPr>
              <w:spacing w:after="0"/>
              <w:rPr>
                <w:sz w:val="13"/>
                <w:szCs w:val="13"/>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(243.5)</w:t>
            </w:r>
          </w:p>
        </w:tc>
        <w:tc>
          <w:tcPr>
            <w:tcW w:w="100" w:type="dxa"/>
            <w:vAlign w:val="bottom"/>
            <w:tcBorders>
              <w:right w:val="single" w:sz="8" w:color="BECD32"/>
            </w:tcBorders>
          </w:tcPr>
          <w:p>
            <w:pPr>
              <w:spacing w:after="0"/>
              <w:rPr>
                <w:sz w:val="13"/>
                <w:szCs w:val="13"/>
                <w:color w:val="auto"/>
              </w:rPr>
            </w:pPr>
          </w:p>
        </w:tc>
        <w:tc>
          <w:tcPr>
            <w:tcW w:w="13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(641.8)</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4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(541.3)</w:t>
            </w:r>
          </w:p>
        </w:tc>
        <w:tc>
          <w:tcPr>
            <w:tcW w:w="0" w:type="dxa"/>
            <w:vAlign w:val="bottom"/>
          </w:tcPr>
          <w:p>
            <w:pPr>
              <w:spacing w:after="0"/>
              <w:rPr>
                <w:sz w:val="1"/>
                <w:szCs w:val="1"/>
                <w:color w:val="auto"/>
              </w:rPr>
            </w:pPr>
          </w:p>
        </w:tc>
      </w:tr>
      <w:tr>
        <w:trPr>
          <w:trHeight w:val="160"/>
        </w:trPr>
        <w:tc>
          <w:tcPr>
            <w:tcW w:w="554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Research and development expenses</w:t>
            </w:r>
          </w:p>
        </w:tc>
        <w:tc>
          <w:tcPr>
            <w:tcW w:w="13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(505.4)</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Borders>
              <w:bottom w:val="single" w:sz="8" w:color="7FACB1"/>
            </w:tcBorders>
          </w:tcPr>
          <w:p>
            <w:pPr>
              <w:spacing w:after="0"/>
              <w:rPr>
                <w:sz w:val="13"/>
                <w:szCs w:val="13"/>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(611.8)</w:t>
            </w:r>
          </w:p>
        </w:tc>
        <w:tc>
          <w:tcPr>
            <w:tcW w:w="100" w:type="dxa"/>
            <w:vAlign w:val="bottom"/>
            <w:tcBorders>
              <w:right w:val="single" w:sz="8" w:color="BECD32"/>
            </w:tcBorders>
          </w:tcPr>
          <w:p>
            <w:pPr>
              <w:spacing w:after="0"/>
              <w:rPr>
                <w:sz w:val="13"/>
                <w:szCs w:val="13"/>
                <w:color w:val="auto"/>
              </w:rPr>
            </w:pPr>
          </w:p>
        </w:tc>
        <w:tc>
          <w:tcPr>
            <w:tcW w:w="13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(2,104.9)</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4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(2,254.2)</w:t>
            </w:r>
          </w:p>
        </w:tc>
        <w:tc>
          <w:tcPr>
            <w:tcW w:w="0" w:type="dxa"/>
            <w:vAlign w:val="bottom"/>
          </w:tcPr>
          <w:p>
            <w:pPr>
              <w:spacing w:after="0"/>
              <w:rPr>
                <w:sz w:val="1"/>
                <w:szCs w:val="1"/>
                <w:color w:val="auto"/>
              </w:rPr>
            </w:pPr>
          </w:p>
        </w:tc>
      </w:tr>
      <w:tr>
        <w:trPr>
          <w:trHeight w:val="160"/>
        </w:trPr>
        <w:tc>
          <w:tcPr>
            <w:tcW w:w="554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Sales and marketing expenses</w:t>
            </w:r>
          </w:p>
        </w:tc>
        <w:tc>
          <w:tcPr>
            <w:tcW w:w="13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(49.3)</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Borders>
              <w:bottom w:val="single" w:sz="8" w:color="7FACB1"/>
            </w:tcBorders>
          </w:tcPr>
          <w:p>
            <w:pPr>
              <w:spacing w:after="0"/>
              <w:rPr>
                <w:sz w:val="13"/>
                <w:szCs w:val="13"/>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(21.3)</w:t>
            </w:r>
          </w:p>
        </w:tc>
        <w:tc>
          <w:tcPr>
            <w:tcW w:w="100" w:type="dxa"/>
            <w:vAlign w:val="bottom"/>
            <w:tcBorders>
              <w:right w:val="single" w:sz="8" w:color="BECD32"/>
            </w:tcBorders>
          </w:tcPr>
          <w:p>
            <w:pPr>
              <w:spacing w:after="0"/>
              <w:rPr>
                <w:sz w:val="13"/>
                <w:szCs w:val="13"/>
                <w:color w:val="auto"/>
              </w:rPr>
            </w:pPr>
          </w:p>
        </w:tc>
        <w:tc>
          <w:tcPr>
            <w:tcW w:w="13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(110.0)</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4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(67.9)</w:t>
            </w:r>
          </w:p>
        </w:tc>
        <w:tc>
          <w:tcPr>
            <w:tcW w:w="0" w:type="dxa"/>
            <w:vAlign w:val="bottom"/>
          </w:tcPr>
          <w:p>
            <w:pPr>
              <w:spacing w:after="0"/>
              <w:rPr>
                <w:sz w:val="1"/>
                <w:szCs w:val="1"/>
                <w:color w:val="auto"/>
              </w:rPr>
            </w:pPr>
          </w:p>
        </w:tc>
      </w:tr>
      <w:tr>
        <w:trPr>
          <w:trHeight w:val="160"/>
        </w:trPr>
        <w:tc>
          <w:tcPr>
            <w:tcW w:w="554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General and administrative expenses</w:t>
            </w:r>
          </w:p>
        </w:tc>
        <w:tc>
          <w:tcPr>
            <w:tcW w:w="13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(168.6)</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Borders>
              <w:bottom w:val="single" w:sz="8" w:color="7FACB1"/>
            </w:tcBorders>
          </w:tcPr>
          <w:p>
            <w:pPr>
              <w:spacing w:after="0"/>
              <w:rPr>
                <w:sz w:val="13"/>
                <w:szCs w:val="13"/>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(110.8)</w:t>
            </w:r>
          </w:p>
        </w:tc>
        <w:tc>
          <w:tcPr>
            <w:tcW w:w="100" w:type="dxa"/>
            <w:vAlign w:val="bottom"/>
            <w:tcBorders>
              <w:right w:val="single" w:sz="8" w:color="BECD32"/>
            </w:tcBorders>
          </w:tcPr>
          <w:p>
            <w:pPr>
              <w:spacing w:after="0"/>
              <w:rPr>
                <w:sz w:val="13"/>
                <w:szCs w:val="13"/>
                <w:color w:val="auto"/>
              </w:rPr>
            </w:pPr>
          </w:p>
        </w:tc>
        <w:tc>
          <w:tcPr>
            <w:tcW w:w="13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(514.4)</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4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(531.1)</w:t>
            </w:r>
          </w:p>
        </w:tc>
        <w:tc>
          <w:tcPr>
            <w:tcW w:w="0" w:type="dxa"/>
            <w:vAlign w:val="bottom"/>
          </w:tcPr>
          <w:p>
            <w:pPr>
              <w:spacing w:after="0"/>
              <w:rPr>
                <w:sz w:val="1"/>
                <w:szCs w:val="1"/>
                <w:color w:val="auto"/>
              </w:rPr>
            </w:pPr>
          </w:p>
        </w:tc>
      </w:tr>
      <w:tr>
        <w:trPr>
          <w:trHeight w:val="160"/>
        </w:trPr>
        <w:tc>
          <w:tcPr>
            <w:tcW w:w="554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Other operating expenses</w:t>
            </w:r>
          </w:p>
        </w:tc>
        <w:tc>
          <w:tcPr>
            <w:tcW w:w="13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(208.0)</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Borders>
              <w:bottom w:val="single" w:sz="8" w:color="7FACB1"/>
            </w:tcBorders>
          </w:tcPr>
          <w:p>
            <w:pPr>
              <w:spacing w:after="0"/>
              <w:rPr>
                <w:sz w:val="13"/>
                <w:szCs w:val="13"/>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(91.6)</w:t>
            </w:r>
          </w:p>
        </w:tc>
        <w:tc>
          <w:tcPr>
            <w:tcW w:w="100" w:type="dxa"/>
            <w:vAlign w:val="bottom"/>
            <w:tcBorders>
              <w:right w:val="single" w:sz="8" w:color="BECD32"/>
            </w:tcBorders>
          </w:tcPr>
          <w:p>
            <w:pPr>
              <w:spacing w:after="0"/>
              <w:rPr>
                <w:sz w:val="13"/>
                <w:szCs w:val="13"/>
                <w:color w:val="auto"/>
              </w:rPr>
            </w:pPr>
          </w:p>
        </w:tc>
        <w:tc>
          <w:tcPr>
            <w:tcW w:w="13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(1,088.3)</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4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(811.5)</w:t>
            </w:r>
          </w:p>
        </w:tc>
        <w:tc>
          <w:tcPr>
            <w:tcW w:w="0" w:type="dxa"/>
            <w:vAlign w:val="bottom"/>
          </w:tcPr>
          <w:p>
            <w:pPr>
              <w:spacing w:after="0"/>
              <w:rPr>
                <w:sz w:val="1"/>
                <w:szCs w:val="1"/>
                <w:color w:val="auto"/>
              </w:rPr>
            </w:pPr>
          </w:p>
        </w:tc>
      </w:tr>
      <w:tr>
        <w:trPr>
          <w:trHeight w:val="160"/>
        </w:trPr>
        <w:tc>
          <w:tcPr>
            <w:tcW w:w="554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Other operating income</w:t>
            </w:r>
          </w:p>
        </w:tc>
        <w:tc>
          <w:tcPr>
            <w:tcW w:w="13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34.4</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Borders>
              <w:bottom w:val="single" w:sz="8" w:color="7FACB1"/>
            </w:tcBorders>
          </w:tcPr>
          <w:p>
            <w:pPr>
              <w:spacing w:after="0"/>
              <w:rPr>
                <w:sz w:val="13"/>
                <w:szCs w:val="13"/>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37.6</w:t>
            </w:r>
          </w:p>
        </w:tc>
        <w:tc>
          <w:tcPr>
            <w:tcW w:w="100" w:type="dxa"/>
            <w:vAlign w:val="bottom"/>
            <w:tcBorders>
              <w:right w:val="single" w:sz="8" w:color="BECD32"/>
            </w:tcBorders>
          </w:tcPr>
          <w:p>
            <w:pPr>
              <w:spacing w:after="0"/>
              <w:rPr>
                <w:sz w:val="13"/>
                <w:szCs w:val="13"/>
                <w:color w:val="auto"/>
              </w:rPr>
            </w:pPr>
          </w:p>
        </w:tc>
        <w:tc>
          <w:tcPr>
            <w:tcW w:w="13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184.6</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4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140.6</w:t>
            </w:r>
          </w:p>
        </w:tc>
        <w:tc>
          <w:tcPr>
            <w:tcW w:w="0" w:type="dxa"/>
            <w:vAlign w:val="bottom"/>
          </w:tcPr>
          <w:p>
            <w:pPr>
              <w:spacing w:after="0"/>
              <w:rPr>
                <w:sz w:val="1"/>
                <w:szCs w:val="1"/>
                <w:color w:val="auto"/>
              </w:rPr>
            </w:pPr>
          </w:p>
        </w:tc>
      </w:tr>
      <w:tr>
        <w:trPr>
          <w:trHeight w:val="164"/>
        </w:trPr>
        <w:tc>
          <w:tcPr>
            <w:tcW w:w="544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Operating profit / (loss)</w:t>
            </w: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(322.8)</w:t>
            </w: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Borders>
              <w:bottom w:val="single" w:sz="8" w:color="005A64"/>
            </w:tcBorders>
          </w:tcPr>
          <w:p>
            <w:pPr>
              <w:spacing w:after="0"/>
              <w:rPr>
                <w:sz w:val="14"/>
                <w:szCs w:val="14"/>
                <w:color w:val="auto"/>
              </w:rPr>
            </w:pPr>
          </w:p>
        </w:tc>
        <w:tc>
          <w:tcPr>
            <w:tcW w:w="7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148.6</w:t>
            </w: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(1,404.9)</w:t>
            </w: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Borders>
              <w:bottom w:val="single" w:sz="8" w:color="005A64"/>
            </w:tcBorders>
          </w:tcPr>
          <w:p>
            <w:pPr>
              <w:spacing w:after="0"/>
              <w:rPr>
                <w:sz w:val="14"/>
                <w:szCs w:val="14"/>
                <w:color w:val="auto"/>
              </w:rPr>
            </w:pPr>
          </w:p>
        </w:tc>
        <w:tc>
          <w:tcPr>
            <w:tcW w:w="74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(1,314.3)</w:t>
            </w:r>
          </w:p>
        </w:tc>
        <w:tc>
          <w:tcPr>
            <w:tcW w:w="0" w:type="dxa"/>
            <w:vAlign w:val="bottom"/>
          </w:tcPr>
          <w:p>
            <w:pPr>
              <w:spacing w:after="0"/>
              <w:rPr>
                <w:sz w:val="1"/>
                <w:szCs w:val="1"/>
                <w:color w:val="auto"/>
              </w:rPr>
            </w:pPr>
          </w:p>
        </w:tc>
      </w:tr>
      <w:tr>
        <w:trPr>
          <w:trHeight w:val="156"/>
        </w:trPr>
        <w:tc>
          <w:tcPr>
            <w:tcW w:w="554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Finance income</w:t>
            </w:r>
          </w:p>
        </w:tc>
        <w:tc>
          <w:tcPr>
            <w:tcW w:w="13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99.6</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Borders>
              <w:bottom w:val="single" w:sz="8" w:color="7FACB1"/>
            </w:tcBorders>
          </w:tcPr>
          <w:p>
            <w:pPr>
              <w:spacing w:after="0"/>
              <w:rPr>
                <w:sz w:val="13"/>
                <w:szCs w:val="13"/>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165.2</w:t>
            </w:r>
          </w:p>
        </w:tc>
        <w:tc>
          <w:tcPr>
            <w:tcW w:w="100" w:type="dxa"/>
            <w:vAlign w:val="bottom"/>
            <w:tcBorders>
              <w:right w:val="single" w:sz="8" w:color="BECD32"/>
            </w:tcBorders>
          </w:tcPr>
          <w:p>
            <w:pPr>
              <w:spacing w:after="0"/>
              <w:rPr>
                <w:sz w:val="13"/>
                <w:szCs w:val="13"/>
                <w:color w:val="auto"/>
              </w:rPr>
            </w:pPr>
          </w:p>
        </w:tc>
        <w:tc>
          <w:tcPr>
            <w:tcW w:w="13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423.9</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4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664.0</w:t>
            </w:r>
          </w:p>
        </w:tc>
        <w:tc>
          <w:tcPr>
            <w:tcW w:w="0" w:type="dxa"/>
            <w:vAlign w:val="bottom"/>
          </w:tcPr>
          <w:p>
            <w:pPr>
              <w:spacing w:after="0"/>
              <w:rPr>
                <w:sz w:val="1"/>
                <w:szCs w:val="1"/>
                <w:color w:val="auto"/>
              </w:rPr>
            </w:pPr>
          </w:p>
        </w:tc>
      </w:tr>
      <w:tr>
        <w:trPr>
          <w:trHeight w:val="160"/>
        </w:trPr>
        <w:tc>
          <w:tcPr>
            <w:tcW w:w="554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Finance expenses</w:t>
            </w:r>
          </w:p>
        </w:tc>
        <w:tc>
          <w:tcPr>
            <w:tcW w:w="13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(4.2)</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Borders>
              <w:bottom w:val="single" w:sz="8" w:color="7FACB1"/>
            </w:tcBorders>
          </w:tcPr>
          <w:p>
            <w:pPr>
              <w:spacing w:after="0"/>
              <w:rPr>
                <w:sz w:val="13"/>
                <w:szCs w:val="13"/>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(12.6)</w:t>
            </w:r>
          </w:p>
        </w:tc>
        <w:tc>
          <w:tcPr>
            <w:tcW w:w="100" w:type="dxa"/>
            <w:vAlign w:val="bottom"/>
            <w:tcBorders>
              <w:right w:val="single" w:sz="8" w:color="BECD32"/>
            </w:tcBorders>
          </w:tcPr>
          <w:p>
            <w:pPr>
              <w:spacing w:after="0"/>
              <w:rPr>
                <w:sz w:val="13"/>
                <w:szCs w:val="13"/>
                <w:color w:val="auto"/>
              </w:rPr>
            </w:pPr>
          </w:p>
        </w:tc>
        <w:tc>
          <w:tcPr>
            <w:tcW w:w="13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(69.8)</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4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(27.4)</w:t>
            </w:r>
          </w:p>
        </w:tc>
        <w:tc>
          <w:tcPr>
            <w:tcW w:w="0" w:type="dxa"/>
            <w:vAlign w:val="bottom"/>
          </w:tcPr>
          <w:p>
            <w:pPr>
              <w:spacing w:after="0"/>
              <w:rPr>
                <w:sz w:val="1"/>
                <w:szCs w:val="1"/>
                <w:color w:val="auto"/>
              </w:rPr>
            </w:pPr>
          </w:p>
        </w:tc>
      </w:tr>
      <w:tr>
        <w:trPr>
          <w:trHeight w:val="164"/>
        </w:trPr>
        <w:tc>
          <w:tcPr>
            <w:tcW w:w="544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Profit / (Loss) before tax</w:t>
            </w: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(227.4)</w:t>
            </w: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Borders>
              <w:bottom w:val="single" w:sz="8" w:color="005A64"/>
            </w:tcBorders>
          </w:tcPr>
          <w:p>
            <w:pPr>
              <w:spacing w:after="0"/>
              <w:rPr>
                <w:sz w:val="14"/>
                <w:szCs w:val="14"/>
                <w:color w:val="auto"/>
              </w:rPr>
            </w:pPr>
          </w:p>
        </w:tc>
        <w:tc>
          <w:tcPr>
            <w:tcW w:w="7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301.2</w:t>
            </w: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(1,050.8)</w:t>
            </w: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Borders>
              <w:bottom w:val="single" w:sz="8" w:color="005A64"/>
            </w:tcBorders>
          </w:tcPr>
          <w:p>
            <w:pPr>
              <w:spacing w:after="0"/>
              <w:rPr>
                <w:sz w:val="14"/>
                <w:szCs w:val="14"/>
                <w:color w:val="auto"/>
              </w:rPr>
            </w:pPr>
          </w:p>
        </w:tc>
        <w:tc>
          <w:tcPr>
            <w:tcW w:w="74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(677.7)</w:t>
            </w:r>
          </w:p>
        </w:tc>
        <w:tc>
          <w:tcPr>
            <w:tcW w:w="0" w:type="dxa"/>
            <w:vAlign w:val="bottom"/>
          </w:tcPr>
          <w:p>
            <w:pPr>
              <w:spacing w:after="0"/>
              <w:rPr>
                <w:sz w:val="1"/>
                <w:szCs w:val="1"/>
                <w:color w:val="auto"/>
              </w:rPr>
            </w:pPr>
          </w:p>
        </w:tc>
      </w:tr>
      <w:tr>
        <w:trPr>
          <w:trHeight w:val="156"/>
        </w:trPr>
        <w:tc>
          <w:tcPr>
            <w:tcW w:w="554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Income taxes</w:t>
            </w:r>
          </w:p>
        </w:tc>
        <w:tc>
          <w:tcPr>
            <w:tcW w:w="13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(77.6)</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Borders>
              <w:bottom w:val="single" w:sz="8" w:color="7FACB1"/>
            </w:tcBorders>
          </w:tcPr>
          <w:p>
            <w:pPr>
              <w:spacing w:after="0"/>
              <w:rPr>
                <w:sz w:val="13"/>
                <w:szCs w:val="13"/>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(41.7)</w:t>
            </w:r>
          </w:p>
        </w:tc>
        <w:tc>
          <w:tcPr>
            <w:tcW w:w="100" w:type="dxa"/>
            <w:vAlign w:val="bottom"/>
            <w:tcBorders>
              <w:right w:val="single" w:sz="8" w:color="BECD32"/>
            </w:tcBorders>
          </w:tcPr>
          <w:p>
            <w:pPr>
              <w:spacing w:after="0"/>
              <w:rPr>
                <w:sz w:val="13"/>
                <w:szCs w:val="13"/>
                <w:color w:val="auto"/>
              </w:rPr>
            </w:pPr>
          </w:p>
        </w:tc>
        <w:tc>
          <w:tcPr>
            <w:tcW w:w="13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(85.3)</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4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12.4</w:t>
            </w:r>
          </w:p>
        </w:tc>
        <w:tc>
          <w:tcPr>
            <w:tcW w:w="0" w:type="dxa"/>
            <w:vAlign w:val="bottom"/>
          </w:tcPr>
          <w:p>
            <w:pPr>
              <w:spacing w:after="0"/>
              <w:rPr>
                <w:sz w:val="1"/>
                <w:szCs w:val="1"/>
                <w:color w:val="auto"/>
              </w:rPr>
            </w:pPr>
          </w:p>
        </w:tc>
      </w:tr>
      <w:tr>
        <w:trPr>
          <w:trHeight w:val="164"/>
        </w:trPr>
        <w:tc>
          <w:tcPr>
            <w:tcW w:w="544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Net profit / (loss)</w:t>
            </w: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(305.0)</w:t>
            </w: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Borders>
              <w:bottom w:val="single" w:sz="8" w:color="005A64"/>
            </w:tcBorders>
          </w:tcPr>
          <w:p>
            <w:pPr>
              <w:spacing w:after="0"/>
              <w:rPr>
                <w:sz w:val="14"/>
                <w:szCs w:val="14"/>
                <w:color w:val="auto"/>
              </w:rPr>
            </w:pPr>
          </w:p>
        </w:tc>
        <w:tc>
          <w:tcPr>
            <w:tcW w:w="7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259.5</w:t>
            </w: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(1,136.1)</w:t>
            </w: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Borders>
              <w:bottom w:val="single" w:sz="8" w:color="005A64"/>
            </w:tcBorders>
          </w:tcPr>
          <w:p>
            <w:pPr>
              <w:spacing w:after="0"/>
              <w:rPr>
                <w:sz w:val="14"/>
                <w:szCs w:val="14"/>
                <w:color w:val="auto"/>
              </w:rPr>
            </w:pPr>
          </w:p>
        </w:tc>
        <w:tc>
          <w:tcPr>
            <w:tcW w:w="74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(665.3)</w:t>
            </w:r>
          </w:p>
        </w:tc>
        <w:tc>
          <w:tcPr>
            <w:tcW w:w="0" w:type="dxa"/>
            <w:vAlign w:val="bottom"/>
          </w:tcPr>
          <w:p>
            <w:pPr>
              <w:spacing w:after="0"/>
              <w:rPr>
                <w:sz w:val="1"/>
                <w:szCs w:val="1"/>
                <w:color w:val="auto"/>
              </w:rPr>
            </w:pPr>
          </w:p>
        </w:tc>
      </w:tr>
      <w:tr>
        <w:trPr>
          <w:trHeight w:val="160"/>
        </w:trPr>
        <w:tc>
          <w:tcPr>
            <w:tcW w:w="544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3C9673"/>
              </w:rPr>
              <w:t>Earnings / (Loss) per share</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Borders>
              <w:bottom w:val="single" w:sz="8" w:color="7FACB1"/>
            </w:tcBorders>
          </w:tcPr>
          <w:p>
            <w:pPr>
              <w:spacing w:after="0"/>
              <w:rPr>
                <w:sz w:val="13"/>
                <w:szCs w:val="13"/>
                <w:color w:val="auto"/>
              </w:rPr>
            </w:pP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Borders>
              <w:bottom w:val="single" w:sz="8" w:color="7FACB1"/>
            </w:tcBorders>
          </w:tcPr>
          <w:p>
            <w:pPr>
              <w:spacing w:after="0"/>
              <w:rPr>
                <w:sz w:val="13"/>
                <w:szCs w:val="13"/>
                <w:color w:val="auto"/>
              </w:rPr>
            </w:pPr>
          </w:p>
        </w:tc>
        <w:tc>
          <w:tcPr>
            <w:tcW w:w="700" w:type="dxa"/>
            <w:vAlign w:val="bottom"/>
            <w:tcBorders>
              <w:bottom w:val="single" w:sz="8" w:color="7FACB1"/>
            </w:tcBorders>
          </w:tcPr>
          <w:p>
            <w:pPr>
              <w:spacing w:after="0"/>
              <w:rPr>
                <w:sz w:val="13"/>
                <w:szCs w:val="13"/>
                <w:color w:val="auto"/>
              </w:rPr>
            </w:pP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Borders>
              <w:bottom w:val="single" w:sz="8" w:color="7FACB1"/>
            </w:tcBorders>
          </w:tcPr>
          <w:p>
            <w:pPr>
              <w:spacing w:after="0"/>
              <w:rPr>
                <w:sz w:val="13"/>
                <w:szCs w:val="13"/>
                <w:color w:val="auto"/>
              </w:rPr>
            </w:pP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40" w:type="dxa"/>
            <w:vAlign w:val="bottom"/>
            <w:tcBorders>
              <w:bottom w:val="single" w:sz="8" w:color="7FACB1"/>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4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Basic earnings / (loss) per share</w:t>
            </w:r>
          </w:p>
        </w:tc>
        <w:tc>
          <w:tcPr>
            <w:tcW w:w="100" w:type="dxa"/>
            <w:vAlign w:val="bottom"/>
            <w:tcBorders>
              <w:right w:val="single" w:sz="8" w:color="BECE33"/>
            </w:tcBorders>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(1.25)</w:t>
            </w:r>
          </w:p>
        </w:tc>
        <w:tc>
          <w:tcPr>
            <w:tcW w:w="100" w:type="dxa"/>
            <w:vAlign w:val="bottom"/>
            <w:tcBorders>
              <w:right w:val="single" w:sz="8" w:color="BECE33"/>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Borders>
              <w:bottom w:val="single" w:sz="8" w:color="7FACB1"/>
            </w:tcBorders>
          </w:tcPr>
          <w:p>
            <w:pPr>
              <w:spacing w:after="0"/>
              <w:rPr>
                <w:sz w:val="13"/>
                <w:szCs w:val="13"/>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1.08</w:t>
            </w:r>
          </w:p>
        </w:tc>
        <w:tc>
          <w:tcPr>
            <w:tcW w:w="100" w:type="dxa"/>
            <w:vAlign w:val="bottom"/>
            <w:tcBorders>
              <w:right w:val="single" w:sz="8" w:color="BECE33"/>
            </w:tcBorders>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(4.70)</w:t>
            </w:r>
          </w:p>
        </w:tc>
        <w:tc>
          <w:tcPr>
            <w:tcW w:w="100" w:type="dxa"/>
            <w:vAlign w:val="bottom"/>
            <w:tcBorders>
              <w:right w:val="single" w:sz="8" w:color="BECE33"/>
            </w:tcBorders>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4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(2.77)</w:t>
            </w:r>
          </w:p>
        </w:tc>
        <w:tc>
          <w:tcPr>
            <w:tcW w:w="0" w:type="dxa"/>
            <w:vAlign w:val="bottom"/>
          </w:tcPr>
          <w:p>
            <w:pPr>
              <w:spacing w:after="0"/>
              <w:rPr>
                <w:sz w:val="1"/>
                <w:szCs w:val="1"/>
                <w:color w:val="auto"/>
              </w:rPr>
            </w:pPr>
          </w:p>
        </w:tc>
      </w:tr>
      <w:tr>
        <w:trPr>
          <w:trHeight w:val="160"/>
        </w:trPr>
        <w:tc>
          <w:tcPr>
            <w:tcW w:w="5440" w:type="dxa"/>
            <w:vAlign w:val="bottom"/>
            <w:tcBorders>
              <w:bottom w:val="single" w:sz="8" w:color="005A64"/>
            </w:tcBorders>
          </w:tcPr>
          <w:p>
            <w:pPr>
              <w:spacing w:after="0"/>
              <w:rPr>
                <w:sz w:val="20"/>
                <w:szCs w:val="20"/>
                <w:color w:val="auto"/>
              </w:rPr>
            </w:pPr>
            <w:r>
              <w:rPr>
                <w:rFonts w:ascii="Arial" w:cs="Arial" w:eastAsia="Arial" w:hAnsi="Arial"/>
                <w:sz w:val="11"/>
                <w:szCs w:val="11"/>
                <w:color w:val="005A64"/>
              </w:rPr>
              <w:t>Diluted earnings / (loss) per share</w:t>
            </w:r>
          </w:p>
        </w:tc>
        <w:tc>
          <w:tcPr>
            <w:tcW w:w="100" w:type="dxa"/>
            <w:vAlign w:val="bottom"/>
            <w:tcBorders>
              <w:right w:val="single" w:sz="8" w:color="BECD32"/>
            </w:tcBorders>
          </w:tcPr>
          <w:p>
            <w:pPr>
              <w:spacing w:after="0"/>
              <w:rPr>
                <w:sz w:val="13"/>
                <w:szCs w:val="13"/>
                <w:color w:val="auto"/>
              </w:rPr>
            </w:pPr>
          </w:p>
        </w:tc>
        <w:tc>
          <w:tcPr>
            <w:tcW w:w="1360" w:type="dxa"/>
            <w:vAlign w:val="bottom"/>
            <w:tcBorders>
              <w:bottom w:val="single" w:sz="8" w:color="BECD32"/>
            </w:tcBorders>
            <w:gridSpan w:val="2"/>
          </w:tcPr>
          <w:p>
            <w:pPr>
              <w:jc w:val="right"/>
              <w:spacing w:after="0"/>
              <w:rPr>
                <w:sz w:val="20"/>
                <w:szCs w:val="20"/>
                <w:color w:val="auto"/>
              </w:rPr>
            </w:pPr>
            <w:r>
              <w:rPr>
                <w:rFonts w:ascii="Arial" w:cs="Arial" w:eastAsia="Arial" w:hAnsi="Arial"/>
                <w:sz w:val="11"/>
                <w:szCs w:val="11"/>
                <w:color w:val="005A64"/>
              </w:rPr>
              <w:t>(1.25)</w:t>
            </w:r>
          </w:p>
        </w:tc>
        <w:tc>
          <w:tcPr>
            <w:tcW w:w="100" w:type="dxa"/>
            <w:vAlign w:val="bottom"/>
            <w:tcBorders>
              <w:bottom w:val="single" w:sz="8" w:color="BECD32"/>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Borders>
              <w:bottom w:val="single" w:sz="8" w:color="005A64"/>
            </w:tcBorders>
          </w:tcPr>
          <w:p>
            <w:pPr>
              <w:spacing w:after="0"/>
              <w:rPr>
                <w:sz w:val="13"/>
                <w:szCs w:val="13"/>
                <w:color w:val="auto"/>
              </w:rPr>
            </w:pPr>
          </w:p>
        </w:tc>
        <w:tc>
          <w:tcPr>
            <w:tcW w:w="700" w:type="dxa"/>
            <w:vAlign w:val="bottom"/>
            <w:tcBorders>
              <w:bottom w:val="single" w:sz="8" w:color="005A64"/>
            </w:tcBorders>
          </w:tcPr>
          <w:p>
            <w:pPr>
              <w:jc w:val="right"/>
              <w:spacing w:after="0"/>
              <w:rPr>
                <w:sz w:val="20"/>
                <w:szCs w:val="20"/>
                <w:color w:val="auto"/>
              </w:rPr>
            </w:pPr>
            <w:r>
              <w:rPr>
                <w:rFonts w:ascii="Arial" w:cs="Arial" w:eastAsia="Arial" w:hAnsi="Arial"/>
                <w:sz w:val="11"/>
                <w:szCs w:val="11"/>
                <w:color w:val="005A64"/>
              </w:rPr>
              <w:t>1.08</w:t>
            </w:r>
          </w:p>
        </w:tc>
        <w:tc>
          <w:tcPr>
            <w:tcW w:w="100" w:type="dxa"/>
            <w:vAlign w:val="bottom"/>
            <w:tcBorders>
              <w:right w:val="single" w:sz="8" w:color="BECD32"/>
            </w:tcBorders>
          </w:tcPr>
          <w:p>
            <w:pPr>
              <w:spacing w:after="0"/>
              <w:rPr>
                <w:sz w:val="13"/>
                <w:szCs w:val="13"/>
                <w:color w:val="auto"/>
              </w:rPr>
            </w:pPr>
          </w:p>
        </w:tc>
        <w:tc>
          <w:tcPr>
            <w:tcW w:w="1360" w:type="dxa"/>
            <w:vAlign w:val="bottom"/>
            <w:tcBorders>
              <w:bottom w:val="single" w:sz="8" w:color="BECD32"/>
            </w:tcBorders>
            <w:gridSpan w:val="2"/>
          </w:tcPr>
          <w:p>
            <w:pPr>
              <w:jc w:val="right"/>
              <w:spacing w:after="0"/>
              <w:rPr>
                <w:sz w:val="20"/>
                <w:szCs w:val="20"/>
                <w:color w:val="auto"/>
              </w:rPr>
            </w:pPr>
            <w:r>
              <w:rPr>
                <w:rFonts w:ascii="Arial" w:cs="Arial" w:eastAsia="Arial" w:hAnsi="Arial"/>
                <w:sz w:val="11"/>
                <w:szCs w:val="11"/>
                <w:color w:val="005A64"/>
              </w:rPr>
              <w:t>(4.70)</w:t>
            </w:r>
          </w:p>
        </w:tc>
        <w:tc>
          <w:tcPr>
            <w:tcW w:w="100" w:type="dxa"/>
            <w:vAlign w:val="bottom"/>
            <w:tcBorders>
              <w:bottom w:val="single" w:sz="8" w:color="BECD32"/>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005A64"/>
            </w:tcBorders>
          </w:tcPr>
          <w:p>
            <w:pPr>
              <w:spacing w:after="0"/>
              <w:rPr>
                <w:sz w:val="13"/>
                <w:szCs w:val="13"/>
                <w:color w:val="auto"/>
              </w:rPr>
            </w:pPr>
          </w:p>
        </w:tc>
        <w:tc>
          <w:tcPr>
            <w:tcW w:w="740" w:type="dxa"/>
            <w:vAlign w:val="bottom"/>
            <w:tcBorders>
              <w:bottom w:val="single" w:sz="8" w:color="005A64"/>
            </w:tcBorders>
          </w:tcPr>
          <w:p>
            <w:pPr>
              <w:jc w:val="right"/>
              <w:spacing w:after="0"/>
              <w:rPr>
                <w:sz w:val="20"/>
                <w:szCs w:val="20"/>
                <w:color w:val="auto"/>
              </w:rPr>
            </w:pPr>
            <w:r>
              <w:rPr>
                <w:rFonts w:ascii="Arial" w:cs="Arial" w:eastAsia="Arial" w:hAnsi="Arial"/>
                <w:sz w:val="11"/>
                <w:szCs w:val="11"/>
                <w:color w:val="005A64"/>
              </w:rPr>
              <w:t>(2.77)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300"/>
          </w:cols>
          <w:pgMar w:left="300" w:top="1327" w:right="299" w:bottom="1440" w:gutter="0" w:footer="0" w:header="0"/>
        </w:sectPr>
      </w:pPr>
    </w:p>
    <w:bookmarkStart w:id="16" w:name="page17"/>
    <w:bookmarkEnd w:id="16"/>
    <w:p>
      <w:pPr>
        <w:jc w:val="center"/>
        <w:ind w:right="-7"/>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303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423035" cy="154305"/>
                    </a:xfrm>
                    <a:prstGeom prst="rect">
                      <a:avLst/>
                    </a:prstGeom>
                    <a:noFill/>
                  </pic:spPr>
                </pic:pic>
              </a:graphicData>
            </a:graphic>
          </wp:anchor>
        </w:drawing>
        <w:t>Condensed Consolidated Statements of Profit or Loss (Adjusted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166610"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6610" cy="11430"/>
                    </a:xfrm>
                    <a:prstGeom prst="rect">
                      <a:avLst/>
                    </a:prstGeom>
                    <a:noFill/>
                  </pic:spPr>
                </pic:pic>
              </a:graphicData>
            </a:graphic>
          </wp:anchor>
        </w:drawing>
      </w:r>
    </w:p>
    <w:p>
      <w:pPr>
        <w:spacing w:after="0" w:line="378" w:lineRule="exact"/>
        <w:rPr>
          <w:sz w:val="20"/>
          <w:szCs w:val="20"/>
          <w:color w:val="auto"/>
        </w:rPr>
      </w:pPr>
    </w:p>
    <w:tbl>
      <w:tblPr>
        <w:tblLayout w:type="fixed"/>
        <w:tblInd w:w="8" w:type="dxa"/>
        <w:tblCellMar>
          <w:top w:w="0" w:type="dxa"/>
          <w:left w:w="0" w:type="dxa"/>
          <w:bottom w:w="0" w:type="dxa"/>
          <w:right w:w="0" w:type="dxa"/>
        </w:tblCellMar>
      </w:tblPr>
      <w:tr>
        <w:trPr>
          <w:trHeight w:val="171"/>
        </w:trPr>
        <w:tc>
          <w:tcPr>
            <w:tcW w:w="5540" w:type="dxa"/>
            <w:vAlign w:val="bottom"/>
            <w:gridSpan w:val="2"/>
          </w:tcPr>
          <w:p>
            <w:pPr>
              <w:spacing w:after="0"/>
              <w:rPr>
                <w:sz w:val="20"/>
                <w:szCs w:val="20"/>
                <w:color w:val="auto"/>
              </w:rPr>
            </w:pPr>
            <w:r>
              <w:rPr>
                <w:rFonts w:ascii="Arial" w:cs="Arial" w:eastAsia="Arial" w:hAnsi="Arial"/>
                <w:sz w:val="11"/>
                <w:szCs w:val="11"/>
                <w:b w:val="1"/>
                <w:bCs w:val="1"/>
                <w:color w:val="005A64"/>
              </w:rPr>
              <w:t>Adjusted Results (non-IFRS measures)</w:t>
            </w:r>
            <w:r>
              <w:rPr>
                <w:rFonts w:ascii="Arial" w:cs="Arial" w:eastAsia="Arial" w:hAnsi="Arial"/>
                <w:sz w:val="14"/>
                <w:szCs w:val="14"/>
                <w:b w:val="1"/>
                <w:bCs w:val="1"/>
                <w:color w:val="005A64"/>
                <w:vertAlign w:val="superscript"/>
              </w:rPr>
              <w:t>1</w:t>
            </w:r>
          </w:p>
        </w:tc>
        <w:tc>
          <w:tcPr>
            <w:tcW w:w="60" w:type="dxa"/>
            <w:vAlign w:val="bottom"/>
          </w:tcPr>
          <w:p>
            <w:pPr>
              <w:spacing w:after="0"/>
              <w:rPr>
                <w:sz w:val="14"/>
                <w:szCs w:val="14"/>
                <w:color w:val="auto"/>
              </w:rPr>
            </w:pPr>
          </w:p>
        </w:tc>
        <w:tc>
          <w:tcPr>
            <w:tcW w:w="2060" w:type="dxa"/>
            <w:vAlign w:val="bottom"/>
            <w:gridSpan w:val="4"/>
          </w:tcPr>
          <w:p>
            <w:pPr>
              <w:jc w:val="center"/>
              <w:ind w:left="666"/>
              <w:spacing w:after="0"/>
              <w:rPr>
                <w:sz w:val="20"/>
                <w:szCs w:val="20"/>
                <w:color w:val="auto"/>
              </w:rPr>
            </w:pPr>
            <w:r>
              <w:rPr>
                <w:rFonts w:ascii="Arial" w:cs="Arial" w:eastAsia="Arial" w:hAnsi="Arial"/>
                <w:sz w:val="11"/>
                <w:szCs w:val="11"/>
                <w:b w:val="1"/>
                <w:bCs w:val="1"/>
                <w:color w:val="005A64"/>
                <w:w w:val="97"/>
              </w:rPr>
              <w:t>Three months ended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20" w:type="dxa"/>
            <w:vAlign w:val="bottom"/>
            <w:gridSpan w:val="4"/>
          </w:tcPr>
          <w:p>
            <w:pPr>
              <w:jc w:val="center"/>
              <w:ind w:left="686"/>
              <w:spacing w:after="0"/>
              <w:rPr>
                <w:sz w:val="20"/>
                <w:szCs w:val="20"/>
                <w:color w:val="auto"/>
              </w:rPr>
            </w:pPr>
            <w:r>
              <w:rPr>
                <w:rFonts w:ascii="Arial" w:cs="Arial" w:eastAsia="Arial" w:hAnsi="Arial"/>
                <w:sz w:val="11"/>
                <w:szCs w:val="11"/>
                <w:b w:val="1"/>
                <w:bCs w:val="1"/>
                <w:color w:val="005A64"/>
                <w:w w:val="97"/>
              </w:rPr>
              <w:t>Years ended</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gridSpan w:val="4"/>
          </w:tcPr>
          <w:p>
            <w:pPr>
              <w:jc w:val="center"/>
              <w:ind w:left="666"/>
              <w:spacing w:after="0"/>
              <w:rPr>
                <w:sz w:val="20"/>
                <w:szCs w:val="20"/>
                <w:color w:val="auto"/>
              </w:rPr>
            </w:pPr>
            <w:r>
              <w:rPr>
                <w:rFonts w:ascii="Arial" w:cs="Arial" w:eastAsia="Arial" w:hAnsi="Arial"/>
                <w:sz w:val="11"/>
                <w:szCs w:val="11"/>
                <w:b w:val="1"/>
                <w:bCs w:val="1"/>
                <w:color w:val="005A64"/>
                <w:w w:val="97"/>
              </w:rPr>
              <w:t>December 31,</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20" w:type="dxa"/>
            <w:vAlign w:val="bottom"/>
            <w:gridSpan w:val="4"/>
          </w:tcPr>
          <w:p>
            <w:pPr>
              <w:jc w:val="center"/>
              <w:ind w:left="686"/>
              <w:spacing w:after="0"/>
              <w:rPr>
                <w:sz w:val="20"/>
                <w:szCs w:val="20"/>
                <w:color w:val="auto"/>
              </w:rPr>
            </w:pPr>
            <w:r>
              <w:rPr>
                <w:rFonts w:ascii="Arial" w:cs="Arial" w:eastAsia="Arial" w:hAnsi="Arial"/>
                <w:sz w:val="11"/>
                <w:szCs w:val="11"/>
                <w:b w:val="1"/>
                <w:bCs w:val="1"/>
                <w:color w:val="005A64"/>
              </w:rPr>
              <w:t>December 31,</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Borders>
              <w:bottom w:val="single" w:sz="8" w:color="BECE33"/>
            </w:tcBorders>
            <w:gridSpan w:val="2"/>
          </w:tcPr>
          <w:p>
            <w:pPr>
              <w:spacing w:after="0"/>
              <w:rPr>
                <w:sz w:val="12"/>
                <w:szCs w:val="12"/>
                <w:color w:val="auto"/>
              </w:rPr>
            </w:pPr>
          </w:p>
        </w:tc>
        <w:tc>
          <w:tcPr>
            <w:tcW w:w="100" w:type="dxa"/>
            <w:vAlign w:val="bottom"/>
            <w:tcBorders>
              <w:bottom w:val="single" w:sz="8" w:color="BECE33"/>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b w:val="1"/>
                <w:bCs w:val="1"/>
                <w:color w:val="005A64"/>
              </w:rPr>
              <w:t>2024</w:t>
            </w:r>
          </w:p>
        </w:tc>
        <w:tc>
          <w:tcPr>
            <w:tcW w:w="100" w:type="dxa"/>
            <w:vAlign w:val="bottom"/>
          </w:tcPr>
          <w:p>
            <w:pPr>
              <w:spacing w:after="0"/>
              <w:rPr>
                <w:sz w:val="12"/>
                <w:szCs w:val="12"/>
                <w:color w:val="auto"/>
              </w:rPr>
            </w:pPr>
          </w:p>
        </w:tc>
        <w:tc>
          <w:tcPr>
            <w:tcW w:w="1360" w:type="dxa"/>
            <w:vAlign w:val="bottom"/>
            <w:tcBorders>
              <w:bottom w:val="single" w:sz="8" w:color="BECE33"/>
            </w:tcBorders>
            <w:gridSpan w:val="2"/>
          </w:tcPr>
          <w:p>
            <w:pPr>
              <w:spacing w:after="0"/>
              <w:rPr>
                <w:sz w:val="12"/>
                <w:szCs w:val="12"/>
                <w:color w:val="auto"/>
              </w:rPr>
            </w:pPr>
          </w:p>
        </w:tc>
        <w:tc>
          <w:tcPr>
            <w:tcW w:w="100" w:type="dxa"/>
            <w:vAlign w:val="bottom"/>
            <w:tcBorders>
              <w:bottom w:val="single" w:sz="8" w:color="BECE33"/>
            </w:tcBorders>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b w:val="1"/>
                <w:bCs w:val="1"/>
                <w:color w:val="005A64"/>
              </w:rPr>
              <w:t>2024</w:t>
            </w:r>
          </w:p>
        </w:tc>
        <w:tc>
          <w:tcPr>
            <w:tcW w:w="0" w:type="dxa"/>
            <w:vAlign w:val="bottom"/>
          </w:tcPr>
          <w:p>
            <w:pPr>
              <w:spacing w:after="0"/>
              <w:rPr>
                <w:sz w:val="1"/>
                <w:szCs w:val="1"/>
                <w:color w:val="auto"/>
              </w:rPr>
            </w:pPr>
          </w:p>
        </w:tc>
      </w:tr>
      <w:tr>
        <w:trPr>
          <w:trHeight w:val="146"/>
        </w:trPr>
        <w:tc>
          <w:tcPr>
            <w:tcW w:w="5440" w:type="dxa"/>
            <w:vAlign w:val="bottom"/>
          </w:tcPr>
          <w:p>
            <w:pPr>
              <w:spacing w:after="0"/>
              <w:rPr>
                <w:sz w:val="12"/>
                <w:szCs w:val="12"/>
                <w:color w:val="auto"/>
              </w:rPr>
            </w:pPr>
          </w:p>
        </w:tc>
        <w:tc>
          <w:tcPr>
            <w:tcW w:w="100" w:type="dxa"/>
            <w:vAlign w:val="bottom"/>
            <w:tcBorders>
              <w:right w:val="single" w:sz="8" w:color="BECD32"/>
            </w:tcBorders>
          </w:tcPr>
          <w:p>
            <w:pPr>
              <w:spacing w:after="0"/>
              <w:rPr>
                <w:sz w:val="12"/>
                <w:szCs w:val="12"/>
                <w:color w:val="auto"/>
              </w:rPr>
            </w:pPr>
          </w:p>
        </w:tc>
        <w:tc>
          <w:tcPr>
            <w:tcW w:w="1360" w:type="dxa"/>
            <w:vAlign w:val="bottom"/>
            <w:gridSpan w:val="2"/>
          </w:tcPr>
          <w:p>
            <w:pPr>
              <w:jc w:val="right"/>
              <w:spacing w:after="0"/>
              <w:rPr>
                <w:sz w:val="20"/>
                <w:szCs w:val="20"/>
                <w:color w:val="auto"/>
              </w:rPr>
            </w:pPr>
            <w:r>
              <w:rPr>
                <w:rFonts w:ascii="Arial" w:cs="Arial" w:eastAsia="Arial" w:hAnsi="Arial"/>
                <w:sz w:val="11"/>
                <w:szCs w:val="11"/>
                <w:b w:val="1"/>
                <w:bCs w:val="1"/>
                <w:color w:val="005A64"/>
              </w:rPr>
              <w:t>2025</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Borders>
              <w:right w:val="single" w:sz="8" w:color="BECD32"/>
            </w:tcBorders>
          </w:tcPr>
          <w:p>
            <w:pPr>
              <w:spacing w:after="0"/>
              <w:rPr>
                <w:sz w:val="12"/>
                <w:szCs w:val="12"/>
                <w:color w:val="auto"/>
              </w:rPr>
            </w:pPr>
          </w:p>
        </w:tc>
        <w:tc>
          <w:tcPr>
            <w:tcW w:w="1360" w:type="dxa"/>
            <w:vAlign w:val="bottom"/>
            <w:gridSpan w:val="2"/>
          </w:tcPr>
          <w:p>
            <w:pPr>
              <w:jc w:val="right"/>
              <w:spacing w:after="0"/>
              <w:rPr>
                <w:sz w:val="20"/>
                <w:szCs w:val="20"/>
                <w:color w:val="auto"/>
              </w:rPr>
            </w:pPr>
            <w:r>
              <w:rPr>
                <w:rFonts w:ascii="Arial" w:cs="Arial" w:eastAsia="Arial" w:hAnsi="Arial"/>
                <w:sz w:val="11"/>
                <w:szCs w:val="11"/>
                <w:b w:val="1"/>
                <w:bCs w:val="1"/>
                <w:color w:val="005A64"/>
              </w:rPr>
              <w:t>2025</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440" w:type="dxa"/>
            <w:vAlign w:val="bottom"/>
            <w:tcBorders>
              <w:bottom w:val="single" w:sz="8" w:color="005A64"/>
            </w:tcBorders>
          </w:tcPr>
          <w:p>
            <w:pPr>
              <w:spacing w:after="0"/>
              <w:rPr>
                <w:sz w:val="20"/>
                <w:szCs w:val="20"/>
                <w:color w:val="auto"/>
              </w:rPr>
            </w:pPr>
            <w:r>
              <w:rPr>
                <w:rFonts w:ascii="Arial" w:cs="Arial" w:eastAsia="Arial" w:hAnsi="Arial"/>
                <w:sz w:val="11"/>
                <w:szCs w:val="11"/>
                <w:i w:val="1"/>
                <w:iCs w:val="1"/>
                <w:color w:val="005A64"/>
              </w:rPr>
              <w:t>(in millions €, except per share data)</w:t>
            </w:r>
          </w:p>
        </w:tc>
        <w:tc>
          <w:tcPr>
            <w:tcW w:w="100" w:type="dxa"/>
            <w:vAlign w:val="bottom"/>
            <w:tcBorders>
              <w:right w:val="single" w:sz="8" w:color="BECD32"/>
            </w:tcBorders>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Borders>
              <w:bottom w:val="single" w:sz="8" w:color="005A64"/>
            </w:tcBorders>
          </w:tcPr>
          <w:p>
            <w:pPr>
              <w:jc w:val="right"/>
              <w:spacing w:after="0"/>
              <w:rPr>
                <w:sz w:val="20"/>
                <w:szCs w:val="20"/>
                <w:color w:val="auto"/>
              </w:rPr>
            </w:pPr>
            <w:r>
              <w:rPr>
                <w:rFonts w:ascii="Arial" w:cs="Arial" w:eastAsia="Arial" w:hAnsi="Arial"/>
                <w:sz w:val="11"/>
                <w:szCs w:val="11"/>
                <w:i w:val="1"/>
                <w:iCs w:val="1"/>
                <w:color w:val="005A64"/>
              </w:rPr>
              <w:t>(unaudited)</w:t>
            </w:r>
          </w:p>
        </w:tc>
        <w:tc>
          <w:tcPr>
            <w:tcW w:w="100" w:type="dxa"/>
            <w:vAlign w:val="bottom"/>
            <w:tcBorders>
              <w:right w:val="single" w:sz="8" w:color="BECD32"/>
            </w:tcBorders>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Borders>
              <w:bottom w:val="single" w:sz="8" w:color="005A64"/>
            </w:tcBorders>
          </w:tcPr>
          <w:p>
            <w:pPr>
              <w:spacing w:after="0"/>
              <w:rPr>
                <w:sz w:val="15"/>
                <w:szCs w:val="15"/>
                <w:color w:val="auto"/>
              </w:rPr>
            </w:pPr>
          </w:p>
        </w:tc>
        <w:tc>
          <w:tcPr>
            <w:tcW w:w="700" w:type="dxa"/>
            <w:vAlign w:val="bottom"/>
            <w:tcBorders>
              <w:bottom w:val="single" w:sz="8" w:color="005A64"/>
            </w:tcBorders>
          </w:tcPr>
          <w:p>
            <w:pPr>
              <w:jc w:val="right"/>
              <w:spacing w:after="0"/>
              <w:rPr>
                <w:sz w:val="20"/>
                <w:szCs w:val="20"/>
                <w:color w:val="auto"/>
              </w:rPr>
            </w:pPr>
            <w:r>
              <w:rPr>
                <w:rFonts w:ascii="Arial" w:cs="Arial" w:eastAsia="Arial" w:hAnsi="Arial"/>
                <w:sz w:val="11"/>
                <w:szCs w:val="11"/>
                <w:i w:val="1"/>
                <w:iCs w:val="1"/>
                <w:color w:val="005A64"/>
              </w:rPr>
              <w:t>(unaudited)</w:t>
            </w:r>
          </w:p>
        </w:tc>
        <w:tc>
          <w:tcPr>
            <w:tcW w:w="100" w:type="dxa"/>
            <w:vAlign w:val="bottom"/>
            <w:tcBorders>
              <w:right w:val="single" w:sz="8" w:color="BECD32"/>
            </w:tcBorders>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Borders>
              <w:bottom w:val="single" w:sz="8" w:color="005A64"/>
            </w:tcBorders>
          </w:tcPr>
          <w:p>
            <w:pPr>
              <w:spacing w:after="0"/>
              <w:rPr>
                <w:sz w:val="15"/>
                <w:szCs w:val="15"/>
                <w:color w:val="auto"/>
              </w:rPr>
            </w:pPr>
          </w:p>
        </w:tc>
        <w:tc>
          <w:tcPr>
            <w:tcW w:w="100" w:type="dxa"/>
            <w:vAlign w:val="bottom"/>
            <w:tcBorders>
              <w:right w:val="single" w:sz="8" w:color="BECD32"/>
            </w:tcBorders>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Borders>
              <w:bottom w:val="single" w:sz="8" w:color="005A64"/>
            </w:tcBorders>
          </w:tcPr>
          <w:p>
            <w:pPr>
              <w:spacing w:after="0"/>
              <w:rPr>
                <w:sz w:val="15"/>
                <w:szCs w:val="15"/>
                <w:color w:val="auto"/>
              </w:rPr>
            </w:pPr>
          </w:p>
        </w:tc>
        <w:tc>
          <w:tcPr>
            <w:tcW w:w="740" w:type="dxa"/>
            <w:vAlign w:val="bottom"/>
            <w:tcBorders>
              <w:bottom w:val="single" w:sz="8" w:color="005A64"/>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544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Adjusted cost of sales</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(302.8)</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Borders>
              <w:bottom w:val="single" w:sz="8" w:color="7FACB1"/>
            </w:tcBorders>
          </w:tcPr>
          <w:p>
            <w:pPr>
              <w:spacing w:after="0"/>
              <w:rPr>
                <w:sz w:val="13"/>
                <w:szCs w:val="13"/>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(204.5)</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(611.3)</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4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(493.2)</w:t>
            </w:r>
          </w:p>
        </w:tc>
        <w:tc>
          <w:tcPr>
            <w:tcW w:w="0" w:type="dxa"/>
            <w:vAlign w:val="bottom"/>
          </w:tcPr>
          <w:p>
            <w:pPr>
              <w:spacing w:after="0"/>
              <w:rPr>
                <w:sz w:val="1"/>
                <w:szCs w:val="1"/>
                <w:color w:val="auto"/>
              </w:rPr>
            </w:pPr>
          </w:p>
        </w:tc>
      </w:tr>
      <w:tr>
        <w:trPr>
          <w:trHeight w:val="160"/>
        </w:trPr>
        <w:tc>
          <w:tcPr>
            <w:tcW w:w="544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Adjusted research and development expenses</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(505.4)</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Borders>
              <w:bottom w:val="single" w:sz="8" w:color="7FACB1"/>
            </w:tcBorders>
          </w:tcPr>
          <w:p>
            <w:pPr>
              <w:spacing w:after="0"/>
              <w:rPr>
                <w:sz w:val="13"/>
                <w:szCs w:val="13"/>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(530.3)</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(2,019.5)</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4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(2,172.7)</w:t>
            </w:r>
          </w:p>
        </w:tc>
        <w:tc>
          <w:tcPr>
            <w:tcW w:w="0" w:type="dxa"/>
            <w:vAlign w:val="bottom"/>
          </w:tcPr>
          <w:p>
            <w:pPr>
              <w:spacing w:after="0"/>
              <w:rPr>
                <w:sz w:val="1"/>
                <w:szCs w:val="1"/>
                <w:color w:val="auto"/>
              </w:rPr>
            </w:pPr>
          </w:p>
        </w:tc>
      </w:tr>
      <w:tr>
        <w:trPr>
          <w:trHeight w:val="160"/>
        </w:trPr>
        <w:tc>
          <w:tcPr>
            <w:tcW w:w="544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Adjusted other operating expenses</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(13.0)</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Borders>
              <w:bottom w:val="single" w:sz="8" w:color="7FACB1"/>
            </w:tcBorders>
          </w:tcPr>
          <w:p>
            <w:pPr>
              <w:spacing w:after="0"/>
              <w:rPr>
                <w:sz w:val="13"/>
                <w:szCs w:val="13"/>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(39.2)</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(170.2)</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4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(154.1)</w:t>
            </w:r>
          </w:p>
        </w:tc>
        <w:tc>
          <w:tcPr>
            <w:tcW w:w="0" w:type="dxa"/>
            <w:vAlign w:val="bottom"/>
          </w:tcPr>
          <w:p>
            <w:pPr>
              <w:spacing w:after="0"/>
              <w:rPr>
                <w:sz w:val="1"/>
                <w:szCs w:val="1"/>
                <w:color w:val="auto"/>
              </w:rPr>
            </w:pPr>
          </w:p>
        </w:tc>
      </w:tr>
      <w:tr>
        <w:trPr>
          <w:trHeight w:val="160"/>
        </w:trPr>
        <w:tc>
          <w:tcPr>
            <w:tcW w:w="544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Adjusted other operating income</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34.4</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Borders>
              <w:bottom w:val="single" w:sz="8" w:color="7FACB1"/>
            </w:tcBorders>
          </w:tcPr>
          <w:p>
            <w:pPr>
              <w:spacing w:after="0"/>
              <w:rPr>
                <w:sz w:val="13"/>
                <w:szCs w:val="13"/>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37.6</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169.6</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4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140.6</w:t>
            </w:r>
          </w:p>
        </w:tc>
        <w:tc>
          <w:tcPr>
            <w:tcW w:w="0" w:type="dxa"/>
            <w:vAlign w:val="bottom"/>
          </w:tcPr>
          <w:p>
            <w:pPr>
              <w:spacing w:after="0"/>
              <w:rPr>
                <w:sz w:val="1"/>
                <w:szCs w:val="1"/>
                <w:color w:val="auto"/>
              </w:rPr>
            </w:pPr>
          </w:p>
        </w:tc>
      </w:tr>
      <w:tr>
        <w:trPr>
          <w:trHeight w:val="163"/>
        </w:trPr>
        <w:tc>
          <w:tcPr>
            <w:tcW w:w="544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Adjusted operating profit / (loss)</w:t>
            </w: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(97.3)</w:t>
            </w: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Borders>
              <w:bottom w:val="single" w:sz="8" w:color="005A64"/>
            </w:tcBorders>
          </w:tcPr>
          <w:p>
            <w:pPr>
              <w:spacing w:after="0"/>
              <w:rPr>
                <w:sz w:val="14"/>
                <w:szCs w:val="14"/>
                <w:color w:val="auto"/>
              </w:rPr>
            </w:pPr>
          </w:p>
        </w:tc>
        <w:tc>
          <w:tcPr>
            <w:tcW w:w="7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321.5</w:t>
            </w: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(385.9)</w:t>
            </w: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Borders>
              <w:bottom w:val="single" w:sz="8" w:color="005A64"/>
            </w:tcBorders>
          </w:tcPr>
          <w:p>
            <w:pPr>
              <w:spacing w:after="0"/>
              <w:rPr>
                <w:sz w:val="14"/>
                <w:szCs w:val="14"/>
                <w:color w:val="auto"/>
              </w:rPr>
            </w:pPr>
          </w:p>
        </w:tc>
        <w:tc>
          <w:tcPr>
            <w:tcW w:w="74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(527.3)</w:t>
            </w:r>
          </w:p>
        </w:tc>
        <w:tc>
          <w:tcPr>
            <w:tcW w:w="0" w:type="dxa"/>
            <w:vAlign w:val="bottom"/>
          </w:tcPr>
          <w:p>
            <w:pPr>
              <w:spacing w:after="0"/>
              <w:rPr>
                <w:sz w:val="1"/>
                <w:szCs w:val="1"/>
                <w:color w:val="auto"/>
              </w:rPr>
            </w:pPr>
          </w:p>
        </w:tc>
      </w:tr>
      <w:tr>
        <w:trPr>
          <w:trHeight w:val="160"/>
        </w:trPr>
        <w:tc>
          <w:tcPr>
            <w:tcW w:w="544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Adjusted profit / (loss) before tax</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(1.9)</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Borders>
              <w:bottom w:val="single" w:sz="8" w:color="005A64"/>
            </w:tcBorders>
          </w:tcPr>
          <w:p>
            <w:pPr>
              <w:spacing w:after="0"/>
              <w:rPr>
                <w:sz w:val="13"/>
                <w:szCs w:val="13"/>
                <w:color w:val="auto"/>
              </w:rPr>
            </w:pPr>
          </w:p>
        </w:tc>
        <w:tc>
          <w:tcPr>
            <w:tcW w:w="7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474.1</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(31.8)</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005A64"/>
            </w:tcBorders>
          </w:tcPr>
          <w:p>
            <w:pPr>
              <w:spacing w:after="0"/>
              <w:rPr>
                <w:sz w:val="13"/>
                <w:szCs w:val="13"/>
                <w:color w:val="auto"/>
              </w:rPr>
            </w:pPr>
          </w:p>
        </w:tc>
        <w:tc>
          <w:tcPr>
            <w:tcW w:w="74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109.3</w:t>
            </w:r>
          </w:p>
        </w:tc>
        <w:tc>
          <w:tcPr>
            <w:tcW w:w="0" w:type="dxa"/>
            <w:vAlign w:val="bottom"/>
          </w:tcPr>
          <w:p>
            <w:pPr>
              <w:spacing w:after="0"/>
              <w:rPr>
                <w:sz w:val="1"/>
                <w:szCs w:val="1"/>
                <w:color w:val="auto"/>
              </w:rPr>
            </w:pPr>
          </w:p>
        </w:tc>
      </w:tr>
      <w:tr>
        <w:trPr>
          <w:trHeight w:val="167"/>
        </w:trPr>
        <w:tc>
          <w:tcPr>
            <w:tcW w:w="544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Adjusted net profit / (loss)</w:t>
            </w:r>
            <w:r>
              <w:rPr>
                <w:rFonts w:ascii="Arial" w:cs="Arial" w:eastAsia="Arial" w:hAnsi="Arial"/>
                <w:sz w:val="14"/>
                <w:szCs w:val="14"/>
                <w:b w:val="1"/>
                <w:bCs w:val="1"/>
                <w:color w:val="005A64"/>
                <w:vertAlign w:val="superscript"/>
              </w:rPr>
              <w:t>2</w:t>
            </w: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(79.5)</w:t>
            </w: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Borders>
              <w:bottom w:val="single" w:sz="8" w:color="005A64"/>
            </w:tcBorders>
          </w:tcPr>
          <w:p>
            <w:pPr>
              <w:spacing w:after="0"/>
              <w:rPr>
                <w:sz w:val="14"/>
                <w:szCs w:val="14"/>
                <w:color w:val="auto"/>
              </w:rPr>
            </w:pPr>
          </w:p>
        </w:tc>
        <w:tc>
          <w:tcPr>
            <w:tcW w:w="7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432.4</w:t>
            </w: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(117.1)</w:t>
            </w: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Borders>
              <w:bottom w:val="single" w:sz="8" w:color="005A64"/>
            </w:tcBorders>
          </w:tcPr>
          <w:p>
            <w:pPr>
              <w:spacing w:after="0"/>
              <w:rPr>
                <w:sz w:val="14"/>
                <w:szCs w:val="14"/>
                <w:color w:val="auto"/>
              </w:rPr>
            </w:pPr>
          </w:p>
        </w:tc>
        <w:tc>
          <w:tcPr>
            <w:tcW w:w="74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121.7</w:t>
            </w:r>
          </w:p>
        </w:tc>
        <w:tc>
          <w:tcPr>
            <w:tcW w:w="0" w:type="dxa"/>
            <w:vAlign w:val="bottom"/>
          </w:tcPr>
          <w:p>
            <w:pPr>
              <w:spacing w:after="0"/>
              <w:rPr>
                <w:sz w:val="1"/>
                <w:szCs w:val="1"/>
                <w:color w:val="auto"/>
              </w:rPr>
            </w:pPr>
          </w:p>
        </w:tc>
      </w:tr>
      <w:tr>
        <w:trPr>
          <w:trHeight w:val="153"/>
        </w:trPr>
        <w:tc>
          <w:tcPr>
            <w:tcW w:w="544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3C9673"/>
              </w:rPr>
              <w:t>Adjusted earnings / (loss) per share</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Borders>
              <w:bottom w:val="single" w:sz="8" w:color="7FACB1"/>
            </w:tcBorders>
          </w:tcPr>
          <w:p>
            <w:pPr>
              <w:spacing w:after="0"/>
              <w:rPr>
                <w:sz w:val="13"/>
                <w:szCs w:val="13"/>
                <w:color w:val="auto"/>
              </w:rPr>
            </w:pP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Borders>
              <w:bottom w:val="single" w:sz="8" w:color="7FACB1"/>
            </w:tcBorders>
          </w:tcPr>
          <w:p>
            <w:pPr>
              <w:spacing w:after="0"/>
              <w:rPr>
                <w:sz w:val="13"/>
                <w:szCs w:val="13"/>
                <w:color w:val="auto"/>
              </w:rPr>
            </w:pPr>
          </w:p>
        </w:tc>
        <w:tc>
          <w:tcPr>
            <w:tcW w:w="700" w:type="dxa"/>
            <w:vAlign w:val="bottom"/>
            <w:tcBorders>
              <w:bottom w:val="single" w:sz="8" w:color="7FACB1"/>
            </w:tcBorders>
          </w:tcPr>
          <w:p>
            <w:pPr>
              <w:spacing w:after="0"/>
              <w:rPr>
                <w:sz w:val="13"/>
                <w:szCs w:val="13"/>
                <w:color w:val="auto"/>
              </w:rPr>
            </w:pP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Borders>
              <w:bottom w:val="single" w:sz="8" w:color="7FACB1"/>
            </w:tcBorders>
          </w:tcPr>
          <w:p>
            <w:pPr>
              <w:spacing w:after="0"/>
              <w:rPr>
                <w:sz w:val="13"/>
                <w:szCs w:val="13"/>
                <w:color w:val="auto"/>
              </w:rPr>
            </w:pP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40" w:type="dxa"/>
            <w:vAlign w:val="bottom"/>
            <w:tcBorders>
              <w:bottom w:val="single" w:sz="8" w:color="7FACB1"/>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4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Adjusted basic earnings / (loss) per share</w:t>
            </w:r>
          </w:p>
        </w:tc>
        <w:tc>
          <w:tcPr>
            <w:tcW w:w="100" w:type="dxa"/>
            <w:vAlign w:val="bottom"/>
            <w:tcBorders>
              <w:right w:val="single" w:sz="8" w:color="BECE33"/>
            </w:tcBorders>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(0.33)</w:t>
            </w:r>
          </w:p>
        </w:tc>
        <w:tc>
          <w:tcPr>
            <w:tcW w:w="100" w:type="dxa"/>
            <w:vAlign w:val="bottom"/>
            <w:tcBorders>
              <w:right w:val="single" w:sz="8" w:color="BECE33"/>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Borders>
              <w:bottom w:val="single" w:sz="8" w:color="7FACB1"/>
            </w:tcBorders>
          </w:tcPr>
          <w:p>
            <w:pPr>
              <w:spacing w:after="0"/>
              <w:rPr>
                <w:sz w:val="13"/>
                <w:szCs w:val="13"/>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1.80</w:t>
            </w:r>
          </w:p>
        </w:tc>
        <w:tc>
          <w:tcPr>
            <w:tcW w:w="100" w:type="dxa"/>
            <w:vAlign w:val="bottom"/>
            <w:tcBorders>
              <w:right w:val="single" w:sz="8" w:color="BECE33"/>
            </w:tcBorders>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(0.48)</w:t>
            </w:r>
          </w:p>
        </w:tc>
        <w:tc>
          <w:tcPr>
            <w:tcW w:w="100" w:type="dxa"/>
            <w:vAlign w:val="bottom"/>
            <w:tcBorders>
              <w:right w:val="single" w:sz="8" w:color="BECE33"/>
            </w:tcBorders>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7FACB1"/>
            </w:tcBorders>
          </w:tcPr>
          <w:p>
            <w:pPr>
              <w:spacing w:after="0"/>
              <w:rPr>
                <w:sz w:val="13"/>
                <w:szCs w:val="13"/>
                <w:color w:val="auto"/>
              </w:rPr>
            </w:pPr>
          </w:p>
        </w:tc>
        <w:tc>
          <w:tcPr>
            <w:tcW w:w="74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0.51</w:t>
            </w:r>
          </w:p>
        </w:tc>
        <w:tc>
          <w:tcPr>
            <w:tcW w:w="0" w:type="dxa"/>
            <w:vAlign w:val="bottom"/>
          </w:tcPr>
          <w:p>
            <w:pPr>
              <w:spacing w:after="0"/>
              <w:rPr>
                <w:sz w:val="1"/>
                <w:szCs w:val="1"/>
                <w:color w:val="auto"/>
              </w:rPr>
            </w:pPr>
          </w:p>
        </w:tc>
      </w:tr>
      <w:tr>
        <w:trPr>
          <w:trHeight w:val="159"/>
        </w:trPr>
        <w:tc>
          <w:tcPr>
            <w:tcW w:w="5440" w:type="dxa"/>
            <w:vAlign w:val="bottom"/>
            <w:tcBorders>
              <w:bottom w:val="single" w:sz="8" w:color="005A64"/>
            </w:tcBorders>
          </w:tcPr>
          <w:p>
            <w:pPr>
              <w:spacing w:after="0"/>
              <w:rPr>
                <w:sz w:val="20"/>
                <w:szCs w:val="20"/>
                <w:color w:val="auto"/>
              </w:rPr>
            </w:pPr>
            <w:r>
              <w:rPr>
                <w:rFonts w:ascii="Arial" w:cs="Arial" w:eastAsia="Arial" w:hAnsi="Arial"/>
                <w:sz w:val="11"/>
                <w:szCs w:val="11"/>
                <w:color w:val="005A64"/>
              </w:rPr>
              <w:t>Adjusted diluted earnings / (loss) per share</w:t>
            </w:r>
          </w:p>
        </w:tc>
        <w:tc>
          <w:tcPr>
            <w:tcW w:w="100" w:type="dxa"/>
            <w:vAlign w:val="bottom"/>
            <w:tcBorders>
              <w:right w:val="single" w:sz="8" w:color="BECD32"/>
            </w:tcBorders>
          </w:tcPr>
          <w:p>
            <w:pPr>
              <w:spacing w:after="0"/>
              <w:rPr>
                <w:sz w:val="13"/>
                <w:szCs w:val="13"/>
                <w:color w:val="auto"/>
              </w:rPr>
            </w:pPr>
          </w:p>
        </w:tc>
        <w:tc>
          <w:tcPr>
            <w:tcW w:w="1360" w:type="dxa"/>
            <w:vAlign w:val="bottom"/>
            <w:tcBorders>
              <w:bottom w:val="single" w:sz="8" w:color="BECD32"/>
            </w:tcBorders>
            <w:gridSpan w:val="2"/>
          </w:tcPr>
          <w:p>
            <w:pPr>
              <w:jc w:val="right"/>
              <w:spacing w:after="0"/>
              <w:rPr>
                <w:sz w:val="20"/>
                <w:szCs w:val="20"/>
                <w:color w:val="auto"/>
              </w:rPr>
            </w:pPr>
            <w:r>
              <w:rPr>
                <w:rFonts w:ascii="Arial" w:cs="Arial" w:eastAsia="Arial" w:hAnsi="Arial"/>
                <w:sz w:val="11"/>
                <w:szCs w:val="11"/>
                <w:color w:val="005A64"/>
              </w:rPr>
              <w:t>(0.33)</w:t>
            </w:r>
          </w:p>
        </w:tc>
        <w:tc>
          <w:tcPr>
            <w:tcW w:w="100" w:type="dxa"/>
            <w:vAlign w:val="bottom"/>
            <w:tcBorders>
              <w:bottom w:val="single" w:sz="8" w:color="BECD32"/>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Borders>
              <w:bottom w:val="single" w:sz="8" w:color="005A64"/>
            </w:tcBorders>
          </w:tcPr>
          <w:p>
            <w:pPr>
              <w:spacing w:after="0"/>
              <w:rPr>
                <w:sz w:val="13"/>
                <w:szCs w:val="13"/>
                <w:color w:val="auto"/>
              </w:rPr>
            </w:pPr>
          </w:p>
        </w:tc>
        <w:tc>
          <w:tcPr>
            <w:tcW w:w="700" w:type="dxa"/>
            <w:vAlign w:val="bottom"/>
            <w:tcBorders>
              <w:bottom w:val="single" w:sz="8" w:color="005A64"/>
            </w:tcBorders>
          </w:tcPr>
          <w:p>
            <w:pPr>
              <w:jc w:val="right"/>
              <w:spacing w:after="0"/>
              <w:rPr>
                <w:sz w:val="20"/>
                <w:szCs w:val="20"/>
                <w:color w:val="auto"/>
              </w:rPr>
            </w:pPr>
            <w:r>
              <w:rPr>
                <w:rFonts w:ascii="Arial" w:cs="Arial" w:eastAsia="Arial" w:hAnsi="Arial"/>
                <w:sz w:val="11"/>
                <w:szCs w:val="11"/>
                <w:color w:val="005A64"/>
              </w:rPr>
              <w:t>1.79</w:t>
            </w:r>
          </w:p>
        </w:tc>
        <w:tc>
          <w:tcPr>
            <w:tcW w:w="100" w:type="dxa"/>
            <w:vAlign w:val="bottom"/>
            <w:tcBorders>
              <w:right w:val="single" w:sz="8" w:color="BECD32"/>
            </w:tcBorders>
          </w:tcPr>
          <w:p>
            <w:pPr>
              <w:spacing w:after="0"/>
              <w:rPr>
                <w:sz w:val="13"/>
                <w:szCs w:val="13"/>
                <w:color w:val="auto"/>
              </w:rPr>
            </w:pPr>
          </w:p>
        </w:tc>
        <w:tc>
          <w:tcPr>
            <w:tcW w:w="1360" w:type="dxa"/>
            <w:vAlign w:val="bottom"/>
            <w:tcBorders>
              <w:bottom w:val="single" w:sz="8" w:color="BECD32"/>
            </w:tcBorders>
            <w:gridSpan w:val="2"/>
          </w:tcPr>
          <w:p>
            <w:pPr>
              <w:jc w:val="right"/>
              <w:spacing w:after="0"/>
              <w:rPr>
                <w:sz w:val="20"/>
                <w:szCs w:val="20"/>
                <w:color w:val="auto"/>
              </w:rPr>
            </w:pPr>
            <w:r>
              <w:rPr>
                <w:rFonts w:ascii="Arial" w:cs="Arial" w:eastAsia="Arial" w:hAnsi="Arial"/>
                <w:sz w:val="11"/>
                <w:szCs w:val="11"/>
                <w:color w:val="005A64"/>
              </w:rPr>
              <w:t>(0.48)</w:t>
            </w:r>
          </w:p>
        </w:tc>
        <w:tc>
          <w:tcPr>
            <w:tcW w:w="100" w:type="dxa"/>
            <w:vAlign w:val="bottom"/>
            <w:tcBorders>
              <w:bottom w:val="single" w:sz="8" w:color="BECD32"/>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005A64"/>
            </w:tcBorders>
          </w:tcPr>
          <w:p>
            <w:pPr>
              <w:spacing w:after="0"/>
              <w:rPr>
                <w:sz w:val="13"/>
                <w:szCs w:val="13"/>
                <w:color w:val="auto"/>
              </w:rPr>
            </w:pPr>
          </w:p>
        </w:tc>
        <w:tc>
          <w:tcPr>
            <w:tcW w:w="740" w:type="dxa"/>
            <w:vAlign w:val="bottom"/>
            <w:tcBorders>
              <w:bottom w:val="single" w:sz="8" w:color="005A64"/>
            </w:tcBorders>
          </w:tcPr>
          <w:p>
            <w:pPr>
              <w:jc w:val="right"/>
              <w:spacing w:after="0"/>
              <w:rPr>
                <w:sz w:val="20"/>
                <w:szCs w:val="20"/>
                <w:color w:val="auto"/>
              </w:rPr>
            </w:pPr>
            <w:r>
              <w:rPr>
                <w:rFonts w:ascii="Arial" w:cs="Arial" w:eastAsia="Arial" w:hAnsi="Arial"/>
                <w:sz w:val="11"/>
                <w:szCs w:val="11"/>
                <w:color w:val="005A64"/>
              </w:rPr>
              <w:t>0.50</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8" w:right="20" w:hanging="48"/>
        <w:spacing w:after="0" w:line="231" w:lineRule="auto"/>
        <w:tabs>
          <w:tab w:leader="none" w:pos="52" w:val="left"/>
        </w:tabs>
        <w:numPr>
          <w:ilvl w:val="0"/>
          <w:numId w:val="13"/>
        </w:numPr>
        <w:rPr>
          <w:rFonts w:ascii="Arial" w:cs="Arial" w:eastAsia="Arial" w:hAnsi="Arial"/>
          <w:sz w:val="14"/>
          <w:szCs w:val="14"/>
          <w:color w:val="auto"/>
          <w:vertAlign w:val="superscript"/>
        </w:rPr>
      </w:pPr>
      <w:r>
        <w:rPr>
          <w:rFonts w:ascii="Arial" w:cs="Arial" w:eastAsia="Arial" w:hAnsi="Arial"/>
          <w:sz w:val="11"/>
          <w:szCs w:val="11"/>
          <w:color w:val="auto"/>
        </w:rPr>
        <w:t>Certain adjusted results presented in this table are identical to our results under IFRS Accounting Standards. Reconciliation of all other adjusted results to our IFRS results can be found at the end of this press release and in BioNTech’s Report on Form 20-F for the year ended December 31, 2025, filed on March 10, 2026, which is available at www.sec.gov.</w:t>
      </w:r>
    </w:p>
    <w:p>
      <w:pPr>
        <w:ind w:left="68" w:hanging="68"/>
        <w:spacing w:after="0" w:line="201" w:lineRule="auto"/>
        <w:tabs>
          <w:tab w:leader="none" w:pos="68" w:val="left"/>
        </w:tabs>
        <w:numPr>
          <w:ilvl w:val="0"/>
          <w:numId w:val="14"/>
        </w:numPr>
        <w:rPr>
          <w:rFonts w:ascii="Arial" w:cs="Arial" w:eastAsia="Arial" w:hAnsi="Arial"/>
          <w:sz w:val="14"/>
          <w:szCs w:val="14"/>
          <w:color w:val="auto"/>
          <w:vertAlign w:val="superscript"/>
        </w:rPr>
      </w:pPr>
      <w:r>
        <w:rPr>
          <w:rFonts w:ascii="Arial" w:cs="Arial" w:eastAsia="Arial" w:hAnsi="Arial"/>
          <w:sz w:val="11"/>
          <w:szCs w:val="11"/>
          <w:color w:val="auto"/>
        </w:rPr>
        <w:t>Tax effects are not considered as part of our non-IFRS adjustments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308"/>
          </w:cols>
          <w:pgMar w:left="292" w:top="1327" w:right="29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303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423035" cy="154305"/>
                    </a:xfrm>
                    <a:prstGeom prst="rect">
                      <a:avLst/>
                    </a:prstGeom>
                    <a:noFill/>
                  </pic:spPr>
                </pic:pic>
              </a:graphicData>
            </a:graphic>
          </wp:anchor>
        </w:drawing>
        <w:t>Consolidated Statements of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166610"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6610" cy="11430"/>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380" w:type="dxa"/>
            <w:vAlign w:val="bottom"/>
          </w:tcPr>
          <w:p>
            <w:pPr>
              <w:spacing w:after="0"/>
              <w:rPr>
                <w:sz w:val="14"/>
                <w:szCs w:val="14"/>
                <w:color w:val="auto"/>
              </w:rPr>
            </w:pPr>
          </w:p>
        </w:tc>
        <w:tc>
          <w:tcPr>
            <w:tcW w:w="120" w:type="dxa"/>
            <w:vAlign w:val="bottom"/>
            <w:tcBorders>
              <w:right w:val="single" w:sz="8" w:color="BECD32"/>
            </w:tcBorders>
          </w:tcPr>
          <w:p>
            <w:pPr>
              <w:spacing w:after="0"/>
              <w:rPr>
                <w:sz w:val="14"/>
                <w:szCs w:val="14"/>
                <w:color w:val="auto"/>
              </w:rPr>
            </w:pPr>
          </w:p>
        </w:tc>
        <w:tc>
          <w:tcPr>
            <w:tcW w:w="60" w:type="dxa"/>
            <w:vAlign w:val="bottom"/>
            <w:tcBorders>
              <w:top w:val="single" w:sz="8" w:color="BECD32"/>
            </w:tcBorders>
          </w:tcPr>
          <w:p>
            <w:pPr>
              <w:spacing w:after="0"/>
              <w:rPr>
                <w:sz w:val="14"/>
                <w:szCs w:val="14"/>
                <w:color w:val="auto"/>
              </w:rPr>
            </w:pPr>
          </w:p>
        </w:tc>
        <w:tc>
          <w:tcPr>
            <w:tcW w:w="1880" w:type="dxa"/>
            <w:vAlign w:val="bottom"/>
            <w:tcBorders>
              <w:top w:val="single" w:sz="8" w:color="BECD32"/>
              <w:right w:val="single" w:sz="8" w:color="BECD32"/>
            </w:tcBorders>
            <w:gridSpan w:val="2"/>
          </w:tcPr>
          <w:p>
            <w:pPr>
              <w:ind w:left="1060"/>
              <w:spacing w:after="0"/>
              <w:rPr>
                <w:sz w:val="20"/>
                <w:szCs w:val="20"/>
                <w:color w:val="auto"/>
              </w:rPr>
            </w:pPr>
            <w:r>
              <w:rPr>
                <w:rFonts w:ascii="Arial" w:cs="Arial" w:eastAsia="Arial" w:hAnsi="Arial"/>
                <w:sz w:val="11"/>
                <w:szCs w:val="11"/>
                <w:b w:val="1"/>
                <w:bCs w:val="1"/>
                <w:color w:val="005A64"/>
              </w:rPr>
              <w:t>December 31,</w:t>
            </w:r>
          </w:p>
        </w:tc>
        <w:tc>
          <w:tcPr>
            <w:tcW w:w="6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1"/>
                <w:szCs w:val="11"/>
                <w:b w:val="1"/>
                <w:bCs w:val="1"/>
                <w:color w:val="005A64"/>
              </w:rPr>
              <w:t>December 31,</w:t>
            </w:r>
          </w:p>
        </w:tc>
      </w:tr>
      <w:tr>
        <w:trPr>
          <w:trHeight w:val="169"/>
        </w:trPr>
        <w:tc>
          <w:tcPr>
            <w:tcW w:w="7500" w:type="dxa"/>
            <w:vAlign w:val="bottom"/>
            <w:tcBorders>
              <w:right w:val="single" w:sz="8" w:color="BECD32"/>
            </w:tcBorders>
            <w:gridSpan w:val="2"/>
          </w:tcPr>
          <w:p>
            <w:pPr>
              <w:spacing w:after="0"/>
              <w:rPr>
                <w:sz w:val="20"/>
                <w:szCs w:val="20"/>
                <w:color w:val="auto"/>
              </w:rPr>
            </w:pPr>
            <w:r>
              <w:rPr>
                <w:rFonts w:ascii="Arial" w:cs="Arial" w:eastAsia="Arial" w:hAnsi="Arial"/>
                <w:sz w:val="11"/>
                <w:szCs w:val="11"/>
                <w:i w:val="1"/>
                <w:iCs w:val="1"/>
                <w:color w:val="005A64"/>
              </w:rPr>
              <w:t>(in millions €)</w:t>
            </w:r>
          </w:p>
        </w:tc>
        <w:tc>
          <w:tcPr>
            <w:tcW w:w="1840" w:type="dxa"/>
            <w:vAlign w:val="bottom"/>
            <w:gridSpan w:val="2"/>
          </w:tcPr>
          <w:p>
            <w:pPr>
              <w:jc w:val="right"/>
              <w:spacing w:after="0"/>
              <w:rPr>
                <w:sz w:val="20"/>
                <w:szCs w:val="20"/>
                <w:color w:val="auto"/>
              </w:rPr>
            </w:pPr>
            <w:r>
              <w:rPr>
                <w:rFonts w:ascii="Arial" w:cs="Arial" w:eastAsia="Arial" w:hAnsi="Arial"/>
                <w:sz w:val="11"/>
                <w:szCs w:val="11"/>
                <w:b w:val="1"/>
                <w:bCs w:val="1"/>
                <w:color w:val="005A64"/>
              </w:rPr>
              <w:t>2025</w:t>
            </w: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1"/>
                <w:szCs w:val="11"/>
                <w:b w:val="1"/>
                <w:bCs w:val="1"/>
                <w:color w:val="005A64"/>
              </w:rPr>
              <w:t>2024</w:t>
            </w:r>
          </w:p>
        </w:tc>
      </w:tr>
      <w:tr>
        <w:trPr>
          <w:trHeight w:val="178"/>
        </w:trPr>
        <w:tc>
          <w:tcPr>
            <w:tcW w:w="73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Assets</w:t>
            </w:r>
          </w:p>
        </w:tc>
        <w:tc>
          <w:tcPr>
            <w:tcW w:w="120" w:type="dxa"/>
            <w:vAlign w:val="bottom"/>
            <w:tcBorders>
              <w:right w:val="single" w:sz="8" w:color="BECD32"/>
            </w:tcBorders>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Borders>
              <w:bottom w:val="single" w:sz="8" w:color="005A64"/>
            </w:tcBorders>
          </w:tcPr>
          <w:p>
            <w:pPr>
              <w:spacing w:after="0"/>
              <w:rPr>
                <w:sz w:val="15"/>
                <w:szCs w:val="15"/>
                <w:color w:val="auto"/>
              </w:rPr>
            </w:pPr>
          </w:p>
        </w:tc>
        <w:tc>
          <w:tcPr>
            <w:tcW w:w="100" w:type="dxa"/>
            <w:vAlign w:val="bottom"/>
            <w:tcBorders>
              <w:right w:val="single" w:sz="8" w:color="BECD32"/>
            </w:tcBorders>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Borders>
              <w:bottom w:val="single" w:sz="8" w:color="005A64"/>
            </w:tcBorders>
          </w:tcPr>
          <w:p>
            <w:pPr>
              <w:spacing w:after="0"/>
              <w:rPr>
                <w:sz w:val="15"/>
                <w:szCs w:val="15"/>
                <w:color w:val="auto"/>
              </w:rPr>
            </w:pPr>
          </w:p>
        </w:tc>
      </w:tr>
      <w:tr>
        <w:trPr>
          <w:trHeight w:val="160"/>
        </w:trPr>
        <w:tc>
          <w:tcPr>
            <w:tcW w:w="738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3C9673"/>
              </w:rPr>
              <w:t>Non-current assets</w:t>
            </w:r>
          </w:p>
        </w:tc>
        <w:tc>
          <w:tcPr>
            <w:tcW w:w="12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7FACB1"/>
            </w:tcBorders>
          </w:tcPr>
          <w:p>
            <w:pPr>
              <w:spacing w:after="0"/>
              <w:rPr>
                <w:sz w:val="13"/>
                <w:szCs w:val="13"/>
                <w:color w:val="auto"/>
              </w:rPr>
            </w:pP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7FACB1"/>
            </w:tcBorders>
          </w:tcPr>
          <w:p>
            <w:pPr>
              <w:spacing w:after="0"/>
              <w:rPr>
                <w:sz w:val="13"/>
                <w:szCs w:val="13"/>
                <w:color w:val="auto"/>
              </w:rPr>
            </w:pPr>
          </w:p>
        </w:tc>
      </w:tr>
      <w:tr>
        <w:trPr>
          <w:trHeight w:val="156"/>
        </w:trPr>
        <w:tc>
          <w:tcPr>
            <w:tcW w:w="750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Goodwill</w:t>
            </w:r>
          </w:p>
        </w:tc>
        <w:tc>
          <w:tcPr>
            <w:tcW w:w="184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367.9</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380.6</w:t>
            </w:r>
          </w:p>
        </w:tc>
      </w:tr>
      <w:tr>
        <w:trPr>
          <w:trHeight w:val="160"/>
        </w:trPr>
        <w:tc>
          <w:tcPr>
            <w:tcW w:w="750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Other intangible assets</w:t>
            </w:r>
          </w:p>
        </w:tc>
        <w:tc>
          <w:tcPr>
            <w:tcW w:w="184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1,606.0</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790.4</w:t>
            </w:r>
          </w:p>
        </w:tc>
      </w:tr>
      <w:tr>
        <w:trPr>
          <w:trHeight w:val="160"/>
        </w:trPr>
        <w:tc>
          <w:tcPr>
            <w:tcW w:w="750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Property, plant and equipment</w:t>
            </w:r>
          </w:p>
        </w:tc>
        <w:tc>
          <w:tcPr>
            <w:tcW w:w="184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1,080.9</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935.3</w:t>
            </w:r>
          </w:p>
        </w:tc>
      </w:tr>
      <w:tr>
        <w:trPr>
          <w:trHeight w:val="160"/>
        </w:trPr>
        <w:tc>
          <w:tcPr>
            <w:tcW w:w="750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Right-of-use assets</w:t>
            </w:r>
          </w:p>
        </w:tc>
        <w:tc>
          <w:tcPr>
            <w:tcW w:w="184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210.2</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248.1</w:t>
            </w:r>
          </w:p>
        </w:tc>
      </w:tr>
      <w:tr>
        <w:trPr>
          <w:trHeight w:val="160"/>
        </w:trPr>
        <w:tc>
          <w:tcPr>
            <w:tcW w:w="750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Contract assets</w:t>
            </w:r>
          </w:p>
        </w:tc>
        <w:tc>
          <w:tcPr>
            <w:tcW w:w="184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2.0</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9.8</w:t>
            </w:r>
          </w:p>
        </w:tc>
      </w:tr>
      <w:tr>
        <w:trPr>
          <w:trHeight w:val="160"/>
        </w:trPr>
        <w:tc>
          <w:tcPr>
            <w:tcW w:w="750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Other financial assets</w:t>
            </w:r>
          </w:p>
        </w:tc>
        <w:tc>
          <w:tcPr>
            <w:tcW w:w="184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2,554.2</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1,254.0</w:t>
            </w:r>
          </w:p>
        </w:tc>
      </w:tr>
      <w:tr>
        <w:trPr>
          <w:trHeight w:val="160"/>
        </w:trPr>
        <w:tc>
          <w:tcPr>
            <w:tcW w:w="750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Other non-financial assets</w:t>
            </w:r>
          </w:p>
        </w:tc>
        <w:tc>
          <w:tcPr>
            <w:tcW w:w="184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7.3</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26.3</w:t>
            </w:r>
          </w:p>
        </w:tc>
      </w:tr>
      <w:tr>
        <w:trPr>
          <w:trHeight w:val="160"/>
        </w:trPr>
        <w:tc>
          <w:tcPr>
            <w:tcW w:w="750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Deferred tax assets</w:t>
            </w:r>
          </w:p>
        </w:tc>
        <w:tc>
          <w:tcPr>
            <w:tcW w:w="184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13.5</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81.7</w:t>
            </w:r>
          </w:p>
        </w:tc>
      </w:tr>
      <w:tr>
        <w:trPr>
          <w:trHeight w:val="164"/>
        </w:trPr>
        <w:tc>
          <w:tcPr>
            <w:tcW w:w="73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non-current assets</w:t>
            </w:r>
          </w:p>
        </w:tc>
        <w:tc>
          <w:tcPr>
            <w:tcW w:w="12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5,842.0</w:t>
            </w: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3,726.2</w:t>
            </w:r>
          </w:p>
        </w:tc>
      </w:tr>
      <w:tr>
        <w:trPr>
          <w:trHeight w:val="160"/>
        </w:trPr>
        <w:tc>
          <w:tcPr>
            <w:tcW w:w="738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3C9673"/>
              </w:rPr>
              <w:t>Current assets</w:t>
            </w:r>
          </w:p>
        </w:tc>
        <w:tc>
          <w:tcPr>
            <w:tcW w:w="12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7FACB1"/>
            </w:tcBorders>
          </w:tcPr>
          <w:p>
            <w:pPr>
              <w:spacing w:after="0"/>
              <w:rPr>
                <w:sz w:val="13"/>
                <w:szCs w:val="13"/>
                <w:color w:val="auto"/>
              </w:rPr>
            </w:pP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7FACB1"/>
            </w:tcBorders>
          </w:tcPr>
          <w:p>
            <w:pPr>
              <w:spacing w:after="0"/>
              <w:rPr>
                <w:sz w:val="13"/>
                <w:szCs w:val="13"/>
                <w:color w:val="auto"/>
              </w:rPr>
            </w:pPr>
          </w:p>
        </w:tc>
      </w:tr>
      <w:tr>
        <w:trPr>
          <w:trHeight w:val="156"/>
        </w:trPr>
        <w:tc>
          <w:tcPr>
            <w:tcW w:w="750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Inventories</w:t>
            </w:r>
          </w:p>
        </w:tc>
        <w:tc>
          <w:tcPr>
            <w:tcW w:w="184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110.7</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283.3</w:t>
            </w:r>
          </w:p>
        </w:tc>
      </w:tr>
      <w:tr>
        <w:trPr>
          <w:trHeight w:val="160"/>
        </w:trPr>
        <w:tc>
          <w:tcPr>
            <w:tcW w:w="750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Trade and other receivables</w:t>
            </w:r>
          </w:p>
        </w:tc>
        <w:tc>
          <w:tcPr>
            <w:tcW w:w="184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924.2</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1,463.9</w:t>
            </w:r>
          </w:p>
        </w:tc>
      </w:tr>
      <w:tr>
        <w:trPr>
          <w:trHeight w:val="160"/>
        </w:trPr>
        <w:tc>
          <w:tcPr>
            <w:tcW w:w="750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Contract assets</w:t>
            </w:r>
          </w:p>
        </w:tc>
        <w:tc>
          <w:tcPr>
            <w:tcW w:w="184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8.1</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10.0</w:t>
            </w:r>
          </w:p>
        </w:tc>
      </w:tr>
      <w:tr>
        <w:trPr>
          <w:trHeight w:val="160"/>
        </w:trPr>
        <w:tc>
          <w:tcPr>
            <w:tcW w:w="750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Other financial assets</w:t>
            </w:r>
          </w:p>
        </w:tc>
        <w:tc>
          <w:tcPr>
            <w:tcW w:w="184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7,201.8</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7,021.7</w:t>
            </w:r>
          </w:p>
        </w:tc>
      </w:tr>
      <w:tr>
        <w:trPr>
          <w:trHeight w:val="160"/>
        </w:trPr>
        <w:tc>
          <w:tcPr>
            <w:tcW w:w="750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Other non-financial assets</w:t>
            </w:r>
          </w:p>
        </w:tc>
        <w:tc>
          <w:tcPr>
            <w:tcW w:w="184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173.8</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212.7</w:t>
            </w:r>
          </w:p>
        </w:tc>
      </w:tr>
      <w:tr>
        <w:trPr>
          <w:trHeight w:val="160"/>
        </w:trPr>
        <w:tc>
          <w:tcPr>
            <w:tcW w:w="750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Income tax assets</w:t>
            </w:r>
          </w:p>
        </w:tc>
        <w:tc>
          <w:tcPr>
            <w:tcW w:w="184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52.6</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50.0</w:t>
            </w:r>
          </w:p>
        </w:tc>
      </w:tr>
      <w:tr>
        <w:trPr>
          <w:trHeight w:val="160"/>
        </w:trPr>
        <w:tc>
          <w:tcPr>
            <w:tcW w:w="750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Cash and cash equivalents</w:t>
            </w:r>
          </w:p>
        </w:tc>
        <w:tc>
          <w:tcPr>
            <w:tcW w:w="184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7,675.4</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9,761.9</w:t>
            </w:r>
          </w:p>
        </w:tc>
      </w:tr>
      <w:tr>
        <w:trPr>
          <w:trHeight w:val="164"/>
        </w:trPr>
        <w:tc>
          <w:tcPr>
            <w:tcW w:w="73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current assets</w:t>
            </w:r>
          </w:p>
        </w:tc>
        <w:tc>
          <w:tcPr>
            <w:tcW w:w="12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16,146.6</w:t>
            </w: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18,803.5</w:t>
            </w:r>
          </w:p>
        </w:tc>
      </w:tr>
      <w:tr>
        <w:trPr>
          <w:trHeight w:val="160"/>
        </w:trPr>
        <w:tc>
          <w:tcPr>
            <w:tcW w:w="73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assets</w:t>
            </w:r>
          </w:p>
        </w:tc>
        <w:tc>
          <w:tcPr>
            <w:tcW w:w="12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21,988.6</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22,529.7</w:t>
            </w:r>
          </w:p>
        </w:tc>
      </w:tr>
      <w:tr>
        <w:trPr>
          <w:trHeight w:val="322"/>
        </w:trPr>
        <w:tc>
          <w:tcPr>
            <w:tcW w:w="73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Equity and liabilities</w:t>
            </w:r>
          </w:p>
        </w:tc>
        <w:tc>
          <w:tcPr>
            <w:tcW w:w="120" w:type="dxa"/>
            <w:vAlign w:val="bottom"/>
            <w:tcBorders>
              <w:right w:val="single" w:sz="8" w:color="BECD32"/>
            </w:tcBorders>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Borders>
              <w:bottom w:val="single" w:sz="8" w:color="005A64"/>
            </w:tcBorders>
          </w:tcPr>
          <w:p>
            <w:pPr>
              <w:spacing w:after="0"/>
              <w:rPr>
                <w:sz w:val="24"/>
                <w:szCs w:val="24"/>
                <w:color w:val="auto"/>
              </w:rPr>
            </w:pPr>
          </w:p>
        </w:tc>
        <w:tc>
          <w:tcPr>
            <w:tcW w:w="100" w:type="dxa"/>
            <w:vAlign w:val="bottom"/>
            <w:tcBorders>
              <w:right w:val="single" w:sz="8" w:color="BECD32"/>
            </w:tcBorders>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Borders>
              <w:bottom w:val="single" w:sz="8" w:color="005A64"/>
            </w:tcBorders>
          </w:tcPr>
          <w:p>
            <w:pPr>
              <w:spacing w:after="0"/>
              <w:rPr>
                <w:sz w:val="24"/>
                <w:szCs w:val="24"/>
                <w:color w:val="auto"/>
              </w:rPr>
            </w:pPr>
          </w:p>
        </w:tc>
      </w:tr>
      <w:tr>
        <w:trPr>
          <w:trHeight w:val="160"/>
        </w:trPr>
        <w:tc>
          <w:tcPr>
            <w:tcW w:w="738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3C9673"/>
              </w:rPr>
              <w:t>Equity</w:t>
            </w:r>
          </w:p>
        </w:tc>
        <w:tc>
          <w:tcPr>
            <w:tcW w:w="12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7FACB1"/>
            </w:tcBorders>
          </w:tcPr>
          <w:p>
            <w:pPr>
              <w:spacing w:after="0"/>
              <w:rPr>
                <w:sz w:val="13"/>
                <w:szCs w:val="13"/>
                <w:color w:val="auto"/>
              </w:rPr>
            </w:pP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7FACB1"/>
            </w:tcBorders>
          </w:tcPr>
          <w:p>
            <w:pPr>
              <w:spacing w:after="0"/>
              <w:rPr>
                <w:sz w:val="13"/>
                <w:szCs w:val="13"/>
                <w:color w:val="auto"/>
              </w:rPr>
            </w:pPr>
          </w:p>
        </w:tc>
      </w:tr>
      <w:tr>
        <w:trPr>
          <w:trHeight w:val="156"/>
        </w:trPr>
        <w:tc>
          <w:tcPr>
            <w:tcW w:w="750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Share capital</w:t>
            </w:r>
          </w:p>
        </w:tc>
        <w:tc>
          <w:tcPr>
            <w:tcW w:w="184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259.0</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248.6</w:t>
            </w:r>
          </w:p>
        </w:tc>
      </w:tr>
      <w:tr>
        <w:trPr>
          <w:trHeight w:val="160"/>
        </w:trPr>
        <w:tc>
          <w:tcPr>
            <w:tcW w:w="750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Capital reserve</w:t>
            </w:r>
          </w:p>
        </w:tc>
        <w:tc>
          <w:tcPr>
            <w:tcW w:w="184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2,473.3</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1,398.6</w:t>
            </w:r>
          </w:p>
        </w:tc>
      </w:tr>
      <w:tr>
        <w:trPr>
          <w:trHeight w:val="160"/>
        </w:trPr>
        <w:tc>
          <w:tcPr>
            <w:tcW w:w="750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Treasury shares</w:t>
            </w:r>
          </w:p>
        </w:tc>
        <w:tc>
          <w:tcPr>
            <w:tcW w:w="184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(7.7)</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(8.6)</w:t>
            </w:r>
          </w:p>
        </w:tc>
      </w:tr>
      <w:tr>
        <w:trPr>
          <w:trHeight w:val="160"/>
        </w:trPr>
        <w:tc>
          <w:tcPr>
            <w:tcW w:w="750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Retained earnings</w:t>
            </w:r>
          </w:p>
        </w:tc>
        <w:tc>
          <w:tcPr>
            <w:tcW w:w="184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17,961.9</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19,098.0</w:t>
            </w:r>
          </w:p>
        </w:tc>
      </w:tr>
      <w:tr>
        <w:trPr>
          <w:trHeight w:val="160"/>
        </w:trPr>
        <w:tc>
          <w:tcPr>
            <w:tcW w:w="750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Other reserves</w:t>
            </w:r>
          </w:p>
        </w:tc>
        <w:tc>
          <w:tcPr>
            <w:tcW w:w="184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(1,462.3)</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(1,325.5)</w:t>
            </w:r>
          </w:p>
        </w:tc>
      </w:tr>
      <w:tr>
        <w:trPr>
          <w:trHeight w:val="164"/>
        </w:trPr>
        <w:tc>
          <w:tcPr>
            <w:tcW w:w="73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equity</w:t>
            </w:r>
          </w:p>
        </w:tc>
        <w:tc>
          <w:tcPr>
            <w:tcW w:w="12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19,224.2</w:t>
            </w: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19,411.1</w:t>
            </w:r>
          </w:p>
        </w:tc>
      </w:tr>
      <w:tr>
        <w:trPr>
          <w:trHeight w:val="160"/>
        </w:trPr>
        <w:tc>
          <w:tcPr>
            <w:tcW w:w="738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3C9673"/>
              </w:rPr>
              <w:t>Non-current liabilities</w:t>
            </w:r>
          </w:p>
        </w:tc>
        <w:tc>
          <w:tcPr>
            <w:tcW w:w="12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7FACB1"/>
            </w:tcBorders>
          </w:tcPr>
          <w:p>
            <w:pPr>
              <w:spacing w:after="0"/>
              <w:rPr>
                <w:sz w:val="13"/>
                <w:szCs w:val="13"/>
                <w:color w:val="auto"/>
              </w:rPr>
            </w:pP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7FACB1"/>
            </w:tcBorders>
          </w:tcPr>
          <w:p>
            <w:pPr>
              <w:spacing w:after="0"/>
              <w:rPr>
                <w:sz w:val="13"/>
                <w:szCs w:val="13"/>
                <w:color w:val="auto"/>
              </w:rPr>
            </w:pPr>
          </w:p>
        </w:tc>
      </w:tr>
      <w:tr>
        <w:trPr>
          <w:trHeight w:val="156"/>
        </w:trPr>
        <w:tc>
          <w:tcPr>
            <w:tcW w:w="750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Lease liabilities, loans and borrowings</w:t>
            </w:r>
          </w:p>
        </w:tc>
        <w:tc>
          <w:tcPr>
            <w:tcW w:w="184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215.2</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214.7</w:t>
            </w:r>
          </w:p>
        </w:tc>
      </w:tr>
      <w:tr>
        <w:trPr>
          <w:trHeight w:val="160"/>
        </w:trPr>
        <w:tc>
          <w:tcPr>
            <w:tcW w:w="750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Other financial liabilities</w:t>
            </w:r>
          </w:p>
        </w:tc>
        <w:tc>
          <w:tcPr>
            <w:tcW w:w="184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94.9</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46.9</w:t>
            </w:r>
          </w:p>
        </w:tc>
      </w:tr>
      <w:tr>
        <w:trPr>
          <w:trHeight w:val="160"/>
        </w:trPr>
        <w:tc>
          <w:tcPr>
            <w:tcW w:w="750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Provisions</w:t>
            </w:r>
          </w:p>
        </w:tc>
        <w:tc>
          <w:tcPr>
            <w:tcW w:w="184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35.5</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20.9</w:t>
            </w:r>
          </w:p>
        </w:tc>
      </w:tr>
      <w:tr>
        <w:trPr>
          <w:trHeight w:val="160"/>
        </w:trPr>
        <w:tc>
          <w:tcPr>
            <w:tcW w:w="750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Contract liabilities</w:t>
            </w:r>
          </w:p>
        </w:tc>
        <w:tc>
          <w:tcPr>
            <w:tcW w:w="184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88.0</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183.0</w:t>
            </w:r>
          </w:p>
        </w:tc>
      </w:tr>
      <w:tr>
        <w:trPr>
          <w:trHeight w:val="160"/>
        </w:trPr>
        <w:tc>
          <w:tcPr>
            <w:tcW w:w="750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Other non-financial liabilities</w:t>
            </w:r>
          </w:p>
        </w:tc>
        <w:tc>
          <w:tcPr>
            <w:tcW w:w="184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104.2</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87.5</w:t>
            </w:r>
          </w:p>
        </w:tc>
      </w:tr>
      <w:tr>
        <w:trPr>
          <w:trHeight w:val="160"/>
        </w:trPr>
        <w:tc>
          <w:tcPr>
            <w:tcW w:w="750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Deferred tax liabilities</w:t>
            </w:r>
          </w:p>
        </w:tc>
        <w:tc>
          <w:tcPr>
            <w:tcW w:w="184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84.3</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42.4</w:t>
            </w:r>
          </w:p>
        </w:tc>
      </w:tr>
      <w:tr>
        <w:trPr>
          <w:trHeight w:val="164"/>
        </w:trPr>
        <w:tc>
          <w:tcPr>
            <w:tcW w:w="73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non-current liabilities</w:t>
            </w:r>
          </w:p>
        </w:tc>
        <w:tc>
          <w:tcPr>
            <w:tcW w:w="12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622.1</w:t>
            </w: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595.4</w:t>
            </w:r>
          </w:p>
        </w:tc>
      </w:tr>
      <w:tr>
        <w:trPr>
          <w:trHeight w:val="160"/>
        </w:trPr>
        <w:tc>
          <w:tcPr>
            <w:tcW w:w="738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3C9673"/>
              </w:rPr>
              <w:t>Current liabilities</w:t>
            </w:r>
          </w:p>
        </w:tc>
        <w:tc>
          <w:tcPr>
            <w:tcW w:w="12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7FACB1"/>
            </w:tcBorders>
          </w:tcPr>
          <w:p>
            <w:pPr>
              <w:spacing w:after="0"/>
              <w:rPr>
                <w:sz w:val="13"/>
                <w:szCs w:val="13"/>
                <w:color w:val="auto"/>
              </w:rPr>
            </w:pP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7FACB1"/>
            </w:tcBorders>
          </w:tcPr>
          <w:p>
            <w:pPr>
              <w:spacing w:after="0"/>
              <w:rPr>
                <w:sz w:val="13"/>
                <w:szCs w:val="13"/>
                <w:color w:val="auto"/>
              </w:rPr>
            </w:pPr>
          </w:p>
        </w:tc>
      </w:tr>
      <w:tr>
        <w:trPr>
          <w:trHeight w:val="156"/>
        </w:trPr>
        <w:tc>
          <w:tcPr>
            <w:tcW w:w="750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Lease liabilities, loans and borrowings</w:t>
            </w:r>
          </w:p>
        </w:tc>
        <w:tc>
          <w:tcPr>
            <w:tcW w:w="184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52.2</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39.5</w:t>
            </w:r>
          </w:p>
        </w:tc>
      </w:tr>
      <w:tr>
        <w:trPr>
          <w:trHeight w:val="160"/>
        </w:trPr>
        <w:tc>
          <w:tcPr>
            <w:tcW w:w="750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Trade payables and other payables</w:t>
            </w:r>
          </w:p>
        </w:tc>
        <w:tc>
          <w:tcPr>
            <w:tcW w:w="184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534.9</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426.7</w:t>
            </w:r>
          </w:p>
        </w:tc>
      </w:tr>
      <w:tr>
        <w:trPr>
          <w:trHeight w:val="160"/>
        </w:trPr>
        <w:tc>
          <w:tcPr>
            <w:tcW w:w="750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Other financial liabilities</w:t>
            </w:r>
          </w:p>
        </w:tc>
        <w:tc>
          <w:tcPr>
            <w:tcW w:w="184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351.7</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1,443.4</w:t>
            </w:r>
          </w:p>
        </w:tc>
      </w:tr>
      <w:tr>
        <w:trPr>
          <w:trHeight w:val="160"/>
        </w:trPr>
        <w:tc>
          <w:tcPr>
            <w:tcW w:w="750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Income tax liabilities</w:t>
            </w:r>
          </w:p>
        </w:tc>
        <w:tc>
          <w:tcPr>
            <w:tcW w:w="184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65.6</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4.5</w:t>
            </w:r>
          </w:p>
        </w:tc>
      </w:tr>
      <w:tr>
        <w:trPr>
          <w:trHeight w:val="161"/>
        </w:trPr>
        <w:tc>
          <w:tcPr>
            <w:tcW w:w="73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Provisions</w:t>
            </w:r>
          </w:p>
        </w:tc>
        <w:tc>
          <w:tcPr>
            <w:tcW w:w="12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145.3</w:t>
            </w: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144.8</w:t>
            </w:r>
          </w:p>
        </w:tc>
      </w:tr>
      <w:tr>
        <w:trPr>
          <w:trHeight w:val="160"/>
        </w:trPr>
        <w:tc>
          <w:tcPr>
            <w:tcW w:w="73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Contract liabilities</w:t>
            </w:r>
          </w:p>
        </w:tc>
        <w:tc>
          <w:tcPr>
            <w:tcW w:w="12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754.9</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294.9</w:t>
            </w:r>
          </w:p>
        </w:tc>
      </w:tr>
      <w:tr>
        <w:trPr>
          <w:trHeight w:val="160"/>
        </w:trPr>
        <w:tc>
          <w:tcPr>
            <w:tcW w:w="73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Other non-financial liabilities</w:t>
            </w:r>
          </w:p>
        </w:tc>
        <w:tc>
          <w:tcPr>
            <w:tcW w:w="12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237.7</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169.4</w:t>
            </w:r>
          </w:p>
        </w:tc>
      </w:tr>
      <w:tr>
        <w:trPr>
          <w:trHeight w:val="163"/>
        </w:trPr>
        <w:tc>
          <w:tcPr>
            <w:tcW w:w="73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current liabilities</w:t>
            </w:r>
          </w:p>
        </w:tc>
        <w:tc>
          <w:tcPr>
            <w:tcW w:w="12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2,142.3</w:t>
            </w: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2,523.2</w:t>
            </w:r>
          </w:p>
        </w:tc>
      </w:tr>
      <w:tr>
        <w:trPr>
          <w:trHeight w:val="160"/>
        </w:trPr>
        <w:tc>
          <w:tcPr>
            <w:tcW w:w="73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liabilities</w:t>
            </w:r>
          </w:p>
        </w:tc>
        <w:tc>
          <w:tcPr>
            <w:tcW w:w="12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2,764.4</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3,118.6</w:t>
            </w:r>
          </w:p>
        </w:tc>
      </w:tr>
      <w:tr>
        <w:trPr>
          <w:trHeight w:val="160"/>
        </w:trPr>
        <w:tc>
          <w:tcPr>
            <w:tcW w:w="73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equity and liabilities</w:t>
            </w:r>
          </w:p>
        </w:tc>
        <w:tc>
          <w:tcPr>
            <w:tcW w:w="120" w:type="dxa"/>
            <w:vAlign w:val="bottom"/>
            <w:tcBorders>
              <w:right w:val="single" w:sz="8" w:color="BECD32"/>
            </w:tcBorders>
          </w:tcPr>
          <w:p>
            <w:pPr>
              <w:spacing w:after="0"/>
              <w:rPr>
                <w:sz w:val="13"/>
                <w:szCs w:val="13"/>
                <w:color w:val="auto"/>
              </w:rPr>
            </w:pPr>
          </w:p>
        </w:tc>
        <w:tc>
          <w:tcPr>
            <w:tcW w:w="1840" w:type="dxa"/>
            <w:vAlign w:val="bottom"/>
            <w:tcBorders>
              <w:bottom w:val="single" w:sz="8" w:color="BECD32"/>
            </w:tcBorders>
            <w:gridSpan w:val="2"/>
          </w:tcPr>
          <w:p>
            <w:pPr>
              <w:jc w:val="right"/>
              <w:spacing w:after="0"/>
              <w:rPr>
                <w:sz w:val="20"/>
                <w:szCs w:val="20"/>
                <w:color w:val="auto"/>
              </w:rPr>
            </w:pPr>
            <w:r>
              <w:rPr>
                <w:rFonts w:ascii="Arial" w:cs="Arial" w:eastAsia="Arial" w:hAnsi="Arial"/>
                <w:sz w:val="11"/>
                <w:szCs w:val="11"/>
                <w:b w:val="1"/>
                <w:bCs w:val="1"/>
                <w:color w:val="005A64"/>
              </w:rPr>
              <w:t>21,988.6</w:t>
            </w:r>
          </w:p>
        </w:tc>
        <w:tc>
          <w:tcPr>
            <w:tcW w:w="100" w:type="dxa"/>
            <w:vAlign w:val="bottom"/>
            <w:tcBorders>
              <w:bottom w:val="single" w:sz="8" w:color="BECD32"/>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22,529.7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300"/>
          </w:cols>
          <w:pgMar w:left="300" w:top="1327" w:right="299" w:bottom="1440" w:gutter="0" w:footer="0" w:header="0"/>
        </w:sectPr>
      </w:pPr>
    </w:p>
    <w:bookmarkStart w:id="18" w:name="page19"/>
    <w:bookmarkEnd w:id="18"/>
    <w:p>
      <w:pPr>
        <w:jc w:val="center"/>
        <w:ind w:righ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303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423035" cy="154305"/>
                    </a:xfrm>
                    <a:prstGeom prst="rect">
                      <a:avLst/>
                    </a:prstGeom>
                    <a:noFill/>
                  </pic:spPr>
                </pic:pic>
              </a:graphicData>
            </a:graphic>
          </wp:anchor>
        </w:drawing>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29210</wp:posOffset>
            </wp:positionV>
            <wp:extent cx="7166610"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6610" cy="11430"/>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60" w:type="dxa"/>
            <w:vAlign w:val="bottom"/>
            <w:gridSpan w:val="4"/>
          </w:tcPr>
          <w:p>
            <w:pPr>
              <w:jc w:val="center"/>
              <w:ind w:left="592"/>
              <w:spacing w:after="0"/>
              <w:rPr>
                <w:sz w:val="20"/>
                <w:szCs w:val="20"/>
                <w:color w:val="auto"/>
              </w:rPr>
            </w:pPr>
            <w:r>
              <w:rPr>
                <w:rFonts w:ascii="Arial" w:cs="Arial" w:eastAsia="Arial" w:hAnsi="Arial"/>
                <w:sz w:val="10"/>
                <w:szCs w:val="10"/>
                <w:b w:val="1"/>
                <w:bCs w:val="1"/>
                <w:color w:val="005A64"/>
                <w:w w:val="95"/>
              </w:rPr>
              <w:t>Three months ended</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gridSpan w:val="4"/>
          </w:tcPr>
          <w:p>
            <w:pPr>
              <w:jc w:val="center"/>
              <w:ind w:left="632"/>
              <w:spacing w:after="0"/>
              <w:rPr>
                <w:sz w:val="20"/>
                <w:szCs w:val="20"/>
                <w:color w:val="auto"/>
              </w:rPr>
            </w:pPr>
            <w:r>
              <w:rPr>
                <w:rFonts w:ascii="Arial" w:cs="Arial" w:eastAsia="Arial" w:hAnsi="Arial"/>
                <w:sz w:val="10"/>
                <w:szCs w:val="10"/>
                <w:b w:val="1"/>
                <w:bCs w:val="1"/>
                <w:color w:val="005A64"/>
                <w:w w:val="94"/>
              </w:rPr>
              <w:t>Years ended</w:t>
            </w:r>
          </w:p>
        </w:tc>
        <w:tc>
          <w:tcPr>
            <w:tcW w:w="700" w:type="dxa"/>
            <w:vAlign w:val="bottom"/>
          </w:tcPr>
          <w:p>
            <w:pPr>
              <w:spacing w:after="0"/>
              <w:rPr>
                <w:sz w:val="10"/>
                <w:szCs w:val="10"/>
                <w:color w:val="auto"/>
              </w:rPr>
            </w:pPr>
          </w:p>
        </w:tc>
      </w:tr>
      <w:tr>
        <w:trPr>
          <w:trHeight w:val="131"/>
        </w:trPr>
        <w:tc>
          <w:tcPr>
            <w:tcW w:w="5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60" w:type="dxa"/>
            <w:vAlign w:val="bottom"/>
            <w:gridSpan w:val="4"/>
          </w:tcPr>
          <w:p>
            <w:pPr>
              <w:jc w:val="center"/>
              <w:ind w:left="592"/>
              <w:spacing w:after="0"/>
              <w:rPr>
                <w:sz w:val="20"/>
                <w:szCs w:val="20"/>
                <w:color w:val="auto"/>
              </w:rPr>
            </w:pPr>
            <w:r>
              <w:rPr>
                <w:rFonts w:ascii="Arial" w:cs="Arial" w:eastAsia="Arial" w:hAnsi="Arial"/>
                <w:sz w:val="10"/>
                <w:szCs w:val="10"/>
                <w:b w:val="1"/>
                <w:bCs w:val="1"/>
                <w:color w:val="005A64"/>
                <w:w w:val="95"/>
              </w:rPr>
              <w:t>December 31,</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gridSpan w:val="4"/>
          </w:tcPr>
          <w:p>
            <w:pPr>
              <w:jc w:val="center"/>
              <w:ind w:left="652"/>
              <w:spacing w:after="0"/>
              <w:rPr>
                <w:sz w:val="20"/>
                <w:szCs w:val="20"/>
                <w:color w:val="auto"/>
              </w:rPr>
            </w:pPr>
            <w:r>
              <w:rPr>
                <w:rFonts w:ascii="Arial" w:cs="Arial" w:eastAsia="Arial" w:hAnsi="Arial"/>
                <w:sz w:val="10"/>
                <w:szCs w:val="10"/>
                <w:b w:val="1"/>
                <w:bCs w:val="1"/>
                <w:color w:val="005A64"/>
                <w:w w:val="95"/>
              </w:rPr>
              <w:t>December 31,</w:t>
            </w:r>
          </w:p>
        </w:tc>
        <w:tc>
          <w:tcPr>
            <w:tcW w:w="700" w:type="dxa"/>
            <w:vAlign w:val="bottom"/>
          </w:tcPr>
          <w:p>
            <w:pPr>
              <w:spacing w:after="0"/>
              <w:rPr>
                <w:sz w:val="11"/>
                <w:szCs w:val="11"/>
                <w:color w:val="auto"/>
              </w:rPr>
            </w:pPr>
          </w:p>
        </w:tc>
      </w:tr>
      <w:tr>
        <w:trPr>
          <w:trHeight w:val="173"/>
        </w:trPr>
        <w:tc>
          <w:tcPr>
            <w:tcW w:w="5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bottom w:val="single" w:sz="8" w:color="BECD32"/>
            </w:tcBorders>
            <w:gridSpan w:val="2"/>
          </w:tcPr>
          <w:p>
            <w:pPr>
              <w:spacing w:after="0"/>
              <w:rPr>
                <w:sz w:val="15"/>
                <w:szCs w:val="15"/>
                <w:color w:val="auto"/>
              </w:rPr>
            </w:pPr>
          </w:p>
        </w:tc>
        <w:tc>
          <w:tcPr>
            <w:tcW w:w="120" w:type="dxa"/>
            <w:vAlign w:val="bottom"/>
            <w:tcBorders>
              <w:bottom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Borders>
              <w:bottom w:val="single" w:sz="8" w:color="BECD32"/>
            </w:tcBorders>
            <w:gridSpan w:val="2"/>
          </w:tcPr>
          <w:p>
            <w:pPr>
              <w:spacing w:after="0"/>
              <w:rPr>
                <w:sz w:val="15"/>
                <w:szCs w:val="15"/>
                <w:color w:val="auto"/>
              </w:rPr>
            </w:pPr>
          </w:p>
        </w:tc>
        <w:tc>
          <w:tcPr>
            <w:tcW w:w="140" w:type="dxa"/>
            <w:vAlign w:val="bottom"/>
            <w:tcBorders>
              <w:bottom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1"/>
        </w:trPr>
        <w:tc>
          <w:tcPr>
            <w:tcW w:w="5900" w:type="dxa"/>
            <w:vAlign w:val="bottom"/>
          </w:tcPr>
          <w:p>
            <w:pPr>
              <w:spacing w:after="0"/>
              <w:rPr>
                <w:sz w:val="11"/>
                <w:szCs w:val="11"/>
                <w:color w:val="auto"/>
              </w:rPr>
            </w:pPr>
          </w:p>
        </w:tc>
        <w:tc>
          <w:tcPr>
            <w:tcW w:w="100" w:type="dxa"/>
            <w:vAlign w:val="bottom"/>
            <w:tcBorders>
              <w:right w:val="single" w:sz="8" w:color="BECD32"/>
            </w:tcBorders>
          </w:tcPr>
          <w:p>
            <w:pPr>
              <w:spacing w:after="0"/>
              <w:rPr>
                <w:sz w:val="11"/>
                <w:szCs w:val="11"/>
                <w:color w:val="auto"/>
              </w:rPr>
            </w:pPr>
          </w:p>
        </w:tc>
        <w:tc>
          <w:tcPr>
            <w:tcW w:w="1200" w:type="dxa"/>
            <w:vAlign w:val="bottom"/>
            <w:gridSpan w:val="2"/>
          </w:tcPr>
          <w:p>
            <w:pPr>
              <w:jc w:val="right"/>
              <w:spacing w:after="0"/>
              <w:rPr>
                <w:sz w:val="20"/>
                <w:szCs w:val="20"/>
                <w:color w:val="auto"/>
              </w:rPr>
            </w:pPr>
            <w:r>
              <w:rPr>
                <w:rFonts w:ascii="Arial" w:cs="Arial" w:eastAsia="Arial" w:hAnsi="Arial"/>
                <w:sz w:val="10"/>
                <w:szCs w:val="10"/>
                <w:b w:val="1"/>
                <w:bCs w:val="1"/>
                <w:color w:val="005A64"/>
              </w:rPr>
              <w:t>2025</w:t>
            </w:r>
          </w:p>
        </w:tc>
        <w:tc>
          <w:tcPr>
            <w:tcW w:w="120" w:type="dxa"/>
            <w:vAlign w:val="bottom"/>
            <w:tcBorders>
              <w:right w:val="single" w:sz="8" w:color="BECD32"/>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005A64"/>
              </w:rPr>
              <w:t>2024</w:t>
            </w:r>
          </w:p>
        </w:tc>
        <w:tc>
          <w:tcPr>
            <w:tcW w:w="14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b w:val="1"/>
                <w:bCs w:val="1"/>
                <w:color w:val="005A64"/>
              </w:rPr>
              <w:t>2025</w:t>
            </w:r>
          </w:p>
        </w:tc>
        <w:tc>
          <w:tcPr>
            <w:tcW w:w="140" w:type="dxa"/>
            <w:vAlign w:val="bottom"/>
            <w:tcBorders>
              <w:right w:val="single" w:sz="8" w:color="BECD32"/>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b w:val="1"/>
                <w:bCs w:val="1"/>
                <w:color w:val="005A64"/>
              </w:rPr>
              <w:t>2024</w:t>
            </w:r>
          </w:p>
        </w:tc>
      </w:tr>
      <w:tr>
        <w:trPr>
          <w:trHeight w:val="158"/>
        </w:trPr>
        <w:tc>
          <w:tcPr>
            <w:tcW w:w="6000" w:type="dxa"/>
            <w:vAlign w:val="bottom"/>
            <w:tcBorders>
              <w:right w:val="single" w:sz="8" w:color="BECD32"/>
            </w:tcBorders>
            <w:gridSpan w:val="2"/>
          </w:tcPr>
          <w:p>
            <w:pPr>
              <w:ind w:left="20"/>
              <w:spacing w:after="0"/>
              <w:rPr>
                <w:sz w:val="20"/>
                <w:szCs w:val="20"/>
                <w:color w:val="auto"/>
              </w:rPr>
            </w:pPr>
            <w:r>
              <w:rPr>
                <w:rFonts w:ascii="Arial" w:cs="Arial" w:eastAsia="Arial" w:hAnsi="Arial"/>
                <w:sz w:val="10"/>
                <w:szCs w:val="10"/>
                <w:i w:val="1"/>
                <w:iCs w:val="1"/>
                <w:color w:val="005A64"/>
              </w:rPr>
              <w:t>(in millions €)</w:t>
            </w:r>
          </w:p>
        </w:tc>
        <w:tc>
          <w:tcPr>
            <w:tcW w:w="60" w:type="dxa"/>
            <w:vAlign w:val="bottom"/>
          </w:tcPr>
          <w:p>
            <w:pPr>
              <w:spacing w:after="0"/>
              <w:rPr>
                <w:sz w:val="13"/>
                <w:szCs w:val="13"/>
                <w:color w:val="auto"/>
              </w:rPr>
            </w:pPr>
          </w:p>
        </w:tc>
        <w:tc>
          <w:tcPr>
            <w:tcW w:w="1260" w:type="dxa"/>
            <w:vAlign w:val="bottom"/>
            <w:tcBorders>
              <w:right w:val="single" w:sz="8" w:color="BECD32"/>
            </w:tcBorders>
            <w:gridSpan w:val="2"/>
          </w:tcPr>
          <w:p>
            <w:pPr>
              <w:ind w:left="640"/>
              <w:spacing w:after="0"/>
              <w:rPr>
                <w:sz w:val="20"/>
                <w:szCs w:val="20"/>
                <w:color w:val="auto"/>
              </w:rPr>
            </w:pPr>
            <w:r>
              <w:rPr>
                <w:rFonts w:ascii="Arial" w:cs="Arial" w:eastAsia="Arial" w:hAnsi="Arial"/>
                <w:sz w:val="10"/>
                <w:szCs w:val="10"/>
                <w:i w:val="1"/>
                <w:iCs w:val="1"/>
                <w:color w:val="005A64"/>
              </w:rPr>
              <w:t>(unaudited)</w:t>
            </w:r>
          </w:p>
        </w:tc>
        <w:tc>
          <w:tcPr>
            <w:tcW w:w="600" w:type="dxa"/>
            <w:vAlign w:val="bottom"/>
            <w:gridSpan w:val="2"/>
          </w:tcPr>
          <w:p>
            <w:pPr>
              <w:spacing w:after="0"/>
              <w:rPr>
                <w:sz w:val="13"/>
                <w:szCs w:val="13"/>
                <w:color w:val="auto"/>
              </w:rPr>
            </w:pPr>
          </w:p>
        </w:tc>
        <w:tc>
          <w:tcPr>
            <w:tcW w:w="780" w:type="dxa"/>
            <w:vAlign w:val="bottom"/>
            <w:tcBorders>
              <w:right w:val="single" w:sz="8" w:color="BECD32"/>
            </w:tcBorders>
            <w:gridSpan w:val="2"/>
          </w:tcPr>
          <w:p>
            <w:pPr>
              <w:ind w:left="140"/>
              <w:spacing w:after="0"/>
              <w:rPr>
                <w:sz w:val="20"/>
                <w:szCs w:val="20"/>
                <w:color w:val="auto"/>
              </w:rPr>
            </w:pPr>
            <w:r>
              <w:rPr>
                <w:rFonts w:ascii="Arial" w:cs="Arial" w:eastAsia="Arial" w:hAnsi="Arial"/>
                <w:sz w:val="10"/>
                <w:szCs w:val="10"/>
                <w:i w:val="1"/>
                <w:iCs w:val="1"/>
                <w:color w:val="005A64"/>
              </w:rPr>
              <w:t>(unaudited)</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4"/>
        </w:trPr>
        <w:tc>
          <w:tcPr>
            <w:tcW w:w="590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tcBorders>
              <w:bottom w:val="single" w:sz="8" w:color="005A64"/>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005A64"/>
            </w:tcBorders>
          </w:tcPr>
          <w:p>
            <w:pPr>
              <w:spacing w:after="0"/>
              <w:rPr>
                <w:sz w:val="2"/>
                <w:szCs w:val="2"/>
                <w:color w:val="auto"/>
              </w:rPr>
            </w:pPr>
          </w:p>
        </w:tc>
        <w:tc>
          <w:tcPr>
            <w:tcW w:w="64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005A64"/>
            </w:tcBorders>
          </w:tcPr>
          <w:p>
            <w:pPr>
              <w:spacing w:after="0"/>
              <w:rPr>
                <w:sz w:val="2"/>
                <w:szCs w:val="2"/>
                <w:color w:val="auto"/>
              </w:rPr>
            </w:pPr>
          </w:p>
        </w:tc>
        <w:tc>
          <w:tcPr>
            <w:tcW w:w="700" w:type="dxa"/>
            <w:vAlign w:val="bottom"/>
            <w:tcBorders>
              <w:bottom w:val="single" w:sz="8" w:color="005A64"/>
            </w:tcBorders>
          </w:tcPr>
          <w:p>
            <w:pPr>
              <w:spacing w:after="0"/>
              <w:rPr>
                <w:sz w:val="2"/>
                <w:szCs w:val="2"/>
                <w:color w:val="auto"/>
              </w:rPr>
            </w:pPr>
          </w:p>
        </w:tc>
      </w:tr>
      <w:tr>
        <w:trPr>
          <w:trHeight w:val="140"/>
        </w:trPr>
        <w:tc>
          <w:tcPr>
            <w:tcW w:w="6000" w:type="dxa"/>
            <w:vAlign w:val="bottom"/>
            <w:tcBorders>
              <w:bottom w:val="single" w:sz="8" w:color="7FACB1"/>
              <w:right w:val="single" w:sz="8" w:color="BECD32"/>
            </w:tcBorders>
            <w:gridSpan w:val="2"/>
          </w:tcPr>
          <w:p>
            <w:pPr>
              <w:ind w:left="20"/>
              <w:spacing w:after="0"/>
              <w:rPr>
                <w:sz w:val="20"/>
                <w:szCs w:val="20"/>
                <w:color w:val="auto"/>
              </w:rPr>
            </w:pPr>
            <w:r>
              <w:rPr>
                <w:rFonts w:ascii="Arial" w:cs="Arial" w:eastAsia="Arial" w:hAnsi="Arial"/>
                <w:sz w:val="10"/>
                <w:szCs w:val="10"/>
                <w:b w:val="1"/>
                <w:bCs w:val="1"/>
                <w:color w:val="3C9673"/>
              </w:rPr>
              <w:t>Operating activities</w:t>
            </w:r>
          </w:p>
        </w:tc>
        <w:tc>
          <w:tcPr>
            <w:tcW w:w="60" w:type="dxa"/>
            <w:vAlign w:val="bottom"/>
            <w:tcBorders>
              <w:bottom w:val="single" w:sz="8" w:color="7FACB1"/>
            </w:tcBorders>
          </w:tcPr>
          <w:p>
            <w:pPr>
              <w:spacing w:after="0"/>
              <w:rPr>
                <w:sz w:val="12"/>
                <w:szCs w:val="12"/>
                <w:color w:val="auto"/>
              </w:rPr>
            </w:pPr>
          </w:p>
        </w:tc>
        <w:tc>
          <w:tcPr>
            <w:tcW w:w="1140" w:type="dxa"/>
            <w:vAlign w:val="bottom"/>
            <w:tcBorders>
              <w:bottom w:val="single" w:sz="8" w:color="7FACB1"/>
            </w:tcBorders>
          </w:tcPr>
          <w:p>
            <w:pPr>
              <w:spacing w:after="0"/>
              <w:rPr>
                <w:sz w:val="12"/>
                <w:szCs w:val="12"/>
                <w:color w:val="auto"/>
              </w:rPr>
            </w:pPr>
          </w:p>
        </w:tc>
        <w:tc>
          <w:tcPr>
            <w:tcW w:w="12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40" w:type="dxa"/>
            <w:vAlign w:val="bottom"/>
            <w:tcBorders>
              <w:bottom w:val="single" w:sz="8" w:color="7FACB1"/>
            </w:tcBorders>
          </w:tcPr>
          <w:p>
            <w:pPr>
              <w:spacing w:after="0"/>
              <w:rPr>
                <w:sz w:val="12"/>
                <w:szCs w:val="12"/>
                <w:color w:val="auto"/>
              </w:rPr>
            </w:pPr>
          </w:p>
        </w:tc>
        <w:tc>
          <w:tcPr>
            <w:tcW w:w="140" w:type="dxa"/>
            <w:vAlign w:val="bottom"/>
            <w:tcBorders>
              <w:right w:val="single" w:sz="8" w:color="BECD32"/>
            </w:tcBorders>
          </w:tcPr>
          <w:p>
            <w:pPr>
              <w:spacing w:after="0"/>
              <w:rPr>
                <w:sz w:val="12"/>
                <w:szCs w:val="12"/>
                <w:color w:val="auto"/>
              </w:rPr>
            </w:pPr>
          </w:p>
        </w:tc>
        <w:tc>
          <w:tcPr>
            <w:tcW w:w="100" w:type="dxa"/>
            <w:vAlign w:val="bottom"/>
            <w:tcBorders>
              <w:bottom w:val="single" w:sz="8" w:color="7FACB1"/>
            </w:tcBorders>
          </w:tcPr>
          <w:p>
            <w:pPr>
              <w:spacing w:after="0"/>
              <w:rPr>
                <w:sz w:val="12"/>
                <w:szCs w:val="12"/>
                <w:color w:val="auto"/>
              </w:rPr>
            </w:pPr>
          </w:p>
        </w:tc>
        <w:tc>
          <w:tcPr>
            <w:tcW w:w="1120" w:type="dxa"/>
            <w:vAlign w:val="bottom"/>
            <w:tcBorders>
              <w:bottom w:val="single" w:sz="8" w:color="7FACB1"/>
            </w:tcBorders>
          </w:tcPr>
          <w:p>
            <w:pPr>
              <w:spacing w:after="0"/>
              <w:rPr>
                <w:sz w:val="12"/>
                <w:szCs w:val="12"/>
                <w:color w:val="auto"/>
              </w:rPr>
            </w:pP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7FACB1"/>
            </w:tcBorders>
          </w:tcPr>
          <w:p>
            <w:pPr>
              <w:spacing w:after="0"/>
              <w:rPr>
                <w:sz w:val="12"/>
                <w:szCs w:val="12"/>
                <w:color w:val="auto"/>
              </w:rPr>
            </w:pPr>
          </w:p>
        </w:tc>
        <w:tc>
          <w:tcPr>
            <w:tcW w:w="700" w:type="dxa"/>
            <w:vAlign w:val="bottom"/>
            <w:tcBorders>
              <w:bottom w:val="single" w:sz="8" w:color="7FACB1"/>
            </w:tcBorders>
          </w:tcPr>
          <w:p>
            <w:pPr>
              <w:spacing w:after="0"/>
              <w:rPr>
                <w:sz w:val="12"/>
                <w:szCs w:val="12"/>
                <w:color w:val="auto"/>
              </w:rPr>
            </w:pPr>
          </w:p>
        </w:tc>
      </w:tr>
      <w:tr>
        <w:trPr>
          <w:trHeight w:val="145"/>
        </w:trPr>
        <w:tc>
          <w:tcPr>
            <w:tcW w:w="590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Net profit / (loss)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(305.0)</w:t>
            </w:r>
          </w:p>
        </w:tc>
        <w:tc>
          <w:tcPr>
            <w:tcW w:w="12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259.5</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(1,136.1)</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7FACB1"/>
            </w:tcBorders>
          </w:tcPr>
          <w:p>
            <w:pPr>
              <w:spacing w:after="0"/>
              <w:rPr>
                <w:sz w:val="12"/>
                <w:szCs w:val="12"/>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(665.3)</w:t>
            </w:r>
          </w:p>
        </w:tc>
      </w:tr>
      <w:tr>
        <w:trPr>
          <w:trHeight w:val="142"/>
        </w:trPr>
        <w:tc>
          <w:tcPr>
            <w:tcW w:w="590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Income taxes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77.6</w:t>
            </w:r>
          </w:p>
        </w:tc>
        <w:tc>
          <w:tcPr>
            <w:tcW w:w="12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41.7</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85.3</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7FACB1"/>
            </w:tcBorders>
          </w:tcPr>
          <w:p>
            <w:pPr>
              <w:spacing w:after="0"/>
              <w:rPr>
                <w:sz w:val="12"/>
                <w:szCs w:val="12"/>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(12.4)</w:t>
            </w:r>
          </w:p>
        </w:tc>
      </w:tr>
      <w:tr>
        <w:trPr>
          <w:trHeight w:val="144"/>
        </w:trPr>
        <w:tc>
          <w:tcPr>
            <w:tcW w:w="5900" w:type="dxa"/>
            <w:vAlign w:val="bottom"/>
            <w:tcBorders>
              <w:bottom w:val="single" w:sz="8" w:color="005A64"/>
            </w:tcBorders>
          </w:tcPr>
          <w:p>
            <w:pPr>
              <w:ind w:left="20"/>
              <w:spacing w:after="0"/>
              <w:rPr>
                <w:sz w:val="20"/>
                <w:szCs w:val="20"/>
                <w:color w:val="auto"/>
              </w:rPr>
            </w:pPr>
            <w:r>
              <w:rPr>
                <w:rFonts w:ascii="Arial" w:cs="Arial" w:eastAsia="Arial" w:hAnsi="Arial"/>
                <w:sz w:val="10"/>
                <w:szCs w:val="10"/>
                <w:b w:val="1"/>
                <w:bCs w:val="1"/>
                <w:color w:val="005A64"/>
              </w:rPr>
              <w:t>Profit / (Loss) before tax</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(227.4)</w:t>
            </w:r>
          </w:p>
        </w:tc>
        <w:tc>
          <w:tcPr>
            <w:tcW w:w="12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005A64"/>
            </w:tcBorders>
          </w:tcPr>
          <w:p>
            <w:pPr>
              <w:spacing w:after="0"/>
              <w:rPr>
                <w:sz w:val="12"/>
                <w:szCs w:val="12"/>
                <w:color w:val="auto"/>
              </w:rPr>
            </w:pPr>
          </w:p>
        </w:tc>
        <w:tc>
          <w:tcPr>
            <w:tcW w:w="64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301.2</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(1,050.8)</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005A64"/>
            </w:tcBorders>
          </w:tcPr>
          <w:p>
            <w:pPr>
              <w:spacing w:after="0"/>
              <w:rPr>
                <w:sz w:val="12"/>
                <w:szCs w:val="12"/>
                <w:color w:val="auto"/>
              </w:rPr>
            </w:pPr>
          </w:p>
        </w:tc>
        <w:tc>
          <w:tcPr>
            <w:tcW w:w="70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(677.7)</w:t>
            </w:r>
          </w:p>
        </w:tc>
      </w:tr>
      <w:tr>
        <w:trPr>
          <w:trHeight w:val="146"/>
        </w:trPr>
        <w:tc>
          <w:tcPr>
            <w:tcW w:w="6000" w:type="dxa"/>
            <w:vAlign w:val="bottom"/>
            <w:tcBorders>
              <w:bottom w:val="single" w:sz="8" w:color="7FACB1"/>
              <w:right w:val="single" w:sz="8" w:color="BECD32"/>
            </w:tcBorders>
            <w:gridSpan w:val="2"/>
          </w:tcPr>
          <w:p>
            <w:pPr>
              <w:ind w:left="20"/>
              <w:spacing w:after="0"/>
              <w:rPr>
                <w:sz w:val="20"/>
                <w:szCs w:val="20"/>
                <w:color w:val="auto"/>
              </w:rPr>
            </w:pPr>
            <w:r>
              <w:rPr>
                <w:rFonts w:ascii="Arial" w:cs="Arial" w:eastAsia="Arial" w:hAnsi="Arial"/>
                <w:sz w:val="10"/>
                <w:szCs w:val="10"/>
                <w:b w:val="1"/>
                <w:bCs w:val="1"/>
                <w:color w:val="3C9673"/>
              </w:rPr>
              <w:t>Adjustments to reconcile loss before tax to net cash flows:</w:t>
            </w:r>
          </w:p>
        </w:tc>
        <w:tc>
          <w:tcPr>
            <w:tcW w:w="60" w:type="dxa"/>
            <w:vAlign w:val="bottom"/>
            <w:tcBorders>
              <w:bottom w:val="single" w:sz="8" w:color="7FACB1"/>
            </w:tcBorders>
          </w:tcPr>
          <w:p>
            <w:pPr>
              <w:spacing w:after="0"/>
              <w:rPr>
                <w:sz w:val="12"/>
                <w:szCs w:val="12"/>
                <w:color w:val="auto"/>
              </w:rPr>
            </w:pPr>
          </w:p>
        </w:tc>
        <w:tc>
          <w:tcPr>
            <w:tcW w:w="1140" w:type="dxa"/>
            <w:vAlign w:val="bottom"/>
            <w:tcBorders>
              <w:bottom w:val="single" w:sz="8" w:color="7FACB1"/>
            </w:tcBorders>
          </w:tcPr>
          <w:p>
            <w:pPr>
              <w:spacing w:after="0"/>
              <w:rPr>
                <w:sz w:val="12"/>
                <w:szCs w:val="12"/>
                <w:color w:val="auto"/>
              </w:rPr>
            </w:pPr>
          </w:p>
        </w:tc>
        <w:tc>
          <w:tcPr>
            <w:tcW w:w="12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40" w:type="dxa"/>
            <w:vAlign w:val="bottom"/>
            <w:tcBorders>
              <w:bottom w:val="single" w:sz="8" w:color="7FACB1"/>
            </w:tcBorders>
          </w:tcPr>
          <w:p>
            <w:pPr>
              <w:spacing w:after="0"/>
              <w:rPr>
                <w:sz w:val="12"/>
                <w:szCs w:val="12"/>
                <w:color w:val="auto"/>
              </w:rPr>
            </w:pPr>
          </w:p>
        </w:tc>
        <w:tc>
          <w:tcPr>
            <w:tcW w:w="140" w:type="dxa"/>
            <w:vAlign w:val="bottom"/>
            <w:tcBorders>
              <w:right w:val="single" w:sz="8" w:color="BECD32"/>
            </w:tcBorders>
          </w:tcPr>
          <w:p>
            <w:pPr>
              <w:spacing w:after="0"/>
              <w:rPr>
                <w:sz w:val="12"/>
                <w:szCs w:val="12"/>
                <w:color w:val="auto"/>
              </w:rPr>
            </w:pPr>
          </w:p>
        </w:tc>
        <w:tc>
          <w:tcPr>
            <w:tcW w:w="100" w:type="dxa"/>
            <w:vAlign w:val="bottom"/>
            <w:tcBorders>
              <w:bottom w:val="single" w:sz="8" w:color="7FACB1"/>
            </w:tcBorders>
          </w:tcPr>
          <w:p>
            <w:pPr>
              <w:spacing w:after="0"/>
              <w:rPr>
                <w:sz w:val="12"/>
                <w:szCs w:val="12"/>
                <w:color w:val="auto"/>
              </w:rPr>
            </w:pPr>
          </w:p>
        </w:tc>
        <w:tc>
          <w:tcPr>
            <w:tcW w:w="1120" w:type="dxa"/>
            <w:vAlign w:val="bottom"/>
            <w:tcBorders>
              <w:bottom w:val="single" w:sz="8" w:color="7FACB1"/>
            </w:tcBorders>
          </w:tcPr>
          <w:p>
            <w:pPr>
              <w:spacing w:after="0"/>
              <w:rPr>
                <w:sz w:val="12"/>
                <w:szCs w:val="12"/>
                <w:color w:val="auto"/>
              </w:rPr>
            </w:pP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7FACB1"/>
            </w:tcBorders>
          </w:tcPr>
          <w:p>
            <w:pPr>
              <w:spacing w:after="0"/>
              <w:rPr>
                <w:sz w:val="12"/>
                <w:szCs w:val="12"/>
                <w:color w:val="auto"/>
              </w:rPr>
            </w:pPr>
          </w:p>
        </w:tc>
        <w:tc>
          <w:tcPr>
            <w:tcW w:w="700" w:type="dxa"/>
            <w:vAlign w:val="bottom"/>
            <w:tcBorders>
              <w:bottom w:val="single" w:sz="8" w:color="7FACB1"/>
            </w:tcBorders>
          </w:tcPr>
          <w:p>
            <w:pPr>
              <w:spacing w:after="0"/>
              <w:rPr>
                <w:sz w:val="12"/>
                <w:szCs w:val="12"/>
                <w:color w:val="auto"/>
              </w:rPr>
            </w:pPr>
          </w:p>
        </w:tc>
      </w:tr>
      <w:tr>
        <w:trPr>
          <w:trHeight w:val="146"/>
        </w:trPr>
        <w:tc>
          <w:tcPr>
            <w:tcW w:w="5900" w:type="dxa"/>
            <w:vAlign w:val="bottom"/>
            <w:tcBorders>
              <w:bottom w:val="single" w:sz="8" w:color="7FACB1"/>
            </w:tcBorders>
          </w:tcPr>
          <w:p>
            <w:pPr>
              <w:ind w:left="100"/>
              <w:spacing w:after="0"/>
              <w:rPr>
                <w:sz w:val="20"/>
                <w:szCs w:val="20"/>
                <w:color w:val="auto"/>
              </w:rPr>
            </w:pPr>
            <w:r>
              <w:rPr>
                <w:rFonts w:ascii="Arial" w:cs="Arial" w:eastAsia="Arial" w:hAnsi="Arial"/>
                <w:sz w:val="10"/>
                <w:szCs w:val="10"/>
                <w:color w:val="005A64"/>
              </w:rPr>
              <w:t>Depreciation, amortization and impairment of property, plant, equipment, intangible assets and right-of-use assets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164.8</w:t>
            </w:r>
          </w:p>
        </w:tc>
        <w:tc>
          <w:tcPr>
            <w:tcW w:w="12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165.4</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382.8</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7FACB1"/>
            </w:tcBorders>
          </w:tcPr>
          <w:p>
            <w:pPr>
              <w:spacing w:after="0"/>
              <w:rPr>
                <w:sz w:val="12"/>
                <w:szCs w:val="12"/>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298.0</w:t>
            </w:r>
          </w:p>
        </w:tc>
      </w:tr>
      <w:tr>
        <w:trPr>
          <w:trHeight w:val="142"/>
        </w:trPr>
        <w:tc>
          <w:tcPr>
            <w:tcW w:w="5900" w:type="dxa"/>
            <w:vAlign w:val="bottom"/>
            <w:tcBorders>
              <w:bottom w:val="single" w:sz="8" w:color="7FACB1"/>
            </w:tcBorders>
          </w:tcPr>
          <w:p>
            <w:pPr>
              <w:ind w:left="100"/>
              <w:spacing w:after="0"/>
              <w:rPr>
                <w:sz w:val="20"/>
                <w:szCs w:val="20"/>
                <w:color w:val="auto"/>
              </w:rPr>
            </w:pPr>
            <w:r>
              <w:rPr>
                <w:rFonts w:ascii="Arial" w:cs="Arial" w:eastAsia="Arial" w:hAnsi="Arial"/>
                <w:sz w:val="10"/>
                <w:szCs w:val="10"/>
                <w:color w:val="005A64"/>
              </w:rPr>
              <w:t>Share-based payment expenses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24.1</w:t>
            </w:r>
          </w:p>
        </w:tc>
        <w:tc>
          <w:tcPr>
            <w:tcW w:w="12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23.5</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106.2</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7FACB1"/>
            </w:tcBorders>
          </w:tcPr>
          <w:p>
            <w:pPr>
              <w:spacing w:after="0"/>
              <w:rPr>
                <w:sz w:val="12"/>
                <w:szCs w:val="12"/>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100.9</w:t>
            </w:r>
          </w:p>
        </w:tc>
      </w:tr>
      <w:tr>
        <w:trPr>
          <w:trHeight w:val="142"/>
        </w:trPr>
        <w:tc>
          <w:tcPr>
            <w:tcW w:w="5900" w:type="dxa"/>
            <w:vAlign w:val="bottom"/>
            <w:tcBorders>
              <w:bottom w:val="single" w:sz="8" w:color="7FACB1"/>
            </w:tcBorders>
          </w:tcPr>
          <w:p>
            <w:pPr>
              <w:ind w:left="100"/>
              <w:spacing w:after="0"/>
              <w:rPr>
                <w:sz w:val="20"/>
                <w:szCs w:val="20"/>
                <w:color w:val="auto"/>
              </w:rPr>
            </w:pPr>
            <w:r>
              <w:rPr>
                <w:rFonts w:ascii="Arial" w:cs="Arial" w:eastAsia="Arial" w:hAnsi="Arial"/>
                <w:sz w:val="10"/>
                <w:szCs w:val="10"/>
                <w:color w:val="005A64"/>
              </w:rPr>
              <w:t>Net foreign exchange differences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(43.0)</w:t>
            </w:r>
          </w:p>
        </w:tc>
        <w:tc>
          <w:tcPr>
            <w:tcW w:w="12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(32.1)</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(6.6)</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7FACB1"/>
            </w:tcBorders>
          </w:tcPr>
          <w:p>
            <w:pPr>
              <w:spacing w:after="0"/>
              <w:rPr>
                <w:sz w:val="12"/>
                <w:szCs w:val="12"/>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(109.5)</w:t>
            </w:r>
          </w:p>
        </w:tc>
      </w:tr>
      <w:tr>
        <w:trPr>
          <w:trHeight w:val="142"/>
        </w:trPr>
        <w:tc>
          <w:tcPr>
            <w:tcW w:w="5900" w:type="dxa"/>
            <w:vAlign w:val="bottom"/>
            <w:tcBorders>
              <w:bottom w:val="single" w:sz="8" w:color="7FACB1"/>
            </w:tcBorders>
          </w:tcPr>
          <w:p>
            <w:pPr>
              <w:ind w:left="100"/>
              <w:spacing w:after="0"/>
              <w:rPr>
                <w:sz w:val="20"/>
                <w:szCs w:val="20"/>
                <w:color w:val="auto"/>
              </w:rPr>
            </w:pPr>
            <w:r>
              <w:rPr>
                <w:rFonts w:ascii="Arial" w:cs="Arial" w:eastAsia="Arial" w:hAnsi="Arial"/>
                <w:sz w:val="10"/>
                <w:szCs w:val="10"/>
                <w:color w:val="005A64"/>
              </w:rPr>
              <w:t>(Gain) / Loss on disposal of property, plant and equipment</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(0.8)</w:t>
            </w:r>
          </w:p>
        </w:tc>
        <w:tc>
          <w:tcPr>
            <w:tcW w:w="12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(0.1)</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(2.5)</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7FACB1"/>
            </w:tcBorders>
          </w:tcPr>
          <w:p>
            <w:pPr>
              <w:spacing w:after="0"/>
              <w:rPr>
                <w:sz w:val="12"/>
                <w:szCs w:val="12"/>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(0.3)</w:t>
            </w:r>
          </w:p>
        </w:tc>
      </w:tr>
      <w:tr>
        <w:trPr>
          <w:trHeight w:val="142"/>
        </w:trPr>
        <w:tc>
          <w:tcPr>
            <w:tcW w:w="5900" w:type="dxa"/>
            <w:vAlign w:val="bottom"/>
            <w:tcBorders>
              <w:bottom w:val="single" w:sz="8" w:color="7FACB1"/>
            </w:tcBorders>
          </w:tcPr>
          <w:p>
            <w:pPr>
              <w:ind w:left="100"/>
              <w:spacing w:after="0"/>
              <w:rPr>
                <w:sz w:val="20"/>
                <w:szCs w:val="20"/>
                <w:color w:val="auto"/>
              </w:rPr>
            </w:pPr>
            <w:r>
              <w:rPr>
                <w:rFonts w:ascii="Arial" w:cs="Arial" w:eastAsia="Arial" w:hAnsi="Arial"/>
                <w:sz w:val="10"/>
                <w:szCs w:val="10"/>
                <w:color w:val="005A64"/>
              </w:rPr>
              <w:t>Finance income excluding foreign exchange differences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(99.1)</w:t>
            </w:r>
          </w:p>
        </w:tc>
        <w:tc>
          <w:tcPr>
            <w:tcW w:w="12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(149.7)</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(423.9)</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7FACB1"/>
            </w:tcBorders>
          </w:tcPr>
          <w:p>
            <w:pPr>
              <w:spacing w:after="0"/>
              <w:rPr>
                <w:sz w:val="12"/>
                <w:szCs w:val="12"/>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(648.5)</w:t>
            </w:r>
          </w:p>
        </w:tc>
      </w:tr>
      <w:tr>
        <w:trPr>
          <w:trHeight w:val="142"/>
        </w:trPr>
        <w:tc>
          <w:tcPr>
            <w:tcW w:w="5900" w:type="dxa"/>
            <w:vAlign w:val="bottom"/>
            <w:tcBorders>
              <w:bottom w:val="single" w:sz="8" w:color="7FACB1"/>
            </w:tcBorders>
          </w:tcPr>
          <w:p>
            <w:pPr>
              <w:ind w:left="100"/>
              <w:spacing w:after="0"/>
              <w:rPr>
                <w:sz w:val="20"/>
                <w:szCs w:val="20"/>
                <w:color w:val="auto"/>
              </w:rPr>
            </w:pPr>
            <w:r>
              <w:rPr>
                <w:rFonts w:ascii="Arial" w:cs="Arial" w:eastAsia="Arial" w:hAnsi="Arial"/>
                <w:sz w:val="10"/>
                <w:szCs w:val="10"/>
                <w:color w:val="005A64"/>
              </w:rPr>
              <w:t>Finance expense excluding foreign exchange differences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4.3</w:t>
            </w:r>
          </w:p>
        </w:tc>
        <w:tc>
          <w:tcPr>
            <w:tcW w:w="12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12.6</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21.4</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7FACB1"/>
            </w:tcBorders>
          </w:tcPr>
          <w:p>
            <w:pPr>
              <w:spacing w:after="0"/>
              <w:rPr>
                <w:sz w:val="12"/>
                <w:szCs w:val="12"/>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27.4</w:t>
            </w:r>
          </w:p>
        </w:tc>
      </w:tr>
      <w:tr>
        <w:trPr>
          <w:trHeight w:val="142"/>
        </w:trPr>
        <w:tc>
          <w:tcPr>
            <w:tcW w:w="5900" w:type="dxa"/>
            <w:vAlign w:val="bottom"/>
            <w:tcBorders>
              <w:bottom w:val="single" w:sz="8" w:color="7FACB1"/>
            </w:tcBorders>
          </w:tcPr>
          <w:p>
            <w:pPr>
              <w:ind w:left="100"/>
              <w:spacing w:after="0"/>
              <w:rPr>
                <w:sz w:val="20"/>
                <w:szCs w:val="20"/>
                <w:color w:val="auto"/>
              </w:rPr>
            </w:pPr>
            <w:r>
              <w:rPr>
                <w:rFonts w:ascii="Arial" w:cs="Arial" w:eastAsia="Arial" w:hAnsi="Arial"/>
                <w:sz w:val="10"/>
                <w:szCs w:val="10"/>
                <w:color w:val="005A64"/>
              </w:rPr>
              <w:t>Government grants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(19.5)</w:t>
            </w:r>
          </w:p>
        </w:tc>
        <w:tc>
          <w:tcPr>
            <w:tcW w:w="12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(4.7)</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(63.0)</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7FACB1"/>
            </w:tcBorders>
          </w:tcPr>
          <w:p>
            <w:pPr>
              <w:spacing w:after="0"/>
              <w:rPr>
                <w:sz w:val="12"/>
                <w:szCs w:val="12"/>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(31.5)</w:t>
            </w:r>
          </w:p>
        </w:tc>
      </w:tr>
      <w:tr>
        <w:trPr>
          <w:trHeight w:val="142"/>
        </w:trPr>
        <w:tc>
          <w:tcPr>
            <w:tcW w:w="5900" w:type="dxa"/>
            <w:vAlign w:val="bottom"/>
            <w:tcBorders>
              <w:bottom w:val="single" w:sz="8" w:color="7FACB1"/>
            </w:tcBorders>
          </w:tcPr>
          <w:p>
            <w:pPr>
              <w:ind w:left="100"/>
              <w:spacing w:after="0"/>
              <w:rPr>
                <w:sz w:val="20"/>
                <w:szCs w:val="20"/>
                <w:color w:val="auto"/>
              </w:rPr>
            </w:pPr>
            <w:r>
              <w:rPr>
                <w:rFonts w:ascii="Arial" w:cs="Arial" w:eastAsia="Arial" w:hAnsi="Arial"/>
                <w:sz w:val="10"/>
                <w:szCs w:val="10"/>
                <w:color w:val="005A64"/>
              </w:rPr>
              <w:t>Other non-cash (income) / loss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600.4</w:t>
            </w:r>
          </w:p>
        </w:tc>
        <w:tc>
          <w:tcPr>
            <w:tcW w:w="12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585.4</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7FACB1"/>
            </w:tcBorders>
          </w:tcPr>
          <w:p>
            <w:pPr>
              <w:spacing w:after="0"/>
              <w:rPr>
                <w:sz w:val="12"/>
                <w:szCs w:val="12"/>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w:t>
            </w:r>
          </w:p>
        </w:tc>
      </w:tr>
      <w:tr>
        <w:trPr>
          <w:trHeight w:val="142"/>
        </w:trPr>
        <w:tc>
          <w:tcPr>
            <w:tcW w:w="5900" w:type="dxa"/>
            <w:vAlign w:val="bottom"/>
            <w:tcBorders>
              <w:bottom w:val="single" w:sz="8" w:color="7FACB1"/>
            </w:tcBorders>
          </w:tcPr>
          <w:p>
            <w:pPr>
              <w:ind w:left="100"/>
              <w:spacing w:after="0"/>
              <w:rPr>
                <w:sz w:val="20"/>
                <w:szCs w:val="20"/>
                <w:color w:val="auto"/>
              </w:rPr>
            </w:pPr>
            <w:r>
              <w:rPr>
                <w:rFonts w:ascii="Arial" w:cs="Arial" w:eastAsia="Arial" w:hAnsi="Arial"/>
                <w:sz w:val="10"/>
                <w:szCs w:val="10"/>
                <w:color w:val="005A64"/>
              </w:rPr>
              <w:t>Unrealized (gain) / loss on derivative instruments at fair value through profit or loss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2.5</w:t>
            </w:r>
          </w:p>
        </w:tc>
        <w:tc>
          <w:tcPr>
            <w:tcW w:w="12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3.9</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(10.4)</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7FACB1"/>
            </w:tcBorders>
          </w:tcPr>
          <w:p>
            <w:pPr>
              <w:spacing w:after="0"/>
              <w:rPr>
                <w:sz w:val="12"/>
                <w:szCs w:val="12"/>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4.6</w:t>
            </w:r>
          </w:p>
        </w:tc>
      </w:tr>
      <w:tr>
        <w:trPr>
          <w:trHeight w:val="148"/>
        </w:trPr>
        <w:tc>
          <w:tcPr>
            <w:tcW w:w="6000" w:type="dxa"/>
            <w:vAlign w:val="bottom"/>
            <w:tcBorders>
              <w:bottom w:val="single" w:sz="8" w:color="7FACB1"/>
              <w:right w:val="single" w:sz="8" w:color="BECD32"/>
            </w:tcBorders>
            <w:gridSpan w:val="2"/>
          </w:tcPr>
          <w:p>
            <w:pPr>
              <w:ind w:left="20"/>
              <w:spacing w:after="0"/>
              <w:rPr>
                <w:sz w:val="20"/>
                <w:szCs w:val="20"/>
                <w:color w:val="auto"/>
              </w:rPr>
            </w:pPr>
            <w:r>
              <w:rPr>
                <w:rFonts w:ascii="Arial" w:cs="Arial" w:eastAsia="Arial" w:hAnsi="Arial"/>
                <w:sz w:val="10"/>
                <w:szCs w:val="10"/>
                <w:b w:val="1"/>
                <w:bCs w:val="1"/>
                <w:color w:val="3C9673"/>
              </w:rPr>
              <w:t>Working capital adjustments:</w:t>
            </w:r>
          </w:p>
        </w:tc>
        <w:tc>
          <w:tcPr>
            <w:tcW w:w="60" w:type="dxa"/>
            <w:vAlign w:val="bottom"/>
            <w:tcBorders>
              <w:bottom w:val="single" w:sz="8" w:color="7FACB1"/>
            </w:tcBorders>
          </w:tcPr>
          <w:p>
            <w:pPr>
              <w:spacing w:after="0"/>
              <w:rPr>
                <w:sz w:val="12"/>
                <w:szCs w:val="12"/>
                <w:color w:val="auto"/>
              </w:rPr>
            </w:pPr>
          </w:p>
        </w:tc>
        <w:tc>
          <w:tcPr>
            <w:tcW w:w="1140" w:type="dxa"/>
            <w:vAlign w:val="bottom"/>
            <w:tcBorders>
              <w:bottom w:val="single" w:sz="8" w:color="7FACB1"/>
            </w:tcBorders>
          </w:tcPr>
          <w:p>
            <w:pPr>
              <w:spacing w:after="0"/>
              <w:rPr>
                <w:sz w:val="12"/>
                <w:szCs w:val="12"/>
                <w:color w:val="auto"/>
              </w:rPr>
            </w:pPr>
          </w:p>
        </w:tc>
        <w:tc>
          <w:tcPr>
            <w:tcW w:w="12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40" w:type="dxa"/>
            <w:vAlign w:val="bottom"/>
            <w:tcBorders>
              <w:bottom w:val="single" w:sz="8" w:color="7FACB1"/>
            </w:tcBorders>
          </w:tcPr>
          <w:p>
            <w:pPr>
              <w:spacing w:after="0"/>
              <w:rPr>
                <w:sz w:val="12"/>
                <w:szCs w:val="12"/>
                <w:color w:val="auto"/>
              </w:rPr>
            </w:pPr>
          </w:p>
        </w:tc>
        <w:tc>
          <w:tcPr>
            <w:tcW w:w="140" w:type="dxa"/>
            <w:vAlign w:val="bottom"/>
            <w:tcBorders>
              <w:right w:val="single" w:sz="8" w:color="BECD32"/>
            </w:tcBorders>
          </w:tcPr>
          <w:p>
            <w:pPr>
              <w:spacing w:after="0"/>
              <w:rPr>
                <w:sz w:val="12"/>
                <w:szCs w:val="12"/>
                <w:color w:val="auto"/>
              </w:rPr>
            </w:pPr>
          </w:p>
        </w:tc>
        <w:tc>
          <w:tcPr>
            <w:tcW w:w="100" w:type="dxa"/>
            <w:vAlign w:val="bottom"/>
            <w:tcBorders>
              <w:bottom w:val="single" w:sz="8" w:color="7FACB1"/>
            </w:tcBorders>
          </w:tcPr>
          <w:p>
            <w:pPr>
              <w:spacing w:after="0"/>
              <w:rPr>
                <w:sz w:val="12"/>
                <w:szCs w:val="12"/>
                <w:color w:val="auto"/>
              </w:rPr>
            </w:pPr>
          </w:p>
        </w:tc>
        <w:tc>
          <w:tcPr>
            <w:tcW w:w="1120" w:type="dxa"/>
            <w:vAlign w:val="bottom"/>
            <w:tcBorders>
              <w:bottom w:val="single" w:sz="8" w:color="7FACB1"/>
            </w:tcBorders>
          </w:tcPr>
          <w:p>
            <w:pPr>
              <w:spacing w:after="0"/>
              <w:rPr>
                <w:sz w:val="12"/>
                <w:szCs w:val="12"/>
                <w:color w:val="auto"/>
              </w:rPr>
            </w:pP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7FACB1"/>
            </w:tcBorders>
          </w:tcPr>
          <w:p>
            <w:pPr>
              <w:spacing w:after="0"/>
              <w:rPr>
                <w:sz w:val="12"/>
                <w:szCs w:val="12"/>
                <w:color w:val="auto"/>
              </w:rPr>
            </w:pPr>
          </w:p>
        </w:tc>
        <w:tc>
          <w:tcPr>
            <w:tcW w:w="700" w:type="dxa"/>
            <w:vAlign w:val="bottom"/>
            <w:tcBorders>
              <w:bottom w:val="single" w:sz="8" w:color="7FACB1"/>
            </w:tcBorders>
          </w:tcPr>
          <w:p>
            <w:pPr>
              <w:spacing w:after="0"/>
              <w:rPr>
                <w:sz w:val="12"/>
                <w:szCs w:val="12"/>
                <w:color w:val="auto"/>
              </w:rPr>
            </w:pPr>
          </w:p>
        </w:tc>
      </w:tr>
      <w:tr>
        <w:trPr>
          <w:trHeight w:val="145"/>
        </w:trPr>
        <w:tc>
          <w:tcPr>
            <w:tcW w:w="5900" w:type="dxa"/>
            <w:vAlign w:val="bottom"/>
            <w:tcBorders>
              <w:bottom w:val="single" w:sz="8" w:color="7FACB1"/>
            </w:tcBorders>
          </w:tcPr>
          <w:p>
            <w:pPr>
              <w:ind w:left="100"/>
              <w:spacing w:after="0"/>
              <w:rPr>
                <w:sz w:val="20"/>
                <w:szCs w:val="20"/>
                <w:color w:val="auto"/>
              </w:rPr>
            </w:pPr>
            <w:r>
              <w:rPr>
                <w:rFonts w:ascii="Arial" w:cs="Arial" w:eastAsia="Arial" w:hAnsi="Arial"/>
                <w:sz w:val="10"/>
                <w:szCs w:val="10"/>
                <w:color w:val="005A64"/>
              </w:rPr>
              <w:t>(Increase) / Decrease in trade and other receivables, contract assets and other assets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81.0</w:t>
            </w:r>
          </w:p>
        </w:tc>
        <w:tc>
          <w:tcPr>
            <w:tcW w:w="12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(879.9)</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1,083.7</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7FACB1"/>
            </w:tcBorders>
          </w:tcPr>
          <w:p>
            <w:pPr>
              <w:spacing w:after="0"/>
              <w:rPr>
                <w:sz w:val="12"/>
                <w:szCs w:val="12"/>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387.7</w:t>
            </w:r>
          </w:p>
        </w:tc>
      </w:tr>
      <w:tr>
        <w:trPr>
          <w:trHeight w:val="142"/>
        </w:trPr>
        <w:tc>
          <w:tcPr>
            <w:tcW w:w="5900" w:type="dxa"/>
            <w:vAlign w:val="bottom"/>
            <w:tcBorders>
              <w:bottom w:val="single" w:sz="8" w:color="7FACB1"/>
            </w:tcBorders>
          </w:tcPr>
          <w:p>
            <w:pPr>
              <w:ind w:left="100"/>
              <w:spacing w:after="0"/>
              <w:rPr>
                <w:sz w:val="20"/>
                <w:szCs w:val="20"/>
                <w:color w:val="auto"/>
              </w:rPr>
            </w:pPr>
            <w:r>
              <w:rPr>
                <w:rFonts w:ascii="Arial" w:cs="Arial" w:eastAsia="Arial" w:hAnsi="Arial"/>
                <w:sz w:val="10"/>
                <w:szCs w:val="10"/>
                <w:color w:val="005A64"/>
              </w:rPr>
              <w:t>Decrease in inventories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116.2</w:t>
            </w:r>
          </w:p>
        </w:tc>
        <w:tc>
          <w:tcPr>
            <w:tcW w:w="12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19.9</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177.9</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7FACB1"/>
            </w:tcBorders>
          </w:tcPr>
          <w:p>
            <w:pPr>
              <w:spacing w:after="0"/>
              <w:rPr>
                <w:sz w:val="12"/>
                <w:szCs w:val="12"/>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74.5</w:t>
            </w:r>
          </w:p>
        </w:tc>
      </w:tr>
      <w:tr>
        <w:trPr>
          <w:trHeight w:val="142"/>
        </w:trPr>
        <w:tc>
          <w:tcPr>
            <w:tcW w:w="5900" w:type="dxa"/>
            <w:vAlign w:val="bottom"/>
            <w:tcBorders>
              <w:bottom w:val="single" w:sz="8" w:color="7FACB1"/>
            </w:tcBorders>
          </w:tcPr>
          <w:p>
            <w:pPr>
              <w:ind w:left="100"/>
              <w:spacing w:after="0"/>
              <w:rPr>
                <w:sz w:val="20"/>
                <w:szCs w:val="20"/>
                <w:color w:val="auto"/>
              </w:rPr>
            </w:pPr>
            <w:r>
              <w:rPr>
                <w:rFonts w:ascii="Arial" w:cs="Arial" w:eastAsia="Arial" w:hAnsi="Arial"/>
                <w:sz w:val="10"/>
                <w:szCs w:val="10"/>
                <w:color w:val="005A64"/>
              </w:rPr>
              <w:t>(Decrease) / Increase in trade payables, other financial liabilities, other liabilities, contract liabilities, refund liabilities and provisions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(424.6)</w:t>
            </w:r>
          </w:p>
        </w:tc>
        <w:tc>
          <w:tcPr>
            <w:tcW w:w="12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167.7</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(723.8)</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7FACB1"/>
            </w:tcBorders>
          </w:tcPr>
          <w:p>
            <w:pPr>
              <w:spacing w:after="0"/>
              <w:rPr>
                <w:sz w:val="12"/>
                <w:szCs w:val="12"/>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758.4</w:t>
            </w:r>
          </w:p>
        </w:tc>
      </w:tr>
      <w:tr>
        <w:trPr>
          <w:trHeight w:val="142"/>
        </w:trPr>
        <w:tc>
          <w:tcPr>
            <w:tcW w:w="590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Interest received and realized gains from cash and cash equivalents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61.8</w:t>
            </w:r>
          </w:p>
        </w:tc>
        <w:tc>
          <w:tcPr>
            <w:tcW w:w="12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121.6</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337.0</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7FACB1"/>
            </w:tcBorders>
          </w:tcPr>
          <w:p>
            <w:pPr>
              <w:spacing w:after="0"/>
              <w:rPr>
                <w:sz w:val="12"/>
                <w:szCs w:val="12"/>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474.9</w:t>
            </w:r>
          </w:p>
        </w:tc>
      </w:tr>
      <w:tr>
        <w:trPr>
          <w:trHeight w:val="142"/>
        </w:trPr>
        <w:tc>
          <w:tcPr>
            <w:tcW w:w="590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Interest paid and realized losses from cash and cash equivalents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(2.8)</w:t>
            </w:r>
          </w:p>
        </w:tc>
        <w:tc>
          <w:tcPr>
            <w:tcW w:w="12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(6.6)</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(11.0)</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7FACB1"/>
            </w:tcBorders>
          </w:tcPr>
          <w:p>
            <w:pPr>
              <w:spacing w:after="0"/>
              <w:rPr>
                <w:sz w:val="12"/>
                <w:szCs w:val="12"/>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(13.5)</w:t>
            </w:r>
          </w:p>
        </w:tc>
      </w:tr>
      <w:tr>
        <w:trPr>
          <w:trHeight w:val="142"/>
        </w:trPr>
        <w:tc>
          <w:tcPr>
            <w:tcW w:w="590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Income tax received / (paid), net</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40.5</w:t>
            </w:r>
          </w:p>
        </w:tc>
        <w:tc>
          <w:tcPr>
            <w:tcW w:w="12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(198.4)</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3.8</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7FACB1"/>
            </w:tcBorders>
          </w:tcPr>
          <w:p>
            <w:pPr>
              <w:spacing w:after="0"/>
              <w:rPr>
                <w:sz w:val="12"/>
                <w:szCs w:val="12"/>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(389.2)</w:t>
            </w:r>
          </w:p>
        </w:tc>
      </w:tr>
      <w:tr>
        <w:trPr>
          <w:trHeight w:val="142"/>
        </w:trPr>
        <w:tc>
          <w:tcPr>
            <w:tcW w:w="590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Share-based payments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(6.0)</w:t>
            </w:r>
          </w:p>
        </w:tc>
        <w:tc>
          <w:tcPr>
            <w:tcW w:w="12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(10.9)</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(25.3)</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7FACB1"/>
            </w:tcBorders>
          </w:tcPr>
          <w:p>
            <w:pPr>
              <w:spacing w:after="0"/>
              <w:rPr>
                <w:sz w:val="12"/>
                <w:szCs w:val="12"/>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(154.5)</w:t>
            </w:r>
          </w:p>
        </w:tc>
      </w:tr>
      <w:tr>
        <w:trPr>
          <w:trHeight w:val="142"/>
        </w:trPr>
        <w:tc>
          <w:tcPr>
            <w:tcW w:w="590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Government grants received</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37.1</w:t>
            </w:r>
          </w:p>
        </w:tc>
        <w:tc>
          <w:tcPr>
            <w:tcW w:w="12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3.3</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75.1</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7FACB1"/>
            </w:tcBorders>
          </w:tcPr>
          <w:p>
            <w:pPr>
              <w:spacing w:after="0"/>
              <w:rPr>
                <w:sz w:val="12"/>
                <w:szCs w:val="12"/>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106.0</w:t>
            </w:r>
          </w:p>
        </w:tc>
      </w:tr>
      <w:tr>
        <w:trPr>
          <w:trHeight w:val="144"/>
        </w:trPr>
        <w:tc>
          <w:tcPr>
            <w:tcW w:w="5900" w:type="dxa"/>
            <w:vAlign w:val="bottom"/>
            <w:tcBorders>
              <w:bottom w:val="single" w:sz="8" w:color="005A64"/>
            </w:tcBorders>
          </w:tcPr>
          <w:p>
            <w:pPr>
              <w:ind w:left="20"/>
              <w:spacing w:after="0"/>
              <w:rPr>
                <w:sz w:val="20"/>
                <w:szCs w:val="20"/>
                <w:color w:val="auto"/>
              </w:rPr>
            </w:pPr>
            <w:r>
              <w:rPr>
                <w:rFonts w:ascii="Arial" w:cs="Arial" w:eastAsia="Arial" w:hAnsi="Arial"/>
                <w:sz w:val="10"/>
                <w:szCs w:val="10"/>
                <w:b w:val="1"/>
                <w:bCs w:val="1"/>
                <w:color w:val="005A64"/>
              </w:rPr>
              <w:t>Net cash flows from operating activities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309.5</w:t>
            </w:r>
          </w:p>
        </w:tc>
        <w:tc>
          <w:tcPr>
            <w:tcW w:w="12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005A64"/>
            </w:tcBorders>
          </w:tcPr>
          <w:p>
            <w:pPr>
              <w:spacing w:after="0"/>
              <w:rPr>
                <w:sz w:val="12"/>
                <w:szCs w:val="12"/>
                <w:color w:val="auto"/>
              </w:rPr>
            </w:pPr>
          </w:p>
        </w:tc>
        <w:tc>
          <w:tcPr>
            <w:tcW w:w="64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(463.3)</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456.0</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005A64"/>
            </w:tcBorders>
          </w:tcPr>
          <w:p>
            <w:pPr>
              <w:spacing w:after="0"/>
              <w:rPr>
                <w:sz w:val="12"/>
                <w:szCs w:val="12"/>
                <w:color w:val="auto"/>
              </w:rPr>
            </w:pPr>
          </w:p>
        </w:tc>
        <w:tc>
          <w:tcPr>
            <w:tcW w:w="70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207.7</w:t>
            </w:r>
          </w:p>
        </w:tc>
      </w:tr>
      <w:tr>
        <w:trPr>
          <w:trHeight w:val="146"/>
        </w:trPr>
        <w:tc>
          <w:tcPr>
            <w:tcW w:w="5900" w:type="dxa"/>
            <w:vAlign w:val="bottom"/>
            <w:tcBorders>
              <w:bottom w:val="single" w:sz="8" w:color="7FACB1"/>
            </w:tcBorders>
          </w:tcPr>
          <w:p>
            <w:pPr>
              <w:ind w:left="20"/>
              <w:spacing w:after="0"/>
              <w:rPr>
                <w:sz w:val="20"/>
                <w:szCs w:val="20"/>
                <w:color w:val="auto"/>
              </w:rPr>
            </w:pPr>
            <w:r>
              <w:rPr>
                <w:rFonts w:ascii="Arial" w:cs="Arial" w:eastAsia="Arial" w:hAnsi="Arial"/>
                <w:sz w:val="10"/>
                <w:szCs w:val="10"/>
                <w:b w:val="1"/>
                <w:bCs w:val="1"/>
                <w:color w:val="3C9673"/>
              </w:rPr>
              <w:t>Investing activities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spacing w:after="0"/>
              <w:rPr>
                <w:sz w:val="12"/>
                <w:szCs w:val="12"/>
                <w:color w:val="auto"/>
              </w:rPr>
            </w:pPr>
          </w:p>
        </w:tc>
        <w:tc>
          <w:tcPr>
            <w:tcW w:w="12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40" w:type="dxa"/>
            <w:vAlign w:val="bottom"/>
            <w:tcBorders>
              <w:bottom w:val="single" w:sz="8" w:color="7FACB1"/>
            </w:tcBorders>
          </w:tcPr>
          <w:p>
            <w:pPr>
              <w:spacing w:after="0"/>
              <w:rPr>
                <w:sz w:val="12"/>
                <w:szCs w:val="12"/>
                <w:color w:val="auto"/>
              </w:rPr>
            </w:pP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7FACB1"/>
            </w:tcBorders>
          </w:tcPr>
          <w:p>
            <w:pPr>
              <w:spacing w:after="0"/>
              <w:rPr>
                <w:sz w:val="12"/>
                <w:szCs w:val="12"/>
                <w:color w:val="auto"/>
              </w:rPr>
            </w:pP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7FACB1"/>
            </w:tcBorders>
          </w:tcPr>
          <w:p>
            <w:pPr>
              <w:spacing w:after="0"/>
              <w:rPr>
                <w:sz w:val="12"/>
                <w:szCs w:val="12"/>
                <w:color w:val="auto"/>
              </w:rPr>
            </w:pPr>
          </w:p>
        </w:tc>
        <w:tc>
          <w:tcPr>
            <w:tcW w:w="700" w:type="dxa"/>
            <w:vAlign w:val="bottom"/>
            <w:tcBorders>
              <w:bottom w:val="single" w:sz="8" w:color="7FACB1"/>
            </w:tcBorders>
          </w:tcPr>
          <w:p>
            <w:pPr>
              <w:spacing w:after="0"/>
              <w:rPr>
                <w:sz w:val="12"/>
                <w:szCs w:val="12"/>
                <w:color w:val="auto"/>
              </w:rPr>
            </w:pPr>
          </w:p>
        </w:tc>
      </w:tr>
      <w:tr>
        <w:trPr>
          <w:trHeight w:val="145"/>
        </w:trPr>
        <w:tc>
          <w:tcPr>
            <w:tcW w:w="590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Purchase of property, plant and equipment</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(63.2)</w:t>
            </w:r>
          </w:p>
        </w:tc>
        <w:tc>
          <w:tcPr>
            <w:tcW w:w="12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(66.6)</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(175.1)</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7FACB1"/>
            </w:tcBorders>
          </w:tcPr>
          <w:p>
            <w:pPr>
              <w:spacing w:after="0"/>
              <w:rPr>
                <w:sz w:val="12"/>
                <w:szCs w:val="12"/>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(286.5)</w:t>
            </w:r>
          </w:p>
        </w:tc>
      </w:tr>
      <w:tr>
        <w:trPr>
          <w:trHeight w:val="142"/>
        </w:trPr>
        <w:tc>
          <w:tcPr>
            <w:tcW w:w="590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Proceeds from sale of property, plant and equipment</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0.6</w:t>
            </w:r>
          </w:p>
        </w:tc>
        <w:tc>
          <w:tcPr>
            <w:tcW w:w="12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0.7</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4.5</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7FACB1"/>
            </w:tcBorders>
          </w:tcPr>
          <w:p>
            <w:pPr>
              <w:spacing w:after="0"/>
              <w:rPr>
                <w:sz w:val="12"/>
                <w:szCs w:val="12"/>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1.2</w:t>
            </w:r>
          </w:p>
        </w:tc>
      </w:tr>
      <w:tr>
        <w:trPr>
          <w:trHeight w:val="142"/>
        </w:trPr>
        <w:tc>
          <w:tcPr>
            <w:tcW w:w="590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Purchase of intangible assets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1.1</w:t>
            </w:r>
          </w:p>
        </w:tc>
        <w:tc>
          <w:tcPr>
            <w:tcW w:w="12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(24.5)</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(573.9)</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7FACB1"/>
            </w:tcBorders>
          </w:tcPr>
          <w:p>
            <w:pPr>
              <w:spacing w:after="0"/>
              <w:rPr>
                <w:sz w:val="12"/>
                <w:szCs w:val="12"/>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(165.8)</w:t>
            </w:r>
          </w:p>
        </w:tc>
      </w:tr>
      <w:tr>
        <w:trPr>
          <w:trHeight w:val="142"/>
        </w:trPr>
        <w:tc>
          <w:tcPr>
            <w:tcW w:w="590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Acquisition of subsidiaries and businesses, net of cash acquired</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264.8</w:t>
            </w:r>
          </w:p>
        </w:tc>
        <w:tc>
          <w:tcPr>
            <w:tcW w:w="12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186.3</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7FACB1"/>
            </w:tcBorders>
          </w:tcPr>
          <w:p>
            <w:pPr>
              <w:spacing w:after="0"/>
              <w:rPr>
                <w:sz w:val="12"/>
                <w:szCs w:val="12"/>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w:t>
            </w:r>
          </w:p>
        </w:tc>
      </w:tr>
      <w:tr>
        <w:trPr>
          <w:trHeight w:val="142"/>
        </w:trPr>
        <w:tc>
          <w:tcPr>
            <w:tcW w:w="590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Investment in other financial assets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(4,375.8)</w:t>
            </w:r>
          </w:p>
        </w:tc>
        <w:tc>
          <w:tcPr>
            <w:tcW w:w="12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(2,068.8)</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(11,422.5)</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7FACB1"/>
            </w:tcBorders>
          </w:tcPr>
          <w:p>
            <w:pPr>
              <w:spacing w:after="0"/>
              <w:rPr>
                <w:sz w:val="12"/>
                <w:szCs w:val="12"/>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(12,370.3)</w:t>
            </w:r>
          </w:p>
        </w:tc>
      </w:tr>
      <w:tr>
        <w:trPr>
          <w:trHeight w:val="142"/>
        </w:trPr>
        <w:tc>
          <w:tcPr>
            <w:tcW w:w="590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Proceeds from maturity of other financial assets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1,446.9</w:t>
            </w:r>
          </w:p>
        </w:tc>
        <w:tc>
          <w:tcPr>
            <w:tcW w:w="12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2,765.9</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9,512.2</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7FACB1"/>
            </w:tcBorders>
          </w:tcPr>
          <w:p>
            <w:pPr>
              <w:spacing w:after="0"/>
              <w:rPr>
                <w:sz w:val="12"/>
                <w:szCs w:val="12"/>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10,740.2</w:t>
            </w:r>
          </w:p>
        </w:tc>
      </w:tr>
      <w:tr>
        <w:trPr>
          <w:trHeight w:val="144"/>
        </w:trPr>
        <w:tc>
          <w:tcPr>
            <w:tcW w:w="5900" w:type="dxa"/>
            <w:vAlign w:val="bottom"/>
            <w:tcBorders>
              <w:bottom w:val="single" w:sz="8" w:color="005A64"/>
            </w:tcBorders>
          </w:tcPr>
          <w:p>
            <w:pPr>
              <w:ind w:left="20"/>
              <w:spacing w:after="0"/>
              <w:rPr>
                <w:sz w:val="20"/>
                <w:szCs w:val="20"/>
                <w:color w:val="auto"/>
              </w:rPr>
            </w:pPr>
            <w:r>
              <w:rPr>
                <w:rFonts w:ascii="Arial" w:cs="Arial" w:eastAsia="Arial" w:hAnsi="Arial"/>
                <w:sz w:val="10"/>
                <w:szCs w:val="10"/>
                <w:b w:val="1"/>
                <w:bCs w:val="1"/>
                <w:color w:val="005A64"/>
              </w:rPr>
              <w:t>Net cash flows used in investing activities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(2,725.6)</w:t>
            </w:r>
          </w:p>
        </w:tc>
        <w:tc>
          <w:tcPr>
            <w:tcW w:w="12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005A64"/>
            </w:tcBorders>
          </w:tcPr>
          <w:p>
            <w:pPr>
              <w:spacing w:after="0"/>
              <w:rPr>
                <w:sz w:val="12"/>
                <w:szCs w:val="12"/>
                <w:color w:val="auto"/>
              </w:rPr>
            </w:pPr>
          </w:p>
        </w:tc>
        <w:tc>
          <w:tcPr>
            <w:tcW w:w="64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606.7</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(2,468.5)</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005A64"/>
            </w:tcBorders>
          </w:tcPr>
          <w:p>
            <w:pPr>
              <w:spacing w:after="0"/>
              <w:rPr>
                <w:sz w:val="12"/>
                <w:szCs w:val="12"/>
                <w:color w:val="auto"/>
              </w:rPr>
            </w:pPr>
          </w:p>
        </w:tc>
        <w:tc>
          <w:tcPr>
            <w:tcW w:w="70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(2,081.2)</w:t>
            </w:r>
          </w:p>
        </w:tc>
      </w:tr>
      <w:tr>
        <w:trPr>
          <w:trHeight w:val="145"/>
        </w:trPr>
        <w:tc>
          <w:tcPr>
            <w:tcW w:w="6000" w:type="dxa"/>
            <w:vAlign w:val="bottom"/>
            <w:tcBorders>
              <w:bottom w:val="single" w:sz="8" w:color="7FACB1"/>
              <w:right w:val="single" w:sz="8" w:color="BECD32"/>
            </w:tcBorders>
            <w:gridSpan w:val="2"/>
          </w:tcPr>
          <w:p>
            <w:pPr>
              <w:ind w:left="20"/>
              <w:spacing w:after="0"/>
              <w:rPr>
                <w:sz w:val="20"/>
                <w:szCs w:val="20"/>
                <w:color w:val="auto"/>
              </w:rPr>
            </w:pPr>
            <w:r>
              <w:rPr>
                <w:rFonts w:ascii="Arial" w:cs="Arial" w:eastAsia="Arial" w:hAnsi="Arial"/>
                <w:sz w:val="10"/>
                <w:szCs w:val="10"/>
                <w:b w:val="1"/>
                <w:bCs w:val="1"/>
                <w:color w:val="3C9673"/>
              </w:rPr>
              <w:t>Financing activities</w:t>
            </w:r>
          </w:p>
        </w:tc>
        <w:tc>
          <w:tcPr>
            <w:tcW w:w="60" w:type="dxa"/>
            <w:vAlign w:val="bottom"/>
            <w:tcBorders>
              <w:bottom w:val="single" w:sz="8" w:color="7FACB1"/>
            </w:tcBorders>
          </w:tcPr>
          <w:p>
            <w:pPr>
              <w:spacing w:after="0"/>
              <w:rPr>
                <w:sz w:val="12"/>
                <w:szCs w:val="12"/>
                <w:color w:val="auto"/>
              </w:rPr>
            </w:pPr>
          </w:p>
        </w:tc>
        <w:tc>
          <w:tcPr>
            <w:tcW w:w="1140" w:type="dxa"/>
            <w:vAlign w:val="bottom"/>
            <w:tcBorders>
              <w:bottom w:val="single" w:sz="8" w:color="7FACB1"/>
            </w:tcBorders>
          </w:tcPr>
          <w:p>
            <w:pPr>
              <w:spacing w:after="0"/>
              <w:rPr>
                <w:sz w:val="12"/>
                <w:szCs w:val="12"/>
                <w:color w:val="auto"/>
              </w:rPr>
            </w:pPr>
          </w:p>
        </w:tc>
        <w:tc>
          <w:tcPr>
            <w:tcW w:w="12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40" w:type="dxa"/>
            <w:vAlign w:val="bottom"/>
            <w:tcBorders>
              <w:bottom w:val="single" w:sz="8" w:color="7FACB1"/>
            </w:tcBorders>
          </w:tcPr>
          <w:p>
            <w:pPr>
              <w:spacing w:after="0"/>
              <w:rPr>
                <w:sz w:val="12"/>
                <w:szCs w:val="12"/>
                <w:color w:val="auto"/>
              </w:rPr>
            </w:pPr>
          </w:p>
        </w:tc>
        <w:tc>
          <w:tcPr>
            <w:tcW w:w="140" w:type="dxa"/>
            <w:vAlign w:val="bottom"/>
            <w:tcBorders>
              <w:bottom w:val="single" w:sz="8" w:color="7FACB1"/>
              <w:right w:val="single" w:sz="8" w:color="BECD32"/>
            </w:tcBorders>
          </w:tcPr>
          <w:p>
            <w:pPr>
              <w:spacing w:after="0"/>
              <w:rPr>
                <w:sz w:val="12"/>
                <w:szCs w:val="12"/>
                <w:color w:val="auto"/>
              </w:rPr>
            </w:pPr>
          </w:p>
        </w:tc>
        <w:tc>
          <w:tcPr>
            <w:tcW w:w="100" w:type="dxa"/>
            <w:vAlign w:val="bottom"/>
            <w:tcBorders>
              <w:bottom w:val="single" w:sz="8" w:color="7FACB1"/>
            </w:tcBorders>
          </w:tcPr>
          <w:p>
            <w:pPr>
              <w:spacing w:after="0"/>
              <w:rPr>
                <w:sz w:val="12"/>
                <w:szCs w:val="12"/>
                <w:color w:val="auto"/>
              </w:rPr>
            </w:pPr>
          </w:p>
        </w:tc>
        <w:tc>
          <w:tcPr>
            <w:tcW w:w="1120" w:type="dxa"/>
            <w:vAlign w:val="bottom"/>
            <w:tcBorders>
              <w:bottom w:val="single" w:sz="8" w:color="7FACB1"/>
            </w:tcBorders>
          </w:tcPr>
          <w:p>
            <w:pPr>
              <w:spacing w:after="0"/>
              <w:rPr>
                <w:sz w:val="12"/>
                <w:szCs w:val="12"/>
                <w:color w:val="auto"/>
              </w:rPr>
            </w:pP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7FACB1"/>
            </w:tcBorders>
          </w:tcPr>
          <w:p>
            <w:pPr>
              <w:spacing w:after="0"/>
              <w:rPr>
                <w:sz w:val="12"/>
                <w:szCs w:val="12"/>
                <w:color w:val="auto"/>
              </w:rPr>
            </w:pPr>
          </w:p>
        </w:tc>
        <w:tc>
          <w:tcPr>
            <w:tcW w:w="700" w:type="dxa"/>
            <w:vAlign w:val="bottom"/>
            <w:tcBorders>
              <w:bottom w:val="single" w:sz="8" w:color="7FACB1"/>
            </w:tcBorders>
          </w:tcPr>
          <w:p>
            <w:pPr>
              <w:spacing w:after="0"/>
              <w:rPr>
                <w:sz w:val="12"/>
                <w:szCs w:val="12"/>
                <w:color w:val="auto"/>
              </w:rPr>
            </w:pPr>
          </w:p>
        </w:tc>
      </w:tr>
      <w:tr>
        <w:trPr>
          <w:trHeight w:val="146"/>
        </w:trPr>
        <w:tc>
          <w:tcPr>
            <w:tcW w:w="590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Proceeds from loans and borrowings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6.7</w:t>
            </w:r>
          </w:p>
        </w:tc>
        <w:tc>
          <w:tcPr>
            <w:tcW w:w="12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6.7</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7FACB1"/>
            </w:tcBorders>
          </w:tcPr>
          <w:p>
            <w:pPr>
              <w:spacing w:after="0"/>
              <w:rPr>
                <w:sz w:val="12"/>
                <w:szCs w:val="12"/>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w:t>
            </w:r>
          </w:p>
        </w:tc>
      </w:tr>
      <w:tr>
        <w:trPr>
          <w:trHeight w:val="142"/>
        </w:trPr>
        <w:tc>
          <w:tcPr>
            <w:tcW w:w="590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Repayment of loans and borrowings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(8.6)</w:t>
            </w:r>
          </w:p>
        </w:tc>
        <w:tc>
          <w:tcPr>
            <w:tcW w:w="12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(18.0)</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7FACB1"/>
            </w:tcBorders>
          </w:tcPr>
          <w:p>
            <w:pPr>
              <w:spacing w:after="0"/>
              <w:rPr>
                <w:sz w:val="12"/>
                <w:szCs w:val="12"/>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(2.3)</w:t>
            </w:r>
          </w:p>
        </w:tc>
      </w:tr>
      <w:tr>
        <w:trPr>
          <w:trHeight w:val="142"/>
        </w:trPr>
        <w:tc>
          <w:tcPr>
            <w:tcW w:w="590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Payments related to lease liabilities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(10.4)</w:t>
            </w:r>
          </w:p>
        </w:tc>
        <w:tc>
          <w:tcPr>
            <w:tcW w:w="12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(7.3)</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(39.6)</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7FACB1"/>
            </w:tcBorders>
          </w:tcPr>
          <w:p>
            <w:pPr>
              <w:spacing w:after="0"/>
              <w:rPr>
                <w:sz w:val="12"/>
                <w:szCs w:val="12"/>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(43.6)</w:t>
            </w:r>
          </w:p>
        </w:tc>
      </w:tr>
      <w:tr>
        <w:trPr>
          <w:trHeight w:val="142"/>
        </w:trPr>
        <w:tc>
          <w:tcPr>
            <w:tcW w:w="590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Transaction costs related to issuance of share capital</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(2.0)</w:t>
            </w:r>
          </w:p>
        </w:tc>
        <w:tc>
          <w:tcPr>
            <w:tcW w:w="12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(2.0)</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7FACB1"/>
            </w:tcBorders>
          </w:tcPr>
          <w:p>
            <w:pPr>
              <w:spacing w:after="0"/>
              <w:rPr>
                <w:sz w:val="12"/>
                <w:szCs w:val="12"/>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w:t>
            </w:r>
          </w:p>
        </w:tc>
      </w:tr>
      <w:tr>
        <w:trPr>
          <w:trHeight w:val="144"/>
        </w:trPr>
        <w:tc>
          <w:tcPr>
            <w:tcW w:w="5900" w:type="dxa"/>
            <w:vAlign w:val="bottom"/>
            <w:tcBorders>
              <w:bottom w:val="single" w:sz="8" w:color="005A64"/>
            </w:tcBorders>
          </w:tcPr>
          <w:p>
            <w:pPr>
              <w:ind w:left="20"/>
              <w:spacing w:after="0"/>
              <w:rPr>
                <w:sz w:val="20"/>
                <w:szCs w:val="20"/>
                <w:color w:val="auto"/>
              </w:rPr>
            </w:pPr>
            <w:r>
              <w:rPr>
                <w:rFonts w:ascii="Arial" w:cs="Arial" w:eastAsia="Arial" w:hAnsi="Arial"/>
                <w:sz w:val="10"/>
                <w:szCs w:val="10"/>
                <w:b w:val="1"/>
                <w:bCs w:val="1"/>
                <w:color w:val="005A64"/>
              </w:rPr>
              <w:t>Net cash flows used in financing activities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(14.3)</w:t>
            </w:r>
          </w:p>
        </w:tc>
        <w:tc>
          <w:tcPr>
            <w:tcW w:w="12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005A64"/>
            </w:tcBorders>
          </w:tcPr>
          <w:p>
            <w:pPr>
              <w:spacing w:after="0"/>
              <w:rPr>
                <w:sz w:val="12"/>
                <w:szCs w:val="12"/>
                <w:color w:val="auto"/>
              </w:rPr>
            </w:pPr>
          </w:p>
        </w:tc>
        <w:tc>
          <w:tcPr>
            <w:tcW w:w="64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(7.3)</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(52.9)</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005A64"/>
            </w:tcBorders>
          </w:tcPr>
          <w:p>
            <w:pPr>
              <w:spacing w:after="0"/>
              <w:rPr>
                <w:sz w:val="12"/>
                <w:szCs w:val="12"/>
                <w:color w:val="auto"/>
              </w:rPr>
            </w:pPr>
          </w:p>
        </w:tc>
        <w:tc>
          <w:tcPr>
            <w:tcW w:w="70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(45.9)</w:t>
            </w:r>
          </w:p>
        </w:tc>
      </w:tr>
      <w:tr>
        <w:trPr>
          <w:trHeight w:val="140"/>
        </w:trPr>
        <w:tc>
          <w:tcPr>
            <w:tcW w:w="590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Net decrease in cash and cash equivalents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(2,430.4)</w:t>
            </w:r>
          </w:p>
        </w:tc>
        <w:tc>
          <w:tcPr>
            <w:tcW w:w="12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136.1</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(2,065.4)</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7FACB1"/>
            </w:tcBorders>
          </w:tcPr>
          <w:p>
            <w:pPr>
              <w:spacing w:after="0"/>
              <w:rPr>
                <w:sz w:val="12"/>
                <w:szCs w:val="12"/>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(1,919.4)</w:t>
            </w:r>
          </w:p>
        </w:tc>
      </w:tr>
      <w:tr>
        <w:trPr>
          <w:trHeight w:val="142"/>
        </w:trPr>
        <w:tc>
          <w:tcPr>
            <w:tcW w:w="590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Change in cash and cash equivalents resulting from exchange rate differences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1.4</w:t>
            </w:r>
          </w:p>
        </w:tc>
        <w:tc>
          <w:tcPr>
            <w:tcW w:w="12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13.6</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(27.0)</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7FACB1"/>
            </w:tcBorders>
          </w:tcPr>
          <w:p>
            <w:pPr>
              <w:spacing w:after="0"/>
              <w:rPr>
                <w:sz w:val="12"/>
                <w:szCs w:val="12"/>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14.8</w:t>
            </w:r>
          </w:p>
        </w:tc>
      </w:tr>
      <w:tr>
        <w:trPr>
          <w:trHeight w:val="142"/>
        </w:trPr>
        <w:tc>
          <w:tcPr>
            <w:tcW w:w="590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Change in cash and cash equivalents resulting from other valuation effects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11.5</w:t>
            </w:r>
          </w:p>
        </w:tc>
        <w:tc>
          <w:tcPr>
            <w:tcW w:w="12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(12.4)</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5.9</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7FACB1"/>
            </w:tcBorders>
          </w:tcPr>
          <w:p>
            <w:pPr>
              <w:spacing w:after="0"/>
              <w:rPr>
                <w:sz w:val="12"/>
                <w:szCs w:val="12"/>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2.8</w:t>
            </w:r>
          </w:p>
        </w:tc>
      </w:tr>
      <w:tr>
        <w:trPr>
          <w:trHeight w:val="142"/>
        </w:trPr>
        <w:tc>
          <w:tcPr>
            <w:tcW w:w="590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Cash and cash equivalents at the beginning of the period</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10,092.9</w:t>
            </w:r>
          </w:p>
        </w:tc>
        <w:tc>
          <w:tcPr>
            <w:tcW w:w="12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4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9,624.6</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9,761.9</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7FACB1"/>
            </w:tcBorders>
          </w:tcPr>
          <w:p>
            <w:pPr>
              <w:spacing w:after="0"/>
              <w:rPr>
                <w:sz w:val="12"/>
                <w:szCs w:val="12"/>
                <w:color w:val="auto"/>
              </w:rPr>
            </w:pPr>
          </w:p>
        </w:tc>
        <w:tc>
          <w:tcPr>
            <w:tcW w:w="7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11,663.7</w:t>
            </w:r>
          </w:p>
        </w:tc>
      </w:tr>
      <w:tr>
        <w:trPr>
          <w:trHeight w:val="144"/>
        </w:trPr>
        <w:tc>
          <w:tcPr>
            <w:tcW w:w="5900" w:type="dxa"/>
            <w:vAlign w:val="bottom"/>
            <w:tcBorders>
              <w:bottom w:val="single" w:sz="8" w:color="005A64"/>
            </w:tcBorders>
          </w:tcPr>
          <w:p>
            <w:pPr>
              <w:ind w:left="20"/>
              <w:spacing w:after="0"/>
              <w:rPr>
                <w:sz w:val="20"/>
                <w:szCs w:val="20"/>
                <w:color w:val="auto"/>
              </w:rPr>
            </w:pPr>
            <w:r>
              <w:rPr>
                <w:rFonts w:ascii="Arial" w:cs="Arial" w:eastAsia="Arial" w:hAnsi="Arial"/>
                <w:sz w:val="10"/>
                <w:szCs w:val="10"/>
                <w:b w:val="1"/>
                <w:bCs w:val="1"/>
                <w:color w:val="005A64"/>
              </w:rPr>
              <w:t>Cash and cash equivalents as of December 31</w:t>
            </w:r>
          </w:p>
        </w:tc>
        <w:tc>
          <w:tcPr>
            <w:tcW w:w="100" w:type="dxa"/>
            <w:vAlign w:val="bottom"/>
            <w:tcBorders>
              <w:right w:val="single" w:sz="8" w:color="BECD32"/>
            </w:tcBorders>
          </w:tcPr>
          <w:p>
            <w:pPr>
              <w:spacing w:after="0"/>
              <w:rPr>
                <w:sz w:val="12"/>
                <w:szCs w:val="12"/>
                <w:color w:val="auto"/>
              </w:rPr>
            </w:pPr>
          </w:p>
        </w:tc>
        <w:tc>
          <w:tcPr>
            <w:tcW w:w="1200" w:type="dxa"/>
            <w:vAlign w:val="bottom"/>
            <w:tcBorders>
              <w:bottom w:val="single" w:sz="8" w:color="BECD32"/>
            </w:tcBorders>
            <w:gridSpan w:val="2"/>
          </w:tcPr>
          <w:p>
            <w:pPr>
              <w:jc w:val="right"/>
              <w:spacing w:after="0"/>
              <w:rPr>
                <w:sz w:val="20"/>
                <w:szCs w:val="20"/>
                <w:color w:val="auto"/>
              </w:rPr>
            </w:pPr>
            <w:r>
              <w:rPr>
                <w:rFonts w:ascii="Arial" w:cs="Arial" w:eastAsia="Arial" w:hAnsi="Arial"/>
                <w:sz w:val="10"/>
                <w:szCs w:val="10"/>
                <w:b w:val="1"/>
                <w:bCs w:val="1"/>
                <w:color w:val="005A64"/>
              </w:rPr>
              <w:t>7,675.4</w:t>
            </w:r>
          </w:p>
        </w:tc>
        <w:tc>
          <w:tcPr>
            <w:tcW w:w="120" w:type="dxa"/>
            <w:vAlign w:val="bottom"/>
            <w:tcBorders>
              <w:bottom w:val="single" w:sz="8" w:color="BECD32"/>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005A64"/>
            </w:tcBorders>
          </w:tcPr>
          <w:p>
            <w:pPr>
              <w:spacing w:after="0"/>
              <w:rPr>
                <w:sz w:val="12"/>
                <w:szCs w:val="12"/>
                <w:color w:val="auto"/>
              </w:rPr>
            </w:pPr>
          </w:p>
        </w:tc>
        <w:tc>
          <w:tcPr>
            <w:tcW w:w="64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9,761.9</w:t>
            </w:r>
          </w:p>
        </w:tc>
        <w:tc>
          <w:tcPr>
            <w:tcW w:w="140" w:type="dxa"/>
            <w:vAlign w:val="bottom"/>
            <w:tcBorders>
              <w:right w:val="single" w:sz="8" w:color="BECD32"/>
            </w:tcBorders>
          </w:tcPr>
          <w:p>
            <w:pPr>
              <w:spacing w:after="0"/>
              <w:rPr>
                <w:sz w:val="12"/>
                <w:szCs w:val="12"/>
                <w:color w:val="auto"/>
              </w:rPr>
            </w:pPr>
          </w:p>
        </w:tc>
        <w:tc>
          <w:tcPr>
            <w:tcW w:w="1220" w:type="dxa"/>
            <w:vAlign w:val="bottom"/>
            <w:tcBorders>
              <w:bottom w:val="single" w:sz="8" w:color="BECD32"/>
            </w:tcBorders>
            <w:gridSpan w:val="2"/>
          </w:tcPr>
          <w:p>
            <w:pPr>
              <w:jc w:val="right"/>
              <w:spacing w:after="0"/>
              <w:rPr>
                <w:sz w:val="20"/>
                <w:szCs w:val="20"/>
                <w:color w:val="auto"/>
              </w:rPr>
            </w:pPr>
            <w:r>
              <w:rPr>
                <w:rFonts w:ascii="Arial" w:cs="Arial" w:eastAsia="Arial" w:hAnsi="Arial"/>
                <w:sz w:val="10"/>
                <w:szCs w:val="10"/>
                <w:b w:val="1"/>
                <w:bCs w:val="1"/>
                <w:color w:val="005A64"/>
              </w:rPr>
              <w:t>7,675.4</w:t>
            </w:r>
          </w:p>
        </w:tc>
        <w:tc>
          <w:tcPr>
            <w:tcW w:w="140" w:type="dxa"/>
            <w:vAlign w:val="bottom"/>
            <w:tcBorders>
              <w:bottom w:val="single" w:sz="8" w:color="BECD32"/>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005A64"/>
            </w:tcBorders>
          </w:tcPr>
          <w:p>
            <w:pPr>
              <w:spacing w:after="0"/>
              <w:rPr>
                <w:sz w:val="12"/>
                <w:szCs w:val="12"/>
                <w:color w:val="auto"/>
              </w:rPr>
            </w:pPr>
          </w:p>
        </w:tc>
        <w:tc>
          <w:tcPr>
            <w:tcW w:w="70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9,761.9</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300"/>
          </w:cols>
          <w:pgMar w:left="300" w:top="1327" w:right="299" w:bottom="1440" w:gutter="0" w:footer="0" w:header="0"/>
        </w:sectPr>
      </w:pPr>
    </w:p>
    <w:bookmarkStart w:id="19" w:name="page20"/>
    <w:bookmarkEnd w:id="19"/>
    <w:p>
      <w:pPr>
        <w:jc w:val="center"/>
        <w:ind w:right="-7"/>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3035"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423035" cy="154305"/>
                    </a:xfrm>
                    <a:prstGeom prst="rect">
                      <a:avLst/>
                    </a:prstGeom>
                    <a:noFill/>
                  </pic:spPr>
                </pic:pic>
              </a:graphicData>
            </a:graphic>
          </wp:anchor>
        </w:drawing>
        <w:t>Non-IFRS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178040"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21" w:lineRule="exact"/>
        <w:rPr>
          <w:sz w:val="20"/>
          <w:szCs w:val="20"/>
          <w:color w:val="auto"/>
        </w:rPr>
      </w:pPr>
    </w:p>
    <w:tbl>
      <w:tblPr>
        <w:tblLayout w:type="fixed"/>
        <w:tblInd w:w="8" w:type="dxa"/>
        <w:tblCellMar>
          <w:top w:w="0" w:type="dxa"/>
          <w:left w:w="0" w:type="dxa"/>
          <w:bottom w:w="0" w:type="dxa"/>
          <w:right w:w="0" w:type="dxa"/>
        </w:tblCellMar>
      </w:tblPr>
      <w:tr>
        <w:trPr>
          <w:trHeight w:val="114"/>
        </w:trPr>
        <w:tc>
          <w:tcPr>
            <w:tcW w:w="2820" w:type="dxa"/>
            <w:vAlign w:val="bottom"/>
            <w:gridSpan w:val="2"/>
          </w:tcPr>
          <w:p>
            <w:pPr>
              <w:spacing w:after="0"/>
              <w:rPr>
                <w:sz w:val="20"/>
                <w:szCs w:val="20"/>
                <w:color w:val="auto"/>
              </w:rPr>
            </w:pPr>
            <w:r>
              <w:rPr>
                <w:rFonts w:ascii="Arial" w:cs="Arial" w:eastAsia="Arial" w:hAnsi="Arial"/>
                <w:sz w:val="8"/>
                <w:szCs w:val="8"/>
                <w:b w:val="1"/>
                <w:bCs w:val="1"/>
                <w:color w:val="005A64"/>
              </w:rPr>
              <w:t>Non-IFRS Reconciliation for the year ended December 31, 2025</w:t>
            </w: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BECE33"/>
            </w:tcBorders>
          </w:tcPr>
          <w:p>
            <w:pPr>
              <w:spacing w:after="0"/>
              <w:rPr>
                <w:sz w:val="16"/>
                <w:szCs w:val="16"/>
                <w:color w:val="auto"/>
              </w:rPr>
            </w:pPr>
          </w:p>
        </w:tc>
        <w:tc>
          <w:tcPr>
            <w:tcW w:w="1100" w:type="dxa"/>
            <w:vAlign w:val="bottom"/>
            <w:tcBorders>
              <w:bottom w:val="single" w:sz="8" w:color="BECE33"/>
            </w:tcBorders>
          </w:tcPr>
          <w:p>
            <w:pPr>
              <w:spacing w:after="0"/>
              <w:rPr>
                <w:sz w:val="16"/>
                <w:szCs w:val="16"/>
                <w:color w:val="auto"/>
              </w:rPr>
            </w:pPr>
          </w:p>
        </w:tc>
        <w:tc>
          <w:tcPr>
            <w:tcW w:w="180" w:type="dxa"/>
            <w:vAlign w:val="bottom"/>
            <w:tcBorders>
              <w:bottom w:val="single" w:sz="8" w:color="BECE33"/>
            </w:tcBorders>
          </w:tcPr>
          <w:p>
            <w:pPr>
              <w:spacing w:after="0"/>
              <w:rPr>
                <w:sz w:val="16"/>
                <w:szCs w:val="16"/>
                <w:color w:val="auto"/>
              </w:rPr>
            </w:pPr>
          </w:p>
        </w:tc>
        <w:tc>
          <w:tcPr>
            <w:tcW w:w="1240" w:type="dxa"/>
            <w:vAlign w:val="bottom"/>
            <w:tcBorders>
              <w:bottom w:val="single" w:sz="8" w:color="BECE33"/>
            </w:tcBorders>
          </w:tcPr>
          <w:p>
            <w:pPr>
              <w:spacing w:after="0"/>
              <w:rPr>
                <w:sz w:val="16"/>
                <w:szCs w:val="16"/>
                <w:color w:val="auto"/>
              </w:rPr>
            </w:pPr>
          </w:p>
        </w:tc>
        <w:tc>
          <w:tcPr>
            <w:tcW w:w="180" w:type="dxa"/>
            <w:vAlign w:val="bottom"/>
            <w:tcBorders>
              <w:bottom w:val="single" w:sz="8" w:color="BECE33"/>
            </w:tcBorders>
          </w:tcPr>
          <w:p>
            <w:pPr>
              <w:spacing w:after="0"/>
              <w:rPr>
                <w:sz w:val="16"/>
                <w:szCs w:val="16"/>
                <w:color w:val="auto"/>
              </w:rPr>
            </w:pPr>
          </w:p>
        </w:tc>
        <w:tc>
          <w:tcPr>
            <w:tcW w:w="2820" w:type="dxa"/>
            <w:vAlign w:val="bottom"/>
            <w:tcBorders>
              <w:bottom w:val="single" w:sz="8" w:color="BECE33"/>
            </w:tcBorders>
            <w:gridSpan w:val="4"/>
          </w:tcPr>
          <w:p>
            <w:pPr>
              <w:spacing w:after="0"/>
              <w:rPr>
                <w:sz w:val="16"/>
                <w:szCs w:val="16"/>
                <w:color w:val="auto"/>
              </w:rPr>
            </w:pPr>
          </w:p>
        </w:tc>
        <w:tc>
          <w:tcPr>
            <w:tcW w:w="1480" w:type="dxa"/>
            <w:vAlign w:val="bottom"/>
            <w:tcBorders>
              <w:bottom w:val="single" w:sz="8" w:color="BECE33"/>
            </w:tcBorders>
          </w:tcPr>
          <w:p>
            <w:pPr>
              <w:spacing w:after="0"/>
              <w:rPr>
                <w:sz w:val="16"/>
                <w:szCs w:val="16"/>
                <w:color w:val="auto"/>
              </w:rPr>
            </w:pPr>
          </w:p>
        </w:tc>
        <w:tc>
          <w:tcPr>
            <w:tcW w:w="180" w:type="dxa"/>
            <w:vAlign w:val="bottom"/>
            <w:tcBorders>
              <w:bottom w:val="single" w:sz="8" w:color="BECE33"/>
            </w:tcBorders>
          </w:tcPr>
          <w:p>
            <w:pPr>
              <w:spacing w:after="0"/>
              <w:rPr>
                <w:sz w:val="16"/>
                <w:szCs w:val="16"/>
                <w:color w:val="auto"/>
              </w:rPr>
            </w:pPr>
          </w:p>
        </w:tc>
        <w:tc>
          <w:tcPr>
            <w:tcW w:w="1100" w:type="dxa"/>
            <w:vAlign w:val="bottom"/>
            <w:tcBorders>
              <w:bottom w:val="single" w:sz="8" w:color="BECE33"/>
            </w:tcBorders>
          </w:tcPr>
          <w:p>
            <w:pPr>
              <w:spacing w:after="0"/>
              <w:rPr>
                <w:sz w:val="16"/>
                <w:szCs w:val="16"/>
                <w:color w:val="auto"/>
              </w:rPr>
            </w:pPr>
          </w:p>
        </w:tc>
        <w:tc>
          <w:tcPr>
            <w:tcW w:w="140" w:type="dxa"/>
            <w:vAlign w:val="bottom"/>
            <w:tcBorders>
              <w:bottom w:val="single" w:sz="8" w:color="BECE33"/>
            </w:tcBorders>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2700" w:type="dxa"/>
            <w:vAlign w:val="bottom"/>
          </w:tcPr>
          <w:p>
            <w:pPr>
              <w:spacing w:after="0"/>
              <w:rPr>
                <w:sz w:val="24"/>
                <w:szCs w:val="24"/>
                <w:color w:val="auto"/>
              </w:rPr>
            </w:pPr>
          </w:p>
        </w:tc>
        <w:tc>
          <w:tcPr>
            <w:tcW w:w="120" w:type="dxa"/>
            <w:vAlign w:val="bottom"/>
            <w:tcBorders>
              <w:right w:val="single" w:sz="8" w:color="BECE33"/>
            </w:tcBorders>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gridSpan w:val="4"/>
          </w:tcPr>
          <w:p>
            <w:pPr>
              <w:ind w:left="1000"/>
              <w:spacing w:after="0"/>
              <w:rPr>
                <w:sz w:val="20"/>
                <w:szCs w:val="20"/>
                <w:color w:val="auto"/>
              </w:rPr>
            </w:pPr>
            <w:r>
              <w:rPr>
                <w:rFonts w:ascii="Arial" w:cs="Arial" w:eastAsia="Arial" w:hAnsi="Arial"/>
                <w:sz w:val="8"/>
                <w:szCs w:val="8"/>
                <w:b w:val="1"/>
                <w:bCs w:val="1"/>
                <w:color w:val="005A64"/>
              </w:rPr>
              <w:t>non-IFRS adjustments</w:t>
            </w: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Borders>
              <w:right w:val="single" w:sz="8" w:color="BECE33"/>
            </w:tcBorders>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80" w:type="dxa"/>
            <w:vAlign w:val="bottom"/>
            <w:tcBorders>
              <w:bottom w:val="single" w:sz="8" w:color="005A64"/>
            </w:tcBorders>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80" w:type="dxa"/>
            <w:vAlign w:val="bottom"/>
            <w:tcBorders>
              <w:bottom w:val="single" w:sz="8" w:color="005A64"/>
            </w:tcBorders>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60" w:type="dxa"/>
            <w:vAlign w:val="bottom"/>
            <w:tcBorders>
              <w:bottom w:val="single" w:sz="8" w:color="005A64"/>
            </w:tcBorders>
          </w:tcPr>
          <w:p>
            <w:pPr>
              <w:spacing w:after="0"/>
              <w:rPr>
                <w:sz w:val="2"/>
                <w:szCs w:val="2"/>
                <w:color w:val="auto"/>
              </w:rPr>
            </w:pPr>
          </w:p>
        </w:tc>
        <w:tc>
          <w:tcPr>
            <w:tcW w:w="148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700" w:type="dxa"/>
            <w:vAlign w:val="bottom"/>
          </w:tcPr>
          <w:p>
            <w:pPr>
              <w:spacing w:after="0"/>
              <w:rPr>
                <w:sz w:val="8"/>
                <w:szCs w:val="8"/>
                <w:color w:val="auto"/>
              </w:rPr>
            </w:pPr>
          </w:p>
        </w:tc>
        <w:tc>
          <w:tcPr>
            <w:tcW w:w="120" w:type="dxa"/>
            <w:vAlign w:val="bottom"/>
            <w:tcBorders>
              <w:right w:val="single" w:sz="8" w:color="BECE33"/>
            </w:tcBorders>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8"/>
                <w:szCs w:val="8"/>
                <w:b w:val="1"/>
                <w:bCs w:val="1"/>
                <w:color w:val="005A64"/>
              </w:rPr>
              <w:t>Income from bargain purchase and</w:t>
            </w:r>
          </w:p>
        </w:tc>
        <w:tc>
          <w:tcPr>
            <w:tcW w:w="1100" w:type="dxa"/>
            <w:vAlign w:val="bottom"/>
          </w:tcPr>
          <w:p>
            <w:pPr>
              <w:spacing w:after="0"/>
              <w:rPr>
                <w:sz w:val="8"/>
                <w:szCs w:val="8"/>
                <w:color w:val="auto"/>
              </w:rPr>
            </w:pPr>
          </w:p>
        </w:tc>
        <w:tc>
          <w:tcPr>
            <w:tcW w:w="140" w:type="dxa"/>
            <w:vAlign w:val="bottom"/>
            <w:tcBorders>
              <w:right w:val="single" w:sz="8" w:color="BECE33"/>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700" w:type="dxa"/>
            <w:vAlign w:val="bottom"/>
            <w:vMerge w:val="restart"/>
          </w:tcPr>
          <w:p>
            <w:pPr>
              <w:spacing w:after="0"/>
              <w:rPr>
                <w:sz w:val="20"/>
                <w:szCs w:val="20"/>
                <w:color w:val="auto"/>
              </w:rPr>
            </w:pPr>
            <w:r>
              <w:rPr>
                <w:rFonts w:ascii="Arial" w:cs="Arial" w:eastAsia="Arial" w:hAnsi="Arial"/>
                <w:sz w:val="8"/>
                <w:szCs w:val="8"/>
                <w:i w:val="1"/>
                <w:iCs w:val="1"/>
                <w:color w:val="005A64"/>
              </w:rPr>
              <w:t>(in millions €, except per share data)</w:t>
            </w:r>
          </w:p>
        </w:tc>
        <w:tc>
          <w:tcPr>
            <w:tcW w:w="120" w:type="dxa"/>
            <w:vAlign w:val="bottom"/>
            <w:tcBorders>
              <w:right w:val="single" w:sz="8" w:color="BECE33"/>
            </w:tcBorders>
            <w:vMerge w:val="restart"/>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Arial" w:cs="Arial" w:eastAsia="Arial" w:hAnsi="Arial"/>
                <w:sz w:val="8"/>
                <w:szCs w:val="8"/>
                <w:b w:val="1"/>
                <w:bCs w:val="1"/>
                <w:color w:val="005A64"/>
              </w:rPr>
              <w:t>IFRS Results</w:t>
            </w:r>
          </w:p>
        </w:tc>
        <w:tc>
          <w:tcPr>
            <w:tcW w:w="180" w:type="dxa"/>
            <w:vAlign w:val="bottom"/>
            <w:vMerge w:val="restart"/>
          </w:tcPr>
          <w:p>
            <w:pPr>
              <w:spacing w:after="0"/>
              <w:rPr>
                <w:sz w:val="9"/>
                <w:szCs w:val="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8"/>
                <w:szCs w:val="8"/>
                <w:b w:val="1"/>
                <w:bCs w:val="1"/>
                <w:color w:val="005A64"/>
              </w:rPr>
              <w:t>Expenses and income from</w:t>
            </w:r>
          </w:p>
        </w:tc>
        <w:tc>
          <w:tcPr>
            <w:tcW w:w="1240" w:type="dxa"/>
            <w:vAlign w:val="bottom"/>
            <w:vMerge w:val="restart"/>
          </w:tcPr>
          <w:p>
            <w:pPr>
              <w:jc w:val="right"/>
              <w:spacing w:after="0"/>
              <w:rPr>
                <w:sz w:val="20"/>
                <w:szCs w:val="20"/>
                <w:color w:val="auto"/>
              </w:rPr>
            </w:pPr>
            <w:r>
              <w:rPr>
                <w:rFonts w:ascii="Arial" w:cs="Arial" w:eastAsia="Arial" w:hAnsi="Arial"/>
                <w:sz w:val="8"/>
                <w:szCs w:val="8"/>
                <w:b w:val="1"/>
                <w:bCs w:val="1"/>
                <w:color w:val="005A64"/>
              </w:rPr>
              <w:t>Impairment and reversal</w:t>
            </w:r>
          </w:p>
        </w:tc>
        <w:tc>
          <w:tcPr>
            <w:tcW w:w="180" w:type="dxa"/>
            <w:vAlign w:val="bottom"/>
            <w:vMerge w:val="restart"/>
          </w:tcPr>
          <w:p>
            <w:pPr>
              <w:spacing w:after="0"/>
              <w:rPr>
                <w:sz w:val="9"/>
                <w:szCs w:val="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8"/>
                <w:szCs w:val="8"/>
                <w:b w:val="1"/>
                <w:bCs w:val="1"/>
                <w:color w:val="005A64"/>
              </w:rPr>
              <w:t>Employee-related expenses</w:t>
            </w:r>
          </w:p>
        </w:tc>
        <w:tc>
          <w:tcPr>
            <w:tcW w:w="1660" w:type="dxa"/>
            <w:vAlign w:val="bottom"/>
            <w:gridSpan w:val="2"/>
          </w:tcPr>
          <w:p>
            <w:pPr>
              <w:jc w:val="right"/>
              <w:ind w:right="200"/>
              <w:spacing w:after="0"/>
              <w:rPr>
                <w:sz w:val="20"/>
                <w:szCs w:val="20"/>
                <w:color w:val="auto"/>
              </w:rPr>
            </w:pPr>
            <w:r>
              <w:rPr>
                <w:rFonts w:ascii="Arial" w:cs="Arial" w:eastAsia="Arial" w:hAnsi="Arial"/>
                <w:sz w:val="8"/>
                <w:szCs w:val="8"/>
                <w:b w:val="1"/>
                <w:bCs w:val="1"/>
                <w:color w:val="005A64"/>
              </w:rPr>
              <w:t>income and expenses from</w:t>
            </w:r>
          </w:p>
        </w:tc>
        <w:tc>
          <w:tcPr>
            <w:tcW w:w="1100" w:type="dxa"/>
            <w:vAlign w:val="bottom"/>
            <w:vMerge w:val="restart"/>
          </w:tcPr>
          <w:p>
            <w:pPr>
              <w:jc w:val="right"/>
              <w:spacing w:after="0"/>
              <w:rPr>
                <w:sz w:val="20"/>
                <w:szCs w:val="20"/>
                <w:color w:val="auto"/>
              </w:rPr>
            </w:pPr>
            <w:r>
              <w:rPr>
                <w:rFonts w:ascii="Arial" w:cs="Arial" w:eastAsia="Arial" w:hAnsi="Arial"/>
                <w:sz w:val="8"/>
                <w:szCs w:val="8"/>
                <w:b w:val="1"/>
                <w:bCs w:val="1"/>
                <w:color w:val="005A64"/>
              </w:rPr>
              <w:t>Adjusted Results</w:t>
            </w:r>
          </w:p>
        </w:tc>
        <w:tc>
          <w:tcPr>
            <w:tcW w:w="140" w:type="dxa"/>
            <w:vAlign w:val="bottom"/>
            <w:tcBorders>
              <w:right w:val="single" w:sz="8" w:color="BECE33"/>
            </w:tcBorders>
            <w:vMerge w:val="restart"/>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700" w:type="dxa"/>
            <w:vAlign w:val="bottom"/>
            <w:tcBorders>
              <w:bottom w:val="single" w:sz="8" w:color="005A64"/>
            </w:tcBorders>
            <w:vMerge w:val="continue"/>
          </w:tcPr>
          <w:p>
            <w:pPr>
              <w:spacing w:after="0"/>
              <w:rPr>
                <w:sz w:val="10"/>
                <w:szCs w:val="10"/>
                <w:color w:val="auto"/>
              </w:rPr>
            </w:pPr>
          </w:p>
        </w:tc>
        <w:tc>
          <w:tcPr>
            <w:tcW w:w="120" w:type="dxa"/>
            <w:vAlign w:val="bottom"/>
            <w:tcBorders>
              <w:right w:val="single" w:sz="8" w:color="BECE33"/>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Borders>
              <w:bottom w:val="single" w:sz="8" w:color="005A64"/>
            </w:tcBorders>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8"/>
                <w:szCs w:val="8"/>
                <w:b w:val="1"/>
                <w:bCs w:val="1"/>
                <w:color w:val="005A64"/>
              </w:rPr>
              <w:t>legal proceedings</w:t>
            </w:r>
          </w:p>
        </w:tc>
        <w:tc>
          <w:tcPr>
            <w:tcW w:w="180" w:type="dxa"/>
            <w:vAlign w:val="bottom"/>
          </w:tcPr>
          <w:p>
            <w:pPr>
              <w:spacing w:after="0"/>
              <w:rPr>
                <w:sz w:val="10"/>
                <w:szCs w:val="10"/>
                <w:color w:val="auto"/>
              </w:rPr>
            </w:pPr>
          </w:p>
        </w:tc>
        <w:tc>
          <w:tcPr>
            <w:tcW w:w="1240" w:type="dxa"/>
            <w:vAlign w:val="bottom"/>
            <w:tcBorders>
              <w:bottom w:val="single" w:sz="8" w:color="005A64"/>
            </w:tcBorders>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8"/>
                <w:szCs w:val="8"/>
                <w:b w:val="1"/>
                <w:bCs w:val="1"/>
                <w:color w:val="005A64"/>
              </w:rPr>
              <w:t>from restructuring</w:t>
            </w:r>
          </w:p>
        </w:tc>
        <w:tc>
          <w:tcPr>
            <w:tcW w:w="160" w:type="dxa"/>
            <w:vAlign w:val="bottom"/>
          </w:tcPr>
          <w:p>
            <w:pPr>
              <w:spacing w:after="0"/>
              <w:rPr>
                <w:sz w:val="10"/>
                <w:szCs w:val="10"/>
                <w:color w:val="auto"/>
              </w:rPr>
            </w:pPr>
          </w:p>
        </w:tc>
        <w:tc>
          <w:tcPr>
            <w:tcW w:w="1480" w:type="dxa"/>
            <w:vAlign w:val="bottom"/>
            <w:tcBorders>
              <w:bottom w:val="single" w:sz="8" w:color="005A64"/>
            </w:tcBorders>
          </w:tcPr>
          <w:p>
            <w:pPr>
              <w:jc w:val="right"/>
              <w:spacing w:after="0"/>
              <w:rPr>
                <w:sz w:val="20"/>
                <w:szCs w:val="20"/>
                <w:color w:val="auto"/>
              </w:rPr>
            </w:pPr>
            <w:r>
              <w:rPr>
                <w:rFonts w:ascii="Arial" w:cs="Arial" w:eastAsia="Arial" w:hAnsi="Arial"/>
                <w:sz w:val="8"/>
                <w:szCs w:val="8"/>
                <w:b w:val="1"/>
                <w:bCs w:val="1"/>
                <w:color w:val="005A64"/>
              </w:rPr>
              <w:t>divestiture related items</w:t>
            </w:r>
          </w:p>
        </w:tc>
        <w:tc>
          <w:tcPr>
            <w:tcW w:w="180" w:type="dxa"/>
            <w:vAlign w:val="bottom"/>
          </w:tcPr>
          <w:p>
            <w:pPr>
              <w:spacing w:after="0"/>
              <w:rPr>
                <w:sz w:val="10"/>
                <w:szCs w:val="10"/>
                <w:color w:val="auto"/>
              </w:rPr>
            </w:pPr>
          </w:p>
        </w:tc>
        <w:tc>
          <w:tcPr>
            <w:tcW w:w="1100" w:type="dxa"/>
            <w:vAlign w:val="bottom"/>
            <w:tcBorders>
              <w:bottom w:val="single" w:sz="8" w:color="005A64"/>
            </w:tcBorders>
            <w:vMerge w:val="continue"/>
          </w:tcPr>
          <w:p>
            <w:pPr>
              <w:spacing w:after="0"/>
              <w:rPr>
                <w:sz w:val="10"/>
                <w:szCs w:val="10"/>
                <w:color w:val="auto"/>
              </w:rPr>
            </w:pPr>
          </w:p>
        </w:tc>
        <w:tc>
          <w:tcPr>
            <w:tcW w:w="140" w:type="dxa"/>
            <w:vAlign w:val="bottom"/>
            <w:tcBorders>
              <w:right w:val="single" w:sz="8" w:color="BECE33"/>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820" w:type="dxa"/>
            <w:vAlign w:val="bottom"/>
            <w:tcBorders>
              <w:right w:val="single" w:sz="8" w:color="BECE33"/>
            </w:tcBorders>
            <w:gridSpan w:val="2"/>
          </w:tcPr>
          <w:p>
            <w:pPr>
              <w:spacing w:after="0"/>
              <w:rPr>
                <w:sz w:val="20"/>
                <w:szCs w:val="20"/>
                <w:color w:val="auto"/>
              </w:rPr>
            </w:pPr>
            <w:r>
              <w:rPr>
                <w:rFonts w:ascii="Arial" w:cs="Arial" w:eastAsia="Arial" w:hAnsi="Arial"/>
                <w:sz w:val="8"/>
                <w:szCs w:val="8"/>
                <w:color w:val="005A64"/>
              </w:rPr>
              <w:t>Cost of sales</w:t>
            </w:r>
          </w:p>
        </w:tc>
        <w:tc>
          <w:tcPr>
            <w:tcW w:w="1180" w:type="dxa"/>
            <w:vAlign w:val="bottom"/>
            <w:gridSpan w:val="2"/>
          </w:tcPr>
          <w:p>
            <w:pPr>
              <w:jc w:val="right"/>
              <w:spacing w:after="0"/>
              <w:rPr>
                <w:sz w:val="20"/>
                <w:szCs w:val="20"/>
                <w:color w:val="auto"/>
              </w:rPr>
            </w:pPr>
            <w:r>
              <w:rPr>
                <w:rFonts w:ascii="Arial" w:cs="Arial" w:eastAsia="Arial" w:hAnsi="Arial"/>
                <w:sz w:val="8"/>
                <w:szCs w:val="8"/>
                <w:color w:val="005A64"/>
              </w:rPr>
              <w:t>(641.8)</w:t>
            </w:r>
          </w:p>
        </w:tc>
        <w:tc>
          <w:tcPr>
            <w:tcW w:w="180" w:type="dxa"/>
            <w:vAlign w:val="bottom"/>
          </w:tcPr>
          <w:p>
            <w:pPr>
              <w:spacing w:after="0"/>
              <w:rPr>
                <w:sz w:val="9"/>
                <w:szCs w:val="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8"/>
                <w:szCs w:val="8"/>
                <w:color w:val="005A64"/>
              </w:rPr>
              <w:t>—</w:t>
            </w:r>
          </w:p>
        </w:tc>
        <w:tc>
          <w:tcPr>
            <w:tcW w:w="1240" w:type="dxa"/>
            <w:vAlign w:val="bottom"/>
          </w:tcPr>
          <w:p>
            <w:pPr>
              <w:jc w:val="right"/>
              <w:spacing w:after="0"/>
              <w:rPr>
                <w:sz w:val="20"/>
                <w:szCs w:val="20"/>
                <w:color w:val="auto"/>
              </w:rPr>
            </w:pPr>
            <w:r>
              <w:rPr>
                <w:rFonts w:ascii="Arial" w:cs="Arial" w:eastAsia="Arial" w:hAnsi="Arial"/>
                <w:sz w:val="8"/>
                <w:szCs w:val="8"/>
                <w:color w:val="005A64"/>
              </w:rPr>
              <w:t>30.5</w:t>
            </w:r>
          </w:p>
        </w:tc>
        <w:tc>
          <w:tcPr>
            <w:tcW w:w="180" w:type="dxa"/>
            <w:vAlign w:val="bottom"/>
          </w:tcPr>
          <w:p>
            <w:pPr>
              <w:spacing w:after="0"/>
              <w:rPr>
                <w:sz w:val="9"/>
                <w:szCs w:val="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8"/>
                <w:szCs w:val="8"/>
                <w:color w:val="005A64"/>
              </w:rPr>
              <w:t>—</w:t>
            </w:r>
          </w:p>
        </w:tc>
        <w:tc>
          <w:tcPr>
            <w:tcW w:w="1660" w:type="dxa"/>
            <w:vAlign w:val="bottom"/>
            <w:gridSpan w:val="2"/>
          </w:tcPr>
          <w:p>
            <w:pPr>
              <w:jc w:val="right"/>
              <w:ind w:right="200"/>
              <w:spacing w:after="0"/>
              <w:rPr>
                <w:sz w:val="20"/>
                <w:szCs w:val="20"/>
                <w:color w:val="auto"/>
              </w:rPr>
            </w:pPr>
            <w:r>
              <w:rPr>
                <w:rFonts w:ascii="Arial" w:cs="Arial" w:eastAsia="Arial" w:hAnsi="Arial"/>
                <w:sz w:val="8"/>
                <w:szCs w:val="8"/>
                <w:color w:val="005A64"/>
              </w:rPr>
              <w:t>—</w:t>
            </w:r>
          </w:p>
        </w:tc>
        <w:tc>
          <w:tcPr>
            <w:tcW w:w="1100" w:type="dxa"/>
            <w:vAlign w:val="bottom"/>
          </w:tcPr>
          <w:p>
            <w:pPr>
              <w:jc w:val="right"/>
              <w:spacing w:after="0"/>
              <w:rPr>
                <w:sz w:val="20"/>
                <w:szCs w:val="20"/>
                <w:color w:val="auto"/>
              </w:rPr>
            </w:pPr>
            <w:r>
              <w:rPr>
                <w:rFonts w:ascii="Arial" w:cs="Arial" w:eastAsia="Arial" w:hAnsi="Arial"/>
                <w:sz w:val="8"/>
                <w:szCs w:val="8"/>
                <w:color w:val="005A64"/>
              </w:rPr>
              <w:t>(611.3)</w:t>
            </w:r>
          </w:p>
        </w:tc>
        <w:tc>
          <w:tcPr>
            <w:tcW w:w="140" w:type="dxa"/>
            <w:vAlign w:val="bottom"/>
            <w:tcBorders>
              <w:right w:val="single" w:sz="8" w:color="BECE33"/>
            </w:tcBorders>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2700" w:type="dxa"/>
            <w:vAlign w:val="bottom"/>
            <w:tcBorders>
              <w:bottom w:val="single" w:sz="8" w:color="7FACB1"/>
            </w:tcBorders>
          </w:tcPr>
          <w:p>
            <w:pPr>
              <w:spacing w:after="0"/>
              <w:rPr>
                <w:sz w:val="3"/>
                <w:szCs w:val="3"/>
                <w:color w:val="auto"/>
              </w:rPr>
            </w:pPr>
          </w:p>
        </w:tc>
        <w:tc>
          <w:tcPr>
            <w:tcW w:w="120" w:type="dxa"/>
            <w:vAlign w:val="bottom"/>
            <w:tcBorders>
              <w:right w:val="single" w:sz="8" w:color="BECE33"/>
            </w:tcBorders>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60" w:type="dxa"/>
            <w:vAlign w:val="bottom"/>
          </w:tcPr>
          <w:p>
            <w:pPr>
              <w:spacing w:after="0"/>
              <w:rPr>
                <w:sz w:val="3"/>
                <w:szCs w:val="3"/>
                <w:color w:val="auto"/>
              </w:rPr>
            </w:pPr>
          </w:p>
        </w:tc>
        <w:tc>
          <w:tcPr>
            <w:tcW w:w="148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Borders>
              <w:bottom w:val="single" w:sz="8" w:color="7FACB1"/>
            </w:tcBorders>
          </w:tcPr>
          <w:p>
            <w:pPr>
              <w:spacing w:after="0"/>
              <w:rPr>
                <w:sz w:val="3"/>
                <w:szCs w:val="3"/>
                <w:color w:val="auto"/>
              </w:rPr>
            </w:pPr>
          </w:p>
        </w:tc>
        <w:tc>
          <w:tcPr>
            <w:tcW w:w="140" w:type="dxa"/>
            <w:vAlign w:val="bottom"/>
            <w:tcBorders>
              <w:right w:val="single" w:sz="8" w:color="BECE33"/>
            </w:tcBorders>
          </w:tcPr>
          <w:p>
            <w:pPr>
              <w:spacing w:after="0"/>
              <w:rPr>
                <w:sz w:val="3"/>
                <w:szCs w:val="3"/>
                <w:color w:val="auto"/>
              </w:rPr>
            </w:pPr>
          </w:p>
        </w:tc>
        <w:tc>
          <w:tcPr>
            <w:tcW w:w="0" w:type="dxa"/>
            <w:vAlign w:val="bottom"/>
          </w:tcPr>
          <w:p>
            <w:pPr>
              <w:spacing w:after="0"/>
              <w:rPr>
                <w:sz w:val="1"/>
                <w:szCs w:val="1"/>
                <w:color w:val="auto"/>
              </w:rPr>
            </w:pPr>
          </w:p>
        </w:tc>
      </w:tr>
      <w:tr>
        <w:trPr>
          <w:trHeight w:val="105"/>
        </w:trPr>
        <w:tc>
          <w:tcPr>
            <w:tcW w:w="2820" w:type="dxa"/>
            <w:vAlign w:val="bottom"/>
            <w:tcBorders>
              <w:right w:val="single" w:sz="8" w:color="BECE33"/>
            </w:tcBorders>
            <w:gridSpan w:val="2"/>
          </w:tcPr>
          <w:p>
            <w:pPr>
              <w:spacing w:after="0"/>
              <w:rPr>
                <w:sz w:val="20"/>
                <w:szCs w:val="20"/>
                <w:color w:val="auto"/>
              </w:rPr>
            </w:pPr>
            <w:r>
              <w:rPr>
                <w:rFonts w:ascii="Arial" w:cs="Arial" w:eastAsia="Arial" w:hAnsi="Arial"/>
                <w:sz w:val="8"/>
                <w:szCs w:val="8"/>
                <w:color w:val="005A64"/>
              </w:rPr>
              <w:t>Research and development expenses</w:t>
            </w:r>
          </w:p>
        </w:tc>
        <w:tc>
          <w:tcPr>
            <w:tcW w:w="1180" w:type="dxa"/>
            <w:vAlign w:val="bottom"/>
            <w:gridSpan w:val="2"/>
          </w:tcPr>
          <w:p>
            <w:pPr>
              <w:jc w:val="right"/>
              <w:spacing w:after="0"/>
              <w:rPr>
                <w:sz w:val="20"/>
                <w:szCs w:val="20"/>
                <w:color w:val="auto"/>
              </w:rPr>
            </w:pPr>
            <w:r>
              <w:rPr>
                <w:rFonts w:ascii="Arial" w:cs="Arial" w:eastAsia="Arial" w:hAnsi="Arial"/>
                <w:sz w:val="8"/>
                <w:szCs w:val="8"/>
                <w:color w:val="005A64"/>
              </w:rPr>
              <w:t>(2,104.9)</w:t>
            </w:r>
          </w:p>
        </w:tc>
        <w:tc>
          <w:tcPr>
            <w:tcW w:w="180" w:type="dxa"/>
            <w:vAlign w:val="bottom"/>
          </w:tcPr>
          <w:p>
            <w:pPr>
              <w:spacing w:after="0"/>
              <w:rPr>
                <w:sz w:val="9"/>
                <w:szCs w:val="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8"/>
                <w:szCs w:val="8"/>
                <w:color w:val="005A64"/>
              </w:rPr>
              <w:t>—</w:t>
            </w:r>
          </w:p>
        </w:tc>
        <w:tc>
          <w:tcPr>
            <w:tcW w:w="1240" w:type="dxa"/>
            <w:vAlign w:val="bottom"/>
          </w:tcPr>
          <w:p>
            <w:pPr>
              <w:jc w:val="right"/>
              <w:spacing w:after="0"/>
              <w:rPr>
                <w:sz w:val="20"/>
                <w:szCs w:val="20"/>
                <w:color w:val="auto"/>
              </w:rPr>
            </w:pPr>
            <w:r>
              <w:rPr>
                <w:rFonts w:ascii="Arial" w:cs="Arial" w:eastAsia="Arial" w:hAnsi="Arial"/>
                <w:sz w:val="8"/>
                <w:szCs w:val="8"/>
                <w:color w:val="005A64"/>
              </w:rPr>
              <w:t>85.4</w:t>
            </w:r>
          </w:p>
        </w:tc>
        <w:tc>
          <w:tcPr>
            <w:tcW w:w="180" w:type="dxa"/>
            <w:vAlign w:val="bottom"/>
          </w:tcPr>
          <w:p>
            <w:pPr>
              <w:spacing w:after="0"/>
              <w:rPr>
                <w:sz w:val="9"/>
                <w:szCs w:val="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8"/>
                <w:szCs w:val="8"/>
                <w:color w:val="005A64"/>
              </w:rPr>
              <w:t>—</w:t>
            </w:r>
          </w:p>
        </w:tc>
        <w:tc>
          <w:tcPr>
            <w:tcW w:w="1660" w:type="dxa"/>
            <w:vAlign w:val="bottom"/>
            <w:gridSpan w:val="2"/>
          </w:tcPr>
          <w:p>
            <w:pPr>
              <w:jc w:val="right"/>
              <w:ind w:right="200"/>
              <w:spacing w:after="0"/>
              <w:rPr>
                <w:sz w:val="20"/>
                <w:szCs w:val="20"/>
                <w:color w:val="auto"/>
              </w:rPr>
            </w:pPr>
            <w:r>
              <w:rPr>
                <w:rFonts w:ascii="Arial" w:cs="Arial" w:eastAsia="Arial" w:hAnsi="Arial"/>
                <w:sz w:val="8"/>
                <w:szCs w:val="8"/>
                <w:color w:val="005A64"/>
              </w:rPr>
              <w:t>—</w:t>
            </w:r>
          </w:p>
        </w:tc>
        <w:tc>
          <w:tcPr>
            <w:tcW w:w="1100" w:type="dxa"/>
            <w:vAlign w:val="bottom"/>
          </w:tcPr>
          <w:p>
            <w:pPr>
              <w:jc w:val="right"/>
              <w:spacing w:after="0"/>
              <w:rPr>
                <w:sz w:val="20"/>
                <w:szCs w:val="20"/>
                <w:color w:val="auto"/>
              </w:rPr>
            </w:pPr>
            <w:r>
              <w:rPr>
                <w:rFonts w:ascii="Arial" w:cs="Arial" w:eastAsia="Arial" w:hAnsi="Arial"/>
                <w:sz w:val="8"/>
                <w:szCs w:val="8"/>
                <w:color w:val="005A64"/>
              </w:rPr>
              <w:t>(2,019.5)</w:t>
            </w:r>
          </w:p>
        </w:tc>
        <w:tc>
          <w:tcPr>
            <w:tcW w:w="140" w:type="dxa"/>
            <w:vAlign w:val="bottom"/>
            <w:tcBorders>
              <w:right w:val="single" w:sz="8" w:color="BECE33"/>
            </w:tcBorders>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2700" w:type="dxa"/>
            <w:vAlign w:val="bottom"/>
            <w:tcBorders>
              <w:bottom w:val="single" w:sz="8" w:color="7FACB1"/>
            </w:tcBorders>
          </w:tcPr>
          <w:p>
            <w:pPr>
              <w:spacing w:after="0"/>
              <w:rPr>
                <w:sz w:val="3"/>
                <w:szCs w:val="3"/>
                <w:color w:val="auto"/>
              </w:rPr>
            </w:pPr>
          </w:p>
        </w:tc>
        <w:tc>
          <w:tcPr>
            <w:tcW w:w="120" w:type="dxa"/>
            <w:vAlign w:val="bottom"/>
            <w:tcBorders>
              <w:right w:val="single" w:sz="8" w:color="BECE33"/>
            </w:tcBorders>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60" w:type="dxa"/>
            <w:vAlign w:val="bottom"/>
          </w:tcPr>
          <w:p>
            <w:pPr>
              <w:spacing w:after="0"/>
              <w:rPr>
                <w:sz w:val="3"/>
                <w:szCs w:val="3"/>
                <w:color w:val="auto"/>
              </w:rPr>
            </w:pPr>
          </w:p>
        </w:tc>
        <w:tc>
          <w:tcPr>
            <w:tcW w:w="148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Borders>
              <w:bottom w:val="single" w:sz="8" w:color="7FACB1"/>
            </w:tcBorders>
          </w:tcPr>
          <w:p>
            <w:pPr>
              <w:spacing w:after="0"/>
              <w:rPr>
                <w:sz w:val="3"/>
                <w:szCs w:val="3"/>
                <w:color w:val="auto"/>
              </w:rPr>
            </w:pPr>
          </w:p>
        </w:tc>
        <w:tc>
          <w:tcPr>
            <w:tcW w:w="140" w:type="dxa"/>
            <w:vAlign w:val="bottom"/>
            <w:tcBorders>
              <w:right w:val="single" w:sz="8" w:color="BECE33"/>
            </w:tcBorders>
          </w:tcPr>
          <w:p>
            <w:pPr>
              <w:spacing w:after="0"/>
              <w:rPr>
                <w:sz w:val="3"/>
                <w:szCs w:val="3"/>
                <w:color w:val="auto"/>
              </w:rPr>
            </w:pPr>
          </w:p>
        </w:tc>
        <w:tc>
          <w:tcPr>
            <w:tcW w:w="0" w:type="dxa"/>
            <w:vAlign w:val="bottom"/>
          </w:tcPr>
          <w:p>
            <w:pPr>
              <w:spacing w:after="0"/>
              <w:rPr>
                <w:sz w:val="1"/>
                <w:szCs w:val="1"/>
                <w:color w:val="auto"/>
              </w:rPr>
            </w:pPr>
          </w:p>
        </w:tc>
      </w:tr>
      <w:tr>
        <w:trPr>
          <w:trHeight w:val="105"/>
        </w:trPr>
        <w:tc>
          <w:tcPr>
            <w:tcW w:w="2820" w:type="dxa"/>
            <w:vAlign w:val="bottom"/>
            <w:tcBorders>
              <w:right w:val="single" w:sz="8" w:color="BECE33"/>
            </w:tcBorders>
            <w:gridSpan w:val="2"/>
          </w:tcPr>
          <w:p>
            <w:pPr>
              <w:spacing w:after="0"/>
              <w:rPr>
                <w:sz w:val="20"/>
                <w:szCs w:val="20"/>
                <w:color w:val="auto"/>
              </w:rPr>
            </w:pPr>
            <w:r>
              <w:rPr>
                <w:rFonts w:ascii="Arial" w:cs="Arial" w:eastAsia="Arial" w:hAnsi="Arial"/>
                <w:sz w:val="8"/>
                <w:szCs w:val="8"/>
                <w:color w:val="005A64"/>
              </w:rPr>
              <w:t>Other operating expenses</w:t>
            </w:r>
          </w:p>
        </w:tc>
        <w:tc>
          <w:tcPr>
            <w:tcW w:w="1180" w:type="dxa"/>
            <w:vAlign w:val="bottom"/>
            <w:gridSpan w:val="2"/>
          </w:tcPr>
          <w:p>
            <w:pPr>
              <w:jc w:val="right"/>
              <w:spacing w:after="0"/>
              <w:rPr>
                <w:sz w:val="20"/>
                <w:szCs w:val="20"/>
                <w:color w:val="auto"/>
              </w:rPr>
            </w:pPr>
            <w:r>
              <w:rPr>
                <w:rFonts w:ascii="Arial" w:cs="Arial" w:eastAsia="Arial" w:hAnsi="Arial"/>
                <w:sz w:val="8"/>
                <w:szCs w:val="8"/>
                <w:color w:val="005A64"/>
              </w:rPr>
              <w:t>(1,088.3)</w:t>
            </w:r>
          </w:p>
        </w:tc>
        <w:tc>
          <w:tcPr>
            <w:tcW w:w="180" w:type="dxa"/>
            <w:vAlign w:val="bottom"/>
          </w:tcPr>
          <w:p>
            <w:pPr>
              <w:spacing w:after="0"/>
              <w:rPr>
                <w:sz w:val="9"/>
                <w:szCs w:val="9"/>
                <w:color w:val="auto"/>
              </w:rPr>
            </w:pPr>
          </w:p>
        </w:tc>
        <w:tc>
          <w:tcPr>
            <w:tcW w:w="1240" w:type="dxa"/>
            <w:vAlign w:val="bottom"/>
          </w:tcPr>
          <w:p>
            <w:pPr>
              <w:jc w:val="right"/>
              <w:spacing w:after="0"/>
              <w:rPr>
                <w:sz w:val="20"/>
                <w:szCs w:val="20"/>
                <w:color w:val="auto"/>
              </w:rPr>
            </w:pPr>
            <w:r>
              <w:rPr>
                <w:rFonts w:ascii="Arial" w:cs="Arial" w:eastAsia="Arial" w:hAnsi="Arial"/>
                <w:sz w:val="8"/>
                <w:szCs w:val="8"/>
                <w:color w:val="005A64"/>
              </w:rPr>
              <w:t>789.5</w:t>
            </w:r>
          </w:p>
        </w:tc>
        <w:tc>
          <w:tcPr>
            <w:tcW w:w="180" w:type="dxa"/>
            <w:vAlign w:val="bottom"/>
          </w:tcPr>
          <w:p>
            <w:pPr>
              <w:spacing w:after="0"/>
              <w:rPr>
                <w:sz w:val="9"/>
                <w:szCs w:val="9"/>
                <w:color w:val="auto"/>
              </w:rPr>
            </w:pPr>
          </w:p>
        </w:tc>
        <w:tc>
          <w:tcPr>
            <w:tcW w:w="1240" w:type="dxa"/>
            <w:vAlign w:val="bottom"/>
          </w:tcPr>
          <w:p>
            <w:pPr>
              <w:jc w:val="right"/>
              <w:spacing w:after="0"/>
              <w:rPr>
                <w:sz w:val="20"/>
                <w:szCs w:val="20"/>
                <w:color w:val="auto"/>
              </w:rPr>
            </w:pPr>
            <w:r>
              <w:rPr>
                <w:rFonts w:ascii="Arial" w:cs="Arial" w:eastAsia="Arial" w:hAnsi="Arial"/>
                <w:sz w:val="8"/>
                <w:szCs w:val="8"/>
                <w:color w:val="005A64"/>
              </w:rPr>
              <w:t>71.6</w:t>
            </w:r>
          </w:p>
        </w:tc>
        <w:tc>
          <w:tcPr>
            <w:tcW w:w="180" w:type="dxa"/>
            <w:vAlign w:val="bottom"/>
          </w:tcPr>
          <w:p>
            <w:pPr>
              <w:spacing w:after="0"/>
              <w:rPr>
                <w:sz w:val="9"/>
                <w:szCs w:val="9"/>
                <w:color w:val="auto"/>
              </w:rPr>
            </w:pPr>
          </w:p>
        </w:tc>
        <w:tc>
          <w:tcPr>
            <w:tcW w:w="1240" w:type="dxa"/>
            <w:vAlign w:val="bottom"/>
          </w:tcPr>
          <w:p>
            <w:pPr>
              <w:jc w:val="right"/>
              <w:spacing w:after="0"/>
              <w:rPr>
                <w:sz w:val="20"/>
                <w:szCs w:val="20"/>
                <w:color w:val="auto"/>
              </w:rPr>
            </w:pPr>
            <w:r>
              <w:rPr>
                <w:rFonts w:ascii="Arial" w:cs="Arial" w:eastAsia="Arial" w:hAnsi="Arial"/>
                <w:sz w:val="8"/>
                <w:szCs w:val="8"/>
                <w:color w:val="005A64"/>
              </w:rPr>
              <w:t>57.0</w:t>
            </w:r>
          </w:p>
        </w:tc>
        <w:tc>
          <w:tcPr>
            <w:tcW w:w="160" w:type="dxa"/>
            <w:vAlign w:val="bottom"/>
          </w:tcPr>
          <w:p>
            <w:pPr>
              <w:spacing w:after="0"/>
              <w:rPr>
                <w:sz w:val="9"/>
                <w:szCs w:val="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8"/>
                <w:szCs w:val="8"/>
                <w:color w:val="005A64"/>
              </w:rPr>
              <w:t>—</w:t>
            </w:r>
          </w:p>
        </w:tc>
        <w:tc>
          <w:tcPr>
            <w:tcW w:w="1100" w:type="dxa"/>
            <w:vAlign w:val="bottom"/>
          </w:tcPr>
          <w:p>
            <w:pPr>
              <w:jc w:val="right"/>
              <w:spacing w:after="0"/>
              <w:rPr>
                <w:sz w:val="20"/>
                <w:szCs w:val="20"/>
                <w:color w:val="auto"/>
              </w:rPr>
            </w:pPr>
            <w:r>
              <w:rPr>
                <w:rFonts w:ascii="Arial" w:cs="Arial" w:eastAsia="Arial" w:hAnsi="Arial"/>
                <w:sz w:val="8"/>
                <w:szCs w:val="8"/>
                <w:color w:val="005A64"/>
              </w:rPr>
              <w:t>(170.2)</w:t>
            </w:r>
          </w:p>
        </w:tc>
        <w:tc>
          <w:tcPr>
            <w:tcW w:w="140" w:type="dxa"/>
            <w:vAlign w:val="bottom"/>
            <w:tcBorders>
              <w:right w:val="single" w:sz="8" w:color="BECE33"/>
            </w:tcBorders>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2700" w:type="dxa"/>
            <w:vAlign w:val="bottom"/>
            <w:tcBorders>
              <w:bottom w:val="single" w:sz="8" w:color="7FACB1"/>
            </w:tcBorders>
          </w:tcPr>
          <w:p>
            <w:pPr>
              <w:spacing w:after="0"/>
              <w:rPr>
                <w:sz w:val="3"/>
                <w:szCs w:val="3"/>
                <w:color w:val="auto"/>
              </w:rPr>
            </w:pPr>
          </w:p>
        </w:tc>
        <w:tc>
          <w:tcPr>
            <w:tcW w:w="120" w:type="dxa"/>
            <w:vAlign w:val="bottom"/>
            <w:tcBorders>
              <w:right w:val="single" w:sz="8" w:color="BECE33"/>
            </w:tcBorders>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60" w:type="dxa"/>
            <w:vAlign w:val="bottom"/>
          </w:tcPr>
          <w:p>
            <w:pPr>
              <w:spacing w:after="0"/>
              <w:rPr>
                <w:sz w:val="3"/>
                <w:szCs w:val="3"/>
                <w:color w:val="auto"/>
              </w:rPr>
            </w:pPr>
          </w:p>
        </w:tc>
        <w:tc>
          <w:tcPr>
            <w:tcW w:w="148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Borders>
              <w:bottom w:val="single" w:sz="8" w:color="7FACB1"/>
            </w:tcBorders>
          </w:tcPr>
          <w:p>
            <w:pPr>
              <w:spacing w:after="0"/>
              <w:rPr>
                <w:sz w:val="3"/>
                <w:szCs w:val="3"/>
                <w:color w:val="auto"/>
              </w:rPr>
            </w:pPr>
          </w:p>
        </w:tc>
        <w:tc>
          <w:tcPr>
            <w:tcW w:w="140" w:type="dxa"/>
            <w:vAlign w:val="bottom"/>
            <w:tcBorders>
              <w:right w:val="single" w:sz="8" w:color="BECE33"/>
            </w:tcBorders>
          </w:tcPr>
          <w:p>
            <w:pPr>
              <w:spacing w:after="0"/>
              <w:rPr>
                <w:sz w:val="3"/>
                <w:szCs w:val="3"/>
                <w:color w:val="auto"/>
              </w:rPr>
            </w:pPr>
          </w:p>
        </w:tc>
        <w:tc>
          <w:tcPr>
            <w:tcW w:w="0" w:type="dxa"/>
            <w:vAlign w:val="bottom"/>
          </w:tcPr>
          <w:p>
            <w:pPr>
              <w:spacing w:after="0"/>
              <w:rPr>
                <w:sz w:val="1"/>
                <w:szCs w:val="1"/>
                <w:color w:val="auto"/>
              </w:rPr>
            </w:pPr>
          </w:p>
        </w:tc>
      </w:tr>
      <w:tr>
        <w:trPr>
          <w:trHeight w:val="105"/>
        </w:trPr>
        <w:tc>
          <w:tcPr>
            <w:tcW w:w="2820" w:type="dxa"/>
            <w:vAlign w:val="bottom"/>
            <w:tcBorders>
              <w:right w:val="single" w:sz="8" w:color="BECE33"/>
            </w:tcBorders>
            <w:gridSpan w:val="2"/>
          </w:tcPr>
          <w:p>
            <w:pPr>
              <w:spacing w:after="0"/>
              <w:rPr>
                <w:sz w:val="20"/>
                <w:szCs w:val="20"/>
                <w:color w:val="auto"/>
              </w:rPr>
            </w:pPr>
            <w:r>
              <w:rPr>
                <w:rFonts w:ascii="Arial" w:cs="Arial" w:eastAsia="Arial" w:hAnsi="Arial"/>
                <w:sz w:val="8"/>
                <w:szCs w:val="8"/>
                <w:color w:val="005A64"/>
              </w:rPr>
              <w:t>Other operating income</w:t>
            </w:r>
          </w:p>
        </w:tc>
        <w:tc>
          <w:tcPr>
            <w:tcW w:w="1180" w:type="dxa"/>
            <w:vAlign w:val="bottom"/>
            <w:gridSpan w:val="2"/>
          </w:tcPr>
          <w:p>
            <w:pPr>
              <w:jc w:val="right"/>
              <w:spacing w:after="0"/>
              <w:rPr>
                <w:sz w:val="20"/>
                <w:szCs w:val="20"/>
                <w:color w:val="auto"/>
              </w:rPr>
            </w:pPr>
            <w:r>
              <w:rPr>
                <w:rFonts w:ascii="Arial" w:cs="Arial" w:eastAsia="Arial" w:hAnsi="Arial"/>
                <w:sz w:val="8"/>
                <w:szCs w:val="8"/>
                <w:color w:val="005A64"/>
              </w:rPr>
              <w:t>184.6</w:t>
            </w:r>
          </w:p>
        </w:tc>
        <w:tc>
          <w:tcPr>
            <w:tcW w:w="180" w:type="dxa"/>
            <w:vAlign w:val="bottom"/>
          </w:tcPr>
          <w:p>
            <w:pPr>
              <w:spacing w:after="0"/>
              <w:rPr>
                <w:sz w:val="9"/>
                <w:szCs w:val="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8"/>
                <w:szCs w:val="8"/>
                <w:color w:val="005A64"/>
              </w:rPr>
              <w:t>—</w:t>
            </w:r>
          </w:p>
        </w:tc>
        <w:tc>
          <w:tcPr>
            <w:tcW w:w="1420" w:type="dxa"/>
            <w:vAlign w:val="bottom"/>
            <w:gridSpan w:val="2"/>
          </w:tcPr>
          <w:p>
            <w:pPr>
              <w:jc w:val="right"/>
              <w:ind w:right="200"/>
              <w:spacing w:after="0"/>
              <w:rPr>
                <w:sz w:val="20"/>
                <w:szCs w:val="20"/>
                <w:color w:val="auto"/>
              </w:rPr>
            </w:pPr>
            <w:r>
              <w:rPr>
                <w:rFonts w:ascii="Arial" w:cs="Arial" w:eastAsia="Arial" w:hAnsi="Arial"/>
                <w:sz w:val="8"/>
                <w:szCs w:val="8"/>
                <w:color w:val="005A64"/>
              </w:rPr>
              <w:t>—</w:t>
            </w:r>
          </w:p>
        </w:tc>
        <w:tc>
          <w:tcPr>
            <w:tcW w:w="1400" w:type="dxa"/>
            <w:vAlign w:val="bottom"/>
            <w:gridSpan w:val="2"/>
          </w:tcPr>
          <w:p>
            <w:pPr>
              <w:jc w:val="right"/>
              <w:ind w:right="180"/>
              <w:spacing w:after="0"/>
              <w:rPr>
                <w:sz w:val="20"/>
                <w:szCs w:val="20"/>
                <w:color w:val="auto"/>
              </w:rPr>
            </w:pPr>
            <w:r>
              <w:rPr>
                <w:rFonts w:ascii="Arial" w:cs="Arial" w:eastAsia="Arial" w:hAnsi="Arial"/>
                <w:sz w:val="8"/>
                <w:szCs w:val="8"/>
                <w:color w:val="005A64"/>
              </w:rPr>
              <w:t>—</w:t>
            </w:r>
          </w:p>
        </w:tc>
        <w:tc>
          <w:tcPr>
            <w:tcW w:w="1480" w:type="dxa"/>
            <w:vAlign w:val="bottom"/>
          </w:tcPr>
          <w:p>
            <w:pPr>
              <w:jc w:val="right"/>
              <w:spacing w:after="0"/>
              <w:rPr>
                <w:sz w:val="20"/>
                <w:szCs w:val="20"/>
                <w:color w:val="auto"/>
              </w:rPr>
            </w:pPr>
            <w:r>
              <w:rPr>
                <w:rFonts w:ascii="Arial" w:cs="Arial" w:eastAsia="Arial" w:hAnsi="Arial"/>
                <w:sz w:val="8"/>
                <w:szCs w:val="8"/>
                <w:color w:val="005A64"/>
              </w:rPr>
              <w:t>(15.0)</w:t>
            </w:r>
          </w:p>
        </w:tc>
        <w:tc>
          <w:tcPr>
            <w:tcW w:w="180" w:type="dxa"/>
            <w:vAlign w:val="bottom"/>
          </w:tcPr>
          <w:p>
            <w:pPr>
              <w:spacing w:after="0"/>
              <w:rPr>
                <w:sz w:val="9"/>
                <w:szCs w:val="9"/>
                <w:color w:val="auto"/>
              </w:rPr>
            </w:pPr>
          </w:p>
        </w:tc>
        <w:tc>
          <w:tcPr>
            <w:tcW w:w="1100" w:type="dxa"/>
            <w:vAlign w:val="bottom"/>
          </w:tcPr>
          <w:p>
            <w:pPr>
              <w:jc w:val="right"/>
              <w:spacing w:after="0"/>
              <w:rPr>
                <w:sz w:val="20"/>
                <w:szCs w:val="20"/>
                <w:color w:val="auto"/>
              </w:rPr>
            </w:pPr>
            <w:r>
              <w:rPr>
                <w:rFonts w:ascii="Arial" w:cs="Arial" w:eastAsia="Arial" w:hAnsi="Arial"/>
                <w:sz w:val="8"/>
                <w:szCs w:val="8"/>
                <w:color w:val="005A64"/>
              </w:rPr>
              <w:t>169.6</w:t>
            </w:r>
          </w:p>
        </w:tc>
        <w:tc>
          <w:tcPr>
            <w:tcW w:w="140" w:type="dxa"/>
            <w:vAlign w:val="bottom"/>
            <w:tcBorders>
              <w:right w:val="single" w:sz="8" w:color="BECE33"/>
            </w:tcBorders>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2700" w:type="dxa"/>
            <w:vAlign w:val="bottom"/>
            <w:tcBorders>
              <w:bottom w:val="single" w:sz="8" w:color="7FACB1"/>
            </w:tcBorders>
          </w:tcPr>
          <w:p>
            <w:pPr>
              <w:spacing w:after="0"/>
              <w:rPr>
                <w:sz w:val="3"/>
                <w:szCs w:val="3"/>
                <w:color w:val="auto"/>
              </w:rPr>
            </w:pPr>
          </w:p>
        </w:tc>
        <w:tc>
          <w:tcPr>
            <w:tcW w:w="120" w:type="dxa"/>
            <w:vAlign w:val="bottom"/>
            <w:tcBorders>
              <w:right w:val="single" w:sz="8" w:color="BECE33"/>
            </w:tcBorders>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60" w:type="dxa"/>
            <w:vAlign w:val="bottom"/>
          </w:tcPr>
          <w:p>
            <w:pPr>
              <w:spacing w:after="0"/>
              <w:rPr>
                <w:sz w:val="3"/>
                <w:szCs w:val="3"/>
                <w:color w:val="auto"/>
              </w:rPr>
            </w:pPr>
          </w:p>
        </w:tc>
        <w:tc>
          <w:tcPr>
            <w:tcW w:w="148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Borders>
              <w:bottom w:val="single" w:sz="8" w:color="7FACB1"/>
            </w:tcBorders>
          </w:tcPr>
          <w:p>
            <w:pPr>
              <w:spacing w:after="0"/>
              <w:rPr>
                <w:sz w:val="3"/>
                <w:szCs w:val="3"/>
                <w:color w:val="auto"/>
              </w:rPr>
            </w:pPr>
          </w:p>
        </w:tc>
        <w:tc>
          <w:tcPr>
            <w:tcW w:w="140" w:type="dxa"/>
            <w:vAlign w:val="bottom"/>
            <w:tcBorders>
              <w:right w:val="single" w:sz="8" w:color="BECE33"/>
            </w:tcBorders>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820" w:type="dxa"/>
            <w:vAlign w:val="bottom"/>
            <w:tcBorders>
              <w:right w:val="single" w:sz="8" w:color="BECE33"/>
            </w:tcBorders>
            <w:gridSpan w:val="2"/>
          </w:tcPr>
          <w:p>
            <w:pPr>
              <w:spacing w:after="0"/>
              <w:rPr>
                <w:sz w:val="20"/>
                <w:szCs w:val="20"/>
                <w:color w:val="auto"/>
              </w:rPr>
            </w:pPr>
            <w:r>
              <w:rPr>
                <w:rFonts w:ascii="Arial" w:cs="Arial" w:eastAsia="Arial" w:hAnsi="Arial"/>
                <w:sz w:val="8"/>
                <w:szCs w:val="8"/>
                <w:b w:val="1"/>
                <w:bCs w:val="1"/>
                <w:color w:val="005A64"/>
              </w:rPr>
              <w:t>Operating loss</w:t>
            </w:r>
          </w:p>
        </w:tc>
        <w:tc>
          <w:tcPr>
            <w:tcW w:w="1180" w:type="dxa"/>
            <w:vAlign w:val="bottom"/>
            <w:gridSpan w:val="2"/>
          </w:tcPr>
          <w:p>
            <w:pPr>
              <w:jc w:val="right"/>
              <w:spacing w:after="0"/>
              <w:rPr>
                <w:sz w:val="20"/>
                <w:szCs w:val="20"/>
                <w:color w:val="auto"/>
              </w:rPr>
            </w:pPr>
            <w:r>
              <w:rPr>
                <w:rFonts w:ascii="Arial" w:cs="Arial" w:eastAsia="Arial" w:hAnsi="Arial"/>
                <w:sz w:val="8"/>
                <w:szCs w:val="8"/>
                <w:b w:val="1"/>
                <w:bCs w:val="1"/>
                <w:color w:val="005A64"/>
              </w:rPr>
              <w:t>(1,404.9)</w:t>
            </w:r>
          </w:p>
        </w:tc>
        <w:tc>
          <w:tcPr>
            <w:tcW w:w="180" w:type="dxa"/>
            <w:vAlign w:val="bottom"/>
          </w:tcPr>
          <w:p>
            <w:pPr>
              <w:spacing w:after="0"/>
              <w:rPr>
                <w:sz w:val="9"/>
                <w:szCs w:val="9"/>
                <w:color w:val="auto"/>
              </w:rPr>
            </w:pPr>
          </w:p>
        </w:tc>
        <w:tc>
          <w:tcPr>
            <w:tcW w:w="1240" w:type="dxa"/>
            <w:vAlign w:val="bottom"/>
          </w:tcPr>
          <w:p>
            <w:pPr>
              <w:jc w:val="right"/>
              <w:spacing w:after="0"/>
              <w:rPr>
                <w:sz w:val="20"/>
                <w:szCs w:val="20"/>
                <w:color w:val="auto"/>
              </w:rPr>
            </w:pPr>
            <w:r>
              <w:rPr>
                <w:rFonts w:ascii="Arial" w:cs="Arial" w:eastAsia="Arial" w:hAnsi="Arial"/>
                <w:sz w:val="8"/>
                <w:szCs w:val="8"/>
                <w:b w:val="1"/>
                <w:bCs w:val="1"/>
                <w:color w:val="005A64"/>
              </w:rPr>
              <w:t>789.5</w:t>
            </w:r>
          </w:p>
        </w:tc>
        <w:tc>
          <w:tcPr>
            <w:tcW w:w="180" w:type="dxa"/>
            <w:vAlign w:val="bottom"/>
          </w:tcPr>
          <w:p>
            <w:pPr>
              <w:spacing w:after="0"/>
              <w:rPr>
                <w:sz w:val="9"/>
                <w:szCs w:val="9"/>
                <w:color w:val="auto"/>
              </w:rPr>
            </w:pPr>
          </w:p>
        </w:tc>
        <w:tc>
          <w:tcPr>
            <w:tcW w:w="1240" w:type="dxa"/>
            <w:vAlign w:val="bottom"/>
          </w:tcPr>
          <w:p>
            <w:pPr>
              <w:jc w:val="right"/>
              <w:spacing w:after="0"/>
              <w:rPr>
                <w:sz w:val="20"/>
                <w:szCs w:val="20"/>
                <w:color w:val="auto"/>
              </w:rPr>
            </w:pPr>
            <w:r>
              <w:rPr>
                <w:rFonts w:ascii="Arial" w:cs="Arial" w:eastAsia="Arial" w:hAnsi="Arial"/>
                <w:sz w:val="8"/>
                <w:szCs w:val="8"/>
                <w:b w:val="1"/>
                <w:bCs w:val="1"/>
                <w:color w:val="005A64"/>
              </w:rPr>
              <w:t>187.5</w:t>
            </w:r>
          </w:p>
        </w:tc>
        <w:tc>
          <w:tcPr>
            <w:tcW w:w="180" w:type="dxa"/>
            <w:vAlign w:val="bottom"/>
          </w:tcPr>
          <w:p>
            <w:pPr>
              <w:spacing w:after="0"/>
              <w:rPr>
                <w:sz w:val="9"/>
                <w:szCs w:val="9"/>
                <w:color w:val="auto"/>
              </w:rPr>
            </w:pPr>
          </w:p>
        </w:tc>
        <w:tc>
          <w:tcPr>
            <w:tcW w:w="1240" w:type="dxa"/>
            <w:vAlign w:val="bottom"/>
          </w:tcPr>
          <w:p>
            <w:pPr>
              <w:jc w:val="right"/>
              <w:spacing w:after="0"/>
              <w:rPr>
                <w:sz w:val="20"/>
                <w:szCs w:val="20"/>
                <w:color w:val="auto"/>
              </w:rPr>
            </w:pPr>
            <w:r>
              <w:rPr>
                <w:rFonts w:ascii="Arial" w:cs="Arial" w:eastAsia="Arial" w:hAnsi="Arial"/>
                <w:sz w:val="8"/>
                <w:szCs w:val="8"/>
                <w:b w:val="1"/>
                <w:bCs w:val="1"/>
                <w:color w:val="005A64"/>
              </w:rPr>
              <w:t>57.0</w:t>
            </w:r>
          </w:p>
        </w:tc>
        <w:tc>
          <w:tcPr>
            <w:tcW w:w="160" w:type="dxa"/>
            <w:vAlign w:val="bottom"/>
          </w:tcPr>
          <w:p>
            <w:pPr>
              <w:spacing w:after="0"/>
              <w:rPr>
                <w:sz w:val="9"/>
                <w:szCs w:val="9"/>
                <w:color w:val="auto"/>
              </w:rPr>
            </w:pPr>
          </w:p>
        </w:tc>
        <w:tc>
          <w:tcPr>
            <w:tcW w:w="1480" w:type="dxa"/>
            <w:vAlign w:val="bottom"/>
          </w:tcPr>
          <w:p>
            <w:pPr>
              <w:jc w:val="right"/>
              <w:spacing w:after="0"/>
              <w:rPr>
                <w:sz w:val="20"/>
                <w:szCs w:val="20"/>
                <w:color w:val="auto"/>
              </w:rPr>
            </w:pPr>
            <w:r>
              <w:rPr>
                <w:rFonts w:ascii="Arial" w:cs="Arial" w:eastAsia="Arial" w:hAnsi="Arial"/>
                <w:sz w:val="8"/>
                <w:szCs w:val="8"/>
                <w:b w:val="1"/>
                <w:bCs w:val="1"/>
                <w:color w:val="005A64"/>
              </w:rPr>
              <w:t>(15.0)</w:t>
            </w:r>
          </w:p>
        </w:tc>
        <w:tc>
          <w:tcPr>
            <w:tcW w:w="180" w:type="dxa"/>
            <w:vAlign w:val="bottom"/>
          </w:tcPr>
          <w:p>
            <w:pPr>
              <w:spacing w:after="0"/>
              <w:rPr>
                <w:sz w:val="9"/>
                <w:szCs w:val="9"/>
                <w:color w:val="auto"/>
              </w:rPr>
            </w:pPr>
          </w:p>
        </w:tc>
        <w:tc>
          <w:tcPr>
            <w:tcW w:w="1100" w:type="dxa"/>
            <w:vAlign w:val="bottom"/>
          </w:tcPr>
          <w:p>
            <w:pPr>
              <w:jc w:val="right"/>
              <w:spacing w:after="0"/>
              <w:rPr>
                <w:sz w:val="20"/>
                <w:szCs w:val="20"/>
                <w:color w:val="auto"/>
              </w:rPr>
            </w:pPr>
            <w:r>
              <w:rPr>
                <w:rFonts w:ascii="Arial" w:cs="Arial" w:eastAsia="Arial" w:hAnsi="Arial"/>
                <w:sz w:val="8"/>
                <w:szCs w:val="8"/>
                <w:b w:val="1"/>
                <w:bCs w:val="1"/>
                <w:color w:val="005A64"/>
              </w:rPr>
              <w:t>(385.9)</w:t>
            </w:r>
          </w:p>
        </w:tc>
        <w:tc>
          <w:tcPr>
            <w:tcW w:w="140" w:type="dxa"/>
            <w:vAlign w:val="bottom"/>
            <w:tcBorders>
              <w:right w:val="single" w:sz="8" w:color="BECE33"/>
            </w:tcBorders>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700" w:type="dxa"/>
            <w:vAlign w:val="bottom"/>
            <w:tcBorders>
              <w:bottom w:val="single" w:sz="8" w:color="005A64"/>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Borders>
              <w:bottom w:val="single" w:sz="8" w:color="005A64"/>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c>
          <w:tcPr>
            <w:tcW w:w="0" w:type="dxa"/>
            <w:vAlign w:val="bottom"/>
          </w:tcPr>
          <w:p>
            <w:pPr>
              <w:spacing w:after="0"/>
              <w:rPr>
                <w:sz w:val="1"/>
                <w:szCs w:val="1"/>
                <w:color w:val="auto"/>
              </w:rPr>
            </w:pPr>
          </w:p>
        </w:tc>
      </w:tr>
      <w:tr>
        <w:trPr>
          <w:trHeight w:val="109"/>
        </w:trPr>
        <w:tc>
          <w:tcPr>
            <w:tcW w:w="2820" w:type="dxa"/>
            <w:vAlign w:val="bottom"/>
            <w:tcBorders>
              <w:right w:val="single" w:sz="8" w:color="BECE33"/>
            </w:tcBorders>
            <w:gridSpan w:val="2"/>
          </w:tcPr>
          <w:p>
            <w:pPr>
              <w:spacing w:after="0"/>
              <w:rPr>
                <w:sz w:val="20"/>
                <w:szCs w:val="20"/>
                <w:color w:val="auto"/>
              </w:rPr>
            </w:pPr>
            <w:r>
              <w:rPr>
                <w:rFonts w:ascii="Arial" w:cs="Arial" w:eastAsia="Arial" w:hAnsi="Arial"/>
                <w:sz w:val="8"/>
                <w:szCs w:val="8"/>
                <w:b w:val="1"/>
                <w:bCs w:val="1"/>
                <w:color w:val="005A64"/>
              </w:rPr>
              <w:t>Loss before tax</w:t>
            </w:r>
          </w:p>
        </w:tc>
        <w:tc>
          <w:tcPr>
            <w:tcW w:w="1180" w:type="dxa"/>
            <w:vAlign w:val="bottom"/>
            <w:gridSpan w:val="2"/>
          </w:tcPr>
          <w:p>
            <w:pPr>
              <w:jc w:val="right"/>
              <w:spacing w:after="0"/>
              <w:rPr>
                <w:sz w:val="20"/>
                <w:szCs w:val="20"/>
                <w:color w:val="auto"/>
              </w:rPr>
            </w:pPr>
            <w:r>
              <w:rPr>
                <w:rFonts w:ascii="Arial" w:cs="Arial" w:eastAsia="Arial" w:hAnsi="Arial"/>
                <w:sz w:val="8"/>
                <w:szCs w:val="8"/>
                <w:b w:val="1"/>
                <w:bCs w:val="1"/>
                <w:color w:val="005A64"/>
              </w:rPr>
              <w:t>(1,050.8)</w:t>
            </w:r>
          </w:p>
        </w:tc>
        <w:tc>
          <w:tcPr>
            <w:tcW w:w="180" w:type="dxa"/>
            <w:vAlign w:val="bottom"/>
          </w:tcPr>
          <w:p>
            <w:pPr>
              <w:spacing w:after="0"/>
              <w:rPr>
                <w:sz w:val="9"/>
                <w:szCs w:val="9"/>
                <w:color w:val="auto"/>
              </w:rPr>
            </w:pPr>
          </w:p>
        </w:tc>
        <w:tc>
          <w:tcPr>
            <w:tcW w:w="1240" w:type="dxa"/>
            <w:vAlign w:val="bottom"/>
          </w:tcPr>
          <w:p>
            <w:pPr>
              <w:jc w:val="right"/>
              <w:spacing w:after="0"/>
              <w:rPr>
                <w:sz w:val="20"/>
                <w:szCs w:val="20"/>
                <w:color w:val="auto"/>
              </w:rPr>
            </w:pPr>
            <w:r>
              <w:rPr>
                <w:rFonts w:ascii="Arial" w:cs="Arial" w:eastAsia="Arial" w:hAnsi="Arial"/>
                <w:sz w:val="8"/>
                <w:szCs w:val="8"/>
                <w:b w:val="1"/>
                <w:bCs w:val="1"/>
                <w:color w:val="005A64"/>
              </w:rPr>
              <w:t>789.5</w:t>
            </w:r>
          </w:p>
        </w:tc>
        <w:tc>
          <w:tcPr>
            <w:tcW w:w="180" w:type="dxa"/>
            <w:vAlign w:val="bottom"/>
          </w:tcPr>
          <w:p>
            <w:pPr>
              <w:spacing w:after="0"/>
              <w:rPr>
                <w:sz w:val="9"/>
                <w:szCs w:val="9"/>
                <w:color w:val="auto"/>
              </w:rPr>
            </w:pPr>
          </w:p>
        </w:tc>
        <w:tc>
          <w:tcPr>
            <w:tcW w:w="1240" w:type="dxa"/>
            <w:vAlign w:val="bottom"/>
          </w:tcPr>
          <w:p>
            <w:pPr>
              <w:jc w:val="right"/>
              <w:spacing w:after="0"/>
              <w:rPr>
                <w:sz w:val="20"/>
                <w:szCs w:val="20"/>
                <w:color w:val="auto"/>
              </w:rPr>
            </w:pPr>
            <w:r>
              <w:rPr>
                <w:rFonts w:ascii="Arial" w:cs="Arial" w:eastAsia="Arial" w:hAnsi="Arial"/>
                <w:sz w:val="8"/>
                <w:szCs w:val="8"/>
                <w:b w:val="1"/>
                <w:bCs w:val="1"/>
                <w:color w:val="005A64"/>
              </w:rPr>
              <w:t>187.5</w:t>
            </w:r>
          </w:p>
        </w:tc>
        <w:tc>
          <w:tcPr>
            <w:tcW w:w="180" w:type="dxa"/>
            <w:vAlign w:val="bottom"/>
          </w:tcPr>
          <w:p>
            <w:pPr>
              <w:spacing w:after="0"/>
              <w:rPr>
                <w:sz w:val="9"/>
                <w:szCs w:val="9"/>
                <w:color w:val="auto"/>
              </w:rPr>
            </w:pPr>
          </w:p>
        </w:tc>
        <w:tc>
          <w:tcPr>
            <w:tcW w:w="1240" w:type="dxa"/>
            <w:vAlign w:val="bottom"/>
          </w:tcPr>
          <w:p>
            <w:pPr>
              <w:jc w:val="right"/>
              <w:spacing w:after="0"/>
              <w:rPr>
                <w:sz w:val="20"/>
                <w:szCs w:val="20"/>
                <w:color w:val="auto"/>
              </w:rPr>
            </w:pPr>
            <w:r>
              <w:rPr>
                <w:rFonts w:ascii="Arial" w:cs="Arial" w:eastAsia="Arial" w:hAnsi="Arial"/>
                <w:sz w:val="8"/>
                <w:szCs w:val="8"/>
                <w:b w:val="1"/>
                <w:bCs w:val="1"/>
                <w:color w:val="005A64"/>
              </w:rPr>
              <w:t>57.0</w:t>
            </w:r>
          </w:p>
        </w:tc>
        <w:tc>
          <w:tcPr>
            <w:tcW w:w="160" w:type="dxa"/>
            <w:vAlign w:val="bottom"/>
          </w:tcPr>
          <w:p>
            <w:pPr>
              <w:spacing w:after="0"/>
              <w:rPr>
                <w:sz w:val="9"/>
                <w:szCs w:val="9"/>
                <w:color w:val="auto"/>
              </w:rPr>
            </w:pPr>
          </w:p>
        </w:tc>
        <w:tc>
          <w:tcPr>
            <w:tcW w:w="1480" w:type="dxa"/>
            <w:vAlign w:val="bottom"/>
          </w:tcPr>
          <w:p>
            <w:pPr>
              <w:jc w:val="right"/>
              <w:spacing w:after="0"/>
              <w:rPr>
                <w:sz w:val="20"/>
                <w:szCs w:val="20"/>
                <w:color w:val="auto"/>
              </w:rPr>
            </w:pPr>
            <w:r>
              <w:rPr>
                <w:rFonts w:ascii="Arial" w:cs="Arial" w:eastAsia="Arial" w:hAnsi="Arial"/>
                <w:sz w:val="8"/>
                <w:szCs w:val="8"/>
                <w:b w:val="1"/>
                <w:bCs w:val="1"/>
                <w:color w:val="005A64"/>
              </w:rPr>
              <w:t>(15.0)</w:t>
            </w:r>
          </w:p>
        </w:tc>
        <w:tc>
          <w:tcPr>
            <w:tcW w:w="180" w:type="dxa"/>
            <w:vAlign w:val="bottom"/>
          </w:tcPr>
          <w:p>
            <w:pPr>
              <w:spacing w:after="0"/>
              <w:rPr>
                <w:sz w:val="9"/>
                <w:szCs w:val="9"/>
                <w:color w:val="auto"/>
              </w:rPr>
            </w:pPr>
          </w:p>
        </w:tc>
        <w:tc>
          <w:tcPr>
            <w:tcW w:w="1100" w:type="dxa"/>
            <w:vAlign w:val="bottom"/>
          </w:tcPr>
          <w:p>
            <w:pPr>
              <w:jc w:val="right"/>
              <w:spacing w:after="0"/>
              <w:rPr>
                <w:sz w:val="20"/>
                <w:szCs w:val="20"/>
                <w:color w:val="auto"/>
              </w:rPr>
            </w:pPr>
            <w:r>
              <w:rPr>
                <w:rFonts w:ascii="Arial" w:cs="Arial" w:eastAsia="Arial" w:hAnsi="Arial"/>
                <w:sz w:val="8"/>
                <w:szCs w:val="8"/>
                <w:b w:val="1"/>
                <w:bCs w:val="1"/>
                <w:color w:val="005A64"/>
              </w:rPr>
              <w:t>(31.8)</w:t>
            </w:r>
          </w:p>
        </w:tc>
        <w:tc>
          <w:tcPr>
            <w:tcW w:w="140" w:type="dxa"/>
            <w:vAlign w:val="bottom"/>
            <w:tcBorders>
              <w:right w:val="single" w:sz="8" w:color="BECE33"/>
            </w:tcBorders>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700" w:type="dxa"/>
            <w:vAlign w:val="bottom"/>
            <w:tcBorders>
              <w:bottom w:val="single" w:sz="8" w:color="005A64"/>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Borders>
              <w:bottom w:val="single" w:sz="8" w:color="005A64"/>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700" w:type="dxa"/>
            <w:vAlign w:val="bottom"/>
            <w:tcBorders>
              <w:bottom w:val="single" w:sz="8" w:color="005A64"/>
            </w:tcBorders>
          </w:tcPr>
          <w:p>
            <w:pPr>
              <w:spacing w:after="0"/>
              <w:rPr>
                <w:sz w:val="20"/>
                <w:szCs w:val="20"/>
                <w:color w:val="auto"/>
              </w:rPr>
            </w:pPr>
            <w:r>
              <w:rPr>
                <w:rFonts w:ascii="Arial" w:cs="Arial" w:eastAsia="Arial" w:hAnsi="Arial"/>
                <w:sz w:val="8"/>
                <w:szCs w:val="8"/>
                <w:b w:val="1"/>
                <w:bCs w:val="1"/>
                <w:color w:val="005A64"/>
              </w:rPr>
              <w:t>Net loss</w:t>
            </w:r>
            <w:r>
              <w:rPr>
                <w:rFonts w:ascii="Arial" w:cs="Arial" w:eastAsia="Arial" w:hAnsi="Arial"/>
                <w:sz w:val="10"/>
                <w:szCs w:val="10"/>
                <w:b w:val="1"/>
                <w:bCs w:val="1"/>
                <w:color w:val="005A64"/>
                <w:vertAlign w:val="superscript"/>
              </w:rPr>
              <w:t>1</w:t>
            </w:r>
          </w:p>
        </w:tc>
        <w:tc>
          <w:tcPr>
            <w:tcW w:w="120" w:type="dxa"/>
            <w:vAlign w:val="bottom"/>
            <w:tcBorders>
              <w:right w:val="single" w:sz="8" w:color="BECE33"/>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bottom w:val="single" w:sz="8" w:color="005A64"/>
            </w:tcBorders>
          </w:tcPr>
          <w:p>
            <w:pPr>
              <w:jc w:val="right"/>
              <w:spacing w:after="0"/>
              <w:rPr>
                <w:sz w:val="20"/>
                <w:szCs w:val="20"/>
                <w:color w:val="auto"/>
              </w:rPr>
            </w:pPr>
            <w:r>
              <w:rPr>
                <w:rFonts w:ascii="Arial" w:cs="Arial" w:eastAsia="Arial" w:hAnsi="Arial"/>
                <w:sz w:val="8"/>
                <w:szCs w:val="8"/>
                <w:b w:val="1"/>
                <w:bCs w:val="1"/>
                <w:color w:val="005A64"/>
              </w:rPr>
              <w:t>(1,136.1)</w:t>
            </w:r>
          </w:p>
        </w:tc>
        <w:tc>
          <w:tcPr>
            <w:tcW w:w="180" w:type="dxa"/>
            <w:vAlign w:val="bottom"/>
          </w:tcPr>
          <w:p>
            <w:pPr>
              <w:spacing w:after="0"/>
              <w:rPr>
                <w:sz w:val="12"/>
                <w:szCs w:val="12"/>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8"/>
                <w:szCs w:val="8"/>
                <w:b w:val="1"/>
                <w:bCs w:val="1"/>
                <w:color w:val="005A64"/>
              </w:rPr>
              <w:t>789.5</w:t>
            </w:r>
          </w:p>
        </w:tc>
        <w:tc>
          <w:tcPr>
            <w:tcW w:w="180" w:type="dxa"/>
            <w:vAlign w:val="bottom"/>
          </w:tcPr>
          <w:p>
            <w:pPr>
              <w:spacing w:after="0"/>
              <w:rPr>
                <w:sz w:val="12"/>
                <w:szCs w:val="12"/>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8"/>
                <w:szCs w:val="8"/>
                <w:b w:val="1"/>
                <w:bCs w:val="1"/>
                <w:color w:val="005A64"/>
              </w:rPr>
              <w:t>187.5</w:t>
            </w:r>
          </w:p>
        </w:tc>
        <w:tc>
          <w:tcPr>
            <w:tcW w:w="180" w:type="dxa"/>
            <w:vAlign w:val="bottom"/>
          </w:tcPr>
          <w:p>
            <w:pPr>
              <w:spacing w:after="0"/>
              <w:rPr>
                <w:sz w:val="12"/>
                <w:szCs w:val="12"/>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8"/>
                <w:szCs w:val="8"/>
                <w:b w:val="1"/>
                <w:bCs w:val="1"/>
                <w:color w:val="005A64"/>
              </w:rPr>
              <w:t>57.0</w:t>
            </w:r>
          </w:p>
        </w:tc>
        <w:tc>
          <w:tcPr>
            <w:tcW w:w="160" w:type="dxa"/>
            <w:vAlign w:val="bottom"/>
          </w:tcPr>
          <w:p>
            <w:pPr>
              <w:spacing w:after="0"/>
              <w:rPr>
                <w:sz w:val="12"/>
                <w:szCs w:val="12"/>
                <w:color w:val="auto"/>
              </w:rPr>
            </w:pPr>
          </w:p>
        </w:tc>
        <w:tc>
          <w:tcPr>
            <w:tcW w:w="1480" w:type="dxa"/>
            <w:vAlign w:val="bottom"/>
            <w:tcBorders>
              <w:bottom w:val="single" w:sz="8" w:color="005A64"/>
            </w:tcBorders>
          </w:tcPr>
          <w:p>
            <w:pPr>
              <w:jc w:val="right"/>
              <w:spacing w:after="0"/>
              <w:rPr>
                <w:sz w:val="20"/>
                <w:szCs w:val="20"/>
                <w:color w:val="auto"/>
              </w:rPr>
            </w:pPr>
            <w:r>
              <w:rPr>
                <w:rFonts w:ascii="Arial" w:cs="Arial" w:eastAsia="Arial" w:hAnsi="Arial"/>
                <w:sz w:val="8"/>
                <w:szCs w:val="8"/>
                <w:b w:val="1"/>
                <w:bCs w:val="1"/>
                <w:color w:val="005A64"/>
              </w:rPr>
              <w:t>(15.0)</w:t>
            </w:r>
          </w:p>
        </w:tc>
        <w:tc>
          <w:tcPr>
            <w:tcW w:w="180" w:type="dxa"/>
            <w:vAlign w:val="bottom"/>
          </w:tcPr>
          <w:p>
            <w:pPr>
              <w:spacing w:after="0"/>
              <w:rPr>
                <w:sz w:val="12"/>
                <w:szCs w:val="12"/>
                <w:color w:val="auto"/>
              </w:rPr>
            </w:pPr>
          </w:p>
        </w:tc>
        <w:tc>
          <w:tcPr>
            <w:tcW w:w="1100" w:type="dxa"/>
            <w:vAlign w:val="bottom"/>
            <w:tcBorders>
              <w:bottom w:val="single" w:sz="8" w:color="005A64"/>
            </w:tcBorders>
          </w:tcPr>
          <w:p>
            <w:pPr>
              <w:jc w:val="right"/>
              <w:spacing w:after="0"/>
              <w:rPr>
                <w:sz w:val="20"/>
                <w:szCs w:val="20"/>
                <w:color w:val="auto"/>
              </w:rPr>
            </w:pPr>
            <w:r>
              <w:rPr>
                <w:rFonts w:ascii="Arial" w:cs="Arial" w:eastAsia="Arial" w:hAnsi="Arial"/>
                <w:sz w:val="8"/>
                <w:szCs w:val="8"/>
                <w:b w:val="1"/>
                <w:bCs w:val="1"/>
                <w:color w:val="005A64"/>
              </w:rPr>
              <w:t>(117.1)</w:t>
            </w:r>
          </w:p>
        </w:tc>
        <w:tc>
          <w:tcPr>
            <w:tcW w:w="140" w:type="dxa"/>
            <w:vAlign w:val="bottom"/>
            <w:tcBorders>
              <w:right w:val="single" w:sz="8" w:color="BECE33"/>
            </w:tcBorders>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820" w:type="dxa"/>
            <w:vAlign w:val="bottom"/>
            <w:tcBorders>
              <w:right w:val="single" w:sz="8" w:color="BECE33"/>
            </w:tcBorders>
            <w:gridSpan w:val="2"/>
          </w:tcPr>
          <w:p>
            <w:pPr>
              <w:spacing w:after="0"/>
              <w:rPr>
                <w:sz w:val="20"/>
                <w:szCs w:val="20"/>
                <w:color w:val="auto"/>
              </w:rPr>
            </w:pPr>
            <w:r>
              <w:rPr>
                <w:rFonts w:ascii="Arial" w:cs="Arial" w:eastAsia="Arial" w:hAnsi="Arial"/>
                <w:sz w:val="8"/>
                <w:szCs w:val="8"/>
                <w:b w:val="1"/>
                <w:bCs w:val="1"/>
                <w:color w:val="3C9673"/>
              </w:rPr>
              <w:t>Loss per share</w:t>
            </w: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Borders>
              <w:right w:val="single" w:sz="8" w:color="BECE33"/>
            </w:tcBorders>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700" w:type="dxa"/>
            <w:vAlign w:val="bottom"/>
            <w:tcBorders>
              <w:bottom w:val="single" w:sz="8" w:color="7FACB1"/>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Borders>
              <w:bottom w:val="single" w:sz="8" w:color="7FACB1"/>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2820" w:type="dxa"/>
            <w:vAlign w:val="bottom"/>
            <w:tcBorders>
              <w:right w:val="single" w:sz="8" w:color="BECE33"/>
            </w:tcBorders>
            <w:gridSpan w:val="2"/>
          </w:tcPr>
          <w:p>
            <w:pPr>
              <w:spacing w:after="0"/>
              <w:rPr>
                <w:sz w:val="20"/>
                <w:szCs w:val="20"/>
                <w:color w:val="auto"/>
              </w:rPr>
            </w:pPr>
            <w:r>
              <w:rPr>
                <w:rFonts w:ascii="Arial" w:cs="Arial" w:eastAsia="Arial" w:hAnsi="Arial"/>
                <w:sz w:val="8"/>
                <w:szCs w:val="8"/>
                <w:color w:val="005A64"/>
              </w:rPr>
              <w:t>Basic loss per share</w:t>
            </w:r>
          </w:p>
        </w:tc>
        <w:tc>
          <w:tcPr>
            <w:tcW w:w="1180" w:type="dxa"/>
            <w:vAlign w:val="bottom"/>
            <w:gridSpan w:val="2"/>
          </w:tcPr>
          <w:p>
            <w:pPr>
              <w:jc w:val="right"/>
              <w:spacing w:after="0"/>
              <w:rPr>
                <w:sz w:val="20"/>
                <w:szCs w:val="20"/>
                <w:color w:val="auto"/>
              </w:rPr>
            </w:pPr>
            <w:r>
              <w:rPr>
                <w:rFonts w:ascii="Arial" w:cs="Arial" w:eastAsia="Arial" w:hAnsi="Arial"/>
                <w:sz w:val="8"/>
                <w:szCs w:val="8"/>
                <w:color w:val="005A64"/>
              </w:rPr>
              <w:t>(4.70)</w:t>
            </w: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jc w:val="right"/>
              <w:spacing w:after="0"/>
              <w:rPr>
                <w:sz w:val="20"/>
                <w:szCs w:val="20"/>
                <w:color w:val="auto"/>
              </w:rPr>
            </w:pPr>
            <w:r>
              <w:rPr>
                <w:rFonts w:ascii="Arial" w:cs="Arial" w:eastAsia="Arial" w:hAnsi="Arial"/>
                <w:sz w:val="8"/>
                <w:szCs w:val="8"/>
                <w:color w:val="005A64"/>
              </w:rPr>
              <w:t>(0.48)</w:t>
            </w:r>
          </w:p>
        </w:tc>
        <w:tc>
          <w:tcPr>
            <w:tcW w:w="140" w:type="dxa"/>
            <w:vAlign w:val="bottom"/>
            <w:tcBorders>
              <w:right w:val="single" w:sz="8" w:color="BECE33"/>
            </w:tcBorders>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2700" w:type="dxa"/>
            <w:vAlign w:val="bottom"/>
            <w:tcBorders>
              <w:bottom w:val="single" w:sz="8" w:color="7FACB1"/>
            </w:tcBorders>
          </w:tcPr>
          <w:p>
            <w:pPr>
              <w:spacing w:after="0"/>
              <w:rPr>
                <w:sz w:val="3"/>
                <w:szCs w:val="3"/>
                <w:color w:val="auto"/>
              </w:rPr>
            </w:pPr>
          </w:p>
        </w:tc>
        <w:tc>
          <w:tcPr>
            <w:tcW w:w="120" w:type="dxa"/>
            <w:vAlign w:val="bottom"/>
            <w:tcBorders>
              <w:right w:val="single" w:sz="8" w:color="BECE33"/>
            </w:tcBorders>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60" w:type="dxa"/>
            <w:vAlign w:val="bottom"/>
          </w:tcPr>
          <w:p>
            <w:pPr>
              <w:spacing w:after="0"/>
              <w:rPr>
                <w:sz w:val="3"/>
                <w:szCs w:val="3"/>
                <w:color w:val="auto"/>
              </w:rPr>
            </w:pPr>
          </w:p>
        </w:tc>
        <w:tc>
          <w:tcPr>
            <w:tcW w:w="148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Borders>
              <w:bottom w:val="single" w:sz="8" w:color="7FACB1"/>
            </w:tcBorders>
          </w:tcPr>
          <w:p>
            <w:pPr>
              <w:spacing w:after="0"/>
              <w:rPr>
                <w:sz w:val="3"/>
                <w:szCs w:val="3"/>
                <w:color w:val="auto"/>
              </w:rPr>
            </w:pPr>
          </w:p>
        </w:tc>
        <w:tc>
          <w:tcPr>
            <w:tcW w:w="140" w:type="dxa"/>
            <w:vAlign w:val="bottom"/>
            <w:tcBorders>
              <w:right w:val="single" w:sz="8" w:color="BECE33"/>
            </w:tcBorders>
          </w:tcPr>
          <w:p>
            <w:pPr>
              <w:spacing w:after="0"/>
              <w:rPr>
                <w:sz w:val="3"/>
                <w:szCs w:val="3"/>
                <w:color w:val="auto"/>
              </w:rPr>
            </w:pPr>
          </w:p>
        </w:tc>
        <w:tc>
          <w:tcPr>
            <w:tcW w:w="0" w:type="dxa"/>
            <w:vAlign w:val="bottom"/>
          </w:tcPr>
          <w:p>
            <w:pPr>
              <w:spacing w:after="0"/>
              <w:rPr>
                <w:sz w:val="1"/>
                <w:szCs w:val="1"/>
                <w:color w:val="auto"/>
              </w:rPr>
            </w:pPr>
          </w:p>
        </w:tc>
      </w:tr>
      <w:tr>
        <w:trPr>
          <w:trHeight w:val="114"/>
        </w:trPr>
        <w:tc>
          <w:tcPr>
            <w:tcW w:w="2820" w:type="dxa"/>
            <w:vAlign w:val="bottom"/>
            <w:tcBorders>
              <w:right w:val="single" w:sz="8" w:color="BECE33"/>
            </w:tcBorders>
            <w:gridSpan w:val="2"/>
          </w:tcPr>
          <w:p>
            <w:pPr>
              <w:spacing w:after="0"/>
              <w:rPr>
                <w:sz w:val="20"/>
                <w:szCs w:val="20"/>
                <w:color w:val="auto"/>
              </w:rPr>
            </w:pPr>
            <w:r>
              <w:rPr>
                <w:rFonts w:ascii="Arial" w:cs="Arial" w:eastAsia="Arial" w:hAnsi="Arial"/>
                <w:sz w:val="8"/>
                <w:szCs w:val="8"/>
                <w:color w:val="005A64"/>
              </w:rPr>
              <w:t>Diluted loss per share</w:t>
            </w:r>
          </w:p>
        </w:tc>
        <w:tc>
          <w:tcPr>
            <w:tcW w:w="1180" w:type="dxa"/>
            <w:vAlign w:val="bottom"/>
            <w:gridSpan w:val="2"/>
          </w:tcPr>
          <w:p>
            <w:pPr>
              <w:jc w:val="right"/>
              <w:spacing w:after="0"/>
              <w:rPr>
                <w:sz w:val="20"/>
                <w:szCs w:val="20"/>
                <w:color w:val="auto"/>
              </w:rPr>
            </w:pPr>
            <w:r>
              <w:rPr>
                <w:rFonts w:ascii="Arial" w:cs="Arial" w:eastAsia="Arial" w:hAnsi="Arial"/>
                <w:sz w:val="8"/>
                <w:szCs w:val="8"/>
                <w:color w:val="005A64"/>
              </w:rPr>
              <w:t>(4.70)</w:t>
            </w: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jc w:val="right"/>
              <w:spacing w:after="0"/>
              <w:rPr>
                <w:sz w:val="20"/>
                <w:szCs w:val="20"/>
                <w:color w:val="auto"/>
              </w:rPr>
            </w:pPr>
            <w:r>
              <w:rPr>
                <w:rFonts w:ascii="Arial" w:cs="Arial" w:eastAsia="Arial" w:hAnsi="Arial"/>
                <w:sz w:val="8"/>
                <w:szCs w:val="8"/>
                <w:color w:val="005A64"/>
              </w:rPr>
              <w:t>(0.48)</w:t>
            </w:r>
          </w:p>
        </w:tc>
        <w:tc>
          <w:tcPr>
            <w:tcW w:w="140" w:type="dxa"/>
            <w:vAlign w:val="bottom"/>
            <w:tcBorders>
              <w:right w:val="single" w:sz="8" w:color="BECE33"/>
            </w:tcBorders>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2700" w:type="dxa"/>
            <w:vAlign w:val="bottom"/>
            <w:tcBorders>
              <w:bottom w:val="single" w:sz="8" w:color="005A64"/>
            </w:tcBorders>
          </w:tcPr>
          <w:p>
            <w:pPr>
              <w:spacing w:after="0"/>
              <w:rPr>
                <w:sz w:val="3"/>
                <w:szCs w:val="3"/>
                <w:color w:val="auto"/>
              </w:rPr>
            </w:pPr>
          </w:p>
        </w:tc>
        <w:tc>
          <w:tcPr>
            <w:tcW w:w="120" w:type="dxa"/>
            <w:vAlign w:val="bottom"/>
            <w:tcBorders>
              <w:right w:val="single" w:sz="8" w:color="BECE33"/>
            </w:tcBorders>
          </w:tcPr>
          <w:p>
            <w:pPr>
              <w:spacing w:after="0"/>
              <w:rPr>
                <w:sz w:val="3"/>
                <w:szCs w:val="3"/>
                <w:color w:val="auto"/>
              </w:rPr>
            </w:pPr>
          </w:p>
        </w:tc>
        <w:tc>
          <w:tcPr>
            <w:tcW w:w="80" w:type="dxa"/>
            <w:vAlign w:val="bottom"/>
            <w:tcBorders>
              <w:bottom w:val="single" w:sz="8" w:color="BECE33"/>
            </w:tcBorders>
          </w:tcPr>
          <w:p>
            <w:pPr>
              <w:spacing w:after="0"/>
              <w:rPr>
                <w:sz w:val="3"/>
                <w:szCs w:val="3"/>
                <w:color w:val="auto"/>
              </w:rPr>
            </w:pPr>
          </w:p>
        </w:tc>
        <w:tc>
          <w:tcPr>
            <w:tcW w:w="1100" w:type="dxa"/>
            <w:vAlign w:val="bottom"/>
            <w:tcBorders>
              <w:bottom w:val="single" w:sz="8" w:color="BECE33"/>
            </w:tcBorders>
          </w:tcPr>
          <w:p>
            <w:pPr>
              <w:spacing w:after="0"/>
              <w:rPr>
                <w:sz w:val="3"/>
                <w:szCs w:val="3"/>
                <w:color w:val="auto"/>
              </w:rPr>
            </w:pPr>
          </w:p>
        </w:tc>
        <w:tc>
          <w:tcPr>
            <w:tcW w:w="180" w:type="dxa"/>
            <w:vAlign w:val="bottom"/>
            <w:tcBorders>
              <w:bottom w:val="single" w:sz="8" w:color="BECE33"/>
            </w:tcBorders>
          </w:tcPr>
          <w:p>
            <w:pPr>
              <w:spacing w:after="0"/>
              <w:rPr>
                <w:sz w:val="3"/>
                <w:szCs w:val="3"/>
                <w:color w:val="auto"/>
              </w:rPr>
            </w:pPr>
          </w:p>
        </w:tc>
        <w:tc>
          <w:tcPr>
            <w:tcW w:w="1240" w:type="dxa"/>
            <w:vAlign w:val="bottom"/>
            <w:tcBorders>
              <w:bottom w:val="single" w:sz="8" w:color="BECE33"/>
            </w:tcBorders>
          </w:tcPr>
          <w:p>
            <w:pPr>
              <w:spacing w:after="0"/>
              <w:rPr>
                <w:sz w:val="3"/>
                <w:szCs w:val="3"/>
                <w:color w:val="auto"/>
              </w:rPr>
            </w:pPr>
          </w:p>
        </w:tc>
        <w:tc>
          <w:tcPr>
            <w:tcW w:w="180" w:type="dxa"/>
            <w:vAlign w:val="bottom"/>
            <w:tcBorders>
              <w:bottom w:val="single" w:sz="8" w:color="BECE33"/>
            </w:tcBorders>
          </w:tcPr>
          <w:p>
            <w:pPr>
              <w:spacing w:after="0"/>
              <w:rPr>
                <w:sz w:val="3"/>
                <w:szCs w:val="3"/>
                <w:color w:val="auto"/>
              </w:rPr>
            </w:pPr>
          </w:p>
        </w:tc>
        <w:tc>
          <w:tcPr>
            <w:tcW w:w="1240" w:type="dxa"/>
            <w:vAlign w:val="bottom"/>
            <w:tcBorders>
              <w:bottom w:val="single" w:sz="8" w:color="BECE33"/>
            </w:tcBorders>
          </w:tcPr>
          <w:p>
            <w:pPr>
              <w:spacing w:after="0"/>
              <w:rPr>
                <w:sz w:val="3"/>
                <w:szCs w:val="3"/>
                <w:color w:val="auto"/>
              </w:rPr>
            </w:pPr>
          </w:p>
        </w:tc>
        <w:tc>
          <w:tcPr>
            <w:tcW w:w="180" w:type="dxa"/>
            <w:vAlign w:val="bottom"/>
            <w:tcBorders>
              <w:bottom w:val="single" w:sz="8" w:color="BECE33"/>
            </w:tcBorders>
          </w:tcPr>
          <w:p>
            <w:pPr>
              <w:spacing w:after="0"/>
              <w:rPr>
                <w:sz w:val="3"/>
                <w:szCs w:val="3"/>
                <w:color w:val="auto"/>
              </w:rPr>
            </w:pPr>
          </w:p>
        </w:tc>
        <w:tc>
          <w:tcPr>
            <w:tcW w:w="1240" w:type="dxa"/>
            <w:vAlign w:val="bottom"/>
            <w:tcBorders>
              <w:bottom w:val="single" w:sz="8" w:color="BECE33"/>
            </w:tcBorders>
          </w:tcPr>
          <w:p>
            <w:pPr>
              <w:spacing w:after="0"/>
              <w:rPr>
                <w:sz w:val="3"/>
                <w:szCs w:val="3"/>
                <w:color w:val="auto"/>
              </w:rPr>
            </w:pPr>
          </w:p>
        </w:tc>
        <w:tc>
          <w:tcPr>
            <w:tcW w:w="160" w:type="dxa"/>
            <w:vAlign w:val="bottom"/>
            <w:tcBorders>
              <w:bottom w:val="single" w:sz="8" w:color="BECE33"/>
            </w:tcBorders>
          </w:tcPr>
          <w:p>
            <w:pPr>
              <w:spacing w:after="0"/>
              <w:rPr>
                <w:sz w:val="3"/>
                <w:szCs w:val="3"/>
                <w:color w:val="auto"/>
              </w:rPr>
            </w:pPr>
          </w:p>
        </w:tc>
        <w:tc>
          <w:tcPr>
            <w:tcW w:w="1480" w:type="dxa"/>
            <w:vAlign w:val="bottom"/>
            <w:tcBorders>
              <w:bottom w:val="single" w:sz="8" w:color="BECE33"/>
            </w:tcBorders>
          </w:tcPr>
          <w:p>
            <w:pPr>
              <w:spacing w:after="0"/>
              <w:rPr>
                <w:sz w:val="3"/>
                <w:szCs w:val="3"/>
                <w:color w:val="auto"/>
              </w:rPr>
            </w:pPr>
          </w:p>
        </w:tc>
        <w:tc>
          <w:tcPr>
            <w:tcW w:w="180" w:type="dxa"/>
            <w:vAlign w:val="bottom"/>
            <w:tcBorders>
              <w:bottom w:val="single" w:sz="8" w:color="BECE33"/>
            </w:tcBorders>
          </w:tcPr>
          <w:p>
            <w:pPr>
              <w:spacing w:after="0"/>
              <w:rPr>
                <w:sz w:val="3"/>
                <w:szCs w:val="3"/>
                <w:color w:val="auto"/>
              </w:rPr>
            </w:pPr>
          </w:p>
        </w:tc>
        <w:tc>
          <w:tcPr>
            <w:tcW w:w="1100" w:type="dxa"/>
            <w:vAlign w:val="bottom"/>
            <w:tcBorders>
              <w:bottom w:val="single" w:sz="8" w:color="BECE33"/>
            </w:tcBorders>
          </w:tcPr>
          <w:p>
            <w:pPr>
              <w:spacing w:after="0"/>
              <w:rPr>
                <w:sz w:val="3"/>
                <w:szCs w:val="3"/>
                <w:color w:val="auto"/>
              </w:rPr>
            </w:pPr>
          </w:p>
        </w:tc>
        <w:tc>
          <w:tcPr>
            <w:tcW w:w="140" w:type="dxa"/>
            <w:vAlign w:val="bottom"/>
            <w:tcBorders>
              <w:bottom w:val="single" w:sz="8" w:color="BECE33"/>
              <w:right w:val="single" w:sz="8" w:color="BECE33"/>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48" w:hanging="48"/>
        <w:spacing w:after="0"/>
        <w:tabs>
          <w:tab w:leader="none" w:pos="48" w:val="left"/>
        </w:tabs>
        <w:numPr>
          <w:ilvl w:val="0"/>
          <w:numId w:val="15"/>
        </w:numPr>
        <w:rPr>
          <w:rFonts w:ascii="Arial" w:cs="Arial" w:eastAsia="Arial" w:hAnsi="Arial"/>
          <w:sz w:val="11"/>
          <w:szCs w:val="11"/>
          <w:color w:val="auto"/>
          <w:vertAlign w:val="superscript"/>
        </w:rPr>
      </w:pPr>
      <w:r>
        <w:rPr>
          <w:rFonts w:ascii="Arial" w:cs="Arial" w:eastAsia="Arial" w:hAnsi="Arial"/>
          <w:sz w:val="8"/>
          <w:szCs w:val="8"/>
          <w:color w:val="auto"/>
        </w:rPr>
        <w:t>Tax effects are not considered as part of our non-IFRS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120650</wp:posOffset>
            </wp:positionV>
            <wp:extent cx="7178040"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365" w:lineRule="exact"/>
        <w:rPr>
          <w:sz w:val="20"/>
          <w:szCs w:val="20"/>
          <w:color w:val="auto"/>
        </w:rPr>
      </w:pPr>
    </w:p>
    <w:p>
      <w:pPr>
        <w:ind w:left="8"/>
        <w:spacing w:after="0"/>
        <w:rPr>
          <w:sz w:val="20"/>
          <w:szCs w:val="20"/>
          <w:color w:val="auto"/>
        </w:rPr>
      </w:pPr>
      <w:r>
        <w:rPr>
          <w:rFonts w:ascii="Arial" w:cs="Arial" w:eastAsia="Arial" w:hAnsi="Arial"/>
          <w:sz w:val="8"/>
          <w:szCs w:val="8"/>
          <w:b w:val="1"/>
          <w:bCs w:val="1"/>
          <w:color w:val="005A64"/>
        </w:rPr>
        <w:t>Non-IFRS Reconciliation for the three months ended December 31, 2025</w:t>
      </w:r>
    </w:p>
    <w:p>
      <w:pPr>
        <w:spacing w:after="0" w:line="197" w:lineRule="exact"/>
        <w:rPr>
          <w:sz w:val="20"/>
          <w:szCs w:val="20"/>
          <w:color w:val="auto"/>
        </w:rPr>
      </w:pPr>
    </w:p>
    <w:tbl>
      <w:tblPr>
        <w:tblLayout w:type="fixed"/>
        <w:tblInd w:w="8" w:type="dxa"/>
        <w:tblCellMar>
          <w:top w:w="0" w:type="dxa"/>
          <w:left w:w="0" w:type="dxa"/>
          <w:bottom w:w="0" w:type="dxa"/>
          <w:right w:w="0" w:type="dxa"/>
        </w:tblCellMar>
      </w:tblPr>
      <w:tr>
        <w:trPr>
          <w:trHeight w:val="300"/>
        </w:trPr>
        <w:tc>
          <w:tcPr>
            <w:tcW w:w="2700" w:type="dxa"/>
            <w:vAlign w:val="bottom"/>
          </w:tcPr>
          <w:p>
            <w:pPr>
              <w:spacing w:after="0"/>
              <w:rPr>
                <w:sz w:val="24"/>
                <w:szCs w:val="24"/>
                <w:color w:val="auto"/>
              </w:rPr>
            </w:pPr>
          </w:p>
        </w:tc>
        <w:tc>
          <w:tcPr>
            <w:tcW w:w="120" w:type="dxa"/>
            <w:vAlign w:val="bottom"/>
            <w:tcBorders>
              <w:right w:val="single" w:sz="8" w:color="BECE33"/>
            </w:tcBorders>
          </w:tcPr>
          <w:p>
            <w:pPr>
              <w:spacing w:after="0"/>
              <w:rPr>
                <w:sz w:val="24"/>
                <w:szCs w:val="24"/>
                <w:color w:val="auto"/>
              </w:rPr>
            </w:pPr>
          </w:p>
        </w:tc>
        <w:tc>
          <w:tcPr>
            <w:tcW w:w="80" w:type="dxa"/>
            <w:vAlign w:val="bottom"/>
            <w:tcBorders>
              <w:top w:val="single" w:sz="8" w:color="BECE33"/>
            </w:tcBorders>
          </w:tcPr>
          <w:p>
            <w:pPr>
              <w:spacing w:after="0"/>
              <w:rPr>
                <w:sz w:val="24"/>
                <w:szCs w:val="24"/>
                <w:color w:val="auto"/>
              </w:rPr>
            </w:pPr>
          </w:p>
        </w:tc>
        <w:tc>
          <w:tcPr>
            <w:tcW w:w="1100" w:type="dxa"/>
            <w:vAlign w:val="bottom"/>
            <w:tcBorders>
              <w:top w:val="single" w:sz="8" w:color="BECE33"/>
            </w:tcBorders>
          </w:tcPr>
          <w:p>
            <w:pPr>
              <w:spacing w:after="0"/>
              <w:rPr>
                <w:sz w:val="24"/>
                <w:szCs w:val="24"/>
                <w:color w:val="auto"/>
              </w:rPr>
            </w:pPr>
          </w:p>
        </w:tc>
        <w:tc>
          <w:tcPr>
            <w:tcW w:w="180" w:type="dxa"/>
            <w:vAlign w:val="bottom"/>
            <w:tcBorders>
              <w:top w:val="single" w:sz="8" w:color="BECE33"/>
            </w:tcBorders>
          </w:tcPr>
          <w:p>
            <w:pPr>
              <w:spacing w:after="0"/>
              <w:rPr>
                <w:sz w:val="24"/>
                <w:szCs w:val="24"/>
                <w:color w:val="auto"/>
              </w:rPr>
            </w:pPr>
          </w:p>
        </w:tc>
        <w:tc>
          <w:tcPr>
            <w:tcW w:w="1240" w:type="dxa"/>
            <w:vAlign w:val="bottom"/>
            <w:tcBorders>
              <w:top w:val="single" w:sz="8" w:color="BECE33"/>
            </w:tcBorders>
          </w:tcPr>
          <w:p>
            <w:pPr>
              <w:spacing w:after="0"/>
              <w:rPr>
                <w:sz w:val="24"/>
                <w:szCs w:val="24"/>
                <w:color w:val="auto"/>
              </w:rPr>
            </w:pPr>
          </w:p>
        </w:tc>
        <w:tc>
          <w:tcPr>
            <w:tcW w:w="180" w:type="dxa"/>
            <w:vAlign w:val="bottom"/>
            <w:tcBorders>
              <w:top w:val="single" w:sz="8" w:color="BECE33"/>
            </w:tcBorders>
          </w:tcPr>
          <w:p>
            <w:pPr>
              <w:spacing w:after="0"/>
              <w:rPr>
                <w:sz w:val="24"/>
                <w:szCs w:val="24"/>
                <w:color w:val="auto"/>
              </w:rPr>
            </w:pPr>
          </w:p>
        </w:tc>
        <w:tc>
          <w:tcPr>
            <w:tcW w:w="2820" w:type="dxa"/>
            <w:vAlign w:val="bottom"/>
            <w:tcBorders>
              <w:top w:val="single" w:sz="8" w:color="BECE33"/>
            </w:tcBorders>
            <w:gridSpan w:val="4"/>
          </w:tcPr>
          <w:p>
            <w:pPr>
              <w:ind w:left="1000"/>
              <w:spacing w:after="0"/>
              <w:rPr>
                <w:sz w:val="20"/>
                <w:szCs w:val="20"/>
                <w:color w:val="auto"/>
              </w:rPr>
            </w:pPr>
            <w:r>
              <w:rPr>
                <w:rFonts w:ascii="Arial" w:cs="Arial" w:eastAsia="Arial" w:hAnsi="Arial"/>
                <w:sz w:val="8"/>
                <w:szCs w:val="8"/>
                <w:b w:val="1"/>
                <w:bCs w:val="1"/>
                <w:color w:val="005A64"/>
              </w:rPr>
              <w:t>non-IFRS adjustments</w:t>
            </w:r>
          </w:p>
        </w:tc>
        <w:tc>
          <w:tcPr>
            <w:tcW w:w="1480" w:type="dxa"/>
            <w:vAlign w:val="bottom"/>
            <w:tcBorders>
              <w:top w:val="single" w:sz="8" w:color="BECE33"/>
            </w:tcBorders>
          </w:tcPr>
          <w:p>
            <w:pPr>
              <w:spacing w:after="0"/>
              <w:rPr>
                <w:sz w:val="24"/>
                <w:szCs w:val="24"/>
                <w:color w:val="auto"/>
              </w:rPr>
            </w:pPr>
          </w:p>
        </w:tc>
        <w:tc>
          <w:tcPr>
            <w:tcW w:w="180" w:type="dxa"/>
            <w:vAlign w:val="bottom"/>
            <w:tcBorders>
              <w:top w:val="single" w:sz="8" w:color="BECE33"/>
            </w:tcBorders>
          </w:tcPr>
          <w:p>
            <w:pPr>
              <w:spacing w:after="0"/>
              <w:rPr>
                <w:sz w:val="24"/>
                <w:szCs w:val="24"/>
                <w:color w:val="auto"/>
              </w:rPr>
            </w:pPr>
          </w:p>
        </w:tc>
        <w:tc>
          <w:tcPr>
            <w:tcW w:w="1100" w:type="dxa"/>
            <w:vAlign w:val="bottom"/>
            <w:tcBorders>
              <w:top w:val="single" w:sz="8" w:color="BECE33"/>
            </w:tcBorders>
          </w:tcPr>
          <w:p>
            <w:pPr>
              <w:spacing w:after="0"/>
              <w:rPr>
                <w:sz w:val="24"/>
                <w:szCs w:val="24"/>
                <w:color w:val="auto"/>
              </w:rPr>
            </w:pPr>
          </w:p>
        </w:tc>
        <w:tc>
          <w:tcPr>
            <w:tcW w:w="140" w:type="dxa"/>
            <w:vAlign w:val="bottom"/>
            <w:tcBorders>
              <w:top w:val="single" w:sz="8" w:color="BECE33"/>
              <w:right w:val="single" w:sz="8" w:color="BECE33"/>
            </w:tcBorders>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80" w:type="dxa"/>
            <w:vAlign w:val="bottom"/>
            <w:tcBorders>
              <w:bottom w:val="single" w:sz="8" w:color="005A64"/>
            </w:tcBorders>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80" w:type="dxa"/>
            <w:vAlign w:val="bottom"/>
            <w:tcBorders>
              <w:bottom w:val="single" w:sz="8" w:color="005A64"/>
            </w:tcBorders>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60" w:type="dxa"/>
            <w:vAlign w:val="bottom"/>
            <w:tcBorders>
              <w:bottom w:val="single" w:sz="8" w:color="005A64"/>
            </w:tcBorders>
          </w:tcPr>
          <w:p>
            <w:pPr>
              <w:spacing w:after="0"/>
              <w:rPr>
                <w:sz w:val="2"/>
                <w:szCs w:val="2"/>
                <w:color w:val="auto"/>
              </w:rPr>
            </w:pPr>
          </w:p>
        </w:tc>
        <w:tc>
          <w:tcPr>
            <w:tcW w:w="148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c>
          <w:tcPr>
            <w:tcW w:w="0" w:type="dxa"/>
            <w:vAlign w:val="bottom"/>
          </w:tcPr>
          <w:p>
            <w:pPr>
              <w:spacing w:after="0"/>
              <w:rPr>
                <w:sz w:val="1"/>
                <w:szCs w:val="1"/>
                <w:color w:val="auto"/>
              </w:rPr>
            </w:pPr>
          </w:p>
        </w:tc>
      </w:tr>
      <w:tr>
        <w:trPr>
          <w:trHeight w:val="517"/>
        </w:trPr>
        <w:tc>
          <w:tcPr>
            <w:tcW w:w="2700" w:type="dxa"/>
            <w:vAlign w:val="bottom"/>
          </w:tcPr>
          <w:p>
            <w:pPr>
              <w:spacing w:after="0"/>
              <w:rPr>
                <w:sz w:val="24"/>
                <w:szCs w:val="24"/>
                <w:color w:val="auto"/>
              </w:rPr>
            </w:pPr>
          </w:p>
        </w:tc>
        <w:tc>
          <w:tcPr>
            <w:tcW w:w="120" w:type="dxa"/>
            <w:vAlign w:val="bottom"/>
            <w:tcBorders>
              <w:right w:val="single" w:sz="8" w:color="BECE33"/>
            </w:tcBorders>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8"/>
                <w:szCs w:val="8"/>
                <w:b w:val="1"/>
                <w:bCs w:val="1"/>
                <w:color w:val="005A64"/>
              </w:rPr>
              <w:t>IFRS Results</w:t>
            </w: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8"/>
                <w:szCs w:val="8"/>
                <w:b w:val="1"/>
                <w:bCs w:val="1"/>
                <w:color w:val="005A64"/>
              </w:rPr>
              <w:t>Income from bargain purchase and</w:t>
            </w:r>
          </w:p>
        </w:tc>
        <w:tc>
          <w:tcPr>
            <w:tcW w:w="1100" w:type="dxa"/>
            <w:vAlign w:val="bottom"/>
          </w:tcPr>
          <w:p>
            <w:pPr>
              <w:spacing w:after="0"/>
              <w:rPr>
                <w:sz w:val="24"/>
                <w:szCs w:val="24"/>
                <w:color w:val="auto"/>
              </w:rPr>
            </w:pPr>
          </w:p>
        </w:tc>
        <w:tc>
          <w:tcPr>
            <w:tcW w:w="140" w:type="dxa"/>
            <w:vAlign w:val="bottom"/>
            <w:tcBorders>
              <w:right w:val="single" w:sz="8" w:color="BECE33"/>
            </w:tcBorders>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2700" w:type="dxa"/>
            <w:vAlign w:val="bottom"/>
          </w:tcPr>
          <w:p>
            <w:pPr>
              <w:spacing w:after="0"/>
              <w:rPr>
                <w:sz w:val="5"/>
                <w:szCs w:val="5"/>
                <w:color w:val="auto"/>
              </w:rPr>
            </w:pPr>
          </w:p>
        </w:tc>
        <w:tc>
          <w:tcPr>
            <w:tcW w:w="120" w:type="dxa"/>
            <w:vAlign w:val="bottom"/>
            <w:tcBorders>
              <w:right w:val="single" w:sz="8" w:color="BECE33"/>
            </w:tcBorders>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8"/>
                <w:szCs w:val="8"/>
                <w:b w:val="1"/>
                <w:bCs w:val="1"/>
                <w:color w:val="005A64"/>
              </w:rPr>
              <w:t>Expenses and income from</w:t>
            </w:r>
          </w:p>
        </w:tc>
        <w:tc>
          <w:tcPr>
            <w:tcW w:w="1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8"/>
                <w:szCs w:val="8"/>
                <w:b w:val="1"/>
                <w:bCs w:val="1"/>
                <w:color w:val="005A64"/>
              </w:rPr>
              <w:t>Employee-related expenses</w:t>
            </w:r>
          </w:p>
        </w:tc>
        <w:tc>
          <w:tcPr>
            <w:tcW w:w="1660" w:type="dxa"/>
            <w:vAlign w:val="bottom"/>
            <w:gridSpan w:val="2"/>
            <w:vMerge w:val="restart"/>
          </w:tcPr>
          <w:p>
            <w:pPr>
              <w:jc w:val="right"/>
              <w:ind w:right="200"/>
              <w:spacing w:after="0"/>
              <w:rPr>
                <w:sz w:val="20"/>
                <w:szCs w:val="20"/>
                <w:color w:val="auto"/>
              </w:rPr>
            </w:pPr>
            <w:r>
              <w:rPr>
                <w:rFonts w:ascii="Arial" w:cs="Arial" w:eastAsia="Arial" w:hAnsi="Arial"/>
                <w:sz w:val="8"/>
                <w:szCs w:val="8"/>
                <w:b w:val="1"/>
                <w:bCs w:val="1"/>
                <w:color w:val="005A64"/>
              </w:rPr>
              <w:t>income and expenses from</w:t>
            </w:r>
          </w:p>
        </w:tc>
        <w:tc>
          <w:tcPr>
            <w:tcW w:w="1100" w:type="dxa"/>
            <w:vAlign w:val="bottom"/>
          </w:tcPr>
          <w:p>
            <w:pPr>
              <w:spacing w:after="0"/>
              <w:rPr>
                <w:sz w:val="5"/>
                <w:szCs w:val="5"/>
                <w:color w:val="auto"/>
              </w:rPr>
            </w:pPr>
          </w:p>
        </w:tc>
        <w:tc>
          <w:tcPr>
            <w:tcW w:w="140" w:type="dxa"/>
            <w:vAlign w:val="bottom"/>
            <w:tcBorders>
              <w:right w:val="single" w:sz="8" w:color="BECE33"/>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700" w:type="dxa"/>
            <w:vAlign w:val="bottom"/>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8"/>
                <w:szCs w:val="8"/>
                <w:i w:val="1"/>
                <w:iCs w:val="1"/>
                <w:color w:val="005A64"/>
              </w:rPr>
              <w:t>(unaudited)</w:t>
            </w:r>
          </w:p>
        </w:tc>
        <w:tc>
          <w:tcPr>
            <w:tcW w:w="1420" w:type="dxa"/>
            <w:vAlign w:val="bottom"/>
            <w:gridSpan w:val="2"/>
            <w:vMerge w:val="continue"/>
          </w:tcPr>
          <w:p>
            <w:pPr>
              <w:spacing w:after="0"/>
              <w:rPr>
                <w:sz w:val="4"/>
                <w:szCs w:val="4"/>
                <w:color w:val="auto"/>
              </w:rPr>
            </w:pPr>
          </w:p>
        </w:tc>
        <w:tc>
          <w:tcPr>
            <w:tcW w:w="1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1660" w:type="dxa"/>
            <w:vAlign w:val="bottom"/>
            <w:gridSpan w:val="2"/>
            <w:vMerge w:val="continue"/>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820" w:type="dxa"/>
            <w:vAlign w:val="bottom"/>
            <w:tcBorders>
              <w:right w:val="single" w:sz="8" w:color="BECE33"/>
            </w:tcBorders>
            <w:gridSpan w:val="2"/>
          </w:tcPr>
          <w:p>
            <w:pPr>
              <w:spacing w:after="0"/>
              <w:rPr>
                <w:sz w:val="20"/>
                <w:szCs w:val="20"/>
                <w:color w:val="auto"/>
              </w:rPr>
            </w:pPr>
            <w:r>
              <w:rPr>
                <w:rFonts w:ascii="Arial" w:cs="Arial" w:eastAsia="Arial" w:hAnsi="Arial"/>
                <w:sz w:val="8"/>
                <w:szCs w:val="8"/>
                <w:i w:val="1"/>
                <w:iCs w:val="1"/>
                <w:color w:val="005A64"/>
              </w:rPr>
              <w:t>(in millions €, except per share data)</w:t>
            </w: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8"/>
                <w:szCs w:val="8"/>
                <w:b w:val="1"/>
                <w:bCs w:val="1"/>
                <w:color w:val="005A64"/>
              </w:rPr>
              <w:t>legal proceedings</w:t>
            </w:r>
          </w:p>
        </w:tc>
        <w:tc>
          <w:tcPr>
            <w:tcW w:w="1420" w:type="dxa"/>
            <w:vAlign w:val="bottom"/>
            <w:gridSpan w:val="2"/>
          </w:tcPr>
          <w:p>
            <w:pPr>
              <w:ind w:left="240"/>
              <w:spacing w:after="0"/>
              <w:rPr>
                <w:sz w:val="20"/>
                <w:szCs w:val="20"/>
                <w:color w:val="auto"/>
              </w:rPr>
            </w:pPr>
            <w:r>
              <w:rPr>
                <w:rFonts w:ascii="Arial" w:cs="Arial" w:eastAsia="Arial" w:hAnsi="Arial"/>
                <w:sz w:val="8"/>
                <w:szCs w:val="8"/>
                <w:b w:val="1"/>
                <w:bCs w:val="1"/>
                <w:color w:val="005A64"/>
              </w:rPr>
              <w:t>Impairment and reversal</w:t>
            </w:r>
          </w:p>
        </w:tc>
        <w:tc>
          <w:tcPr>
            <w:tcW w:w="1400" w:type="dxa"/>
            <w:vAlign w:val="bottom"/>
            <w:gridSpan w:val="2"/>
          </w:tcPr>
          <w:p>
            <w:pPr>
              <w:jc w:val="right"/>
              <w:ind w:right="180"/>
              <w:spacing w:after="0"/>
              <w:rPr>
                <w:sz w:val="20"/>
                <w:szCs w:val="20"/>
                <w:color w:val="auto"/>
              </w:rPr>
            </w:pPr>
            <w:r>
              <w:rPr>
                <w:rFonts w:ascii="Arial" w:cs="Arial" w:eastAsia="Arial" w:hAnsi="Arial"/>
                <w:sz w:val="8"/>
                <w:szCs w:val="8"/>
                <w:b w:val="1"/>
                <w:bCs w:val="1"/>
                <w:color w:val="005A64"/>
              </w:rPr>
              <w:t>from restructuring</w:t>
            </w:r>
          </w:p>
        </w:tc>
        <w:tc>
          <w:tcPr>
            <w:tcW w:w="1660" w:type="dxa"/>
            <w:vAlign w:val="bottom"/>
            <w:gridSpan w:val="2"/>
          </w:tcPr>
          <w:p>
            <w:pPr>
              <w:jc w:val="right"/>
              <w:ind w:right="200"/>
              <w:spacing w:after="0"/>
              <w:rPr>
                <w:sz w:val="20"/>
                <w:szCs w:val="20"/>
                <w:color w:val="auto"/>
              </w:rPr>
            </w:pPr>
            <w:r>
              <w:rPr>
                <w:rFonts w:ascii="Arial" w:cs="Arial" w:eastAsia="Arial" w:hAnsi="Arial"/>
                <w:sz w:val="8"/>
                <w:szCs w:val="8"/>
                <w:b w:val="1"/>
                <w:bCs w:val="1"/>
                <w:color w:val="005A64"/>
              </w:rPr>
              <w:t>divestiture related items</w:t>
            </w:r>
          </w:p>
        </w:tc>
        <w:tc>
          <w:tcPr>
            <w:tcW w:w="1240" w:type="dxa"/>
            <w:vAlign w:val="bottom"/>
            <w:tcBorders>
              <w:right w:val="single" w:sz="8" w:color="BECE33"/>
            </w:tcBorders>
            <w:gridSpan w:val="2"/>
          </w:tcPr>
          <w:p>
            <w:pPr>
              <w:ind w:left="400"/>
              <w:spacing w:after="0"/>
              <w:rPr>
                <w:sz w:val="20"/>
                <w:szCs w:val="20"/>
                <w:color w:val="auto"/>
              </w:rPr>
            </w:pPr>
            <w:r>
              <w:rPr>
                <w:rFonts w:ascii="Arial" w:cs="Arial" w:eastAsia="Arial" w:hAnsi="Arial"/>
                <w:sz w:val="8"/>
                <w:szCs w:val="8"/>
                <w:b w:val="1"/>
                <w:bCs w:val="1"/>
                <w:color w:val="005A64"/>
              </w:rPr>
              <w:t>Adjusted Results</w:t>
            </w:r>
          </w:p>
        </w:tc>
        <w:tc>
          <w:tcPr>
            <w:tcW w:w="0" w:type="dxa"/>
            <w:vAlign w:val="bottom"/>
          </w:tcPr>
          <w:p>
            <w:pPr>
              <w:spacing w:after="0"/>
              <w:rPr>
                <w:sz w:val="1"/>
                <w:szCs w:val="1"/>
                <w:color w:val="auto"/>
              </w:rPr>
            </w:pPr>
          </w:p>
        </w:tc>
      </w:tr>
      <w:tr>
        <w:trPr>
          <w:trHeight w:val="24"/>
        </w:trPr>
        <w:tc>
          <w:tcPr>
            <w:tcW w:w="2700" w:type="dxa"/>
            <w:vAlign w:val="bottom"/>
            <w:tcBorders>
              <w:bottom w:val="single" w:sz="8" w:color="005A64"/>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Borders>
              <w:bottom w:val="single" w:sz="8" w:color="005A64"/>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c>
          <w:tcPr>
            <w:tcW w:w="0" w:type="dxa"/>
            <w:vAlign w:val="bottom"/>
          </w:tcPr>
          <w:p>
            <w:pPr>
              <w:spacing w:after="0"/>
              <w:rPr>
                <w:sz w:val="1"/>
                <w:szCs w:val="1"/>
                <w:color w:val="auto"/>
              </w:rPr>
            </w:pPr>
          </w:p>
        </w:tc>
      </w:tr>
      <w:tr>
        <w:trPr>
          <w:trHeight w:val="105"/>
        </w:trPr>
        <w:tc>
          <w:tcPr>
            <w:tcW w:w="2820" w:type="dxa"/>
            <w:vAlign w:val="bottom"/>
            <w:tcBorders>
              <w:right w:val="single" w:sz="8" w:color="BECE33"/>
            </w:tcBorders>
            <w:gridSpan w:val="2"/>
          </w:tcPr>
          <w:p>
            <w:pPr>
              <w:spacing w:after="0"/>
              <w:rPr>
                <w:sz w:val="20"/>
                <w:szCs w:val="20"/>
                <w:color w:val="auto"/>
              </w:rPr>
            </w:pPr>
            <w:r>
              <w:rPr>
                <w:rFonts w:ascii="Arial" w:cs="Arial" w:eastAsia="Arial" w:hAnsi="Arial"/>
                <w:sz w:val="8"/>
                <w:szCs w:val="8"/>
                <w:color w:val="005A64"/>
              </w:rPr>
              <w:t>Cost of sales</w:t>
            </w:r>
          </w:p>
        </w:tc>
        <w:tc>
          <w:tcPr>
            <w:tcW w:w="1180" w:type="dxa"/>
            <w:vAlign w:val="bottom"/>
            <w:gridSpan w:val="2"/>
          </w:tcPr>
          <w:p>
            <w:pPr>
              <w:jc w:val="right"/>
              <w:spacing w:after="0"/>
              <w:rPr>
                <w:sz w:val="20"/>
                <w:szCs w:val="20"/>
                <w:color w:val="auto"/>
              </w:rPr>
            </w:pPr>
            <w:r>
              <w:rPr>
                <w:rFonts w:ascii="Arial" w:cs="Arial" w:eastAsia="Arial" w:hAnsi="Arial"/>
                <w:sz w:val="8"/>
                <w:szCs w:val="8"/>
                <w:color w:val="005A64"/>
              </w:rPr>
              <w:t>(333.3)</w:t>
            </w:r>
          </w:p>
        </w:tc>
        <w:tc>
          <w:tcPr>
            <w:tcW w:w="180" w:type="dxa"/>
            <w:vAlign w:val="bottom"/>
          </w:tcPr>
          <w:p>
            <w:pPr>
              <w:spacing w:after="0"/>
              <w:rPr>
                <w:sz w:val="9"/>
                <w:szCs w:val="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8"/>
                <w:szCs w:val="8"/>
                <w:color w:val="005A64"/>
              </w:rPr>
              <w:t>—</w:t>
            </w:r>
          </w:p>
        </w:tc>
        <w:tc>
          <w:tcPr>
            <w:tcW w:w="1240" w:type="dxa"/>
            <w:vAlign w:val="bottom"/>
          </w:tcPr>
          <w:p>
            <w:pPr>
              <w:jc w:val="right"/>
              <w:spacing w:after="0"/>
              <w:rPr>
                <w:sz w:val="20"/>
                <w:szCs w:val="20"/>
                <w:color w:val="auto"/>
              </w:rPr>
            </w:pPr>
            <w:r>
              <w:rPr>
                <w:rFonts w:ascii="Arial" w:cs="Arial" w:eastAsia="Arial" w:hAnsi="Arial"/>
                <w:sz w:val="8"/>
                <w:szCs w:val="8"/>
                <w:color w:val="005A64"/>
              </w:rPr>
              <w:t>30.5</w:t>
            </w:r>
          </w:p>
        </w:tc>
        <w:tc>
          <w:tcPr>
            <w:tcW w:w="180" w:type="dxa"/>
            <w:vAlign w:val="bottom"/>
          </w:tcPr>
          <w:p>
            <w:pPr>
              <w:spacing w:after="0"/>
              <w:rPr>
                <w:sz w:val="9"/>
                <w:szCs w:val="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8"/>
                <w:szCs w:val="8"/>
                <w:color w:val="005A64"/>
              </w:rPr>
              <w:t>—</w:t>
            </w:r>
          </w:p>
        </w:tc>
        <w:tc>
          <w:tcPr>
            <w:tcW w:w="1660" w:type="dxa"/>
            <w:vAlign w:val="bottom"/>
            <w:gridSpan w:val="2"/>
          </w:tcPr>
          <w:p>
            <w:pPr>
              <w:jc w:val="right"/>
              <w:ind w:right="200"/>
              <w:spacing w:after="0"/>
              <w:rPr>
                <w:sz w:val="20"/>
                <w:szCs w:val="20"/>
                <w:color w:val="auto"/>
              </w:rPr>
            </w:pPr>
            <w:r>
              <w:rPr>
                <w:rFonts w:ascii="Arial" w:cs="Arial" w:eastAsia="Arial" w:hAnsi="Arial"/>
                <w:sz w:val="8"/>
                <w:szCs w:val="8"/>
                <w:color w:val="005A64"/>
              </w:rPr>
              <w:t>—</w:t>
            </w:r>
          </w:p>
        </w:tc>
        <w:tc>
          <w:tcPr>
            <w:tcW w:w="1100" w:type="dxa"/>
            <w:vAlign w:val="bottom"/>
          </w:tcPr>
          <w:p>
            <w:pPr>
              <w:jc w:val="right"/>
              <w:spacing w:after="0"/>
              <w:rPr>
                <w:sz w:val="20"/>
                <w:szCs w:val="20"/>
                <w:color w:val="auto"/>
              </w:rPr>
            </w:pPr>
            <w:r>
              <w:rPr>
                <w:rFonts w:ascii="Arial" w:cs="Arial" w:eastAsia="Arial" w:hAnsi="Arial"/>
                <w:sz w:val="8"/>
                <w:szCs w:val="8"/>
                <w:color w:val="005A64"/>
              </w:rPr>
              <w:t>(302.8)</w:t>
            </w:r>
          </w:p>
        </w:tc>
        <w:tc>
          <w:tcPr>
            <w:tcW w:w="140" w:type="dxa"/>
            <w:vAlign w:val="bottom"/>
            <w:tcBorders>
              <w:right w:val="single" w:sz="8" w:color="BECE33"/>
            </w:tcBorders>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2700" w:type="dxa"/>
            <w:vAlign w:val="bottom"/>
            <w:tcBorders>
              <w:bottom w:val="single" w:sz="8" w:color="7FACB1"/>
            </w:tcBorders>
          </w:tcPr>
          <w:p>
            <w:pPr>
              <w:spacing w:after="0"/>
              <w:rPr>
                <w:sz w:val="3"/>
                <w:szCs w:val="3"/>
                <w:color w:val="auto"/>
              </w:rPr>
            </w:pPr>
          </w:p>
        </w:tc>
        <w:tc>
          <w:tcPr>
            <w:tcW w:w="120" w:type="dxa"/>
            <w:vAlign w:val="bottom"/>
            <w:tcBorders>
              <w:right w:val="single" w:sz="8" w:color="BECE33"/>
            </w:tcBorders>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60" w:type="dxa"/>
            <w:vAlign w:val="bottom"/>
          </w:tcPr>
          <w:p>
            <w:pPr>
              <w:spacing w:after="0"/>
              <w:rPr>
                <w:sz w:val="3"/>
                <w:szCs w:val="3"/>
                <w:color w:val="auto"/>
              </w:rPr>
            </w:pPr>
          </w:p>
        </w:tc>
        <w:tc>
          <w:tcPr>
            <w:tcW w:w="148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Borders>
              <w:bottom w:val="single" w:sz="8" w:color="7FACB1"/>
            </w:tcBorders>
          </w:tcPr>
          <w:p>
            <w:pPr>
              <w:spacing w:after="0"/>
              <w:rPr>
                <w:sz w:val="3"/>
                <w:szCs w:val="3"/>
                <w:color w:val="auto"/>
              </w:rPr>
            </w:pPr>
          </w:p>
        </w:tc>
        <w:tc>
          <w:tcPr>
            <w:tcW w:w="140" w:type="dxa"/>
            <w:vAlign w:val="bottom"/>
            <w:tcBorders>
              <w:right w:val="single" w:sz="8" w:color="BECE33"/>
            </w:tcBorders>
          </w:tcPr>
          <w:p>
            <w:pPr>
              <w:spacing w:after="0"/>
              <w:rPr>
                <w:sz w:val="3"/>
                <w:szCs w:val="3"/>
                <w:color w:val="auto"/>
              </w:rPr>
            </w:pPr>
          </w:p>
        </w:tc>
        <w:tc>
          <w:tcPr>
            <w:tcW w:w="0" w:type="dxa"/>
            <w:vAlign w:val="bottom"/>
          </w:tcPr>
          <w:p>
            <w:pPr>
              <w:spacing w:after="0"/>
              <w:rPr>
                <w:sz w:val="1"/>
                <w:szCs w:val="1"/>
                <w:color w:val="auto"/>
              </w:rPr>
            </w:pPr>
          </w:p>
        </w:tc>
      </w:tr>
      <w:tr>
        <w:trPr>
          <w:trHeight w:val="105"/>
        </w:trPr>
        <w:tc>
          <w:tcPr>
            <w:tcW w:w="2820" w:type="dxa"/>
            <w:vAlign w:val="bottom"/>
            <w:tcBorders>
              <w:right w:val="single" w:sz="8" w:color="BECE33"/>
            </w:tcBorders>
            <w:gridSpan w:val="2"/>
          </w:tcPr>
          <w:p>
            <w:pPr>
              <w:spacing w:after="0"/>
              <w:rPr>
                <w:sz w:val="20"/>
                <w:szCs w:val="20"/>
                <w:color w:val="auto"/>
              </w:rPr>
            </w:pPr>
            <w:r>
              <w:rPr>
                <w:rFonts w:ascii="Arial" w:cs="Arial" w:eastAsia="Arial" w:hAnsi="Arial"/>
                <w:sz w:val="8"/>
                <w:szCs w:val="8"/>
                <w:color w:val="005A64"/>
              </w:rPr>
              <w:t>Other operating expenses</w:t>
            </w:r>
          </w:p>
        </w:tc>
        <w:tc>
          <w:tcPr>
            <w:tcW w:w="1180" w:type="dxa"/>
            <w:vAlign w:val="bottom"/>
            <w:gridSpan w:val="2"/>
          </w:tcPr>
          <w:p>
            <w:pPr>
              <w:jc w:val="right"/>
              <w:spacing w:after="0"/>
              <w:rPr>
                <w:sz w:val="20"/>
                <w:szCs w:val="20"/>
                <w:color w:val="auto"/>
              </w:rPr>
            </w:pPr>
            <w:r>
              <w:rPr>
                <w:rFonts w:ascii="Arial" w:cs="Arial" w:eastAsia="Arial" w:hAnsi="Arial"/>
                <w:sz w:val="8"/>
                <w:szCs w:val="8"/>
                <w:color w:val="005A64"/>
              </w:rPr>
              <w:t>(208.0)</w:t>
            </w:r>
          </w:p>
        </w:tc>
        <w:tc>
          <w:tcPr>
            <w:tcW w:w="180" w:type="dxa"/>
            <w:vAlign w:val="bottom"/>
          </w:tcPr>
          <w:p>
            <w:pPr>
              <w:spacing w:after="0"/>
              <w:rPr>
                <w:sz w:val="9"/>
                <w:szCs w:val="9"/>
                <w:color w:val="auto"/>
              </w:rPr>
            </w:pPr>
          </w:p>
        </w:tc>
        <w:tc>
          <w:tcPr>
            <w:tcW w:w="1240" w:type="dxa"/>
            <w:vAlign w:val="bottom"/>
          </w:tcPr>
          <w:p>
            <w:pPr>
              <w:jc w:val="right"/>
              <w:spacing w:after="0"/>
              <w:rPr>
                <w:sz w:val="20"/>
                <w:szCs w:val="20"/>
                <w:color w:val="auto"/>
              </w:rPr>
            </w:pPr>
            <w:r>
              <w:rPr>
                <w:rFonts w:ascii="Arial" w:cs="Arial" w:eastAsia="Arial" w:hAnsi="Arial"/>
                <w:sz w:val="8"/>
                <w:szCs w:val="8"/>
                <w:color w:val="005A64"/>
              </w:rPr>
              <w:t>111.4</w:t>
            </w:r>
          </w:p>
        </w:tc>
        <w:tc>
          <w:tcPr>
            <w:tcW w:w="180" w:type="dxa"/>
            <w:vAlign w:val="bottom"/>
          </w:tcPr>
          <w:p>
            <w:pPr>
              <w:spacing w:after="0"/>
              <w:rPr>
                <w:sz w:val="9"/>
                <w:szCs w:val="9"/>
                <w:color w:val="auto"/>
              </w:rPr>
            </w:pPr>
          </w:p>
        </w:tc>
        <w:tc>
          <w:tcPr>
            <w:tcW w:w="1240" w:type="dxa"/>
            <w:vAlign w:val="bottom"/>
          </w:tcPr>
          <w:p>
            <w:pPr>
              <w:jc w:val="right"/>
              <w:spacing w:after="0"/>
              <w:rPr>
                <w:sz w:val="20"/>
                <w:szCs w:val="20"/>
                <w:color w:val="auto"/>
              </w:rPr>
            </w:pPr>
            <w:r>
              <w:rPr>
                <w:rFonts w:ascii="Arial" w:cs="Arial" w:eastAsia="Arial" w:hAnsi="Arial"/>
                <w:sz w:val="8"/>
                <w:szCs w:val="8"/>
                <w:color w:val="005A64"/>
              </w:rPr>
              <w:t>71.6</w:t>
            </w:r>
          </w:p>
        </w:tc>
        <w:tc>
          <w:tcPr>
            <w:tcW w:w="180" w:type="dxa"/>
            <w:vAlign w:val="bottom"/>
          </w:tcPr>
          <w:p>
            <w:pPr>
              <w:spacing w:after="0"/>
              <w:rPr>
                <w:sz w:val="9"/>
                <w:szCs w:val="9"/>
                <w:color w:val="auto"/>
              </w:rPr>
            </w:pPr>
          </w:p>
        </w:tc>
        <w:tc>
          <w:tcPr>
            <w:tcW w:w="1240" w:type="dxa"/>
            <w:vAlign w:val="bottom"/>
          </w:tcPr>
          <w:p>
            <w:pPr>
              <w:jc w:val="right"/>
              <w:spacing w:after="0"/>
              <w:rPr>
                <w:sz w:val="20"/>
                <w:szCs w:val="20"/>
                <w:color w:val="auto"/>
              </w:rPr>
            </w:pPr>
            <w:r>
              <w:rPr>
                <w:rFonts w:ascii="Arial" w:cs="Arial" w:eastAsia="Arial" w:hAnsi="Arial"/>
                <w:sz w:val="8"/>
                <w:szCs w:val="8"/>
                <w:color w:val="005A64"/>
              </w:rPr>
              <w:t>12.0</w:t>
            </w:r>
          </w:p>
        </w:tc>
        <w:tc>
          <w:tcPr>
            <w:tcW w:w="160" w:type="dxa"/>
            <w:vAlign w:val="bottom"/>
          </w:tcPr>
          <w:p>
            <w:pPr>
              <w:spacing w:after="0"/>
              <w:rPr>
                <w:sz w:val="9"/>
                <w:szCs w:val="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8"/>
                <w:szCs w:val="8"/>
                <w:color w:val="005A64"/>
              </w:rPr>
              <w:t>—</w:t>
            </w:r>
          </w:p>
        </w:tc>
        <w:tc>
          <w:tcPr>
            <w:tcW w:w="1100" w:type="dxa"/>
            <w:vAlign w:val="bottom"/>
          </w:tcPr>
          <w:p>
            <w:pPr>
              <w:jc w:val="right"/>
              <w:spacing w:after="0"/>
              <w:rPr>
                <w:sz w:val="20"/>
                <w:szCs w:val="20"/>
                <w:color w:val="auto"/>
              </w:rPr>
            </w:pPr>
            <w:r>
              <w:rPr>
                <w:rFonts w:ascii="Arial" w:cs="Arial" w:eastAsia="Arial" w:hAnsi="Arial"/>
                <w:sz w:val="8"/>
                <w:szCs w:val="8"/>
                <w:color w:val="005A64"/>
              </w:rPr>
              <w:t>(13.0)</w:t>
            </w:r>
          </w:p>
        </w:tc>
        <w:tc>
          <w:tcPr>
            <w:tcW w:w="140" w:type="dxa"/>
            <w:vAlign w:val="bottom"/>
            <w:tcBorders>
              <w:right w:val="single" w:sz="8" w:color="BECE33"/>
            </w:tcBorders>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2700" w:type="dxa"/>
            <w:vAlign w:val="bottom"/>
            <w:tcBorders>
              <w:bottom w:val="single" w:sz="8" w:color="7FACB1"/>
            </w:tcBorders>
          </w:tcPr>
          <w:p>
            <w:pPr>
              <w:spacing w:after="0"/>
              <w:rPr>
                <w:sz w:val="3"/>
                <w:szCs w:val="3"/>
                <w:color w:val="auto"/>
              </w:rPr>
            </w:pPr>
          </w:p>
        </w:tc>
        <w:tc>
          <w:tcPr>
            <w:tcW w:w="120" w:type="dxa"/>
            <w:vAlign w:val="bottom"/>
            <w:tcBorders>
              <w:right w:val="single" w:sz="8" w:color="BECE33"/>
            </w:tcBorders>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60" w:type="dxa"/>
            <w:vAlign w:val="bottom"/>
          </w:tcPr>
          <w:p>
            <w:pPr>
              <w:spacing w:after="0"/>
              <w:rPr>
                <w:sz w:val="3"/>
                <w:szCs w:val="3"/>
                <w:color w:val="auto"/>
              </w:rPr>
            </w:pPr>
          </w:p>
        </w:tc>
        <w:tc>
          <w:tcPr>
            <w:tcW w:w="148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Borders>
              <w:bottom w:val="single" w:sz="8" w:color="7FACB1"/>
            </w:tcBorders>
          </w:tcPr>
          <w:p>
            <w:pPr>
              <w:spacing w:after="0"/>
              <w:rPr>
                <w:sz w:val="3"/>
                <w:szCs w:val="3"/>
                <w:color w:val="auto"/>
              </w:rPr>
            </w:pPr>
          </w:p>
        </w:tc>
        <w:tc>
          <w:tcPr>
            <w:tcW w:w="140" w:type="dxa"/>
            <w:vAlign w:val="bottom"/>
            <w:tcBorders>
              <w:right w:val="single" w:sz="8" w:color="BECE33"/>
            </w:tcBorders>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820" w:type="dxa"/>
            <w:vAlign w:val="bottom"/>
            <w:tcBorders>
              <w:right w:val="single" w:sz="8" w:color="BECE33"/>
            </w:tcBorders>
            <w:gridSpan w:val="2"/>
          </w:tcPr>
          <w:p>
            <w:pPr>
              <w:spacing w:after="0"/>
              <w:rPr>
                <w:sz w:val="20"/>
                <w:szCs w:val="20"/>
                <w:color w:val="auto"/>
              </w:rPr>
            </w:pPr>
            <w:r>
              <w:rPr>
                <w:rFonts w:ascii="Arial" w:cs="Arial" w:eastAsia="Arial" w:hAnsi="Arial"/>
                <w:sz w:val="8"/>
                <w:szCs w:val="8"/>
                <w:b w:val="1"/>
                <w:bCs w:val="1"/>
                <w:color w:val="005A64"/>
              </w:rPr>
              <w:t>Operating loss</w:t>
            </w:r>
          </w:p>
        </w:tc>
        <w:tc>
          <w:tcPr>
            <w:tcW w:w="1180" w:type="dxa"/>
            <w:vAlign w:val="bottom"/>
            <w:gridSpan w:val="2"/>
          </w:tcPr>
          <w:p>
            <w:pPr>
              <w:jc w:val="right"/>
              <w:spacing w:after="0"/>
              <w:rPr>
                <w:sz w:val="20"/>
                <w:szCs w:val="20"/>
                <w:color w:val="auto"/>
              </w:rPr>
            </w:pPr>
            <w:r>
              <w:rPr>
                <w:rFonts w:ascii="Arial" w:cs="Arial" w:eastAsia="Arial" w:hAnsi="Arial"/>
                <w:sz w:val="8"/>
                <w:szCs w:val="8"/>
                <w:b w:val="1"/>
                <w:bCs w:val="1"/>
                <w:color w:val="005A64"/>
              </w:rPr>
              <w:t>(322.8)</w:t>
            </w:r>
          </w:p>
        </w:tc>
        <w:tc>
          <w:tcPr>
            <w:tcW w:w="180" w:type="dxa"/>
            <w:vAlign w:val="bottom"/>
          </w:tcPr>
          <w:p>
            <w:pPr>
              <w:spacing w:after="0"/>
              <w:rPr>
                <w:sz w:val="9"/>
                <w:szCs w:val="9"/>
                <w:color w:val="auto"/>
              </w:rPr>
            </w:pPr>
          </w:p>
        </w:tc>
        <w:tc>
          <w:tcPr>
            <w:tcW w:w="1240" w:type="dxa"/>
            <w:vAlign w:val="bottom"/>
          </w:tcPr>
          <w:p>
            <w:pPr>
              <w:jc w:val="right"/>
              <w:spacing w:after="0"/>
              <w:rPr>
                <w:sz w:val="20"/>
                <w:szCs w:val="20"/>
                <w:color w:val="auto"/>
              </w:rPr>
            </w:pPr>
            <w:r>
              <w:rPr>
                <w:rFonts w:ascii="Arial" w:cs="Arial" w:eastAsia="Arial" w:hAnsi="Arial"/>
                <w:sz w:val="8"/>
                <w:szCs w:val="8"/>
                <w:b w:val="1"/>
                <w:bCs w:val="1"/>
                <w:color w:val="005A64"/>
              </w:rPr>
              <w:t>111.4</w:t>
            </w:r>
          </w:p>
        </w:tc>
        <w:tc>
          <w:tcPr>
            <w:tcW w:w="180" w:type="dxa"/>
            <w:vAlign w:val="bottom"/>
          </w:tcPr>
          <w:p>
            <w:pPr>
              <w:spacing w:after="0"/>
              <w:rPr>
                <w:sz w:val="9"/>
                <w:szCs w:val="9"/>
                <w:color w:val="auto"/>
              </w:rPr>
            </w:pPr>
          </w:p>
        </w:tc>
        <w:tc>
          <w:tcPr>
            <w:tcW w:w="1240" w:type="dxa"/>
            <w:vAlign w:val="bottom"/>
          </w:tcPr>
          <w:p>
            <w:pPr>
              <w:jc w:val="right"/>
              <w:spacing w:after="0"/>
              <w:rPr>
                <w:sz w:val="20"/>
                <w:szCs w:val="20"/>
                <w:color w:val="auto"/>
              </w:rPr>
            </w:pPr>
            <w:r>
              <w:rPr>
                <w:rFonts w:ascii="Arial" w:cs="Arial" w:eastAsia="Arial" w:hAnsi="Arial"/>
                <w:sz w:val="8"/>
                <w:szCs w:val="8"/>
                <w:b w:val="1"/>
                <w:bCs w:val="1"/>
                <w:color w:val="005A64"/>
              </w:rPr>
              <w:t>102.1</w:t>
            </w:r>
          </w:p>
        </w:tc>
        <w:tc>
          <w:tcPr>
            <w:tcW w:w="180" w:type="dxa"/>
            <w:vAlign w:val="bottom"/>
          </w:tcPr>
          <w:p>
            <w:pPr>
              <w:spacing w:after="0"/>
              <w:rPr>
                <w:sz w:val="9"/>
                <w:szCs w:val="9"/>
                <w:color w:val="auto"/>
              </w:rPr>
            </w:pPr>
          </w:p>
        </w:tc>
        <w:tc>
          <w:tcPr>
            <w:tcW w:w="1240" w:type="dxa"/>
            <w:vAlign w:val="bottom"/>
          </w:tcPr>
          <w:p>
            <w:pPr>
              <w:jc w:val="right"/>
              <w:spacing w:after="0"/>
              <w:rPr>
                <w:sz w:val="20"/>
                <w:szCs w:val="20"/>
                <w:color w:val="auto"/>
              </w:rPr>
            </w:pPr>
            <w:r>
              <w:rPr>
                <w:rFonts w:ascii="Arial" w:cs="Arial" w:eastAsia="Arial" w:hAnsi="Arial"/>
                <w:sz w:val="8"/>
                <w:szCs w:val="8"/>
                <w:b w:val="1"/>
                <w:bCs w:val="1"/>
                <w:color w:val="005A64"/>
              </w:rPr>
              <w:t>12.0</w:t>
            </w:r>
          </w:p>
        </w:tc>
        <w:tc>
          <w:tcPr>
            <w:tcW w:w="160" w:type="dxa"/>
            <w:vAlign w:val="bottom"/>
          </w:tcPr>
          <w:p>
            <w:pPr>
              <w:spacing w:after="0"/>
              <w:rPr>
                <w:sz w:val="9"/>
                <w:szCs w:val="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8"/>
                <w:szCs w:val="8"/>
                <w:b w:val="1"/>
                <w:bCs w:val="1"/>
                <w:color w:val="005A64"/>
              </w:rPr>
              <w:t>—</w:t>
            </w:r>
          </w:p>
        </w:tc>
        <w:tc>
          <w:tcPr>
            <w:tcW w:w="1100" w:type="dxa"/>
            <w:vAlign w:val="bottom"/>
          </w:tcPr>
          <w:p>
            <w:pPr>
              <w:jc w:val="right"/>
              <w:spacing w:after="0"/>
              <w:rPr>
                <w:sz w:val="20"/>
                <w:szCs w:val="20"/>
                <w:color w:val="auto"/>
              </w:rPr>
            </w:pPr>
            <w:r>
              <w:rPr>
                <w:rFonts w:ascii="Arial" w:cs="Arial" w:eastAsia="Arial" w:hAnsi="Arial"/>
                <w:sz w:val="8"/>
                <w:szCs w:val="8"/>
                <w:b w:val="1"/>
                <w:bCs w:val="1"/>
                <w:color w:val="005A64"/>
              </w:rPr>
              <w:t>(97.3)</w:t>
            </w:r>
          </w:p>
        </w:tc>
        <w:tc>
          <w:tcPr>
            <w:tcW w:w="140" w:type="dxa"/>
            <w:vAlign w:val="bottom"/>
            <w:tcBorders>
              <w:right w:val="single" w:sz="8" w:color="BECE33"/>
            </w:tcBorders>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700" w:type="dxa"/>
            <w:vAlign w:val="bottom"/>
            <w:tcBorders>
              <w:bottom w:val="single" w:sz="8" w:color="005A64"/>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Borders>
              <w:bottom w:val="single" w:sz="8" w:color="005A64"/>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c>
          <w:tcPr>
            <w:tcW w:w="0" w:type="dxa"/>
            <w:vAlign w:val="bottom"/>
          </w:tcPr>
          <w:p>
            <w:pPr>
              <w:spacing w:after="0"/>
              <w:rPr>
                <w:sz w:val="1"/>
                <w:szCs w:val="1"/>
                <w:color w:val="auto"/>
              </w:rPr>
            </w:pPr>
          </w:p>
        </w:tc>
      </w:tr>
      <w:tr>
        <w:trPr>
          <w:trHeight w:val="109"/>
        </w:trPr>
        <w:tc>
          <w:tcPr>
            <w:tcW w:w="2820" w:type="dxa"/>
            <w:vAlign w:val="bottom"/>
            <w:tcBorders>
              <w:right w:val="single" w:sz="8" w:color="BECE33"/>
            </w:tcBorders>
            <w:gridSpan w:val="2"/>
          </w:tcPr>
          <w:p>
            <w:pPr>
              <w:spacing w:after="0"/>
              <w:rPr>
                <w:sz w:val="20"/>
                <w:szCs w:val="20"/>
                <w:color w:val="auto"/>
              </w:rPr>
            </w:pPr>
            <w:r>
              <w:rPr>
                <w:rFonts w:ascii="Arial" w:cs="Arial" w:eastAsia="Arial" w:hAnsi="Arial"/>
                <w:sz w:val="8"/>
                <w:szCs w:val="8"/>
                <w:b w:val="1"/>
                <w:bCs w:val="1"/>
                <w:color w:val="005A64"/>
              </w:rPr>
              <w:t>Loss before tax</w:t>
            </w:r>
          </w:p>
        </w:tc>
        <w:tc>
          <w:tcPr>
            <w:tcW w:w="1180" w:type="dxa"/>
            <w:vAlign w:val="bottom"/>
            <w:gridSpan w:val="2"/>
          </w:tcPr>
          <w:p>
            <w:pPr>
              <w:jc w:val="right"/>
              <w:spacing w:after="0"/>
              <w:rPr>
                <w:sz w:val="20"/>
                <w:szCs w:val="20"/>
                <w:color w:val="auto"/>
              </w:rPr>
            </w:pPr>
            <w:r>
              <w:rPr>
                <w:rFonts w:ascii="Arial" w:cs="Arial" w:eastAsia="Arial" w:hAnsi="Arial"/>
                <w:sz w:val="8"/>
                <w:szCs w:val="8"/>
                <w:b w:val="1"/>
                <w:bCs w:val="1"/>
                <w:color w:val="005A64"/>
              </w:rPr>
              <w:t>(227.4)</w:t>
            </w:r>
          </w:p>
        </w:tc>
        <w:tc>
          <w:tcPr>
            <w:tcW w:w="180" w:type="dxa"/>
            <w:vAlign w:val="bottom"/>
          </w:tcPr>
          <w:p>
            <w:pPr>
              <w:spacing w:after="0"/>
              <w:rPr>
                <w:sz w:val="9"/>
                <w:szCs w:val="9"/>
                <w:color w:val="auto"/>
              </w:rPr>
            </w:pPr>
          </w:p>
        </w:tc>
        <w:tc>
          <w:tcPr>
            <w:tcW w:w="1240" w:type="dxa"/>
            <w:vAlign w:val="bottom"/>
          </w:tcPr>
          <w:p>
            <w:pPr>
              <w:jc w:val="right"/>
              <w:spacing w:after="0"/>
              <w:rPr>
                <w:sz w:val="20"/>
                <w:szCs w:val="20"/>
                <w:color w:val="auto"/>
              </w:rPr>
            </w:pPr>
            <w:r>
              <w:rPr>
                <w:rFonts w:ascii="Arial" w:cs="Arial" w:eastAsia="Arial" w:hAnsi="Arial"/>
                <w:sz w:val="8"/>
                <w:szCs w:val="8"/>
                <w:b w:val="1"/>
                <w:bCs w:val="1"/>
                <w:color w:val="005A64"/>
              </w:rPr>
              <w:t>111.4</w:t>
            </w:r>
          </w:p>
        </w:tc>
        <w:tc>
          <w:tcPr>
            <w:tcW w:w="180" w:type="dxa"/>
            <w:vAlign w:val="bottom"/>
          </w:tcPr>
          <w:p>
            <w:pPr>
              <w:spacing w:after="0"/>
              <w:rPr>
                <w:sz w:val="9"/>
                <w:szCs w:val="9"/>
                <w:color w:val="auto"/>
              </w:rPr>
            </w:pPr>
          </w:p>
        </w:tc>
        <w:tc>
          <w:tcPr>
            <w:tcW w:w="1240" w:type="dxa"/>
            <w:vAlign w:val="bottom"/>
          </w:tcPr>
          <w:p>
            <w:pPr>
              <w:jc w:val="right"/>
              <w:spacing w:after="0"/>
              <w:rPr>
                <w:sz w:val="20"/>
                <w:szCs w:val="20"/>
                <w:color w:val="auto"/>
              </w:rPr>
            </w:pPr>
            <w:r>
              <w:rPr>
                <w:rFonts w:ascii="Arial" w:cs="Arial" w:eastAsia="Arial" w:hAnsi="Arial"/>
                <w:sz w:val="8"/>
                <w:szCs w:val="8"/>
                <w:b w:val="1"/>
                <w:bCs w:val="1"/>
                <w:color w:val="005A64"/>
              </w:rPr>
              <w:t>102.1</w:t>
            </w:r>
          </w:p>
        </w:tc>
        <w:tc>
          <w:tcPr>
            <w:tcW w:w="180" w:type="dxa"/>
            <w:vAlign w:val="bottom"/>
          </w:tcPr>
          <w:p>
            <w:pPr>
              <w:spacing w:after="0"/>
              <w:rPr>
                <w:sz w:val="9"/>
                <w:szCs w:val="9"/>
                <w:color w:val="auto"/>
              </w:rPr>
            </w:pPr>
          </w:p>
        </w:tc>
        <w:tc>
          <w:tcPr>
            <w:tcW w:w="1240" w:type="dxa"/>
            <w:vAlign w:val="bottom"/>
          </w:tcPr>
          <w:p>
            <w:pPr>
              <w:jc w:val="right"/>
              <w:spacing w:after="0"/>
              <w:rPr>
                <w:sz w:val="20"/>
                <w:szCs w:val="20"/>
                <w:color w:val="auto"/>
              </w:rPr>
            </w:pPr>
            <w:r>
              <w:rPr>
                <w:rFonts w:ascii="Arial" w:cs="Arial" w:eastAsia="Arial" w:hAnsi="Arial"/>
                <w:sz w:val="8"/>
                <w:szCs w:val="8"/>
                <w:b w:val="1"/>
                <w:bCs w:val="1"/>
                <w:color w:val="005A64"/>
              </w:rPr>
              <w:t>12.0</w:t>
            </w:r>
          </w:p>
        </w:tc>
        <w:tc>
          <w:tcPr>
            <w:tcW w:w="160" w:type="dxa"/>
            <w:vAlign w:val="bottom"/>
          </w:tcPr>
          <w:p>
            <w:pPr>
              <w:spacing w:after="0"/>
              <w:rPr>
                <w:sz w:val="9"/>
                <w:szCs w:val="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8"/>
                <w:szCs w:val="8"/>
                <w:b w:val="1"/>
                <w:bCs w:val="1"/>
                <w:color w:val="005A64"/>
              </w:rPr>
              <w:t>—</w:t>
            </w:r>
          </w:p>
        </w:tc>
        <w:tc>
          <w:tcPr>
            <w:tcW w:w="1100" w:type="dxa"/>
            <w:vAlign w:val="bottom"/>
          </w:tcPr>
          <w:p>
            <w:pPr>
              <w:jc w:val="right"/>
              <w:spacing w:after="0"/>
              <w:rPr>
                <w:sz w:val="20"/>
                <w:szCs w:val="20"/>
                <w:color w:val="auto"/>
              </w:rPr>
            </w:pPr>
            <w:r>
              <w:rPr>
                <w:rFonts w:ascii="Arial" w:cs="Arial" w:eastAsia="Arial" w:hAnsi="Arial"/>
                <w:sz w:val="8"/>
                <w:szCs w:val="8"/>
                <w:b w:val="1"/>
                <w:bCs w:val="1"/>
                <w:color w:val="005A64"/>
              </w:rPr>
              <w:t>(1.9)</w:t>
            </w:r>
          </w:p>
        </w:tc>
        <w:tc>
          <w:tcPr>
            <w:tcW w:w="140" w:type="dxa"/>
            <w:vAlign w:val="bottom"/>
            <w:tcBorders>
              <w:right w:val="single" w:sz="8" w:color="BECE33"/>
            </w:tcBorders>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700" w:type="dxa"/>
            <w:vAlign w:val="bottom"/>
            <w:tcBorders>
              <w:bottom w:val="single" w:sz="8" w:color="005A64"/>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Borders>
              <w:bottom w:val="single" w:sz="8" w:color="005A64"/>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2700" w:type="dxa"/>
            <w:vAlign w:val="bottom"/>
            <w:tcBorders>
              <w:bottom w:val="single" w:sz="8" w:color="005A64"/>
            </w:tcBorders>
          </w:tcPr>
          <w:p>
            <w:pPr>
              <w:spacing w:after="0"/>
              <w:rPr>
                <w:sz w:val="20"/>
                <w:szCs w:val="20"/>
                <w:color w:val="auto"/>
              </w:rPr>
            </w:pPr>
            <w:r>
              <w:rPr>
                <w:rFonts w:ascii="Arial" w:cs="Arial" w:eastAsia="Arial" w:hAnsi="Arial"/>
                <w:sz w:val="8"/>
                <w:szCs w:val="8"/>
                <w:b w:val="1"/>
                <w:bCs w:val="1"/>
                <w:color w:val="005A64"/>
              </w:rPr>
              <w:t>Net loss</w:t>
            </w:r>
            <w:r>
              <w:rPr>
                <w:rFonts w:ascii="Arial" w:cs="Arial" w:eastAsia="Arial" w:hAnsi="Arial"/>
                <w:sz w:val="10"/>
                <w:szCs w:val="10"/>
                <w:b w:val="1"/>
                <w:bCs w:val="1"/>
                <w:color w:val="005A64"/>
                <w:vertAlign w:val="superscript"/>
              </w:rPr>
              <w:t>1</w:t>
            </w:r>
          </w:p>
        </w:tc>
        <w:tc>
          <w:tcPr>
            <w:tcW w:w="120" w:type="dxa"/>
            <w:vAlign w:val="bottom"/>
            <w:tcBorders>
              <w:right w:val="single" w:sz="8" w:color="BECE33"/>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bottom w:val="single" w:sz="8" w:color="005A64"/>
            </w:tcBorders>
          </w:tcPr>
          <w:p>
            <w:pPr>
              <w:jc w:val="right"/>
              <w:spacing w:after="0"/>
              <w:rPr>
                <w:sz w:val="20"/>
                <w:szCs w:val="20"/>
                <w:color w:val="auto"/>
              </w:rPr>
            </w:pPr>
            <w:r>
              <w:rPr>
                <w:rFonts w:ascii="Arial" w:cs="Arial" w:eastAsia="Arial" w:hAnsi="Arial"/>
                <w:sz w:val="8"/>
                <w:szCs w:val="8"/>
                <w:b w:val="1"/>
                <w:bCs w:val="1"/>
                <w:color w:val="005A64"/>
              </w:rPr>
              <w:t>(305.0)</w:t>
            </w:r>
          </w:p>
        </w:tc>
        <w:tc>
          <w:tcPr>
            <w:tcW w:w="180" w:type="dxa"/>
            <w:vAlign w:val="bottom"/>
          </w:tcPr>
          <w:p>
            <w:pPr>
              <w:spacing w:after="0"/>
              <w:rPr>
                <w:sz w:val="12"/>
                <w:szCs w:val="12"/>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8"/>
                <w:szCs w:val="8"/>
                <w:b w:val="1"/>
                <w:bCs w:val="1"/>
                <w:color w:val="005A64"/>
              </w:rPr>
              <w:t>111.4</w:t>
            </w:r>
          </w:p>
        </w:tc>
        <w:tc>
          <w:tcPr>
            <w:tcW w:w="180" w:type="dxa"/>
            <w:vAlign w:val="bottom"/>
          </w:tcPr>
          <w:p>
            <w:pPr>
              <w:spacing w:after="0"/>
              <w:rPr>
                <w:sz w:val="12"/>
                <w:szCs w:val="12"/>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8"/>
                <w:szCs w:val="8"/>
                <w:b w:val="1"/>
                <w:bCs w:val="1"/>
                <w:color w:val="005A64"/>
              </w:rPr>
              <w:t>102.1</w:t>
            </w:r>
          </w:p>
        </w:tc>
        <w:tc>
          <w:tcPr>
            <w:tcW w:w="180" w:type="dxa"/>
            <w:vAlign w:val="bottom"/>
          </w:tcPr>
          <w:p>
            <w:pPr>
              <w:spacing w:after="0"/>
              <w:rPr>
                <w:sz w:val="12"/>
                <w:szCs w:val="12"/>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8"/>
                <w:szCs w:val="8"/>
                <w:b w:val="1"/>
                <w:bCs w:val="1"/>
                <w:color w:val="005A64"/>
              </w:rPr>
              <w:t>12.0</w:t>
            </w:r>
          </w:p>
        </w:tc>
        <w:tc>
          <w:tcPr>
            <w:tcW w:w="160" w:type="dxa"/>
            <w:vAlign w:val="bottom"/>
          </w:tcPr>
          <w:p>
            <w:pPr>
              <w:spacing w:after="0"/>
              <w:rPr>
                <w:sz w:val="12"/>
                <w:szCs w:val="12"/>
                <w:color w:val="auto"/>
              </w:rPr>
            </w:pPr>
          </w:p>
        </w:tc>
        <w:tc>
          <w:tcPr>
            <w:tcW w:w="1480" w:type="dxa"/>
            <w:vAlign w:val="bottom"/>
            <w:tcBorders>
              <w:bottom w:val="single" w:sz="8" w:color="005A64"/>
            </w:tcBorders>
          </w:tcPr>
          <w:p>
            <w:pPr>
              <w:jc w:val="right"/>
              <w:spacing w:after="0"/>
              <w:rPr>
                <w:sz w:val="20"/>
                <w:szCs w:val="20"/>
                <w:color w:val="auto"/>
              </w:rPr>
            </w:pPr>
            <w:r>
              <w:rPr>
                <w:rFonts w:ascii="Arial" w:cs="Arial" w:eastAsia="Arial" w:hAnsi="Arial"/>
                <w:sz w:val="8"/>
                <w:szCs w:val="8"/>
                <w:b w:val="1"/>
                <w:bCs w:val="1"/>
                <w:color w:val="005A64"/>
              </w:rPr>
              <w:t>—</w:t>
            </w:r>
          </w:p>
        </w:tc>
        <w:tc>
          <w:tcPr>
            <w:tcW w:w="180" w:type="dxa"/>
            <w:vAlign w:val="bottom"/>
          </w:tcPr>
          <w:p>
            <w:pPr>
              <w:spacing w:after="0"/>
              <w:rPr>
                <w:sz w:val="12"/>
                <w:szCs w:val="12"/>
                <w:color w:val="auto"/>
              </w:rPr>
            </w:pPr>
          </w:p>
        </w:tc>
        <w:tc>
          <w:tcPr>
            <w:tcW w:w="1100" w:type="dxa"/>
            <w:vAlign w:val="bottom"/>
            <w:tcBorders>
              <w:bottom w:val="single" w:sz="8" w:color="005A64"/>
            </w:tcBorders>
          </w:tcPr>
          <w:p>
            <w:pPr>
              <w:jc w:val="right"/>
              <w:spacing w:after="0"/>
              <w:rPr>
                <w:sz w:val="20"/>
                <w:szCs w:val="20"/>
                <w:color w:val="auto"/>
              </w:rPr>
            </w:pPr>
            <w:r>
              <w:rPr>
                <w:rFonts w:ascii="Arial" w:cs="Arial" w:eastAsia="Arial" w:hAnsi="Arial"/>
                <w:sz w:val="8"/>
                <w:szCs w:val="8"/>
                <w:b w:val="1"/>
                <w:bCs w:val="1"/>
                <w:color w:val="005A64"/>
              </w:rPr>
              <w:t>(79.5)</w:t>
            </w:r>
          </w:p>
        </w:tc>
        <w:tc>
          <w:tcPr>
            <w:tcW w:w="140" w:type="dxa"/>
            <w:vAlign w:val="bottom"/>
            <w:tcBorders>
              <w:right w:val="single" w:sz="8" w:color="BECE33"/>
            </w:tcBorders>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820" w:type="dxa"/>
            <w:vAlign w:val="bottom"/>
            <w:tcBorders>
              <w:right w:val="single" w:sz="8" w:color="BECE33"/>
            </w:tcBorders>
            <w:gridSpan w:val="2"/>
          </w:tcPr>
          <w:p>
            <w:pPr>
              <w:spacing w:after="0"/>
              <w:rPr>
                <w:sz w:val="20"/>
                <w:szCs w:val="20"/>
                <w:color w:val="auto"/>
              </w:rPr>
            </w:pPr>
            <w:r>
              <w:rPr>
                <w:rFonts w:ascii="Arial" w:cs="Arial" w:eastAsia="Arial" w:hAnsi="Arial"/>
                <w:sz w:val="8"/>
                <w:szCs w:val="8"/>
                <w:b w:val="1"/>
                <w:bCs w:val="1"/>
                <w:color w:val="3C9673"/>
              </w:rPr>
              <w:t>Loss per share</w:t>
            </w: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Borders>
              <w:right w:val="single" w:sz="8" w:color="BECE33"/>
            </w:tcBorders>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700" w:type="dxa"/>
            <w:vAlign w:val="bottom"/>
            <w:tcBorders>
              <w:bottom w:val="single" w:sz="8" w:color="7FACB1"/>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Borders>
              <w:bottom w:val="single" w:sz="8" w:color="7FACB1"/>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2820" w:type="dxa"/>
            <w:vAlign w:val="bottom"/>
            <w:tcBorders>
              <w:right w:val="single" w:sz="8" w:color="BECE33"/>
            </w:tcBorders>
            <w:gridSpan w:val="2"/>
          </w:tcPr>
          <w:p>
            <w:pPr>
              <w:spacing w:after="0"/>
              <w:rPr>
                <w:sz w:val="20"/>
                <w:szCs w:val="20"/>
                <w:color w:val="auto"/>
              </w:rPr>
            </w:pPr>
            <w:r>
              <w:rPr>
                <w:rFonts w:ascii="Arial" w:cs="Arial" w:eastAsia="Arial" w:hAnsi="Arial"/>
                <w:sz w:val="8"/>
                <w:szCs w:val="8"/>
                <w:color w:val="005A64"/>
              </w:rPr>
              <w:t>Basic loss per share</w:t>
            </w:r>
          </w:p>
        </w:tc>
        <w:tc>
          <w:tcPr>
            <w:tcW w:w="1180" w:type="dxa"/>
            <w:vAlign w:val="bottom"/>
            <w:gridSpan w:val="2"/>
          </w:tcPr>
          <w:p>
            <w:pPr>
              <w:jc w:val="right"/>
              <w:spacing w:after="0"/>
              <w:rPr>
                <w:sz w:val="20"/>
                <w:szCs w:val="20"/>
                <w:color w:val="auto"/>
              </w:rPr>
            </w:pPr>
            <w:r>
              <w:rPr>
                <w:rFonts w:ascii="Arial" w:cs="Arial" w:eastAsia="Arial" w:hAnsi="Arial"/>
                <w:sz w:val="8"/>
                <w:szCs w:val="8"/>
                <w:color w:val="005A64"/>
              </w:rPr>
              <w:t>(1.25)</w:t>
            </w: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jc w:val="right"/>
              <w:spacing w:after="0"/>
              <w:rPr>
                <w:sz w:val="20"/>
                <w:szCs w:val="20"/>
                <w:color w:val="auto"/>
              </w:rPr>
            </w:pPr>
            <w:r>
              <w:rPr>
                <w:rFonts w:ascii="Arial" w:cs="Arial" w:eastAsia="Arial" w:hAnsi="Arial"/>
                <w:sz w:val="8"/>
                <w:szCs w:val="8"/>
                <w:color w:val="005A64"/>
              </w:rPr>
              <w:t>(0.33)</w:t>
            </w:r>
          </w:p>
        </w:tc>
        <w:tc>
          <w:tcPr>
            <w:tcW w:w="140" w:type="dxa"/>
            <w:vAlign w:val="bottom"/>
            <w:tcBorders>
              <w:right w:val="single" w:sz="8" w:color="BECE33"/>
            </w:tcBorders>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2700" w:type="dxa"/>
            <w:vAlign w:val="bottom"/>
            <w:tcBorders>
              <w:bottom w:val="single" w:sz="8" w:color="7FACB1"/>
            </w:tcBorders>
          </w:tcPr>
          <w:p>
            <w:pPr>
              <w:spacing w:after="0"/>
              <w:rPr>
                <w:sz w:val="3"/>
                <w:szCs w:val="3"/>
                <w:color w:val="auto"/>
              </w:rPr>
            </w:pPr>
          </w:p>
        </w:tc>
        <w:tc>
          <w:tcPr>
            <w:tcW w:w="120" w:type="dxa"/>
            <w:vAlign w:val="bottom"/>
            <w:tcBorders>
              <w:right w:val="single" w:sz="8" w:color="BECE33"/>
            </w:tcBorders>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60" w:type="dxa"/>
            <w:vAlign w:val="bottom"/>
          </w:tcPr>
          <w:p>
            <w:pPr>
              <w:spacing w:after="0"/>
              <w:rPr>
                <w:sz w:val="3"/>
                <w:szCs w:val="3"/>
                <w:color w:val="auto"/>
              </w:rPr>
            </w:pPr>
          </w:p>
        </w:tc>
        <w:tc>
          <w:tcPr>
            <w:tcW w:w="148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Borders>
              <w:bottom w:val="single" w:sz="8" w:color="7FACB1"/>
            </w:tcBorders>
          </w:tcPr>
          <w:p>
            <w:pPr>
              <w:spacing w:after="0"/>
              <w:rPr>
                <w:sz w:val="3"/>
                <w:szCs w:val="3"/>
                <w:color w:val="auto"/>
              </w:rPr>
            </w:pPr>
          </w:p>
        </w:tc>
        <w:tc>
          <w:tcPr>
            <w:tcW w:w="140" w:type="dxa"/>
            <w:vAlign w:val="bottom"/>
            <w:tcBorders>
              <w:right w:val="single" w:sz="8" w:color="BECE33"/>
            </w:tcBorders>
          </w:tcPr>
          <w:p>
            <w:pPr>
              <w:spacing w:after="0"/>
              <w:rPr>
                <w:sz w:val="3"/>
                <w:szCs w:val="3"/>
                <w:color w:val="auto"/>
              </w:rPr>
            </w:pPr>
          </w:p>
        </w:tc>
        <w:tc>
          <w:tcPr>
            <w:tcW w:w="0" w:type="dxa"/>
            <w:vAlign w:val="bottom"/>
          </w:tcPr>
          <w:p>
            <w:pPr>
              <w:spacing w:after="0"/>
              <w:rPr>
                <w:sz w:val="1"/>
                <w:szCs w:val="1"/>
                <w:color w:val="auto"/>
              </w:rPr>
            </w:pPr>
          </w:p>
        </w:tc>
      </w:tr>
      <w:tr>
        <w:trPr>
          <w:trHeight w:val="114"/>
        </w:trPr>
        <w:tc>
          <w:tcPr>
            <w:tcW w:w="2820" w:type="dxa"/>
            <w:vAlign w:val="bottom"/>
            <w:tcBorders>
              <w:right w:val="single" w:sz="8" w:color="BECE33"/>
            </w:tcBorders>
            <w:gridSpan w:val="2"/>
          </w:tcPr>
          <w:p>
            <w:pPr>
              <w:spacing w:after="0"/>
              <w:rPr>
                <w:sz w:val="20"/>
                <w:szCs w:val="20"/>
                <w:color w:val="auto"/>
              </w:rPr>
            </w:pPr>
            <w:r>
              <w:rPr>
                <w:rFonts w:ascii="Arial" w:cs="Arial" w:eastAsia="Arial" w:hAnsi="Arial"/>
                <w:sz w:val="8"/>
                <w:szCs w:val="8"/>
                <w:color w:val="005A64"/>
              </w:rPr>
              <w:t>Diluted loss per share</w:t>
            </w:r>
          </w:p>
        </w:tc>
        <w:tc>
          <w:tcPr>
            <w:tcW w:w="1180" w:type="dxa"/>
            <w:vAlign w:val="bottom"/>
            <w:gridSpan w:val="2"/>
          </w:tcPr>
          <w:p>
            <w:pPr>
              <w:jc w:val="right"/>
              <w:spacing w:after="0"/>
              <w:rPr>
                <w:sz w:val="20"/>
                <w:szCs w:val="20"/>
                <w:color w:val="auto"/>
              </w:rPr>
            </w:pPr>
            <w:r>
              <w:rPr>
                <w:rFonts w:ascii="Arial" w:cs="Arial" w:eastAsia="Arial" w:hAnsi="Arial"/>
                <w:sz w:val="8"/>
                <w:szCs w:val="8"/>
                <w:color w:val="005A64"/>
              </w:rPr>
              <w:t>(1.25)</w:t>
            </w: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jc w:val="right"/>
              <w:spacing w:after="0"/>
              <w:rPr>
                <w:sz w:val="20"/>
                <w:szCs w:val="20"/>
                <w:color w:val="auto"/>
              </w:rPr>
            </w:pPr>
            <w:r>
              <w:rPr>
                <w:rFonts w:ascii="Arial" w:cs="Arial" w:eastAsia="Arial" w:hAnsi="Arial"/>
                <w:sz w:val="8"/>
                <w:szCs w:val="8"/>
                <w:color w:val="005A64"/>
              </w:rPr>
              <w:t>(0.33)</w:t>
            </w:r>
          </w:p>
        </w:tc>
        <w:tc>
          <w:tcPr>
            <w:tcW w:w="140" w:type="dxa"/>
            <w:vAlign w:val="bottom"/>
            <w:tcBorders>
              <w:right w:val="single" w:sz="8" w:color="BECE33"/>
            </w:tcBorders>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2700" w:type="dxa"/>
            <w:vAlign w:val="bottom"/>
            <w:tcBorders>
              <w:bottom w:val="single" w:sz="8" w:color="005A64"/>
            </w:tcBorders>
          </w:tcPr>
          <w:p>
            <w:pPr>
              <w:spacing w:after="0"/>
              <w:rPr>
                <w:sz w:val="3"/>
                <w:szCs w:val="3"/>
                <w:color w:val="auto"/>
              </w:rPr>
            </w:pPr>
          </w:p>
        </w:tc>
        <w:tc>
          <w:tcPr>
            <w:tcW w:w="120" w:type="dxa"/>
            <w:vAlign w:val="bottom"/>
            <w:tcBorders>
              <w:right w:val="single" w:sz="8" w:color="BECE33"/>
            </w:tcBorders>
          </w:tcPr>
          <w:p>
            <w:pPr>
              <w:spacing w:after="0"/>
              <w:rPr>
                <w:sz w:val="3"/>
                <w:szCs w:val="3"/>
                <w:color w:val="auto"/>
              </w:rPr>
            </w:pPr>
          </w:p>
        </w:tc>
        <w:tc>
          <w:tcPr>
            <w:tcW w:w="80" w:type="dxa"/>
            <w:vAlign w:val="bottom"/>
            <w:tcBorders>
              <w:bottom w:val="single" w:sz="8" w:color="BECE33"/>
            </w:tcBorders>
          </w:tcPr>
          <w:p>
            <w:pPr>
              <w:spacing w:after="0"/>
              <w:rPr>
                <w:sz w:val="3"/>
                <w:szCs w:val="3"/>
                <w:color w:val="auto"/>
              </w:rPr>
            </w:pPr>
          </w:p>
        </w:tc>
        <w:tc>
          <w:tcPr>
            <w:tcW w:w="1100" w:type="dxa"/>
            <w:vAlign w:val="bottom"/>
            <w:tcBorders>
              <w:bottom w:val="single" w:sz="8" w:color="BECE33"/>
            </w:tcBorders>
          </w:tcPr>
          <w:p>
            <w:pPr>
              <w:spacing w:after="0"/>
              <w:rPr>
                <w:sz w:val="3"/>
                <w:szCs w:val="3"/>
                <w:color w:val="auto"/>
              </w:rPr>
            </w:pPr>
          </w:p>
        </w:tc>
        <w:tc>
          <w:tcPr>
            <w:tcW w:w="180" w:type="dxa"/>
            <w:vAlign w:val="bottom"/>
            <w:tcBorders>
              <w:bottom w:val="single" w:sz="8" w:color="BECE33"/>
            </w:tcBorders>
          </w:tcPr>
          <w:p>
            <w:pPr>
              <w:spacing w:after="0"/>
              <w:rPr>
                <w:sz w:val="3"/>
                <w:szCs w:val="3"/>
                <w:color w:val="auto"/>
              </w:rPr>
            </w:pPr>
          </w:p>
        </w:tc>
        <w:tc>
          <w:tcPr>
            <w:tcW w:w="1240" w:type="dxa"/>
            <w:vAlign w:val="bottom"/>
            <w:tcBorders>
              <w:bottom w:val="single" w:sz="8" w:color="BECE33"/>
            </w:tcBorders>
          </w:tcPr>
          <w:p>
            <w:pPr>
              <w:spacing w:after="0"/>
              <w:rPr>
                <w:sz w:val="3"/>
                <w:szCs w:val="3"/>
                <w:color w:val="auto"/>
              </w:rPr>
            </w:pPr>
          </w:p>
        </w:tc>
        <w:tc>
          <w:tcPr>
            <w:tcW w:w="180" w:type="dxa"/>
            <w:vAlign w:val="bottom"/>
            <w:tcBorders>
              <w:bottom w:val="single" w:sz="8" w:color="BECE33"/>
            </w:tcBorders>
          </w:tcPr>
          <w:p>
            <w:pPr>
              <w:spacing w:after="0"/>
              <w:rPr>
                <w:sz w:val="3"/>
                <w:szCs w:val="3"/>
                <w:color w:val="auto"/>
              </w:rPr>
            </w:pPr>
          </w:p>
        </w:tc>
        <w:tc>
          <w:tcPr>
            <w:tcW w:w="1240" w:type="dxa"/>
            <w:vAlign w:val="bottom"/>
            <w:tcBorders>
              <w:bottom w:val="single" w:sz="8" w:color="BECE33"/>
            </w:tcBorders>
          </w:tcPr>
          <w:p>
            <w:pPr>
              <w:spacing w:after="0"/>
              <w:rPr>
                <w:sz w:val="3"/>
                <w:szCs w:val="3"/>
                <w:color w:val="auto"/>
              </w:rPr>
            </w:pPr>
          </w:p>
        </w:tc>
        <w:tc>
          <w:tcPr>
            <w:tcW w:w="180" w:type="dxa"/>
            <w:vAlign w:val="bottom"/>
            <w:tcBorders>
              <w:bottom w:val="single" w:sz="8" w:color="BECE33"/>
            </w:tcBorders>
          </w:tcPr>
          <w:p>
            <w:pPr>
              <w:spacing w:after="0"/>
              <w:rPr>
                <w:sz w:val="3"/>
                <w:szCs w:val="3"/>
                <w:color w:val="auto"/>
              </w:rPr>
            </w:pPr>
          </w:p>
        </w:tc>
        <w:tc>
          <w:tcPr>
            <w:tcW w:w="1240" w:type="dxa"/>
            <w:vAlign w:val="bottom"/>
            <w:tcBorders>
              <w:bottom w:val="single" w:sz="8" w:color="BECE33"/>
            </w:tcBorders>
          </w:tcPr>
          <w:p>
            <w:pPr>
              <w:spacing w:after="0"/>
              <w:rPr>
                <w:sz w:val="3"/>
                <w:szCs w:val="3"/>
                <w:color w:val="auto"/>
              </w:rPr>
            </w:pPr>
          </w:p>
        </w:tc>
        <w:tc>
          <w:tcPr>
            <w:tcW w:w="160" w:type="dxa"/>
            <w:vAlign w:val="bottom"/>
            <w:tcBorders>
              <w:bottom w:val="single" w:sz="8" w:color="BECE33"/>
            </w:tcBorders>
          </w:tcPr>
          <w:p>
            <w:pPr>
              <w:spacing w:after="0"/>
              <w:rPr>
                <w:sz w:val="3"/>
                <w:szCs w:val="3"/>
                <w:color w:val="auto"/>
              </w:rPr>
            </w:pPr>
          </w:p>
        </w:tc>
        <w:tc>
          <w:tcPr>
            <w:tcW w:w="1480" w:type="dxa"/>
            <w:vAlign w:val="bottom"/>
            <w:tcBorders>
              <w:bottom w:val="single" w:sz="8" w:color="BECE33"/>
            </w:tcBorders>
          </w:tcPr>
          <w:p>
            <w:pPr>
              <w:spacing w:after="0"/>
              <w:rPr>
                <w:sz w:val="3"/>
                <w:szCs w:val="3"/>
                <w:color w:val="auto"/>
              </w:rPr>
            </w:pPr>
          </w:p>
        </w:tc>
        <w:tc>
          <w:tcPr>
            <w:tcW w:w="180" w:type="dxa"/>
            <w:vAlign w:val="bottom"/>
            <w:tcBorders>
              <w:bottom w:val="single" w:sz="8" w:color="BECE33"/>
            </w:tcBorders>
          </w:tcPr>
          <w:p>
            <w:pPr>
              <w:spacing w:after="0"/>
              <w:rPr>
                <w:sz w:val="3"/>
                <w:szCs w:val="3"/>
                <w:color w:val="auto"/>
              </w:rPr>
            </w:pPr>
          </w:p>
        </w:tc>
        <w:tc>
          <w:tcPr>
            <w:tcW w:w="1100" w:type="dxa"/>
            <w:vAlign w:val="bottom"/>
            <w:tcBorders>
              <w:bottom w:val="single" w:sz="8" w:color="BECE33"/>
            </w:tcBorders>
          </w:tcPr>
          <w:p>
            <w:pPr>
              <w:spacing w:after="0"/>
              <w:rPr>
                <w:sz w:val="3"/>
                <w:szCs w:val="3"/>
                <w:color w:val="auto"/>
              </w:rPr>
            </w:pPr>
          </w:p>
        </w:tc>
        <w:tc>
          <w:tcPr>
            <w:tcW w:w="140" w:type="dxa"/>
            <w:vAlign w:val="bottom"/>
            <w:tcBorders>
              <w:bottom w:val="single" w:sz="8" w:color="BECE33"/>
              <w:right w:val="single" w:sz="8" w:color="BECE33"/>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820" w:type="dxa"/>
            <w:vAlign w:val="bottom"/>
            <w:gridSpan w:val="2"/>
          </w:tcPr>
          <w:p>
            <w:pPr>
              <w:spacing w:after="0"/>
              <w:rPr>
                <w:sz w:val="20"/>
                <w:szCs w:val="20"/>
                <w:color w:val="auto"/>
              </w:rPr>
            </w:pPr>
            <w:r>
              <w:rPr>
                <w:rFonts w:ascii="Arial" w:cs="Arial" w:eastAsia="Arial" w:hAnsi="Arial"/>
                <w:sz w:val="10"/>
                <w:szCs w:val="10"/>
                <w:color w:val="auto"/>
                <w:vertAlign w:val="superscript"/>
              </w:rPr>
              <w:t>1</w:t>
            </w:r>
            <w:r>
              <w:rPr>
                <w:rFonts w:ascii="Arial" w:cs="Arial" w:eastAsia="Arial" w:hAnsi="Arial"/>
                <w:sz w:val="8"/>
                <w:szCs w:val="8"/>
                <w:color w:val="auto"/>
              </w:rPr>
              <w:t xml:space="preserve"> Tax effects are not considered as part of our non-IFRS adjustments.</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9" w:lineRule="exact"/>
        <w:rPr>
          <w:sz w:val="20"/>
          <w:szCs w:val="20"/>
          <w:color w:val="auto"/>
        </w:rPr>
      </w:pPr>
    </w:p>
    <w:p>
      <w:pPr>
        <w:ind w:left="11168"/>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308"/>
          </w:cols>
          <w:pgMar w:left="292" w:top="1327" w:right="299" w:bottom="1440" w:gutter="0" w:footer="0" w:header="0"/>
        </w:sectPr>
      </w:pPr>
    </w:p>
    <w:bookmarkStart w:id="20" w:name="page21"/>
    <w:bookmarkEnd w:id="20"/>
    <w:tbl>
      <w:tblPr>
        <w:tblLayout w:type="fixed"/>
        <w:tblInd w:w="8" w:type="dxa"/>
        <w:tblCellMar>
          <w:top w:w="0" w:type="dxa"/>
          <w:left w:w="0" w:type="dxa"/>
          <w:bottom w:w="0" w:type="dxa"/>
          <w:right w:w="0" w:type="dxa"/>
        </w:tblCellMar>
      </w:tblPr>
      <w:tr>
        <w:trPr>
          <w:trHeight w:val="114"/>
        </w:trPr>
        <w:tc>
          <w:tcPr>
            <w:tcW w:w="2960" w:type="dxa"/>
            <w:vAlign w:val="bottom"/>
            <w:gridSpan w:val="2"/>
          </w:tcPr>
          <w:p>
            <w:pPr>
              <w:spacing w:after="0"/>
              <w:rPr>
                <w:sz w:val="20"/>
                <w:szCs w:val="20"/>
                <w:color w:val="auto"/>
              </w:rPr>
            </w:pPr>
            <w:r>
              <w:rPr>
                <w:rFonts w:ascii="Arial" w:cs="Arial" w:eastAsia="Arial" w:hAnsi="Arial"/>
                <w:sz w:val="8"/>
                <w:szCs w:val="8"/>
                <w:b w:val="1"/>
                <w:bCs w:val="1"/>
                <w:color w:val="005A64"/>
              </w:rPr>
              <w:t>Non-IFRS Reconciliation for the year ended December 31, 2024</w:t>
            </w: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77"/>
        </w:trPr>
        <w:tc>
          <w:tcPr>
            <w:tcW w:w="2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gridSpan w:val="4"/>
          </w:tcPr>
          <w:p>
            <w:pPr>
              <w:ind w:left="1040"/>
              <w:spacing w:after="0"/>
              <w:rPr>
                <w:sz w:val="20"/>
                <w:szCs w:val="20"/>
                <w:color w:val="auto"/>
              </w:rPr>
            </w:pPr>
            <w:r>
              <w:rPr>
                <w:rFonts w:ascii="Arial" w:cs="Arial" w:eastAsia="Arial" w:hAnsi="Arial"/>
                <w:sz w:val="8"/>
                <w:szCs w:val="8"/>
                <w:b w:val="1"/>
                <w:bCs w:val="1"/>
                <w:color w:val="005A64"/>
              </w:rPr>
              <w:t>non-IFRS adjustments</w:t>
            </w: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60" w:type="dxa"/>
            <w:vAlign w:val="bottom"/>
            <w:tcBorders>
              <w:bottom w:val="single" w:sz="8" w:color="005A64"/>
            </w:tcBorders>
          </w:tcPr>
          <w:p>
            <w:pPr>
              <w:spacing w:after="0"/>
              <w:rPr>
                <w:sz w:val="2"/>
                <w:szCs w:val="2"/>
                <w:color w:val="auto"/>
              </w:rPr>
            </w:pPr>
          </w:p>
        </w:tc>
        <w:tc>
          <w:tcPr>
            <w:tcW w:w="1260" w:type="dxa"/>
            <w:vAlign w:val="bottom"/>
            <w:tcBorders>
              <w:bottom w:val="single" w:sz="8" w:color="005A64"/>
            </w:tcBorders>
          </w:tcPr>
          <w:p>
            <w:pPr>
              <w:spacing w:after="0"/>
              <w:rPr>
                <w:sz w:val="2"/>
                <w:szCs w:val="2"/>
                <w:color w:val="auto"/>
              </w:rPr>
            </w:pPr>
          </w:p>
        </w:tc>
        <w:tc>
          <w:tcPr>
            <w:tcW w:w="160" w:type="dxa"/>
            <w:vAlign w:val="bottom"/>
            <w:tcBorders>
              <w:bottom w:val="single" w:sz="8" w:color="005A64"/>
            </w:tcBorders>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60" w:type="dxa"/>
            <w:vAlign w:val="bottom"/>
            <w:tcBorders>
              <w:bottom w:val="single" w:sz="8" w:color="005A64"/>
            </w:tcBorders>
          </w:tcPr>
          <w:p>
            <w:pPr>
              <w:spacing w:after="0"/>
              <w:rPr>
                <w:sz w:val="2"/>
                <w:szCs w:val="2"/>
                <w:color w:val="auto"/>
              </w:rPr>
            </w:pPr>
          </w:p>
        </w:tc>
        <w:tc>
          <w:tcPr>
            <w:tcW w:w="158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8"/>
                <w:szCs w:val="8"/>
                <w:b w:val="1"/>
                <w:bCs w:val="1"/>
                <w:color w:val="005A64"/>
              </w:rPr>
              <w:t>Income from bargain purchase and</w:t>
            </w: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760" w:type="dxa"/>
            <w:vAlign w:val="bottom"/>
            <w:vMerge w:val="restart"/>
          </w:tcPr>
          <w:p>
            <w:pPr>
              <w:spacing w:after="0"/>
              <w:rPr>
                <w:sz w:val="20"/>
                <w:szCs w:val="20"/>
                <w:color w:val="auto"/>
              </w:rPr>
            </w:pPr>
            <w:r>
              <w:rPr>
                <w:rFonts w:ascii="Arial" w:cs="Arial" w:eastAsia="Arial" w:hAnsi="Arial"/>
                <w:sz w:val="8"/>
                <w:szCs w:val="8"/>
                <w:i w:val="1"/>
                <w:iCs w:val="1"/>
                <w:color w:val="005A64"/>
              </w:rPr>
              <w:t>(in millions €, except per share data)</w:t>
            </w:r>
          </w:p>
        </w:tc>
        <w:tc>
          <w:tcPr>
            <w:tcW w:w="200" w:type="dxa"/>
            <w:vAlign w:val="bottom"/>
            <w:vMerge w:val="restart"/>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Arial" w:cs="Arial" w:eastAsia="Arial" w:hAnsi="Arial"/>
                <w:sz w:val="8"/>
                <w:szCs w:val="8"/>
                <w:b w:val="1"/>
                <w:bCs w:val="1"/>
                <w:color w:val="005A64"/>
              </w:rPr>
              <w:t>IFRS Results</w:t>
            </w:r>
          </w:p>
        </w:tc>
        <w:tc>
          <w:tcPr>
            <w:tcW w:w="180" w:type="dxa"/>
            <w:vAlign w:val="bottom"/>
            <w:vMerge w:val="restart"/>
          </w:tcPr>
          <w:p>
            <w:pPr>
              <w:spacing w:after="0"/>
              <w:rPr>
                <w:sz w:val="9"/>
                <w:szCs w:val="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8"/>
                <w:szCs w:val="8"/>
                <w:b w:val="1"/>
                <w:bCs w:val="1"/>
                <w:color w:val="005A64"/>
              </w:rPr>
              <w:t>Expenses and income from</w:t>
            </w:r>
          </w:p>
        </w:tc>
        <w:tc>
          <w:tcPr>
            <w:tcW w:w="1260" w:type="dxa"/>
            <w:vAlign w:val="bottom"/>
            <w:vMerge w:val="restart"/>
          </w:tcPr>
          <w:p>
            <w:pPr>
              <w:jc w:val="right"/>
              <w:spacing w:after="0"/>
              <w:rPr>
                <w:sz w:val="20"/>
                <w:szCs w:val="20"/>
                <w:color w:val="auto"/>
              </w:rPr>
            </w:pPr>
            <w:r>
              <w:rPr>
                <w:rFonts w:ascii="Arial" w:cs="Arial" w:eastAsia="Arial" w:hAnsi="Arial"/>
                <w:sz w:val="8"/>
                <w:szCs w:val="8"/>
                <w:b w:val="1"/>
                <w:bCs w:val="1"/>
                <w:color w:val="005A64"/>
              </w:rPr>
              <w:t>Impairment and reversal</w:t>
            </w:r>
          </w:p>
        </w:tc>
        <w:tc>
          <w:tcPr>
            <w:tcW w:w="160" w:type="dxa"/>
            <w:vAlign w:val="bottom"/>
            <w:vMerge w:val="restart"/>
          </w:tcPr>
          <w:p>
            <w:pPr>
              <w:spacing w:after="0"/>
              <w:rPr>
                <w:sz w:val="9"/>
                <w:szCs w:val="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8"/>
                <w:szCs w:val="8"/>
                <w:b w:val="1"/>
                <w:bCs w:val="1"/>
                <w:color w:val="005A64"/>
              </w:rPr>
              <w:t>Employee-related expenses</w:t>
            </w:r>
          </w:p>
        </w:tc>
        <w:tc>
          <w:tcPr>
            <w:tcW w:w="1740" w:type="dxa"/>
            <w:vAlign w:val="bottom"/>
            <w:gridSpan w:val="2"/>
          </w:tcPr>
          <w:p>
            <w:pPr>
              <w:jc w:val="right"/>
              <w:ind w:right="180"/>
              <w:spacing w:after="0"/>
              <w:rPr>
                <w:sz w:val="20"/>
                <w:szCs w:val="20"/>
                <w:color w:val="auto"/>
              </w:rPr>
            </w:pPr>
            <w:r>
              <w:rPr>
                <w:rFonts w:ascii="Arial" w:cs="Arial" w:eastAsia="Arial" w:hAnsi="Arial"/>
                <w:sz w:val="8"/>
                <w:szCs w:val="8"/>
                <w:b w:val="1"/>
                <w:bCs w:val="1"/>
                <w:color w:val="005A64"/>
              </w:rPr>
              <w:t>income and expenses from divestiture</w:t>
            </w:r>
          </w:p>
        </w:tc>
        <w:tc>
          <w:tcPr>
            <w:tcW w:w="1100" w:type="dxa"/>
            <w:vAlign w:val="bottom"/>
            <w:vMerge w:val="restart"/>
          </w:tcPr>
          <w:p>
            <w:pPr>
              <w:jc w:val="right"/>
              <w:spacing w:after="0"/>
              <w:rPr>
                <w:sz w:val="20"/>
                <w:szCs w:val="20"/>
                <w:color w:val="auto"/>
              </w:rPr>
            </w:pPr>
            <w:r>
              <w:rPr>
                <w:rFonts w:ascii="Arial" w:cs="Arial" w:eastAsia="Arial" w:hAnsi="Arial"/>
                <w:sz w:val="8"/>
                <w:szCs w:val="8"/>
                <w:b w:val="1"/>
                <w:bCs w:val="1"/>
                <w:color w:val="005A64"/>
              </w:rPr>
              <w:t>Adjusted Results</w:t>
            </w:r>
          </w:p>
        </w:tc>
        <w:tc>
          <w:tcPr>
            <w:tcW w:w="0" w:type="dxa"/>
            <w:vAlign w:val="bottom"/>
          </w:tcPr>
          <w:p>
            <w:pPr>
              <w:spacing w:after="0"/>
              <w:rPr>
                <w:sz w:val="1"/>
                <w:szCs w:val="1"/>
                <w:color w:val="auto"/>
              </w:rPr>
            </w:pPr>
          </w:p>
        </w:tc>
      </w:tr>
      <w:tr>
        <w:trPr>
          <w:trHeight w:val="121"/>
        </w:trPr>
        <w:tc>
          <w:tcPr>
            <w:tcW w:w="2760" w:type="dxa"/>
            <w:vAlign w:val="bottom"/>
            <w:tcBorders>
              <w:bottom w:val="single" w:sz="8" w:color="005A64"/>
            </w:tcBorders>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1100" w:type="dxa"/>
            <w:vAlign w:val="bottom"/>
            <w:tcBorders>
              <w:bottom w:val="single" w:sz="8" w:color="005A64"/>
            </w:tcBorders>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8"/>
                <w:szCs w:val="8"/>
                <w:b w:val="1"/>
                <w:bCs w:val="1"/>
                <w:color w:val="005A64"/>
              </w:rPr>
              <w:t>legal proceedings</w:t>
            </w:r>
          </w:p>
        </w:tc>
        <w:tc>
          <w:tcPr>
            <w:tcW w:w="160" w:type="dxa"/>
            <w:vAlign w:val="bottom"/>
          </w:tcPr>
          <w:p>
            <w:pPr>
              <w:spacing w:after="0"/>
              <w:rPr>
                <w:sz w:val="10"/>
                <w:szCs w:val="10"/>
                <w:color w:val="auto"/>
              </w:rPr>
            </w:pPr>
          </w:p>
        </w:tc>
        <w:tc>
          <w:tcPr>
            <w:tcW w:w="1260" w:type="dxa"/>
            <w:vAlign w:val="bottom"/>
            <w:tcBorders>
              <w:bottom w:val="single" w:sz="8" w:color="005A64"/>
            </w:tcBorders>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8"/>
                <w:szCs w:val="8"/>
                <w:b w:val="1"/>
                <w:bCs w:val="1"/>
                <w:color w:val="005A64"/>
              </w:rPr>
              <w:t>from restructuring</w:t>
            </w:r>
          </w:p>
        </w:tc>
        <w:tc>
          <w:tcPr>
            <w:tcW w:w="160" w:type="dxa"/>
            <w:vAlign w:val="bottom"/>
          </w:tcPr>
          <w:p>
            <w:pPr>
              <w:spacing w:after="0"/>
              <w:rPr>
                <w:sz w:val="10"/>
                <w:szCs w:val="10"/>
                <w:color w:val="auto"/>
              </w:rPr>
            </w:pPr>
          </w:p>
        </w:tc>
        <w:tc>
          <w:tcPr>
            <w:tcW w:w="1580" w:type="dxa"/>
            <w:vAlign w:val="bottom"/>
            <w:tcBorders>
              <w:bottom w:val="single" w:sz="8" w:color="005A64"/>
            </w:tcBorders>
          </w:tcPr>
          <w:p>
            <w:pPr>
              <w:jc w:val="right"/>
              <w:spacing w:after="0"/>
              <w:rPr>
                <w:sz w:val="20"/>
                <w:szCs w:val="20"/>
                <w:color w:val="auto"/>
              </w:rPr>
            </w:pPr>
            <w:r>
              <w:rPr>
                <w:rFonts w:ascii="Arial" w:cs="Arial" w:eastAsia="Arial" w:hAnsi="Arial"/>
                <w:sz w:val="8"/>
                <w:szCs w:val="8"/>
                <w:b w:val="1"/>
                <w:bCs w:val="1"/>
                <w:color w:val="005A64"/>
              </w:rPr>
              <w:t>related items</w:t>
            </w:r>
          </w:p>
        </w:tc>
        <w:tc>
          <w:tcPr>
            <w:tcW w:w="160" w:type="dxa"/>
            <w:vAlign w:val="bottom"/>
          </w:tcPr>
          <w:p>
            <w:pPr>
              <w:spacing w:after="0"/>
              <w:rPr>
                <w:sz w:val="10"/>
                <w:szCs w:val="10"/>
                <w:color w:val="auto"/>
              </w:rPr>
            </w:pPr>
          </w:p>
        </w:tc>
        <w:tc>
          <w:tcPr>
            <w:tcW w:w="1100" w:type="dxa"/>
            <w:vAlign w:val="bottom"/>
            <w:tcBorders>
              <w:bottom w:val="single" w:sz="8" w:color="005A64"/>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960" w:type="dxa"/>
            <w:vAlign w:val="bottom"/>
            <w:gridSpan w:val="2"/>
          </w:tcPr>
          <w:p>
            <w:pPr>
              <w:spacing w:after="0"/>
              <w:rPr>
                <w:sz w:val="20"/>
                <w:szCs w:val="20"/>
                <w:color w:val="auto"/>
              </w:rPr>
            </w:pPr>
            <w:r>
              <w:rPr>
                <w:rFonts w:ascii="Arial" w:cs="Arial" w:eastAsia="Arial" w:hAnsi="Arial"/>
                <w:sz w:val="8"/>
                <w:szCs w:val="8"/>
                <w:color w:val="005A64"/>
              </w:rPr>
              <w:t>Cost of sales</w:t>
            </w:r>
          </w:p>
        </w:tc>
        <w:tc>
          <w:tcPr>
            <w:tcW w:w="1100" w:type="dxa"/>
            <w:vAlign w:val="bottom"/>
          </w:tcPr>
          <w:p>
            <w:pPr>
              <w:jc w:val="right"/>
              <w:spacing w:after="0"/>
              <w:rPr>
                <w:sz w:val="20"/>
                <w:szCs w:val="20"/>
                <w:color w:val="auto"/>
              </w:rPr>
            </w:pPr>
            <w:r>
              <w:rPr>
                <w:rFonts w:ascii="Arial" w:cs="Arial" w:eastAsia="Arial" w:hAnsi="Arial"/>
                <w:sz w:val="8"/>
                <w:szCs w:val="8"/>
                <w:color w:val="005A64"/>
              </w:rPr>
              <w:t>(541.3)</w:t>
            </w:r>
          </w:p>
        </w:tc>
        <w:tc>
          <w:tcPr>
            <w:tcW w:w="180" w:type="dxa"/>
            <w:vAlign w:val="bottom"/>
          </w:tcPr>
          <w:p>
            <w:pPr>
              <w:spacing w:after="0"/>
              <w:rPr>
                <w:sz w:val="9"/>
                <w:szCs w:val="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8"/>
                <w:szCs w:val="8"/>
                <w:color w:val="005A64"/>
              </w:rPr>
              <w:t>—</w:t>
            </w:r>
          </w:p>
        </w:tc>
        <w:tc>
          <w:tcPr>
            <w:tcW w:w="1260" w:type="dxa"/>
            <w:vAlign w:val="bottom"/>
          </w:tcPr>
          <w:p>
            <w:pPr>
              <w:jc w:val="right"/>
              <w:spacing w:after="0"/>
              <w:rPr>
                <w:sz w:val="20"/>
                <w:szCs w:val="20"/>
                <w:color w:val="auto"/>
              </w:rPr>
            </w:pPr>
            <w:r>
              <w:rPr>
                <w:rFonts w:ascii="Arial" w:cs="Arial" w:eastAsia="Arial" w:hAnsi="Arial"/>
                <w:sz w:val="8"/>
                <w:szCs w:val="8"/>
                <w:color w:val="005A64"/>
              </w:rPr>
              <w:t>48.1</w:t>
            </w:r>
          </w:p>
        </w:tc>
        <w:tc>
          <w:tcPr>
            <w:tcW w:w="160" w:type="dxa"/>
            <w:vAlign w:val="bottom"/>
          </w:tcPr>
          <w:p>
            <w:pPr>
              <w:spacing w:after="0"/>
              <w:rPr>
                <w:sz w:val="9"/>
                <w:szCs w:val="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8"/>
                <w:szCs w:val="8"/>
                <w:color w:val="005A64"/>
              </w:rPr>
              <w:t>—</w:t>
            </w:r>
          </w:p>
        </w:tc>
        <w:tc>
          <w:tcPr>
            <w:tcW w:w="1740" w:type="dxa"/>
            <w:vAlign w:val="bottom"/>
            <w:gridSpan w:val="2"/>
          </w:tcPr>
          <w:p>
            <w:pPr>
              <w:jc w:val="right"/>
              <w:ind w:right="180"/>
              <w:spacing w:after="0"/>
              <w:rPr>
                <w:sz w:val="20"/>
                <w:szCs w:val="20"/>
                <w:color w:val="auto"/>
              </w:rPr>
            </w:pPr>
            <w:r>
              <w:rPr>
                <w:rFonts w:ascii="Arial" w:cs="Arial" w:eastAsia="Arial" w:hAnsi="Arial"/>
                <w:sz w:val="8"/>
                <w:szCs w:val="8"/>
                <w:color w:val="005A64"/>
              </w:rPr>
              <w:t>—</w:t>
            </w:r>
          </w:p>
        </w:tc>
        <w:tc>
          <w:tcPr>
            <w:tcW w:w="1100" w:type="dxa"/>
            <w:vAlign w:val="bottom"/>
          </w:tcPr>
          <w:p>
            <w:pPr>
              <w:jc w:val="right"/>
              <w:spacing w:after="0"/>
              <w:rPr>
                <w:sz w:val="20"/>
                <w:szCs w:val="20"/>
                <w:color w:val="auto"/>
              </w:rPr>
            </w:pPr>
            <w:r>
              <w:rPr>
                <w:rFonts w:ascii="Arial" w:cs="Arial" w:eastAsia="Arial" w:hAnsi="Arial"/>
                <w:sz w:val="8"/>
                <w:szCs w:val="8"/>
                <w:color w:val="005A64"/>
              </w:rPr>
              <w:t>(493.2)</w:t>
            </w:r>
          </w:p>
        </w:tc>
        <w:tc>
          <w:tcPr>
            <w:tcW w:w="0" w:type="dxa"/>
            <w:vAlign w:val="bottom"/>
          </w:tcPr>
          <w:p>
            <w:pPr>
              <w:spacing w:after="0"/>
              <w:rPr>
                <w:sz w:val="1"/>
                <w:szCs w:val="1"/>
                <w:color w:val="auto"/>
              </w:rPr>
            </w:pPr>
          </w:p>
        </w:tc>
      </w:tr>
      <w:tr>
        <w:trPr>
          <w:trHeight w:val="37"/>
        </w:trPr>
        <w:tc>
          <w:tcPr>
            <w:tcW w:w="2760" w:type="dxa"/>
            <w:vAlign w:val="bottom"/>
            <w:tcBorders>
              <w:bottom w:val="single" w:sz="8" w:color="7FACB1"/>
            </w:tcBorders>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Borders>
              <w:bottom w:val="single" w:sz="8" w:color="7FACB1"/>
            </w:tcBorders>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60" w:type="dxa"/>
            <w:vAlign w:val="bottom"/>
          </w:tcPr>
          <w:p>
            <w:pPr>
              <w:spacing w:after="0"/>
              <w:rPr>
                <w:sz w:val="3"/>
                <w:szCs w:val="3"/>
                <w:color w:val="auto"/>
              </w:rPr>
            </w:pPr>
          </w:p>
        </w:tc>
        <w:tc>
          <w:tcPr>
            <w:tcW w:w="1580" w:type="dxa"/>
            <w:vAlign w:val="bottom"/>
            <w:tcBorders>
              <w:bottom w:val="single" w:sz="8" w:color="7FACB1"/>
            </w:tcBorders>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05"/>
        </w:trPr>
        <w:tc>
          <w:tcPr>
            <w:tcW w:w="2960" w:type="dxa"/>
            <w:vAlign w:val="bottom"/>
            <w:gridSpan w:val="2"/>
          </w:tcPr>
          <w:p>
            <w:pPr>
              <w:spacing w:after="0"/>
              <w:rPr>
                <w:sz w:val="20"/>
                <w:szCs w:val="20"/>
                <w:color w:val="auto"/>
              </w:rPr>
            </w:pPr>
            <w:r>
              <w:rPr>
                <w:rFonts w:ascii="Arial" w:cs="Arial" w:eastAsia="Arial" w:hAnsi="Arial"/>
                <w:sz w:val="8"/>
                <w:szCs w:val="8"/>
                <w:color w:val="005A64"/>
              </w:rPr>
              <w:t>Research and development expenses</w:t>
            </w:r>
          </w:p>
        </w:tc>
        <w:tc>
          <w:tcPr>
            <w:tcW w:w="1100" w:type="dxa"/>
            <w:vAlign w:val="bottom"/>
          </w:tcPr>
          <w:p>
            <w:pPr>
              <w:jc w:val="right"/>
              <w:spacing w:after="0"/>
              <w:rPr>
                <w:sz w:val="20"/>
                <w:szCs w:val="20"/>
                <w:color w:val="auto"/>
              </w:rPr>
            </w:pPr>
            <w:r>
              <w:rPr>
                <w:rFonts w:ascii="Arial" w:cs="Arial" w:eastAsia="Arial" w:hAnsi="Arial"/>
                <w:sz w:val="8"/>
                <w:szCs w:val="8"/>
                <w:color w:val="005A64"/>
              </w:rPr>
              <w:t>(2,254.2)</w:t>
            </w:r>
          </w:p>
        </w:tc>
        <w:tc>
          <w:tcPr>
            <w:tcW w:w="180" w:type="dxa"/>
            <w:vAlign w:val="bottom"/>
          </w:tcPr>
          <w:p>
            <w:pPr>
              <w:spacing w:after="0"/>
              <w:rPr>
                <w:sz w:val="9"/>
                <w:szCs w:val="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8"/>
                <w:szCs w:val="8"/>
                <w:color w:val="005A64"/>
              </w:rPr>
              <w:t>—</w:t>
            </w:r>
          </w:p>
        </w:tc>
        <w:tc>
          <w:tcPr>
            <w:tcW w:w="1260" w:type="dxa"/>
            <w:vAlign w:val="bottom"/>
          </w:tcPr>
          <w:p>
            <w:pPr>
              <w:jc w:val="right"/>
              <w:spacing w:after="0"/>
              <w:rPr>
                <w:sz w:val="20"/>
                <w:szCs w:val="20"/>
                <w:color w:val="auto"/>
              </w:rPr>
            </w:pPr>
            <w:r>
              <w:rPr>
                <w:rFonts w:ascii="Arial" w:cs="Arial" w:eastAsia="Arial" w:hAnsi="Arial"/>
                <w:sz w:val="8"/>
                <w:szCs w:val="8"/>
                <w:color w:val="005A64"/>
              </w:rPr>
              <w:t>81.5</w:t>
            </w:r>
          </w:p>
        </w:tc>
        <w:tc>
          <w:tcPr>
            <w:tcW w:w="160" w:type="dxa"/>
            <w:vAlign w:val="bottom"/>
          </w:tcPr>
          <w:p>
            <w:pPr>
              <w:spacing w:after="0"/>
              <w:rPr>
                <w:sz w:val="9"/>
                <w:szCs w:val="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8"/>
                <w:szCs w:val="8"/>
                <w:color w:val="005A64"/>
              </w:rPr>
              <w:t>—</w:t>
            </w:r>
          </w:p>
        </w:tc>
        <w:tc>
          <w:tcPr>
            <w:tcW w:w="1740" w:type="dxa"/>
            <w:vAlign w:val="bottom"/>
            <w:gridSpan w:val="2"/>
          </w:tcPr>
          <w:p>
            <w:pPr>
              <w:jc w:val="right"/>
              <w:ind w:right="180"/>
              <w:spacing w:after="0"/>
              <w:rPr>
                <w:sz w:val="20"/>
                <w:szCs w:val="20"/>
                <w:color w:val="auto"/>
              </w:rPr>
            </w:pPr>
            <w:r>
              <w:rPr>
                <w:rFonts w:ascii="Arial" w:cs="Arial" w:eastAsia="Arial" w:hAnsi="Arial"/>
                <w:sz w:val="8"/>
                <w:szCs w:val="8"/>
                <w:color w:val="005A64"/>
              </w:rPr>
              <w:t>—</w:t>
            </w:r>
          </w:p>
        </w:tc>
        <w:tc>
          <w:tcPr>
            <w:tcW w:w="1100" w:type="dxa"/>
            <w:vAlign w:val="bottom"/>
          </w:tcPr>
          <w:p>
            <w:pPr>
              <w:jc w:val="right"/>
              <w:spacing w:after="0"/>
              <w:rPr>
                <w:sz w:val="20"/>
                <w:szCs w:val="20"/>
                <w:color w:val="auto"/>
              </w:rPr>
            </w:pPr>
            <w:r>
              <w:rPr>
                <w:rFonts w:ascii="Arial" w:cs="Arial" w:eastAsia="Arial" w:hAnsi="Arial"/>
                <w:sz w:val="8"/>
                <w:szCs w:val="8"/>
                <w:color w:val="005A64"/>
              </w:rPr>
              <w:t>(2,172.7)</w:t>
            </w:r>
          </w:p>
        </w:tc>
        <w:tc>
          <w:tcPr>
            <w:tcW w:w="0" w:type="dxa"/>
            <w:vAlign w:val="bottom"/>
          </w:tcPr>
          <w:p>
            <w:pPr>
              <w:spacing w:after="0"/>
              <w:rPr>
                <w:sz w:val="1"/>
                <w:szCs w:val="1"/>
                <w:color w:val="auto"/>
              </w:rPr>
            </w:pPr>
          </w:p>
        </w:tc>
      </w:tr>
      <w:tr>
        <w:trPr>
          <w:trHeight w:val="37"/>
        </w:trPr>
        <w:tc>
          <w:tcPr>
            <w:tcW w:w="2760" w:type="dxa"/>
            <w:vAlign w:val="bottom"/>
            <w:tcBorders>
              <w:bottom w:val="single" w:sz="8" w:color="7FACB1"/>
            </w:tcBorders>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Borders>
              <w:bottom w:val="single" w:sz="8" w:color="7FACB1"/>
            </w:tcBorders>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60" w:type="dxa"/>
            <w:vAlign w:val="bottom"/>
          </w:tcPr>
          <w:p>
            <w:pPr>
              <w:spacing w:after="0"/>
              <w:rPr>
                <w:sz w:val="3"/>
                <w:szCs w:val="3"/>
                <w:color w:val="auto"/>
              </w:rPr>
            </w:pPr>
          </w:p>
        </w:tc>
        <w:tc>
          <w:tcPr>
            <w:tcW w:w="1580" w:type="dxa"/>
            <w:vAlign w:val="bottom"/>
            <w:tcBorders>
              <w:bottom w:val="single" w:sz="8" w:color="7FACB1"/>
            </w:tcBorders>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05"/>
        </w:trPr>
        <w:tc>
          <w:tcPr>
            <w:tcW w:w="2960" w:type="dxa"/>
            <w:vAlign w:val="bottom"/>
            <w:gridSpan w:val="2"/>
          </w:tcPr>
          <w:p>
            <w:pPr>
              <w:spacing w:after="0"/>
              <w:rPr>
                <w:sz w:val="20"/>
                <w:szCs w:val="20"/>
                <w:color w:val="auto"/>
              </w:rPr>
            </w:pPr>
            <w:r>
              <w:rPr>
                <w:rFonts w:ascii="Arial" w:cs="Arial" w:eastAsia="Arial" w:hAnsi="Arial"/>
                <w:sz w:val="8"/>
                <w:szCs w:val="8"/>
                <w:color w:val="005A64"/>
              </w:rPr>
              <w:t>Other operating expenses</w:t>
            </w:r>
          </w:p>
        </w:tc>
        <w:tc>
          <w:tcPr>
            <w:tcW w:w="1100" w:type="dxa"/>
            <w:vAlign w:val="bottom"/>
          </w:tcPr>
          <w:p>
            <w:pPr>
              <w:jc w:val="right"/>
              <w:spacing w:after="0"/>
              <w:rPr>
                <w:sz w:val="20"/>
                <w:szCs w:val="20"/>
                <w:color w:val="auto"/>
              </w:rPr>
            </w:pPr>
            <w:r>
              <w:rPr>
                <w:rFonts w:ascii="Arial" w:cs="Arial" w:eastAsia="Arial" w:hAnsi="Arial"/>
                <w:sz w:val="8"/>
                <w:szCs w:val="8"/>
                <w:color w:val="005A64"/>
              </w:rPr>
              <w:t>(811.5)</w:t>
            </w:r>
          </w:p>
        </w:tc>
        <w:tc>
          <w:tcPr>
            <w:tcW w:w="180" w:type="dxa"/>
            <w:vAlign w:val="bottom"/>
          </w:tcPr>
          <w:p>
            <w:pPr>
              <w:spacing w:after="0"/>
              <w:rPr>
                <w:sz w:val="9"/>
                <w:szCs w:val="9"/>
                <w:color w:val="auto"/>
              </w:rPr>
            </w:pPr>
          </w:p>
        </w:tc>
        <w:tc>
          <w:tcPr>
            <w:tcW w:w="1240" w:type="dxa"/>
            <w:vAlign w:val="bottom"/>
          </w:tcPr>
          <w:p>
            <w:pPr>
              <w:jc w:val="right"/>
              <w:spacing w:after="0"/>
              <w:rPr>
                <w:sz w:val="20"/>
                <w:szCs w:val="20"/>
                <w:color w:val="auto"/>
              </w:rPr>
            </w:pPr>
            <w:r>
              <w:rPr>
                <w:rFonts w:ascii="Arial" w:cs="Arial" w:eastAsia="Arial" w:hAnsi="Arial"/>
                <w:sz w:val="8"/>
                <w:szCs w:val="8"/>
                <w:color w:val="005A64"/>
              </w:rPr>
              <w:t>657.4</w:t>
            </w:r>
          </w:p>
        </w:tc>
        <w:tc>
          <w:tcPr>
            <w:tcW w:w="160" w:type="dxa"/>
            <w:vAlign w:val="bottom"/>
          </w:tcPr>
          <w:p>
            <w:pPr>
              <w:spacing w:after="0"/>
              <w:rPr>
                <w:sz w:val="9"/>
                <w:szCs w:val="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8"/>
                <w:szCs w:val="8"/>
                <w:color w:val="005A64"/>
              </w:rPr>
              <w:t>—</w:t>
            </w:r>
          </w:p>
        </w:tc>
        <w:tc>
          <w:tcPr>
            <w:tcW w:w="1400" w:type="dxa"/>
            <w:vAlign w:val="bottom"/>
            <w:gridSpan w:val="2"/>
          </w:tcPr>
          <w:p>
            <w:pPr>
              <w:jc w:val="right"/>
              <w:ind w:right="160"/>
              <w:spacing w:after="0"/>
              <w:rPr>
                <w:sz w:val="20"/>
                <w:szCs w:val="20"/>
                <w:color w:val="auto"/>
              </w:rPr>
            </w:pPr>
            <w:r>
              <w:rPr>
                <w:rFonts w:ascii="Arial" w:cs="Arial" w:eastAsia="Arial" w:hAnsi="Arial"/>
                <w:sz w:val="8"/>
                <w:szCs w:val="8"/>
                <w:color w:val="005A64"/>
              </w:rPr>
              <w:t>—</w:t>
            </w:r>
          </w:p>
        </w:tc>
        <w:tc>
          <w:tcPr>
            <w:tcW w:w="1740" w:type="dxa"/>
            <w:vAlign w:val="bottom"/>
            <w:gridSpan w:val="2"/>
          </w:tcPr>
          <w:p>
            <w:pPr>
              <w:jc w:val="right"/>
              <w:ind w:right="180"/>
              <w:spacing w:after="0"/>
              <w:rPr>
                <w:sz w:val="20"/>
                <w:szCs w:val="20"/>
                <w:color w:val="auto"/>
              </w:rPr>
            </w:pPr>
            <w:r>
              <w:rPr>
                <w:rFonts w:ascii="Arial" w:cs="Arial" w:eastAsia="Arial" w:hAnsi="Arial"/>
                <w:sz w:val="8"/>
                <w:szCs w:val="8"/>
                <w:color w:val="005A64"/>
              </w:rPr>
              <w:t>—</w:t>
            </w:r>
          </w:p>
        </w:tc>
        <w:tc>
          <w:tcPr>
            <w:tcW w:w="1100" w:type="dxa"/>
            <w:vAlign w:val="bottom"/>
          </w:tcPr>
          <w:p>
            <w:pPr>
              <w:jc w:val="right"/>
              <w:spacing w:after="0"/>
              <w:rPr>
                <w:sz w:val="20"/>
                <w:szCs w:val="20"/>
                <w:color w:val="auto"/>
              </w:rPr>
            </w:pPr>
            <w:r>
              <w:rPr>
                <w:rFonts w:ascii="Arial" w:cs="Arial" w:eastAsia="Arial" w:hAnsi="Arial"/>
                <w:sz w:val="8"/>
                <w:szCs w:val="8"/>
                <w:color w:val="005A64"/>
              </w:rPr>
              <w:t>(154.1)</w:t>
            </w:r>
          </w:p>
        </w:tc>
        <w:tc>
          <w:tcPr>
            <w:tcW w:w="0" w:type="dxa"/>
            <w:vAlign w:val="bottom"/>
          </w:tcPr>
          <w:p>
            <w:pPr>
              <w:spacing w:after="0"/>
              <w:rPr>
                <w:sz w:val="1"/>
                <w:szCs w:val="1"/>
                <w:color w:val="auto"/>
              </w:rPr>
            </w:pPr>
          </w:p>
        </w:tc>
      </w:tr>
      <w:tr>
        <w:trPr>
          <w:trHeight w:val="37"/>
        </w:trPr>
        <w:tc>
          <w:tcPr>
            <w:tcW w:w="2760" w:type="dxa"/>
            <w:vAlign w:val="bottom"/>
            <w:tcBorders>
              <w:bottom w:val="single" w:sz="8" w:color="7FACB1"/>
            </w:tcBorders>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Borders>
              <w:bottom w:val="single" w:sz="8" w:color="7FACB1"/>
            </w:tcBorders>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60" w:type="dxa"/>
            <w:vAlign w:val="bottom"/>
          </w:tcPr>
          <w:p>
            <w:pPr>
              <w:spacing w:after="0"/>
              <w:rPr>
                <w:sz w:val="3"/>
                <w:szCs w:val="3"/>
                <w:color w:val="auto"/>
              </w:rPr>
            </w:pPr>
          </w:p>
        </w:tc>
        <w:tc>
          <w:tcPr>
            <w:tcW w:w="1580" w:type="dxa"/>
            <w:vAlign w:val="bottom"/>
            <w:tcBorders>
              <w:bottom w:val="single" w:sz="8" w:color="7FACB1"/>
            </w:tcBorders>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960" w:type="dxa"/>
            <w:vAlign w:val="bottom"/>
            <w:gridSpan w:val="2"/>
          </w:tcPr>
          <w:p>
            <w:pPr>
              <w:spacing w:after="0"/>
              <w:rPr>
                <w:sz w:val="20"/>
                <w:szCs w:val="20"/>
                <w:color w:val="auto"/>
              </w:rPr>
            </w:pPr>
            <w:r>
              <w:rPr>
                <w:rFonts w:ascii="Arial" w:cs="Arial" w:eastAsia="Arial" w:hAnsi="Arial"/>
                <w:sz w:val="8"/>
                <w:szCs w:val="8"/>
                <w:b w:val="1"/>
                <w:bCs w:val="1"/>
                <w:color w:val="005A64"/>
              </w:rPr>
              <w:t>Operating loss</w:t>
            </w:r>
          </w:p>
        </w:tc>
        <w:tc>
          <w:tcPr>
            <w:tcW w:w="1100" w:type="dxa"/>
            <w:vAlign w:val="bottom"/>
          </w:tcPr>
          <w:p>
            <w:pPr>
              <w:jc w:val="right"/>
              <w:spacing w:after="0"/>
              <w:rPr>
                <w:sz w:val="20"/>
                <w:szCs w:val="20"/>
                <w:color w:val="auto"/>
              </w:rPr>
            </w:pPr>
            <w:r>
              <w:rPr>
                <w:rFonts w:ascii="Arial" w:cs="Arial" w:eastAsia="Arial" w:hAnsi="Arial"/>
                <w:sz w:val="8"/>
                <w:szCs w:val="8"/>
                <w:b w:val="1"/>
                <w:bCs w:val="1"/>
                <w:color w:val="005A64"/>
              </w:rPr>
              <w:t>(1,314.3)</w:t>
            </w:r>
          </w:p>
        </w:tc>
        <w:tc>
          <w:tcPr>
            <w:tcW w:w="180" w:type="dxa"/>
            <w:vAlign w:val="bottom"/>
          </w:tcPr>
          <w:p>
            <w:pPr>
              <w:spacing w:after="0"/>
              <w:rPr>
                <w:sz w:val="9"/>
                <w:szCs w:val="9"/>
                <w:color w:val="auto"/>
              </w:rPr>
            </w:pPr>
          </w:p>
        </w:tc>
        <w:tc>
          <w:tcPr>
            <w:tcW w:w="1240" w:type="dxa"/>
            <w:vAlign w:val="bottom"/>
          </w:tcPr>
          <w:p>
            <w:pPr>
              <w:jc w:val="right"/>
              <w:spacing w:after="0"/>
              <w:rPr>
                <w:sz w:val="20"/>
                <w:szCs w:val="20"/>
                <w:color w:val="auto"/>
              </w:rPr>
            </w:pPr>
            <w:r>
              <w:rPr>
                <w:rFonts w:ascii="Arial" w:cs="Arial" w:eastAsia="Arial" w:hAnsi="Arial"/>
                <w:sz w:val="8"/>
                <w:szCs w:val="8"/>
                <w:b w:val="1"/>
                <w:bCs w:val="1"/>
                <w:color w:val="005A64"/>
              </w:rPr>
              <w:t>657.4</w:t>
            </w:r>
          </w:p>
        </w:tc>
        <w:tc>
          <w:tcPr>
            <w:tcW w:w="160" w:type="dxa"/>
            <w:vAlign w:val="bottom"/>
          </w:tcPr>
          <w:p>
            <w:pPr>
              <w:spacing w:after="0"/>
              <w:rPr>
                <w:sz w:val="9"/>
                <w:szCs w:val="9"/>
                <w:color w:val="auto"/>
              </w:rPr>
            </w:pPr>
          </w:p>
        </w:tc>
        <w:tc>
          <w:tcPr>
            <w:tcW w:w="1260" w:type="dxa"/>
            <w:vAlign w:val="bottom"/>
          </w:tcPr>
          <w:p>
            <w:pPr>
              <w:jc w:val="right"/>
              <w:spacing w:after="0"/>
              <w:rPr>
                <w:sz w:val="20"/>
                <w:szCs w:val="20"/>
                <w:color w:val="auto"/>
              </w:rPr>
            </w:pPr>
            <w:r>
              <w:rPr>
                <w:rFonts w:ascii="Arial" w:cs="Arial" w:eastAsia="Arial" w:hAnsi="Arial"/>
                <w:sz w:val="8"/>
                <w:szCs w:val="8"/>
                <w:b w:val="1"/>
                <w:bCs w:val="1"/>
                <w:color w:val="005A64"/>
              </w:rPr>
              <w:t>129.6</w:t>
            </w:r>
          </w:p>
        </w:tc>
        <w:tc>
          <w:tcPr>
            <w:tcW w:w="160" w:type="dxa"/>
            <w:vAlign w:val="bottom"/>
          </w:tcPr>
          <w:p>
            <w:pPr>
              <w:spacing w:after="0"/>
              <w:rPr>
                <w:sz w:val="9"/>
                <w:szCs w:val="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8"/>
                <w:szCs w:val="8"/>
                <w:b w:val="1"/>
                <w:bCs w:val="1"/>
                <w:color w:val="005A64"/>
              </w:rPr>
              <w:t>—</w:t>
            </w:r>
          </w:p>
        </w:tc>
        <w:tc>
          <w:tcPr>
            <w:tcW w:w="1740" w:type="dxa"/>
            <w:vAlign w:val="bottom"/>
            <w:gridSpan w:val="2"/>
          </w:tcPr>
          <w:p>
            <w:pPr>
              <w:jc w:val="right"/>
              <w:ind w:right="180"/>
              <w:spacing w:after="0"/>
              <w:rPr>
                <w:sz w:val="20"/>
                <w:szCs w:val="20"/>
                <w:color w:val="auto"/>
              </w:rPr>
            </w:pPr>
            <w:r>
              <w:rPr>
                <w:rFonts w:ascii="Arial" w:cs="Arial" w:eastAsia="Arial" w:hAnsi="Arial"/>
                <w:sz w:val="8"/>
                <w:szCs w:val="8"/>
                <w:b w:val="1"/>
                <w:bCs w:val="1"/>
                <w:color w:val="005A64"/>
              </w:rPr>
              <w:t>—</w:t>
            </w:r>
          </w:p>
        </w:tc>
        <w:tc>
          <w:tcPr>
            <w:tcW w:w="1100" w:type="dxa"/>
            <w:vAlign w:val="bottom"/>
          </w:tcPr>
          <w:p>
            <w:pPr>
              <w:jc w:val="right"/>
              <w:spacing w:after="0"/>
              <w:rPr>
                <w:sz w:val="20"/>
                <w:szCs w:val="20"/>
                <w:color w:val="auto"/>
              </w:rPr>
            </w:pPr>
            <w:r>
              <w:rPr>
                <w:rFonts w:ascii="Arial" w:cs="Arial" w:eastAsia="Arial" w:hAnsi="Arial"/>
                <w:sz w:val="8"/>
                <w:szCs w:val="8"/>
                <w:b w:val="1"/>
                <w:bCs w:val="1"/>
                <w:color w:val="005A64"/>
              </w:rPr>
              <w:t>(527.3)</w:t>
            </w:r>
          </w:p>
        </w:tc>
        <w:tc>
          <w:tcPr>
            <w:tcW w:w="0" w:type="dxa"/>
            <w:vAlign w:val="bottom"/>
          </w:tcPr>
          <w:p>
            <w:pPr>
              <w:spacing w:after="0"/>
              <w:rPr>
                <w:sz w:val="1"/>
                <w:szCs w:val="1"/>
                <w:color w:val="auto"/>
              </w:rPr>
            </w:pPr>
          </w:p>
        </w:tc>
      </w:tr>
      <w:tr>
        <w:trPr>
          <w:trHeight w:val="33"/>
        </w:trPr>
        <w:tc>
          <w:tcPr>
            <w:tcW w:w="2760" w:type="dxa"/>
            <w:vAlign w:val="bottom"/>
            <w:tcBorders>
              <w:bottom w:val="single" w:sz="8" w:color="005A64"/>
            </w:tcBorders>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09"/>
        </w:trPr>
        <w:tc>
          <w:tcPr>
            <w:tcW w:w="2960" w:type="dxa"/>
            <w:vAlign w:val="bottom"/>
            <w:gridSpan w:val="2"/>
          </w:tcPr>
          <w:p>
            <w:pPr>
              <w:spacing w:after="0"/>
              <w:rPr>
                <w:sz w:val="20"/>
                <w:szCs w:val="20"/>
                <w:color w:val="auto"/>
              </w:rPr>
            </w:pPr>
            <w:r>
              <w:rPr>
                <w:rFonts w:ascii="Arial" w:cs="Arial" w:eastAsia="Arial" w:hAnsi="Arial"/>
                <w:sz w:val="8"/>
                <w:szCs w:val="8"/>
                <w:b w:val="1"/>
                <w:bCs w:val="1"/>
                <w:color w:val="005A64"/>
              </w:rPr>
              <w:t>Profit / (Loss) before tax</w:t>
            </w:r>
          </w:p>
        </w:tc>
        <w:tc>
          <w:tcPr>
            <w:tcW w:w="1100" w:type="dxa"/>
            <w:vAlign w:val="bottom"/>
          </w:tcPr>
          <w:p>
            <w:pPr>
              <w:jc w:val="right"/>
              <w:spacing w:after="0"/>
              <w:rPr>
                <w:sz w:val="20"/>
                <w:szCs w:val="20"/>
                <w:color w:val="auto"/>
              </w:rPr>
            </w:pPr>
            <w:r>
              <w:rPr>
                <w:rFonts w:ascii="Arial" w:cs="Arial" w:eastAsia="Arial" w:hAnsi="Arial"/>
                <w:sz w:val="8"/>
                <w:szCs w:val="8"/>
                <w:b w:val="1"/>
                <w:bCs w:val="1"/>
                <w:color w:val="005A64"/>
              </w:rPr>
              <w:t>(677.7)</w:t>
            </w:r>
          </w:p>
        </w:tc>
        <w:tc>
          <w:tcPr>
            <w:tcW w:w="180" w:type="dxa"/>
            <w:vAlign w:val="bottom"/>
          </w:tcPr>
          <w:p>
            <w:pPr>
              <w:spacing w:after="0"/>
              <w:rPr>
                <w:sz w:val="9"/>
                <w:szCs w:val="9"/>
                <w:color w:val="auto"/>
              </w:rPr>
            </w:pPr>
          </w:p>
        </w:tc>
        <w:tc>
          <w:tcPr>
            <w:tcW w:w="1240" w:type="dxa"/>
            <w:vAlign w:val="bottom"/>
          </w:tcPr>
          <w:p>
            <w:pPr>
              <w:jc w:val="right"/>
              <w:spacing w:after="0"/>
              <w:rPr>
                <w:sz w:val="20"/>
                <w:szCs w:val="20"/>
                <w:color w:val="auto"/>
              </w:rPr>
            </w:pPr>
            <w:r>
              <w:rPr>
                <w:rFonts w:ascii="Arial" w:cs="Arial" w:eastAsia="Arial" w:hAnsi="Arial"/>
                <w:sz w:val="8"/>
                <w:szCs w:val="8"/>
                <w:b w:val="1"/>
                <w:bCs w:val="1"/>
                <w:color w:val="005A64"/>
              </w:rPr>
              <w:t>657.4</w:t>
            </w:r>
          </w:p>
        </w:tc>
        <w:tc>
          <w:tcPr>
            <w:tcW w:w="160" w:type="dxa"/>
            <w:vAlign w:val="bottom"/>
          </w:tcPr>
          <w:p>
            <w:pPr>
              <w:spacing w:after="0"/>
              <w:rPr>
                <w:sz w:val="9"/>
                <w:szCs w:val="9"/>
                <w:color w:val="auto"/>
              </w:rPr>
            </w:pPr>
          </w:p>
        </w:tc>
        <w:tc>
          <w:tcPr>
            <w:tcW w:w="1260" w:type="dxa"/>
            <w:vAlign w:val="bottom"/>
          </w:tcPr>
          <w:p>
            <w:pPr>
              <w:jc w:val="right"/>
              <w:spacing w:after="0"/>
              <w:rPr>
                <w:sz w:val="20"/>
                <w:szCs w:val="20"/>
                <w:color w:val="auto"/>
              </w:rPr>
            </w:pPr>
            <w:r>
              <w:rPr>
                <w:rFonts w:ascii="Arial" w:cs="Arial" w:eastAsia="Arial" w:hAnsi="Arial"/>
                <w:sz w:val="8"/>
                <w:szCs w:val="8"/>
                <w:b w:val="1"/>
                <w:bCs w:val="1"/>
                <w:color w:val="005A64"/>
              </w:rPr>
              <w:t>129.6</w:t>
            </w:r>
          </w:p>
        </w:tc>
        <w:tc>
          <w:tcPr>
            <w:tcW w:w="160" w:type="dxa"/>
            <w:vAlign w:val="bottom"/>
          </w:tcPr>
          <w:p>
            <w:pPr>
              <w:spacing w:after="0"/>
              <w:rPr>
                <w:sz w:val="9"/>
                <w:szCs w:val="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8"/>
                <w:szCs w:val="8"/>
                <w:b w:val="1"/>
                <w:bCs w:val="1"/>
                <w:color w:val="005A64"/>
              </w:rPr>
              <w:t>—</w:t>
            </w:r>
          </w:p>
        </w:tc>
        <w:tc>
          <w:tcPr>
            <w:tcW w:w="1740" w:type="dxa"/>
            <w:vAlign w:val="bottom"/>
            <w:gridSpan w:val="2"/>
          </w:tcPr>
          <w:p>
            <w:pPr>
              <w:jc w:val="right"/>
              <w:ind w:right="180"/>
              <w:spacing w:after="0"/>
              <w:rPr>
                <w:sz w:val="20"/>
                <w:szCs w:val="20"/>
                <w:color w:val="auto"/>
              </w:rPr>
            </w:pPr>
            <w:r>
              <w:rPr>
                <w:rFonts w:ascii="Arial" w:cs="Arial" w:eastAsia="Arial" w:hAnsi="Arial"/>
                <w:sz w:val="8"/>
                <w:szCs w:val="8"/>
                <w:b w:val="1"/>
                <w:bCs w:val="1"/>
                <w:color w:val="005A64"/>
              </w:rPr>
              <w:t>—</w:t>
            </w:r>
          </w:p>
        </w:tc>
        <w:tc>
          <w:tcPr>
            <w:tcW w:w="1100" w:type="dxa"/>
            <w:vAlign w:val="bottom"/>
          </w:tcPr>
          <w:p>
            <w:pPr>
              <w:jc w:val="right"/>
              <w:spacing w:after="0"/>
              <w:rPr>
                <w:sz w:val="20"/>
                <w:szCs w:val="20"/>
                <w:color w:val="auto"/>
              </w:rPr>
            </w:pPr>
            <w:r>
              <w:rPr>
                <w:rFonts w:ascii="Arial" w:cs="Arial" w:eastAsia="Arial" w:hAnsi="Arial"/>
                <w:sz w:val="8"/>
                <w:szCs w:val="8"/>
                <w:b w:val="1"/>
                <w:bCs w:val="1"/>
                <w:color w:val="005A64"/>
              </w:rPr>
              <w:t>109.3</w:t>
            </w:r>
          </w:p>
        </w:tc>
        <w:tc>
          <w:tcPr>
            <w:tcW w:w="0" w:type="dxa"/>
            <w:vAlign w:val="bottom"/>
          </w:tcPr>
          <w:p>
            <w:pPr>
              <w:spacing w:after="0"/>
              <w:rPr>
                <w:sz w:val="1"/>
                <w:szCs w:val="1"/>
                <w:color w:val="auto"/>
              </w:rPr>
            </w:pPr>
          </w:p>
        </w:tc>
      </w:tr>
      <w:tr>
        <w:trPr>
          <w:trHeight w:val="33"/>
        </w:trPr>
        <w:tc>
          <w:tcPr>
            <w:tcW w:w="2760" w:type="dxa"/>
            <w:vAlign w:val="bottom"/>
            <w:tcBorders>
              <w:bottom w:val="single" w:sz="8" w:color="005A64"/>
            </w:tcBorders>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760" w:type="dxa"/>
            <w:vAlign w:val="bottom"/>
            <w:tcBorders>
              <w:bottom w:val="single" w:sz="8" w:color="005A64"/>
            </w:tcBorders>
          </w:tcPr>
          <w:p>
            <w:pPr>
              <w:spacing w:after="0"/>
              <w:rPr>
                <w:sz w:val="20"/>
                <w:szCs w:val="20"/>
                <w:color w:val="auto"/>
              </w:rPr>
            </w:pPr>
            <w:r>
              <w:rPr>
                <w:rFonts w:ascii="Arial" w:cs="Arial" w:eastAsia="Arial" w:hAnsi="Arial"/>
                <w:sz w:val="8"/>
                <w:szCs w:val="8"/>
                <w:b w:val="1"/>
                <w:bCs w:val="1"/>
                <w:color w:val="005A64"/>
              </w:rPr>
              <w:t>Net profit / (loss)</w:t>
            </w:r>
            <w:r>
              <w:rPr>
                <w:rFonts w:ascii="Arial" w:cs="Arial" w:eastAsia="Arial" w:hAnsi="Arial"/>
                <w:sz w:val="10"/>
                <w:szCs w:val="10"/>
                <w:b w:val="1"/>
                <w:bCs w:val="1"/>
                <w:color w:val="005A64"/>
                <w:vertAlign w:val="superscript"/>
              </w:rPr>
              <w:t>1</w:t>
            </w:r>
          </w:p>
        </w:tc>
        <w:tc>
          <w:tcPr>
            <w:tcW w:w="200" w:type="dxa"/>
            <w:vAlign w:val="bottom"/>
          </w:tcPr>
          <w:p>
            <w:pPr>
              <w:spacing w:after="0"/>
              <w:rPr>
                <w:sz w:val="12"/>
                <w:szCs w:val="12"/>
                <w:color w:val="auto"/>
              </w:rPr>
            </w:pPr>
          </w:p>
        </w:tc>
        <w:tc>
          <w:tcPr>
            <w:tcW w:w="1100" w:type="dxa"/>
            <w:vAlign w:val="bottom"/>
            <w:tcBorders>
              <w:bottom w:val="single" w:sz="8" w:color="005A64"/>
            </w:tcBorders>
          </w:tcPr>
          <w:p>
            <w:pPr>
              <w:jc w:val="right"/>
              <w:spacing w:after="0"/>
              <w:rPr>
                <w:sz w:val="20"/>
                <w:szCs w:val="20"/>
                <w:color w:val="auto"/>
              </w:rPr>
            </w:pPr>
            <w:r>
              <w:rPr>
                <w:rFonts w:ascii="Arial" w:cs="Arial" w:eastAsia="Arial" w:hAnsi="Arial"/>
                <w:sz w:val="8"/>
                <w:szCs w:val="8"/>
                <w:b w:val="1"/>
                <w:bCs w:val="1"/>
                <w:color w:val="005A64"/>
              </w:rPr>
              <w:t>(665.3)</w:t>
            </w:r>
          </w:p>
        </w:tc>
        <w:tc>
          <w:tcPr>
            <w:tcW w:w="180" w:type="dxa"/>
            <w:vAlign w:val="bottom"/>
          </w:tcPr>
          <w:p>
            <w:pPr>
              <w:spacing w:after="0"/>
              <w:rPr>
                <w:sz w:val="12"/>
                <w:szCs w:val="12"/>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8"/>
                <w:szCs w:val="8"/>
                <w:b w:val="1"/>
                <w:bCs w:val="1"/>
                <w:color w:val="005A64"/>
              </w:rPr>
              <w:t>657.4</w:t>
            </w:r>
          </w:p>
        </w:tc>
        <w:tc>
          <w:tcPr>
            <w:tcW w:w="160" w:type="dxa"/>
            <w:vAlign w:val="bottom"/>
          </w:tcPr>
          <w:p>
            <w:pPr>
              <w:spacing w:after="0"/>
              <w:rPr>
                <w:sz w:val="12"/>
                <w:szCs w:val="12"/>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8"/>
                <w:szCs w:val="8"/>
                <w:b w:val="1"/>
                <w:bCs w:val="1"/>
                <w:color w:val="005A64"/>
              </w:rPr>
              <w:t>129.6</w:t>
            </w:r>
          </w:p>
        </w:tc>
        <w:tc>
          <w:tcPr>
            <w:tcW w:w="160" w:type="dxa"/>
            <w:vAlign w:val="bottom"/>
          </w:tcPr>
          <w:p>
            <w:pPr>
              <w:spacing w:after="0"/>
              <w:rPr>
                <w:sz w:val="12"/>
                <w:szCs w:val="12"/>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8"/>
                <w:szCs w:val="8"/>
                <w:b w:val="1"/>
                <w:bCs w:val="1"/>
                <w:color w:val="005A64"/>
              </w:rPr>
              <w:t>—</w:t>
            </w:r>
          </w:p>
        </w:tc>
        <w:tc>
          <w:tcPr>
            <w:tcW w:w="160" w:type="dxa"/>
            <w:vAlign w:val="bottom"/>
          </w:tcPr>
          <w:p>
            <w:pPr>
              <w:spacing w:after="0"/>
              <w:rPr>
                <w:sz w:val="12"/>
                <w:szCs w:val="12"/>
                <w:color w:val="auto"/>
              </w:rPr>
            </w:pPr>
          </w:p>
        </w:tc>
        <w:tc>
          <w:tcPr>
            <w:tcW w:w="1580" w:type="dxa"/>
            <w:vAlign w:val="bottom"/>
            <w:tcBorders>
              <w:bottom w:val="single" w:sz="8" w:color="005A64"/>
            </w:tcBorders>
          </w:tcPr>
          <w:p>
            <w:pPr>
              <w:jc w:val="right"/>
              <w:spacing w:after="0"/>
              <w:rPr>
                <w:sz w:val="20"/>
                <w:szCs w:val="20"/>
                <w:color w:val="auto"/>
              </w:rPr>
            </w:pPr>
            <w:r>
              <w:rPr>
                <w:rFonts w:ascii="Arial" w:cs="Arial" w:eastAsia="Arial" w:hAnsi="Arial"/>
                <w:sz w:val="8"/>
                <w:szCs w:val="8"/>
                <w:b w:val="1"/>
                <w:bCs w:val="1"/>
                <w:color w:val="005A64"/>
              </w:rPr>
              <w:t>—</w:t>
            </w:r>
          </w:p>
        </w:tc>
        <w:tc>
          <w:tcPr>
            <w:tcW w:w="160" w:type="dxa"/>
            <w:vAlign w:val="bottom"/>
          </w:tcPr>
          <w:p>
            <w:pPr>
              <w:spacing w:after="0"/>
              <w:rPr>
                <w:sz w:val="12"/>
                <w:szCs w:val="12"/>
                <w:color w:val="auto"/>
              </w:rPr>
            </w:pPr>
          </w:p>
        </w:tc>
        <w:tc>
          <w:tcPr>
            <w:tcW w:w="1100" w:type="dxa"/>
            <w:vAlign w:val="bottom"/>
            <w:tcBorders>
              <w:bottom w:val="single" w:sz="8" w:color="005A64"/>
            </w:tcBorders>
          </w:tcPr>
          <w:p>
            <w:pPr>
              <w:jc w:val="right"/>
              <w:spacing w:after="0"/>
              <w:rPr>
                <w:sz w:val="20"/>
                <w:szCs w:val="20"/>
                <w:color w:val="auto"/>
              </w:rPr>
            </w:pPr>
            <w:r>
              <w:rPr>
                <w:rFonts w:ascii="Arial" w:cs="Arial" w:eastAsia="Arial" w:hAnsi="Arial"/>
                <w:sz w:val="8"/>
                <w:szCs w:val="8"/>
                <w:b w:val="1"/>
                <w:bCs w:val="1"/>
                <w:color w:val="005A64"/>
              </w:rPr>
              <w:t>121.7</w:t>
            </w:r>
          </w:p>
        </w:tc>
        <w:tc>
          <w:tcPr>
            <w:tcW w:w="0" w:type="dxa"/>
            <w:vAlign w:val="bottom"/>
          </w:tcPr>
          <w:p>
            <w:pPr>
              <w:spacing w:after="0"/>
              <w:rPr>
                <w:sz w:val="1"/>
                <w:szCs w:val="1"/>
                <w:color w:val="auto"/>
              </w:rPr>
            </w:pPr>
          </w:p>
        </w:tc>
      </w:tr>
      <w:tr>
        <w:trPr>
          <w:trHeight w:val="118"/>
        </w:trPr>
        <w:tc>
          <w:tcPr>
            <w:tcW w:w="2960" w:type="dxa"/>
            <w:vAlign w:val="bottom"/>
            <w:gridSpan w:val="2"/>
          </w:tcPr>
          <w:p>
            <w:pPr>
              <w:spacing w:after="0"/>
              <w:rPr>
                <w:sz w:val="20"/>
                <w:szCs w:val="20"/>
                <w:color w:val="auto"/>
              </w:rPr>
            </w:pPr>
            <w:r>
              <w:rPr>
                <w:rFonts w:ascii="Arial" w:cs="Arial" w:eastAsia="Arial" w:hAnsi="Arial"/>
                <w:sz w:val="8"/>
                <w:szCs w:val="8"/>
                <w:b w:val="1"/>
                <w:bCs w:val="1"/>
                <w:color w:val="3C9673"/>
              </w:rPr>
              <w:t>Earnings / (Loss) per share</w:t>
            </w: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76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2960" w:type="dxa"/>
            <w:vAlign w:val="bottom"/>
            <w:gridSpan w:val="2"/>
          </w:tcPr>
          <w:p>
            <w:pPr>
              <w:spacing w:after="0"/>
              <w:rPr>
                <w:sz w:val="20"/>
                <w:szCs w:val="20"/>
                <w:color w:val="auto"/>
              </w:rPr>
            </w:pPr>
            <w:r>
              <w:rPr>
                <w:rFonts w:ascii="Arial" w:cs="Arial" w:eastAsia="Arial" w:hAnsi="Arial"/>
                <w:sz w:val="8"/>
                <w:szCs w:val="8"/>
                <w:color w:val="005A64"/>
              </w:rPr>
              <w:t>Basic earnings / (loss) per share</w:t>
            </w:r>
          </w:p>
        </w:tc>
        <w:tc>
          <w:tcPr>
            <w:tcW w:w="1100" w:type="dxa"/>
            <w:vAlign w:val="bottom"/>
          </w:tcPr>
          <w:p>
            <w:pPr>
              <w:jc w:val="right"/>
              <w:spacing w:after="0"/>
              <w:rPr>
                <w:sz w:val="20"/>
                <w:szCs w:val="20"/>
                <w:color w:val="auto"/>
              </w:rPr>
            </w:pPr>
            <w:r>
              <w:rPr>
                <w:rFonts w:ascii="Arial" w:cs="Arial" w:eastAsia="Arial" w:hAnsi="Arial"/>
                <w:sz w:val="8"/>
                <w:szCs w:val="8"/>
                <w:color w:val="005A64"/>
              </w:rPr>
              <w:t>(2.77)</w:t>
            </w: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jc w:val="right"/>
              <w:spacing w:after="0"/>
              <w:rPr>
                <w:sz w:val="20"/>
                <w:szCs w:val="20"/>
                <w:color w:val="auto"/>
              </w:rPr>
            </w:pPr>
            <w:r>
              <w:rPr>
                <w:rFonts w:ascii="Arial" w:cs="Arial" w:eastAsia="Arial" w:hAnsi="Arial"/>
                <w:sz w:val="8"/>
                <w:szCs w:val="8"/>
                <w:color w:val="005A64"/>
              </w:rPr>
              <w:t>0.51</w:t>
            </w:r>
          </w:p>
        </w:tc>
        <w:tc>
          <w:tcPr>
            <w:tcW w:w="0" w:type="dxa"/>
            <w:vAlign w:val="bottom"/>
          </w:tcPr>
          <w:p>
            <w:pPr>
              <w:spacing w:after="0"/>
              <w:rPr>
                <w:sz w:val="1"/>
                <w:szCs w:val="1"/>
                <w:color w:val="auto"/>
              </w:rPr>
            </w:pPr>
          </w:p>
        </w:tc>
      </w:tr>
      <w:tr>
        <w:trPr>
          <w:trHeight w:val="37"/>
        </w:trPr>
        <w:tc>
          <w:tcPr>
            <w:tcW w:w="2760" w:type="dxa"/>
            <w:vAlign w:val="bottom"/>
            <w:tcBorders>
              <w:bottom w:val="single" w:sz="8" w:color="7FACB1"/>
            </w:tcBorders>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Borders>
              <w:bottom w:val="single" w:sz="8" w:color="7FACB1"/>
            </w:tcBorders>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60" w:type="dxa"/>
            <w:vAlign w:val="bottom"/>
          </w:tcPr>
          <w:p>
            <w:pPr>
              <w:spacing w:after="0"/>
              <w:rPr>
                <w:sz w:val="3"/>
                <w:szCs w:val="3"/>
                <w:color w:val="auto"/>
              </w:rPr>
            </w:pPr>
          </w:p>
        </w:tc>
        <w:tc>
          <w:tcPr>
            <w:tcW w:w="1580" w:type="dxa"/>
            <w:vAlign w:val="bottom"/>
            <w:tcBorders>
              <w:bottom w:val="single" w:sz="8" w:color="7FACB1"/>
            </w:tcBorders>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14"/>
        </w:trPr>
        <w:tc>
          <w:tcPr>
            <w:tcW w:w="2960" w:type="dxa"/>
            <w:vAlign w:val="bottom"/>
            <w:gridSpan w:val="2"/>
          </w:tcPr>
          <w:p>
            <w:pPr>
              <w:spacing w:after="0"/>
              <w:rPr>
                <w:sz w:val="20"/>
                <w:szCs w:val="20"/>
                <w:color w:val="auto"/>
              </w:rPr>
            </w:pPr>
            <w:r>
              <w:rPr>
                <w:rFonts w:ascii="Arial" w:cs="Arial" w:eastAsia="Arial" w:hAnsi="Arial"/>
                <w:sz w:val="8"/>
                <w:szCs w:val="8"/>
                <w:color w:val="005A64"/>
              </w:rPr>
              <w:t>Diluted earnings / (loss) per share</w:t>
            </w:r>
          </w:p>
        </w:tc>
        <w:tc>
          <w:tcPr>
            <w:tcW w:w="1100" w:type="dxa"/>
            <w:vAlign w:val="bottom"/>
          </w:tcPr>
          <w:p>
            <w:pPr>
              <w:jc w:val="right"/>
              <w:spacing w:after="0"/>
              <w:rPr>
                <w:sz w:val="20"/>
                <w:szCs w:val="20"/>
                <w:color w:val="auto"/>
              </w:rPr>
            </w:pPr>
            <w:r>
              <w:rPr>
                <w:rFonts w:ascii="Arial" w:cs="Arial" w:eastAsia="Arial" w:hAnsi="Arial"/>
                <w:sz w:val="8"/>
                <w:szCs w:val="8"/>
                <w:color w:val="005A64"/>
              </w:rPr>
              <w:t>(2.77)</w:t>
            </w: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jc w:val="right"/>
              <w:spacing w:after="0"/>
              <w:rPr>
                <w:sz w:val="20"/>
                <w:szCs w:val="20"/>
                <w:color w:val="auto"/>
              </w:rPr>
            </w:pPr>
            <w:r>
              <w:rPr>
                <w:rFonts w:ascii="Arial" w:cs="Arial" w:eastAsia="Arial" w:hAnsi="Arial"/>
                <w:sz w:val="8"/>
                <w:szCs w:val="8"/>
                <w:color w:val="005A64"/>
              </w:rPr>
              <w:t>0.50</w:t>
            </w:r>
          </w:p>
        </w:tc>
        <w:tc>
          <w:tcPr>
            <w:tcW w:w="0" w:type="dxa"/>
            <w:vAlign w:val="bottom"/>
          </w:tcPr>
          <w:p>
            <w:pPr>
              <w:spacing w:after="0"/>
              <w:rPr>
                <w:sz w:val="1"/>
                <w:szCs w:val="1"/>
                <w:color w:val="auto"/>
              </w:rPr>
            </w:pPr>
          </w:p>
        </w:tc>
      </w:tr>
      <w:tr>
        <w:trPr>
          <w:trHeight w:val="37"/>
        </w:trPr>
        <w:tc>
          <w:tcPr>
            <w:tcW w:w="2760" w:type="dxa"/>
            <w:vAlign w:val="bottom"/>
            <w:tcBorders>
              <w:bottom w:val="single" w:sz="8" w:color="005A64"/>
            </w:tcBorders>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Borders>
              <w:bottom w:val="single" w:sz="8" w:color="005A64"/>
            </w:tcBorders>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Borders>
              <w:bottom w:val="single" w:sz="8" w:color="005A64"/>
            </w:tcBorders>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Borders>
              <w:bottom w:val="single" w:sz="8" w:color="005A64"/>
            </w:tcBorders>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tcBorders>
              <w:bottom w:val="single" w:sz="8" w:color="005A64"/>
            </w:tcBorders>
          </w:tcPr>
          <w:p>
            <w:pPr>
              <w:spacing w:after="0"/>
              <w:rPr>
                <w:sz w:val="3"/>
                <w:szCs w:val="3"/>
                <w:color w:val="auto"/>
              </w:rPr>
            </w:pPr>
          </w:p>
        </w:tc>
        <w:tc>
          <w:tcPr>
            <w:tcW w:w="160" w:type="dxa"/>
            <w:vAlign w:val="bottom"/>
          </w:tcPr>
          <w:p>
            <w:pPr>
              <w:spacing w:after="0"/>
              <w:rPr>
                <w:sz w:val="3"/>
                <w:szCs w:val="3"/>
                <w:color w:val="auto"/>
              </w:rPr>
            </w:pPr>
          </w:p>
        </w:tc>
        <w:tc>
          <w:tcPr>
            <w:tcW w:w="1580" w:type="dxa"/>
            <w:vAlign w:val="bottom"/>
            <w:tcBorders>
              <w:bottom w:val="single" w:sz="8" w:color="005A64"/>
            </w:tcBorders>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Borders>
              <w:bottom w:val="single" w:sz="8" w:color="005A64"/>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3035"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423035" cy="15430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757555</wp:posOffset>
            </wp:positionV>
            <wp:extent cx="7178040" cy="11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ind w:left="48" w:hanging="48"/>
        <w:spacing w:after="0"/>
        <w:tabs>
          <w:tab w:leader="none" w:pos="48" w:val="left"/>
        </w:tabs>
        <w:numPr>
          <w:ilvl w:val="0"/>
          <w:numId w:val="16"/>
        </w:numPr>
        <w:rPr>
          <w:rFonts w:ascii="Arial" w:cs="Arial" w:eastAsia="Arial" w:hAnsi="Arial"/>
          <w:sz w:val="11"/>
          <w:szCs w:val="11"/>
          <w:color w:val="auto"/>
          <w:vertAlign w:val="superscript"/>
        </w:rPr>
      </w:pPr>
      <w:r>
        <w:rPr>
          <w:rFonts w:ascii="Arial" w:cs="Arial" w:eastAsia="Arial" w:hAnsi="Arial"/>
          <w:sz w:val="8"/>
          <w:szCs w:val="8"/>
          <w:color w:val="auto"/>
        </w:rPr>
        <w:t>Tax effects are not considered as part of our non-IFRS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78040" cy="11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94" w:lineRule="exact"/>
        <w:rPr>
          <w:sz w:val="20"/>
          <w:szCs w:val="20"/>
          <w:color w:val="auto"/>
        </w:rPr>
      </w:pPr>
    </w:p>
    <w:p>
      <w:pPr>
        <w:ind w:left="8"/>
        <w:spacing w:after="0"/>
        <w:rPr>
          <w:sz w:val="20"/>
          <w:szCs w:val="20"/>
          <w:color w:val="auto"/>
        </w:rPr>
      </w:pPr>
      <w:r>
        <w:rPr>
          <w:rFonts w:ascii="Arial" w:cs="Arial" w:eastAsia="Arial" w:hAnsi="Arial"/>
          <w:sz w:val="8"/>
          <w:szCs w:val="8"/>
          <w:b w:val="1"/>
          <w:bCs w:val="1"/>
          <w:color w:val="005A64"/>
        </w:rPr>
        <w:t>Non-IFRS Reconciliation for the three months ended December 31, 2024</w:t>
      </w:r>
    </w:p>
    <w:p>
      <w:pPr>
        <w:spacing w:after="0" w:line="385" w:lineRule="exact"/>
        <w:rPr>
          <w:sz w:val="20"/>
          <w:szCs w:val="20"/>
          <w:color w:val="auto"/>
        </w:rPr>
      </w:pPr>
    </w:p>
    <w:tbl>
      <w:tblPr>
        <w:tblLayout w:type="fixed"/>
        <w:tblInd w:w="8" w:type="dxa"/>
        <w:tblCellMar>
          <w:top w:w="0" w:type="dxa"/>
          <w:left w:w="0" w:type="dxa"/>
          <w:bottom w:w="0" w:type="dxa"/>
          <w:right w:w="0" w:type="dxa"/>
        </w:tblCellMar>
      </w:tblPr>
      <w:tr>
        <w:trPr>
          <w:trHeight w:val="114"/>
        </w:trPr>
        <w:tc>
          <w:tcPr>
            <w:tcW w:w="2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20" w:type="dxa"/>
            <w:vAlign w:val="bottom"/>
            <w:gridSpan w:val="4"/>
          </w:tcPr>
          <w:p>
            <w:pPr>
              <w:ind w:left="1040"/>
              <w:spacing w:after="0"/>
              <w:rPr>
                <w:sz w:val="20"/>
                <w:szCs w:val="20"/>
                <w:color w:val="auto"/>
              </w:rPr>
            </w:pPr>
            <w:r>
              <w:rPr>
                <w:rFonts w:ascii="Arial" w:cs="Arial" w:eastAsia="Arial" w:hAnsi="Arial"/>
                <w:sz w:val="8"/>
                <w:szCs w:val="8"/>
                <w:b w:val="1"/>
                <w:bCs w:val="1"/>
                <w:color w:val="005A64"/>
              </w:rPr>
              <w:t>non-IFRS adjustments</w:t>
            </w:r>
          </w:p>
        </w:tc>
        <w:tc>
          <w:tcPr>
            <w:tcW w:w="1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80" w:type="dxa"/>
            <w:vAlign w:val="bottom"/>
            <w:tcBorders>
              <w:bottom w:val="single" w:sz="8" w:color="005A64"/>
            </w:tcBorders>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80" w:type="dxa"/>
            <w:vAlign w:val="bottom"/>
            <w:tcBorders>
              <w:bottom w:val="single" w:sz="8" w:color="005A64"/>
            </w:tcBorders>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60" w:type="dxa"/>
            <w:vAlign w:val="bottom"/>
            <w:tcBorders>
              <w:bottom w:val="single" w:sz="8" w:color="005A64"/>
            </w:tcBorders>
          </w:tcPr>
          <w:p>
            <w:pPr>
              <w:spacing w:after="0"/>
              <w:rPr>
                <w:sz w:val="2"/>
                <w:szCs w:val="2"/>
                <w:color w:val="auto"/>
              </w:rPr>
            </w:pPr>
          </w:p>
        </w:tc>
        <w:tc>
          <w:tcPr>
            <w:tcW w:w="156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09"/>
        </w:trPr>
        <w:tc>
          <w:tcPr>
            <w:tcW w:w="2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8"/>
                <w:szCs w:val="8"/>
                <w:b w:val="1"/>
                <w:bCs w:val="1"/>
                <w:color w:val="005A64"/>
              </w:rPr>
              <w:t>IFRS Results</w:t>
            </w: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8"/>
                <w:szCs w:val="8"/>
                <w:b w:val="1"/>
                <w:bCs w:val="1"/>
                <w:color w:val="005A64"/>
              </w:rPr>
              <w:t>Income from bargain purchase and</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2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8"/>
                <w:szCs w:val="8"/>
                <w:b w:val="1"/>
                <w:bCs w:val="1"/>
                <w:color w:val="005A64"/>
              </w:rPr>
              <w:t>Expenses and income from</w:t>
            </w:r>
          </w:p>
        </w:tc>
        <w:tc>
          <w:tcPr>
            <w:tcW w:w="1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8"/>
                <w:szCs w:val="8"/>
                <w:b w:val="1"/>
                <w:bCs w:val="1"/>
                <w:color w:val="005A64"/>
              </w:rPr>
              <w:t>Employee-related expenses</w:t>
            </w:r>
          </w:p>
        </w:tc>
        <w:tc>
          <w:tcPr>
            <w:tcW w:w="1740" w:type="dxa"/>
            <w:vAlign w:val="bottom"/>
            <w:gridSpan w:val="2"/>
            <w:vMerge w:val="restart"/>
          </w:tcPr>
          <w:p>
            <w:pPr>
              <w:jc w:val="right"/>
              <w:ind w:right="200"/>
              <w:spacing w:after="0"/>
              <w:rPr>
                <w:sz w:val="20"/>
                <w:szCs w:val="20"/>
                <w:color w:val="auto"/>
              </w:rPr>
            </w:pPr>
            <w:r>
              <w:rPr>
                <w:rFonts w:ascii="Arial" w:cs="Arial" w:eastAsia="Arial" w:hAnsi="Arial"/>
                <w:sz w:val="8"/>
                <w:szCs w:val="8"/>
                <w:b w:val="1"/>
                <w:bCs w:val="1"/>
                <w:color w:val="005A64"/>
              </w:rPr>
              <w:t>income and expenses from divestiture</w:t>
            </w: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8"/>
                <w:szCs w:val="8"/>
                <w:i w:val="1"/>
                <w:iCs w:val="1"/>
                <w:color w:val="005A64"/>
              </w:rPr>
              <w:t>(unaudited)</w:t>
            </w:r>
          </w:p>
        </w:tc>
        <w:tc>
          <w:tcPr>
            <w:tcW w:w="1420" w:type="dxa"/>
            <w:vAlign w:val="bottom"/>
            <w:gridSpan w:val="2"/>
            <w:vMerge w:val="continue"/>
          </w:tcPr>
          <w:p>
            <w:pPr>
              <w:spacing w:after="0"/>
              <w:rPr>
                <w:sz w:val="4"/>
                <w:szCs w:val="4"/>
                <w:color w:val="auto"/>
              </w:rPr>
            </w:pPr>
          </w:p>
        </w:tc>
        <w:tc>
          <w:tcPr>
            <w:tcW w:w="1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1740" w:type="dxa"/>
            <w:vAlign w:val="bottom"/>
            <w:gridSpan w:val="2"/>
            <w:vMerge w:val="continue"/>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940" w:type="dxa"/>
            <w:vAlign w:val="bottom"/>
            <w:gridSpan w:val="2"/>
          </w:tcPr>
          <w:p>
            <w:pPr>
              <w:spacing w:after="0"/>
              <w:rPr>
                <w:sz w:val="20"/>
                <w:szCs w:val="20"/>
                <w:color w:val="auto"/>
              </w:rPr>
            </w:pPr>
            <w:r>
              <w:rPr>
                <w:rFonts w:ascii="Arial" w:cs="Arial" w:eastAsia="Arial" w:hAnsi="Arial"/>
                <w:sz w:val="8"/>
                <w:szCs w:val="8"/>
                <w:i w:val="1"/>
                <w:iCs w:val="1"/>
                <w:color w:val="005A64"/>
              </w:rPr>
              <w:t>(in millions €, except per share data)</w:t>
            </w:r>
          </w:p>
        </w:tc>
        <w:tc>
          <w:tcPr>
            <w:tcW w:w="1280" w:type="dxa"/>
            <w:vAlign w:val="bottom"/>
            <w:gridSpan w:val="2"/>
            <w:vMerge w:val="continue"/>
          </w:tcPr>
          <w:p>
            <w:pPr>
              <w:spacing w:after="0"/>
              <w:rPr>
                <w:sz w:val="9"/>
                <w:szCs w:val="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8"/>
                <w:szCs w:val="8"/>
                <w:b w:val="1"/>
                <w:bCs w:val="1"/>
                <w:color w:val="005A64"/>
              </w:rPr>
              <w:t>legal proceedings</w:t>
            </w:r>
          </w:p>
        </w:tc>
        <w:tc>
          <w:tcPr>
            <w:tcW w:w="1420" w:type="dxa"/>
            <w:vAlign w:val="bottom"/>
            <w:gridSpan w:val="2"/>
          </w:tcPr>
          <w:p>
            <w:pPr>
              <w:ind w:left="260"/>
              <w:spacing w:after="0"/>
              <w:rPr>
                <w:sz w:val="20"/>
                <w:szCs w:val="20"/>
                <w:color w:val="auto"/>
              </w:rPr>
            </w:pPr>
            <w:r>
              <w:rPr>
                <w:rFonts w:ascii="Arial" w:cs="Arial" w:eastAsia="Arial" w:hAnsi="Arial"/>
                <w:sz w:val="8"/>
                <w:szCs w:val="8"/>
                <w:b w:val="1"/>
                <w:bCs w:val="1"/>
                <w:color w:val="005A64"/>
              </w:rPr>
              <w:t>Impairment and reversal</w:t>
            </w:r>
          </w:p>
        </w:tc>
        <w:tc>
          <w:tcPr>
            <w:tcW w:w="1400" w:type="dxa"/>
            <w:vAlign w:val="bottom"/>
            <w:gridSpan w:val="2"/>
          </w:tcPr>
          <w:p>
            <w:pPr>
              <w:jc w:val="right"/>
              <w:ind w:right="180"/>
              <w:spacing w:after="0"/>
              <w:rPr>
                <w:sz w:val="20"/>
                <w:szCs w:val="20"/>
                <w:color w:val="auto"/>
              </w:rPr>
            </w:pPr>
            <w:r>
              <w:rPr>
                <w:rFonts w:ascii="Arial" w:cs="Arial" w:eastAsia="Arial" w:hAnsi="Arial"/>
                <w:sz w:val="8"/>
                <w:szCs w:val="8"/>
                <w:b w:val="1"/>
                <w:bCs w:val="1"/>
                <w:color w:val="005A64"/>
              </w:rPr>
              <w:t>from restructuring</w:t>
            </w:r>
          </w:p>
        </w:tc>
        <w:tc>
          <w:tcPr>
            <w:tcW w:w="1740" w:type="dxa"/>
            <w:vAlign w:val="bottom"/>
            <w:gridSpan w:val="2"/>
          </w:tcPr>
          <w:p>
            <w:pPr>
              <w:jc w:val="right"/>
              <w:ind w:right="200"/>
              <w:spacing w:after="0"/>
              <w:rPr>
                <w:sz w:val="20"/>
                <w:szCs w:val="20"/>
                <w:color w:val="auto"/>
              </w:rPr>
            </w:pPr>
            <w:r>
              <w:rPr>
                <w:rFonts w:ascii="Arial" w:cs="Arial" w:eastAsia="Arial" w:hAnsi="Arial"/>
                <w:sz w:val="8"/>
                <w:szCs w:val="8"/>
                <w:b w:val="1"/>
                <w:bCs w:val="1"/>
                <w:color w:val="005A64"/>
              </w:rPr>
              <w:t>related items</w:t>
            </w:r>
          </w:p>
        </w:tc>
        <w:tc>
          <w:tcPr>
            <w:tcW w:w="1100" w:type="dxa"/>
            <w:vAlign w:val="bottom"/>
          </w:tcPr>
          <w:p>
            <w:pPr>
              <w:jc w:val="right"/>
              <w:spacing w:after="0"/>
              <w:rPr>
                <w:sz w:val="20"/>
                <w:szCs w:val="20"/>
                <w:color w:val="auto"/>
              </w:rPr>
            </w:pPr>
            <w:r>
              <w:rPr>
                <w:rFonts w:ascii="Arial" w:cs="Arial" w:eastAsia="Arial" w:hAnsi="Arial"/>
                <w:sz w:val="8"/>
                <w:szCs w:val="8"/>
                <w:b w:val="1"/>
                <w:bCs w:val="1"/>
                <w:color w:val="005A64"/>
              </w:rPr>
              <w:t>Adjusted Results</w:t>
            </w:r>
          </w:p>
        </w:tc>
        <w:tc>
          <w:tcPr>
            <w:tcW w:w="0" w:type="dxa"/>
            <w:vAlign w:val="bottom"/>
          </w:tcPr>
          <w:p>
            <w:pPr>
              <w:spacing w:after="0"/>
              <w:rPr>
                <w:sz w:val="1"/>
                <w:szCs w:val="1"/>
                <w:color w:val="auto"/>
              </w:rPr>
            </w:pPr>
          </w:p>
        </w:tc>
      </w:tr>
      <w:tr>
        <w:trPr>
          <w:trHeight w:val="24"/>
        </w:trPr>
        <w:tc>
          <w:tcPr>
            <w:tcW w:w="2740" w:type="dxa"/>
            <w:vAlign w:val="bottom"/>
            <w:tcBorders>
              <w:bottom w:val="single" w:sz="8" w:color="005A64"/>
            </w:tcBorders>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05"/>
        </w:trPr>
        <w:tc>
          <w:tcPr>
            <w:tcW w:w="2940" w:type="dxa"/>
            <w:vAlign w:val="bottom"/>
            <w:gridSpan w:val="2"/>
          </w:tcPr>
          <w:p>
            <w:pPr>
              <w:spacing w:after="0"/>
              <w:rPr>
                <w:sz w:val="20"/>
                <w:szCs w:val="20"/>
                <w:color w:val="auto"/>
              </w:rPr>
            </w:pPr>
            <w:r>
              <w:rPr>
                <w:rFonts w:ascii="Arial" w:cs="Arial" w:eastAsia="Arial" w:hAnsi="Arial"/>
                <w:sz w:val="8"/>
                <w:szCs w:val="8"/>
                <w:color w:val="005A64"/>
              </w:rPr>
              <w:t>Cost of sales</w:t>
            </w:r>
          </w:p>
        </w:tc>
        <w:tc>
          <w:tcPr>
            <w:tcW w:w="1100" w:type="dxa"/>
            <w:vAlign w:val="bottom"/>
          </w:tcPr>
          <w:p>
            <w:pPr>
              <w:jc w:val="right"/>
              <w:spacing w:after="0"/>
              <w:rPr>
                <w:sz w:val="20"/>
                <w:szCs w:val="20"/>
                <w:color w:val="auto"/>
              </w:rPr>
            </w:pPr>
            <w:r>
              <w:rPr>
                <w:rFonts w:ascii="Arial" w:cs="Arial" w:eastAsia="Arial" w:hAnsi="Arial"/>
                <w:sz w:val="8"/>
                <w:szCs w:val="8"/>
                <w:color w:val="005A64"/>
              </w:rPr>
              <w:t>(243.5)</w:t>
            </w:r>
          </w:p>
        </w:tc>
        <w:tc>
          <w:tcPr>
            <w:tcW w:w="180" w:type="dxa"/>
            <w:vAlign w:val="bottom"/>
          </w:tcPr>
          <w:p>
            <w:pPr>
              <w:spacing w:after="0"/>
              <w:rPr>
                <w:sz w:val="9"/>
                <w:szCs w:val="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8"/>
                <w:szCs w:val="8"/>
                <w:color w:val="005A64"/>
              </w:rPr>
              <w:t>—</w:t>
            </w:r>
          </w:p>
        </w:tc>
        <w:tc>
          <w:tcPr>
            <w:tcW w:w="1240" w:type="dxa"/>
            <w:vAlign w:val="bottom"/>
          </w:tcPr>
          <w:p>
            <w:pPr>
              <w:jc w:val="right"/>
              <w:spacing w:after="0"/>
              <w:rPr>
                <w:sz w:val="20"/>
                <w:szCs w:val="20"/>
                <w:color w:val="auto"/>
              </w:rPr>
            </w:pPr>
            <w:r>
              <w:rPr>
                <w:rFonts w:ascii="Arial" w:cs="Arial" w:eastAsia="Arial" w:hAnsi="Arial"/>
                <w:sz w:val="8"/>
                <w:szCs w:val="8"/>
                <w:color w:val="005A64"/>
              </w:rPr>
              <w:t>39.0</w:t>
            </w:r>
          </w:p>
        </w:tc>
        <w:tc>
          <w:tcPr>
            <w:tcW w:w="180" w:type="dxa"/>
            <w:vAlign w:val="bottom"/>
          </w:tcPr>
          <w:p>
            <w:pPr>
              <w:spacing w:after="0"/>
              <w:rPr>
                <w:sz w:val="9"/>
                <w:szCs w:val="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8"/>
                <w:szCs w:val="8"/>
                <w:color w:val="005A64"/>
              </w:rPr>
              <w:t>—</w:t>
            </w:r>
          </w:p>
        </w:tc>
        <w:tc>
          <w:tcPr>
            <w:tcW w:w="1740" w:type="dxa"/>
            <w:vAlign w:val="bottom"/>
            <w:gridSpan w:val="2"/>
          </w:tcPr>
          <w:p>
            <w:pPr>
              <w:jc w:val="right"/>
              <w:ind w:right="200"/>
              <w:spacing w:after="0"/>
              <w:rPr>
                <w:sz w:val="20"/>
                <w:szCs w:val="20"/>
                <w:color w:val="auto"/>
              </w:rPr>
            </w:pPr>
            <w:r>
              <w:rPr>
                <w:rFonts w:ascii="Arial" w:cs="Arial" w:eastAsia="Arial" w:hAnsi="Arial"/>
                <w:sz w:val="8"/>
                <w:szCs w:val="8"/>
                <w:color w:val="005A64"/>
              </w:rPr>
              <w:t>—</w:t>
            </w:r>
          </w:p>
        </w:tc>
        <w:tc>
          <w:tcPr>
            <w:tcW w:w="1100" w:type="dxa"/>
            <w:vAlign w:val="bottom"/>
          </w:tcPr>
          <w:p>
            <w:pPr>
              <w:jc w:val="right"/>
              <w:spacing w:after="0"/>
              <w:rPr>
                <w:sz w:val="20"/>
                <w:szCs w:val="20"/>
                <w:color w:val="auto"/>
              </w:rPr>
            </w:pPr>
            <w:r>
              <w:rPr>
                <w:rFonts w:ascii="Arial" w:cs="Arial" w:eastAsia="Arial" w:hAnsi="Arial"/>
                <w:sz w:val="8"/>
                <w:szCs w:val="8"/>
                <w:color w:val="005A64"/>
              </w:rPr>
              <w:t>(204.5)</w:t>
            </w:r>
          </w:p>
        </w:tc>
        <w:tc>
          <w:tcPr>
            <w:tcW w:w="0" w:type="dxa"/>
            <w:vAlign w:val="bottom"/>
          </w:tcPr>
          <w:p>
            <w:pPr>
              <w:spacing w:after="0"/>
              <w:rPr>
                <w:sz w:val="1"/>
                <w:szCs w:val="1"/>
                <w:color w:val="auto"/>
              </w:rPr>
            </w:pPr>
          </w:p>
        </w:tc>
      </w:tr>
      <w:tr>
        <w:trPr>
          <w:trHeight w:val="37"/>
        </w:trPr>
        <w:tc>
          <w:tcPr>
            <w:tcW w:w="2740" w:type="dxa"/>
            <w:vAlign w:val="bottom"/>
            <w:tcBorders>
              <w:bottom w:val="single" w:sz="8" w:color="7FACB1"/>
            </w:tcBorders>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05"/>
        </w:trPr>
        <w:tc>
          <w:tcPr>
            <w:tcW w:w="2940" w:type="dxa"/>
            <w:vAlign w:val="bottom"/>
            <w:gridSpan w:val="2"/>
          </w:tcPr>
          <w:p>
            <w:pPr>
              <w:spacing w:after="0"/>
              <w:rPr>
                <w:sz w:val="20"/>
                <w:szCs w:val="20"/>
                <w:color w:val="auto"/>
              </w:rPr>
            </w:pPr>
            <w:r>
              <w:rPr>
                <w:rFonts w:ascii="Arial" w:cs="Arial" w:eastAsia="Arial" w:hAnsi="Arial"/>
                <w:sz w:val="8"/>
                <w:szCs w:val="8"/>
                <w:color w:val="005A64"/>
              </w:rPr>
              <w:t>Research and development expenses</w:t>
            </w:r>
          </w:p>
        </w:tc>
        <w:tc>
          <w:tcPr>
            <w:tcW w:w="1100" w:type="dxa"/>
            <w:vAlign w:val="bottom"/>
          </w:tcPr>
          <w:p>
            <w:pPr>
              <w:jc w:val="right"/>
              <w:spacing w:after="0"/>
              <w:rPr>
                <w:sz w:val="20"/>
                <w:szCs w:val="20"/>
                <w:color w:val="auto"/>
              </w:rPr>
            </w:pPr>
            <w:r>
              <w:rPr>
                <w:rFonts w:ascii="Arial" w:cs="Arial" w:eastAsia="Arial" w:hAnsi="Arial"/>
                <w:sz w:val="8"/>
                <w:szCs w:val="8"/>
                <w:color w:val="005A64"/>
              </w:rPr>
              <w:t>(611.8)</w:t>
            </w:r>
          </w:p>
        </w:tc>
        <w:tc>
          <w:tcPr>
            <w:tcW w:w="180" w:type="dxa"/>
            <w:vAlign w:val="bottom"/>
          </w:tcPr>
          <w:p>
            <w:pPr>
              <w:spacing w:after="0"/>
              <w:rPr>
                <w:sz w:val="9"/>
                <w:szCs w:val="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8"/>
                <w:szCs w:val="8"/>
                <w:color w:val="005A64"/>
              </w:rPr>
              <w:t>—</w:t>
            </w:r>
          </w:p>
        </w:tc>
        <w:tc>
          <w:tcPr>
            <w:tcW w:w="1240" w:type="dxa"/>
            <w:vAlign w:val="bottom"/>
          </w:tcPr>
          <w:p>
            <w:pPr>
              <w:jc w:val="right"/>
              <w:spacing w:after="0"/>
              <w:rPr>
                <w:sz w:val="20"/>
                <w:szCs w:val="20"/>
                <w:color w:val="auto"/>
              </w:rPr>
            </w:pPr>
            <w:r>
              <w:rPr>
                <w:rFonts w:ascii="Arial" w:cs="Arial" w:eastAsia="Arial" w:hAnsi="Arial"/>
                <w:sz w:val="8"/>
                <w:szCs w:val="8"/>
                <w:color w:val="005A64"/>
              </w:rPr>
              <w:t>81.5</w:t>
            </w:r>
          </w:p>
        </w:tc>
        <w:tc>
          <w:tcPr>
            <w:tcW w:w="180" w:type="dxa"/>
            <w:vAlign w:val="bottom"/>
          </w:tcPr>
          <w:p>
            <w:pPr>
              <w:spacing w:after="0"/>
              <w:rPr>
                <w:sz w:val="9"/>
                <w:szCs w:val="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8"/>
                <w:szCs w:val="8"/>
                <w:color w:val="005A64"/>
              </w:rPr>
              <w:t>—</w:t>
            </w:r>
          </w:p>
        </w:tc>
        <w:tc>
          <w:tcPr>
            <w:tcW w:w="1740" w:type="dxa"/>
            <w:vAlign w:val="bottom"/>
            <w:gridSpan w:val="2"/>
          </w:tcPr>
          <w:p>
            <w:pPr>
              <w:jc w:val="right"/>
              <w:ind w:right="200"/>
              <w:spacing w:after="0"/>
              <w:rPr>
                <w:sz w:val="20"/>
                <w:szCs w:val="20"/>
                <w:color w:val="auto"/>
              </w:rPr>
            </w:pPr>
            <w:r>
              <w:rPr>
                <w:rFonts w:ascii="Arial" w:cs="Arial" w:eastAsia="Arial" w:hAnsi="Arial"/>
                <w:sz w:val="8"/>
                <w:szCs w:val="8"/>
                <w:color w:val="005A64"/>
              </w:rPr>
              <w:t>—</w:t>
            </w:r>
          </w:p>
        </w:tc>
        <w:tc>
          <w:tcPr>
            <w:tcW w:w="1100" w:type="dxa"/>
            <w:vAlign w:val="bottom"/>
          </w:tcPr>
          <w:p>
            <w:pPr>
              <w:jc w:val="right"/>
              <w:spacing w:after="0"/>
              <w:rPr>
                <w:sz w:val="20"/>
                <w:szCs w:val="20"/>
                <w:color w:val="auto"/>
              </w:rPr>
            </w:pPr>
            <w:r>
              <w:rPr>
                <w:rFonts w:ascii="Arial" w:cs="Arial" w:eastAsia="Arial" w:hAnsi="Arial"/>
                <w:sz w:val="8"/>
                <w:szCs w:val="8"/>
                <w:color w:val="005A64"/>
              </w:rPr>
              <w:t>(530.3)</w:t>
            </w:r>
          </w:p>
        </w:tc>
        <w:tc>
          <w:tcPr>
            <w:tcW w:w="0" w:type="dxa"/>
            <w:vAlign w:val="bottom"/>
          </w:tcPr>
          <w:p>
            <w:pPr>
              <w:spacing w:after="0"/>
              <w:rPr>
                <w:sz w:val="1"/>
                <w:szCs w:val="1"/>
                <w:color w:val="auto"/>
              </w:rPr>
            </w:pPr>
          </w:p>
        </w:tc>
      </w:tr>
      <w:tr>
        <w:trPr>
          <w:trHeight w:val="37"/>
        </w:trPr>
        <w:tc>
          <w:tcPr>
            <w:tcW w:w="2740" w:type="dxa"/>
            <w:vAlign w:val="bottom"/>
            <w:tcBorders>
              <w:bottom w:val="single" w:sz="8" w:color="7FACB1"/>
            </w:tcBorders>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05"/>
        </w:trPr>
        <w:tc>
          <w:tcPr>
            <w:tcW w:w="2940" w:type="dxa"/>
            <w:vAlign w:val="bottom"/>
            <w:gridSpan w:val="2"/>
          </w:tcPr>
          <w:p>
            <w:pPr>
              <w:spacing w:after="0"/>
              <w:rPr>
                <w:sz w:val="20"/>
                <w:szCs w:val="20"/>
                <w:color w:val="auto"/>
              </w:rPr>
            </w:pPr>
            <w:r>
              <w:rPr>
                <w:rFonts w:ascii="Arial" w:cs="Arial" w:eastAsia="Arial" w:hAnsi="Arial"/>
                <w:sz w:val="8"/>
                <w:szCs w:val="8"/>
                <w:color w:val="005A64"/>
              </w:rPr>
              <w:t>Other operating expenses</w:t>
            </w:r>
          </w:p>
        </w:tc>
        <w:tc>
          <w:tcPr>
            <w:tcW w:w="1100" w:type="dxa"/>
            <w:vAlign w:val="bottom"/>
          </w:tcPr>
          <w:p>
            <w:pPr>
              <w:jc w:val="right"/>
              <w:spacing w:after="0"/>
              <w:rPr>
                <w:sz w:val="20"/>
                <w:szCs w:val="20"/>
                <w:color w:val="auto"/>
              </w:rPr>
            </w:pPr>
            <w:r>
              <w:rPr>
                <w:rFonts w:ascii="Arial" w:cs="Arial" w:eastAsia="Arial" w:hAnsi="Arial"/>
                <w:sz w:val="8"/>
                <w:szCs w:val="8"/>
                <w:color w:val="005A64"/>
              </w:rPr>
              <w:t>(91.6)</w:t>
            </w:r>
          </w:p>
        </w:tc>
        <w:tc>
          <w:tcPr>
            <w:tcW w:w="180" w:type="dxa"/>
            <w:vAlign w:val="bottom"/>
          </w:tcPr>
          <w:p>
            <w:pPr>
              <w:spacing w:after="0"/>
              <w:rPr>
                <w:sz w:val="9"/>
                <w:szCs w:val="9"/>
                <w:color w:val="auto"/>
              </w:rPr>
            </w:pPr>
          </w:p>
        </w:tc>
        <w:tc>
          <w:tcPr>
            <w:tcW w:w="1240" w:type="dxa"/>
            <w:vAlign w:val="bottom"/>
          </w:tcPr>
          <w:p>
            <w:pPr>
              <w:jc w:val="right"/>
              <w:spacing w:after="0"/>
              <w:rPr>
                <w:sz w:val="20"/>
                <w:szCs w:val="20"/>
                <w:color w:val="auto"/>
              </w:rPr>
            </w:pPr>
            <w:r>
              <w:rPr>
                <w:rFonts w:ascii="Arial" w:cs="Arial" w:eastAsia="Arial" w:hAnsi="Arial"/>
                <w:sz w:val="8"/>
                <w:szCs w:val="8"/>
                <w:color w:val="005A64"/>
              </w:rPr>
              <w:t>52.4</w:t>
            </w:r>
          </w:p>
        </w:tc>
        <w:tc>
          <w:tcPr>
            <w:tcW w:w="180" w:type="dxa"/>
            <w:vAlign w:val="bottom"/>
          </w:tcPr>
          <w:p>
            <w:pPr>
              <w:spacing w:after="0"/>
              <w:rPr>
                <w:sz w:val="9"/>
                <w:szCs w:val="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8"/>
                <w:szCs w:val="8"/>
                <w:color w:val="005A64"/>
              </w:rPr>
              <w:t>—</w:t>
            </w:r>
          </w:p>
        </w:tc>
        <w:tc>
          <w:tcPr>
            <w:tcW w:w="1400" w:type="dxa"/>
            <w:vAlign w:val="bottom"/>
            <w:gridSpan w:val="2"/>
          </w:tcPr>
          <w:p>
            <w:pPr>
              <w:jc w:val="right"/>
              <w:ind w:right="180"/>
              <w:spacing w:after="0"/>
              <w:rPr>
                <w:sz w:val="20"/>
                <w:szCs w:val="20"/>
                <w:color w:val="auto"/>
              </w:rPr>
            </w:pPr>
            <w:r>
              <w:rPr>
                <w:rFonts w:ascii="Arial" w:cs="Arial" w:eastAsia="Arial" w:hAnsi="Arial"/>
                <w:sz w:val="8"/>
                <w:szCs w:val="8"/>
                <w:color w:val="005A64"/>
              </w:rPr>
              <w:t>—</w:t>
            </w:r>
          </w:p>
        </w:tc>
        <w:tc>
          <w:tcPr>
            <w:tcW w:w="1740" w:type="dxa"/>
            <w:vAlign w:val="bottom"/>
            <w:gridSpan w:val="2"/>
          </w:tcPr>
          <w:p>
            <w:pPr>
              <w:jc w:val="right"/>
              <w:ind w:right="200"/>
              <w:spacing w:after="0"/>
              <w:rPr>
                <w:sz w:val="20"/>
                <w:szCs w:val="20"/>
                <w:color w:val="auto"/>
              </w:rPr>
            </w:pPr>
            <w:r>
              <w:rPr>
                <w:rFonts w:ascii="Arial" w:cs="Arial" w:eastAsia="Arial" w:hAnsi="Arial"/>
                <w:sz w:val="8"/>
                <w:szCs w:val="8"/>
                <w:color w:val="005A64"/>
              </w:rPr>
              <w:t>—</w:t>
            </w:r>
          </w:p>
        </w:tc>
        <w:tc>
          <w:tcPr>
            <w:tcW w:w="1100" w:type="dxa"/>
            <w:vAlign w:val="bottom"/>
          </w:tcPr>
          <w:p>
            <w:pPr>
              <w:jc w:val="right"/>
              <w:spacing w:after="0"/>
              <w:rPr>
                <w:sz w:val="20"/>
                <w:szCs w:val="20"/>
                <w:color w:val="auto"/>
              </w:rPr>
            </w:pPr>
            <w:r>
              <w:rPr>
                <w:rFonts w:ascii="Arial" w:cs="Arial" w:eastAsia="Arial" w:hAnsi="Arial"/>
                <w:sz w:val="8"/>
                <w:szCs w:val="8"/>
                <w:color w:val="005A64"/>
              </w:rPr>
              <w:t>(39.2)</w:t>
            </w:r>
          </w:p>
        </w:tc>
        <w:tc>
          <w:tcPr>
            <w:tcW w:w="0" w:type="dxa"/>
            <w:vAlign w:val="bottom"/>
          </w:tcPr>
          <w:p>
            <w:pPr>
              <w:spacing w:after="0"/>
              <w:rPr>
                <w:sz w:val="1"/>
                <w:szCs w:val="1"/>
                <w:color w:val="auto"/>
              </w:rPr>
            </w:pPr>
          </w:p>
        </w:tc>
      </w:tr>
      <w:tr>
        <w:trPr>
          <w:trHeight w:val="37"/>
        </w:trPr>
        <w:tc>
          <w:tcPr>
            <w:tcW w:w="2740" w:type="dxa"/>
            <w:vAlign w:val="bottom"/>
            <w:tcBorders>
              <w:bottom w:val="single" w:sz="8" w:color="7FACB1"/>
            </w:tcBorders>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940" w:type="dxa"/>
            <w:vAlign w:val="bottom"/>
            <w:gridSpan w:val="2"/>
          </w:tcPr>
          <w:p>
            <w:pPr>
              <w:spacing w:after="0"/>
              <w:rPr>
                <w:sz w:val="20"/>
                <w:szCs w:val="20"/>
                <w:color w:val="auto"/>
              </w:rPr>
            </w:pPr>
            <w:r>
              <w:rPr>
                <w:rFonts w:ascii="Arial" w:cs="Arial" w:eastAsia="Arial" w:hAnsi="Arial"/>
                <w:sz w:val="8"/>
                <w:szCs w:val="8"/>
                <w:b w:val="1"/>
                <w:bCs w:val="1"/>
                <w:color w:val="005A64"/>
              </w:rPr>
              <w:t>Operating profit</w:t>
            </w:r>
          </w:p>
        </w:tc>
        <w:tc>
          <w:tcPr>
            <w:tcW w:w="1100" w:type="dxa"/>
            <w:vAlign w:val="bottom"/>
          </w:tcPr>
          <w:p>
            <w:pPr>
              <w:jc w:val="right"/>
              <w:spacing w:after="0"/>
              <w:rPr>
                <w:sz w:val="20"/>
                <w:szCs w:val="20"/>
                <w:color w:val="auto"/>
              </w:rPr>
            </w:pPr>
            <w:r>
              <w:rPr>
                <w:rFonts w:ascii="Arial" w:cs="Arial" w:eastAsia="Arial" w:hAnsi="Arial"/>
                <w:sz w:val="8"/>
                <w:szCs w:val="8"/>
                <w:b w:val="1"/>
                <w:bCs w:val="1"/>
                <w:color w:val="005A64"/>
              </w:rPr>
              <w:t>148.6</w:t>
            </w:r>
          </w:p>
        </w:tc>
        <w:tc>
          <w:tcPr>
            <w:tcW w:w="180" w:type="dxa"/>
            <w:vAlign w:val="bottom"/>
          </w:tcPr>
          <w:p>
            <w:pPr>
              <w:spacing w:after="0"/>
              <w:rPr>
                <w:sz w:val="9"/>
                <w:szCs w:val="9"/>
                <w:color w:val="auto"/>
              </w:rPr>
            </w:pPr>
          </w:p>
        </w:tc>
        <w:tc>
          <w:tcPr>
            <w:tcW w:w="1240" w:type="dxa"/>
            <w:vAlign w:val="bottom"/>
          </w:tcPr>
          <w:p>
            <w:pPr>
              <w:jc w:val="right"/>
              <w:spacing w:after="0"/>
              <w:rPr>
                <w:sz w:val="20"/>
                <w:szCs w:val="20"/>
                <w:color w:val="auto"/>
              </w:rPr>
            </w:pPr>
            <w:r>
              <w:rPr>
                <w:rFonts w:ascii="Arial" w:cs="Arial" w:eastAsia="Arial" w:hAnsi="Arial"/>
                <w:sz w:val="8"/>
                <w:szCs w:val="8"/>
                <w:b w:val="1"/>
                <w:bCs w:val="1"/>
                <w:color w:val="005A64"/>
              </w:rPr>
              <w:t>52.4</w:t>
            </w:r>
          </w:p>
        </w:tc>
        <w:tc>
          <w:tcPr>
            <w:tcW w:w="180" w:type="dxa"/>
            <w:vAlign w:val="bottom"/>
          </w:tcPr>
          <w:p>
            <w:pPr>
              <w:spacing w:after="0"/>
              <w:rPr>
                <w:sz w:val="9"/>
                <w:szCs w:val="9"/>
                <w:color w:val="auto"/>
              </w:rPr>
            </w:pPr>
          </w:p>
        </w:tc>
        <w:tc>
          <w:tcPr>
            <w:tcW w:w="1240" w:type="dxa"/>
            <w:vAlign w:val="bottom"/>
          </w:tcPr>
          <w:p>
            <w:pPr>
              <w:jc w:val="right"/>
              <w:spacing w:after="0"/>
              <w:rPr>
                <w:sz w:val="20"/>
                <w:szCs w:val="20"/>
                <w:color w:val="auto"/>
              </w:rPr>
            </w:pPr>
            <w:r>
              <w:rPr>
                <w:rFonts w:ascii="Arial" w:cs="Arial" w:eastAsia="Arial" w:hAnsi="Arial"/>
                <w:sz w:val="8"/>
                <w:szCs w:val="8"/>
                <w:b w:val="1"/>
                <w:bCs w:val="1"/>
                <w:color w:val="005A64"/>
              </w:rPr>
              <w:t>120.5</w:t>
            </w:r>
          </w:p>
        </w:tc>
        <w:tc>
          <w:tcPr>
            <w:tcW w:w="180" w:type="dxa"/>
            <w:vAlign w:val="bottom"/>
          </w:tcPr>
          <w:p>
            <w:pPr>
              <w:spacing w:after="0"/>
              <w:rPr>
                <w:sz w:val="9"/>
                <w:szCs w:val="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8"/>
                <w:szCs w:val="8"/>
                <w:b w:val="1"/>
                <w:bCs w:val="1"/>
                <w:color w:val="005A64"/>
              </w:rPr>
              <w:t>—</w:t>
            </w:r>
          </w:p>
        </w:tc>
        <w:tc>
          <w:tcPr>
            <w:tcW w:w="1740" w:type="dxa"/>
            <w:vAlign w:val="bottom"/>
            <w:gridSpan w:val="2"/>
          </w:tcPr>
          <w:p>
            <w:pPr>
              <w:jc w:val="right"/>
              <w:ind w:right="200"/>
              <w:spacing w:after="0"/>
              <w:rPr>
                <w:sz w:val="20"/>
                <w:szCs w:val="20"/>
                <w:color w:val="auto"/>
              </w:rPr>
            </w:pPr>
            <w:r>
              <w:rPr>
                <w:rFonts w:ascii="Arial" w:cs="Arial" w:eastAsia="Arial" w:hAnsi="Arial"/>
                <w:sz w:val="8"/>
                <w:szCs w:val="8"/>
                <w:b w:val="1"/>
                <w:bCs w:val="1"/>
                <w:color w:val="005A64"/>
              </w:rPr>
              <w:t>—</w:t>
            </w:r>
          </w:p>
        </w:tc>
        <w:tc>
          <w:tcPr>
            <w:tcW w:w="1100" w:type="dxa"/>
            <w:vAlign w:val="bottom"/>
          </w:tcPr>
          <w:p>
            <w:pPr>
              <w:jc w:val="right"/>
              <w:spacing w:after="0"/>
              <w:rPr>
                <w:sz w:val="20"/>
                <w:szCs w:val="20"/>
                <w:color w:val="auto"/>
              </w:rPr>
            </w:pPr>
            <w:r>
              <w:rPr>
                <w:rFonts w:ascii="Arial" w:cs="Arial" w:eastAsia="Arial" w:hAnsi="Arial"/>
                <w:sz w:val="8"/>
                <w:szCs w:val="8"/>
                <w:b w:val="1"/>
                <w:bCs w:val="1"/>
                <w:color w:val="005A64"/>
              </w:rPr>
              <w:t>321.5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005A64"/>
            </w:tcBorders>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09"/>
        </w:trPr>
        <w:tc>
          <w:tcPr>
            <w:tcW w:w="2940" w:type="dxa"/>
            <w:vAlign w:val="bottom"/>
            <w:gridSpan w:val="2"/>
          </w:tcPr>
          <w:p>
            <w:pPr>
              <w:spacing w:after="0"/>
              <w:rPr>
                <w:sz w:val="20"/>
                <w:szCs w:val="20"/>
                <w:color w:val="auto"/>
              </w:rPr>
            </w:pPr>
            <w:r>
              <w:rPr>
                <w:rFonts w:ascii="Arial" w:cs="Arial" w:eastAsia="Arial" w:hAnsi="Arial"/>
                <w:sz w:val="8"/>
                <w:szCs w:val="8"/>
                <w:b w:val="1"/>
                <w:bCs w:val="1"/>
                <w:color w:val="005A64"/>
              </w:rPr>
              <w:t>Profit before tax</w:t>
            </w:r>
          </w:p>
        </w:tc>
        <w:tc>
          <w:tcPr>
            <w:tcW w:w="1100" w:type="dxa"/>
            <w:vAlign w:val="bottom"/>
          </w:tcPr>
          <w:p>
            <w:pPr>
              <w:jc w:val="right"/>
              <w:spacing w:after="0"/>
              <w:rPr>
                <w:sz w:val="20"/>
                <w:szCs w:val="20"/>
                <w:color w:val="auto"/>
              </w:rPr>
            </w:pPr>
            <w:r>
              <w:rPr>
                <w:rFonts w:ascii="Arial" w:cs="Arial" w:eastAsia="Arial" w:hAnsi="Arial"/>
                <w:sz w:val="8"/>
                <w:szCs w:val="8"/>
                <w:b w:val="1"/>
                <w:bCs w:val="1"/>
                <w:color w:val="005A64"/>
              </w:rPr>
              <w:t>301.2</w:t>
            </w:r>
          </w:p>
        </w:tc>
        <w:tc>
          <w:tcPr>
            <w:tcW w:w="180" w:type="dxa"/>
            <w:vAlign w:val="bottom"/>
          </w:tcPr>
          <w:p>
            <w:pPr>
              <w:spacing w:after="0"/>
              <w:rPr>
                <w:sz w:val="9"/>
                <w:szCs w:val="9"/>
                <w:color w:val="auto"/>
              </w:rPr>
            </w:pPr>
          </w:p>
        </w:tc>
        <w:tc>
          <w:tcPr>
            <w:tcW w:w="1240" w:type="dxa"/>
            <w:vAlign w:val="bottom"/>
          </w:tcPr>
          <w:p>
            <w:pPr>
              <w:jc w:val="right"/>
              <w:spacing w:after="0"/>
              <w:rPr>
                <w:sz w:val="20"/>
                <w:szCs w:val="20"/>
                <w:color w:val="auto"/>
              </w:rPr>
            </w:pPr>
            <w:r>
              <w:rPr>
                <w:rFonts w:ascii="Arial" w:cs="Arial" w:eastAsia="Arial" w:hAnsi="Arial"/>
                <w:sz w:val="8"/>
                <w:szCs w:val="8"/>
                <w:b w:val="1"/>
                <w:bCs w:val="1"/>
                <w:color w:val="005A64"/>
              </w:rPr>
              <w:t>52.4</w:t>
            </w:r>
          </w:p>
        </w:tc>
        <w:tc>
          <w:tcPr>
            <w:tcW w:w="180" w:type="dxa"/>
            <w:vAlign w:val="bottom"/>
          </w:tcPr>
          <w:p>
            <w:pPr>
              <w:spacing w:after="0"/>
              <w:rPr>
                <w:sz w:val="9"/>
                <w:szCs w:val="9"/>
                <w:color w:val="auto"/>
              </w:rPr>
            </w:pPr>
          </w:p>
        </w:tc>
        <w:tc>
          <w:tcPr>
            <w:tcW w:w="1240" w:type="dxa"/>
            <w:vAlign w:val="bottom"/>
          </w:tcPr>
          <w:p>
            <w:pPr>
              <w:jc w:val="right"/>
              <w:spacing w:after="0"/>
              <w:rPr>
                <w:sz w:val="20"/>
                <w:szCs w:val="20"/>
                <w:color w:val="auto"/>
              </w:rPr>
            </w:pPr>
            <w:r>
              <w:rPr>
                <w:rFonts w:ascii="Arial" w:cs="Arial" w:eastAsia="Arial" w:hAnsi="Arial"/>
                <w:sz w:val="8"/>
                <w:szCs w:val="8"/>
                <w:b w:val="1"/>
                <w:bCs w:val="1"/>
                <w:color w:val="005A64"/>
              </w:rPr>
              <w:t>120.5</w:t>
            </w:r>
          </w:p>
        </w:tc>
        <w:tc>
          <w:tcPr>
            <w:tcW w:w="180" w:type="dxa"/>
            <w:vAlign w:val="bottom"/>
          </w:tcPr>
          <w:p>
            <w:pPr>
              <w:spacing w:after="0"/>
              <w:rPr>
                <w:sz w:val="9"/>
                <w:szCs w:val="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8"/>
                <w:szCs w:val="8"/>
                <w:b w:val="1"/>
                <w:bCs w:val="1"/>
                <w:color w:val="005A64"/>
              </w:rPr>
              <w:t>—</w:t>
            </w:r>
          </w:p>
        </w:tc>
        <w:tc>
          <w:tcPr>
            <w:tcW w:w="1740" w:type="dxa"/>
            <w:vAlign w:val="bottom"/>
            <w:gridSpan w:val="2"/>
          </w:tcPr>
          <w:p>
            <w:pPr>
              <w:jc w:val="right"/>
              <w:ind w:right="200"/>
              <w:spacing w:after="0"/>
              <w:rPr>
                <w:sz w:val="20"/>
                <w:szCs w:val="20"/>
                <w:color w:val="auto"/>
              </w:rPr>
            </w:pPr>
            <w:r>
              <w:rPr>
                <w:rFonts w:ascii="Arial" w:cs="Arial" w:eastAsia="Arial" w:hAnsi="Arial"/>
                <w:sz w:val="8"/>
                <w:szCs w:val="8"/>
                <w:b w:val="1"/>
                <w:bCs w:val="1"/>
                <w:color w:val="005A64"/>
              </w:rPr>
              <w:t>—</w:t>
            </w:r>
          </w:p>
        </w:tc>
        <w:tc>
          <w:tcPr>
            <w:tcW w:w="1100" w:type="dxa"/>
            <w:vAlign w:val="bottom"/>
          </w:tcPr>
          <w:p>
            <w:pPr>
              <w:jc w:val="right"/>
              <w:spacing w:after="0"/>
              <w:rPr>
                <w:sz w:val="20"/>
                <w:szCs w:val="20"/>
                <w:color w:val="auto"/>
              </w:rPr>
            </w:pPr>
            <w:r>
              <w:rPr>
                <w:rFonts w:ascii="Arial" w:cs="Arial" w:eastAsia="Arial" w:hAnsi="Arial"/>
                <w:sz w:val="8"/>
                <w:szCs w:val="8"/>
                <w:b w:val="1"/>
                <w:bCs w:val="1"/>
                <w:color w:val="005A64"/>
              </w:rPr>
              <w:t>474.1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005A64"/>
            </w:tcBorders>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740" w:type="dxa"/>
            <w:vAlign w:val="bottom"/>
            <w:tcBorders>
              <w:bottom w:val="single" w:sz="8" w:color="005A64"/>
            </w:tcBorders>
          </w:tcPr>
          <w:p>
            <w:pPr>
              <w:spacing w:after="0"/>
              <w:rPr>
                <w:sz w:val="20"/>
                <w:szCs w:val="20"/>
                <w:color w:val="auto"/>
              </w:rPr>
            </w:pPr>
            <w:r>
              <w:rPr>
                <w:rFonts w:ascii="Arial" w:cs="Arial" w:eastAsia="Arial" w:hAnsi="Arial"/>
                <w:sz w:val="8"/>
                <w:szCs w:val="8"/>
                <w:b w:val="1"/>
                <w:bCs w:val="1"/>
                <w:color w:val="005A64"/>
              </w:rPr>
              <w:t>Net profit</w:t>
            </w:r>
            <w:r>
              <w:rPr>
                <w:rFonts w:ascii="Arial" w:cs="Arial" w:eastAsia="Arial" w:hAnsi="Arial"/>
                <w:sz w:val="10"/>
                <w:szCs w:val="10"/>
                <w:color w:val="000000"/>
                <w:vertAlign w:val="superscript"/>
              </w:rPr>
              <w:t>1</w:t>
            </w:r>
          </w:p>
        </w:tc>
        <w:tc>
          <w:tcPr>
            <w:tcW w:w="200" w:type="dxa"/>
            <w:vAlign w:val="bottom"/>
          </w:tcPr>
          <w:p>
            <w:pPr>
              <w:spacing w:after="0"/>
              <w:rPr>
                <w:sz w:val="11"/>
                <w:szCs w:val="11"/>
                <w:color w:val="auto"/>
              </w:rPr>
            </w:pPr>
          </w:p>
        </w:tc>
        <w:tc>
          <w:tcPr>
            <w:tcW w:w="1100" w:type="dxa"/>
            <w:vAlign w:val="bottom"/>
            <w:tcBorders>
              <w:bottom w:val="single" w:sz="8" w:color="005A64"/>
            </w:tcBorders>
          </w:tcPr>
          <w:p>
            <w:pPr>
              <w:jc w:val="right"/>
              <w:spacing w:after="0"/>
              <w:rPr>
                <w:sz w:val="20"/>
                <w:szCs w:val="20"/>
                <w:color w:val="auto"/>
              </w:rPr>
            </w:pPr>
            <w:r>
              <w:rPr>
                <w:rFonts w:ascii="Arial" w:cs="Arial" w:eastAsia="Arial" w:hAnsi="Arial"/>
                <w:sz w:val="8"/>
                <w:szCs w:val="8"/>
                <w:b w:val="1"/>
                <w:bCs w:val="1"/>
                <w:color w:val="005A64"/>
              </w:rPr>
              <w:t>259.5</w:t>
            </w:r>
          </w:p>
        </w:tc>
        <w:tc>
          <w:tcPr>
            <w:tcW w:w="180" w:type="dxa"/>
            <w:vAlign w:val="bottom"/>
          </w:tcPr>
          <w:p>
            <w:pPr>
              <w:spacing w:after="0"/>
              <w:rPr>
                <w:sz w:val="11"/>
                <w:szCs w:val="11"/>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8"/>
                <w:szCs w:val="8"/>
                <w:b w:val="1"/>
                <w:bCs w:val="1"/>
                <w:color w:val="005A64"/>
              </w:rPr>
              <w:t>52.4</w:t>
            </w:r>
          </w:p>
        </w:tc>
        <w:tc>
          <w:tcPr>
            <w:tcW w:w="180" w:type="dxa"/>
            <w:vAlign w:val="bottom"/>
          </w:tcPr>
          <w:p>
            <w:pPr>
              <w:spacing w:after="0"/>
              <w:rPr>
                <w:sz w:val="11"/>
                <w:szCs w:val="11"/>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8"/>
                <w:szCs w:val="8"/>
                <w:b w:val="1"/>
                <w:bCs w:val="1"/>
                <w:color w:val="005A64"/>
              </w:rPr>
              <w:t>120.5</w:t>
            </w:r>
          </w:p>
        </w:tc>
        <w:tc>
          <w:tcPr>
            <w:tcW w:w="180" w:type="dxa"/>
            <w:vAlign w:val="bottom"/>
          </w:tcPr>
          <w:p>
            <w:pPr>
              <w:spacing w:after="0"/>
              <w:rPr>
                <w:sz w:val="11"/>
                <w:szCs w:val="11"/>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8"/>
                <w:szCs w:val="8"/>
                <w:b w:val="1"/>
                <w:bCs w:val="1"/>
                <w:color w:val="005A64"/>
              </w:rPr>
              <w:t>—</w:t>
            </w:r>
          </w:p>
        </w:tc>
        <w:tc>
          <w:tcPr>
            <w:tcW w:w="160" w:type="dxa"/>
            <w:vAlign w:val="bottom"/>
          </w:tcPr>
          <w:p>
            <w:pPr>
              <w:spacing w:after="0"/>
              <w:rPr>
                <w:sz w:val="11"/>
                <w:szCs w:val="11"/>
                <w:color w:val="auto"/>
              </w:rPr>
            </w:pPr>
          </w:p>
        </w:tc>
        <w:tc>
          <w:tcPr>
            <w:tcW w:w="1560" w:type="dxa"/>
            <w:vAlign w:val="bottom"/>
            <w:tcBorders>
              <w:bottom w:val="single" w:sz="8" w:color="005A64"/>
            </w:tcBorders>
          </w:tcPr>
          <w:p>
            <w:pPr>
              <w:jc w:val="right"/>
              <w:spacing w:after="0"/>
              <w:rPr>
                <w:sz w:val="20"/>
                <w:szCs w:val="20"/>
                <w:color w:val="auto"/>
              </w:rPr>
            </w:pPr>
            <w:r>
              <w:rPr>
                <w:rFonts w:ascii="Arial" w:cs="Arial" w:eastAsia="Arial" w:hAnsi="Arial"/>
                <w:sz w:val="8"/>
                <w:szCs w:val="8"/>
                <w:b w:val="1"/>
                <w:bCs w:val="1"/>
                <w:color w:val="005A64"/>
              </w:rPr>
              <w:t>—</w:t>
            </w:r>
          </w:p>
        </w:tc>
        <w:tc>
          <w:tcPr>
            <w:tcW w:w="180" w:type="dxa"/>
            <w:vAlign w:val="bottom"/>
          </w:tcPr>
          <w:p>
            <w:pPr>
              <w:spacing w:after="0"/>
              <w:rPr>
                <w:sz w:val="11"/>
                <w:szCs w:val="11"/>
                <w:color w:val="auto"/>
              </w:rPr>
            </w:pPr>
          </w:p>
        </w:tc>
        <w:tc>
          <w:tcPr>
            <w:tcW w:w="1100" w:type="dxa"/>
            <w:vAlign w:val="bottom"/>
            <w:tcBorders>
              <w:bottom w:val="single" w:sz="8" w:color="005A64"/>
            </w:tcBorders>
          </w:tcPr>
          <w:p>
            <w:pPr>
              <w:jc w:val="right"/>
              <w:spacing w:after="0"/>
              <w:rPr>
                <w:sz w:val="20"/>
                <w:szCs w:val="20"/>
                <w:color w:val="auto"/>
              </w:rPr>
            </w:pPr>
            <w:r>
              <w:rPr>
                <w:rFonts w:ascii="Arial" w:cs="Arial" w:eastAsia="Arial" w:hAnsi="Arial"/>
                <w:sz w:val="8"/>
                <w:szCs w:val="8"/>
                <w:b w:val="1"/>
                <w:bCs w:val="1"/>
                <w:color w:val="005A64"/>
              </w:rPr>
              <w:t>432.4</w:t>
            </w:r>
          </w:p>
        </w:tc>
        <w:tc>
          <w:tcPr>
            <w:tcW w:w="0" w:type="dxa"/>
            <w:vAlign w:val="bottom"/>
          </w:tcPr>
          <w:p>
            <w:pPr>
              <w:spacing w:after="0"/>
              <w:rPr>
                <w:sz w:val="1"/>
                <w:szCs w:val="1"/>
                <w:color w:val="auto"/>
              </w:rPr>
            </w:pPr>
          </w:p>
        </w:tc>
      </w:tr>
      <w:tr>
        <w:trPr>
          <w:trHeight w:val="122"/>
        </w:trPr>
        <w:tc>
          <w:tcPr>
            <w:tcW w:w="2940" w:type="dxa"/>
            <w:vAlign w:val="bottom"/>
            <w:gridSpan w:val="2"/>
          </w:tcPr>
          <w:p>
            <w:pPr>
              <w:spacing w:after="0"/>
              <w:rPr>
                <w:sz w:val="20"/>
                <w:szCs w:val="20"/>
                <w:color w:val="auto"/>
              </w:rPr>
            </w:pPr>
            <w:r>
              <w:rPr>
                <w:rFonts w:ascii="Arial" w:cs="Arial" w:eastAsia="Arial" w:hAnsi="Arial"/>
                <w:sz w:val="8"/>
                <w:szCs w:val="8"/>
                <w:b w:val="1"/>
                <w:bCs w:val="1"/>
                <w:color w:val="3C9673"/>
              </w:rPr>
              <w:t>Earnings per share</w:t>
            </w: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74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2940" w:type="dxa"/>
            <w:vAlign w:val="bottom"/>
            <w:gridSpan w:val="2"/>
          </w:tcPr>
          <w:p>
            <w:pPr>
              <w:spacing w:after="0"/>
              <w:rPr>
                <w:sz w:val="20"/>
                <w:szCs w:val="20"/>
                <w:color w:val="auto"/>
              </w:rPr>
            </w:pPr>
            <w:r>
              <w:rPr>
                <w:rFonts w:ascii="Arial" w:cs="Arial" w:eastAsia="Arial" w:hAnsi="Arial"/>
                <w:sz w:val="8"/>
                <w:szCs w:val="8"/>
                <w:color w:val="005A64"/>
              </w:rPr>
              <w:t>Basic earnings per share</w:t>
            </w:r>
          </w:p>
        </w:tc>
        <w:tc>
          <w:tcPr>
            <w:tcW w:w="1100" w:type="dxa"/>
            <w:vAlign w:val="bottom"/>
          </w:tcPr>
          <w:p>
            <w:pPr>
              <w:jc w:val="right"/>
              <w:spacing w:after="0"/>
              <w:rPr>
                <w:sz w:val="20"/>
                <w:szCs w:val="20"/>
                <w:color w:val="auto"/>
              </w:rPr>
            </w:pPr>
            <w:r>
              <w:rPr>
                <w:rFonts w:ascii="Arial" w:cs="Arial" w:eastAsia="Arial" w:hAnsi="Arial"/>
                <w:sz w:val="8"/>
                <w:szCs w:val="8"/>
                <w:color w:val="005A64"/>
              </w:rPr>
              <w:t>1.08</w:t>
            </w: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jc w:val="right"/>
              <w:spacing w:after="0"/>
              <w:rPr>
                <w:sz w:val="20"/>
                <w:szCs w:val="20"/>
                <w:color w:val="auto"/>
              </w:rPr>
            </w:pPr>
            <w:r>
              <w:rPr>
                <w:rFonts w:ascii="Arial" w:cs="Arial" w:eastAsia="Arial" w:hAnsi="Arial"/>
                <w:sz w:val="8"/>
                <w:szCs w:val="8"/>
                <w:color w:val="005A64"/>
              </w:rPr>
              <w:t>1.80</w:t>
            </w:r>
          </w:p>
        </w:tc>
        <w:tc>
          <w:tcPr>
            <w:tcW w:w="0" w:type="dxa"/>
            <w:vAlign w:val="bottom"/>
          </w:tcPr>
          <w:p>
            <w:pPr>
              <w:spacing w:after="0"/>
              <w:rPr>
                <w:sz w:val="1"/>
                <w:szCs w:val="1"/>
                <w:color w:val="auto"/>
              </w:rPr>
            </w:pPr>
          </w:p>
        </w:tc>
      </w:tr>
      <w:tr>
        <w:trPr>
          <w:trHeight w:val="37"/>
        </w:trPr>
        <w:tc>
          <w:tcPr>
            <w:tcW w:w="2740" w:type="dxa"/>
            <w:vAlign w:val="bottom"/>
            <w:tcBorders>
              <w:bottom w:val="single" w:sz="8" w:color="7FACB1"/>
            </w:tcBorders>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14"/>
        </w:trPr>
        <w:tc>
          <w:tcPr>
            <w:tcW w:w="2940" w:type="dxa"/>
            <w:vAlign w:val="bottom"/>
            <w:gridSpan w:val="2"/>
          </w:tcPr>
          <w:p>
            <w:pPr>
              <w:spacing w:after="0"/>
              <w:rPr>
                <w:sz w:val="20"/>
                <w:szCs w:val="20"/>
                <w:color w:val="auto"/>
              </w:rPr>
            </w:pPr>
            <w:r>
              <w:rPr>
                <w:rFonts w:ascii="Arial" w:cs="Arial" w:eastAsia="Arial" w:hAnsi="Arial"/>
                <w:sz w:val="8"/>
                <w:szCs w:val="8"/>
                <w:color w:val="005A64"/>
              </w:rPr>
              <w:t>Diluted earnings per share</w:t>
            </w:r>
          </w:p>
        </w:tc>
        <w:tc>
          <w:tcPr>
            <w:tcW w:w="1100" w:type="dxa"/>
            <w:vAlign w:val="bottom"/>
          </w:tcPr>
          <w:p>
            <w:pPr>
              <w:jc w:val="right"/>
              <w:spacing w:after="0"/>
              <w:rPr>
                <w:sz w:val="20"/>
                <w:szCs w:val="20"/>
                <w:color w:val="auto"/>
              </w:rPr>
            </w:pPr>
            <w:r>
              <w:rPr>
                <w:rFonts w:ascii="Arial" w:cs="Arial" w:eastAsia="Arial" w:hAnsi="Arial"/>
                <w:sz w:val="8"/>
                <w:szCs w:val="8"/>
                <w:color w:val="005A64"/>
              </w:rPr>
              <w:t>1.08</w:t>
            </w: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jc w:val="right"/>
              <w:spacing w:after="0"/>
              <w:rPr>
                <w:sz w:val="20"/>
                <w:szCs w:val="20"/>
                <w:color w:val="auto"/>
              </w:rPr>
            </w:pPr>
            <w:r>
              <w:rPr>
                <w:rFonts w:ascii="Arial" w:cs="Arial" w:eastAsia="Arial" w:hAnsi="Arial"/>
                <w:sz w:val="8"/>
                <w:szCs w:val="8"/>
                <w:color w:val="005A64"/>
              </w:rPr>
              <w:t>1.79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7804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52" w:lineRule="exact"/>
        <w:rPr>
          <w:sz w:val="20"/>
          <w:szCs w:val="20"/>
          <w:color w:val="auto"/>
        </w:rPr>
      </w:pPr>
    </w:p>
    <w:p>
      <w:pPr>
        <w:ind w:left="48" w:hanging="48"/>
        <w:spacing w:after="0"/>
        <w:tabs>
          <w:tab w:leader="none" w:pos="48" w:val="left"/>
        </w:tabs>
        <w:numPr>
          <w:ilvl w:val="0"/>
          <w:numId w:val="17"/>
        </w:numPr>
        <w:rPr>
          <w:rFonts w:ascii="Arial" w:cs="Arial" w:eastAsia="Arial" w:hAnsi="Arial"/>
          <w:sz w:val="11"/>
          <w:szCs w:val="11"/>
          <w:color w:val="auto"/>
          <w:vertAlign w:val="superscript"/>
        </w:rPr>
      </w:pPr>
      <w:r>
        <w:rPr>
          <w:rFonts w:ascii="Arial" w:cs="Arial" w:eastAsia="Arial" w:hAnsi="Arial"/>
          <w:sz w:val="8"/>
          <w:szCs w:val="8"/>
          <w:color w:val="auto"/>
        </w:rPr>
        <w:t>Tax effects are not considered as part of our non-IFRS adjustments.</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12"/>
          <w:szCs w:val="12"/>
          <w:color w:val="auto"/>
        </w:rPr>
        <w:t>For the three months ended and the year ended December 31, 2023, our adjusted results were identical to our results under IFRS Accounting Standards.</w:t>
      </w: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308"/>
          </w:cols>
          <w:pgMar w:left="292" w:top="1379" w:right="299" w:bottom="1440"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bullet"/>
      <w:start w:val="1"/>
    </w:lvl>
  </w:abstractNum>
  <w:abstractNum w:abstractNumId="13">
    <w:nsid w:val="41A7C4C9"/>
    <w:multiLevelType w:val="hybridMultilevel"/>
    <w:lvl w:ilvl="0">
      <w:lvlJc w:val="left"/>
      <w:lvlText w:val="2"/>
      <w:numFmt w:val="bullet"/>
      <w:start w:val="1"/>
    </w:lvl>
  </w:abstractNum>
  <w:abstractNum w:abstractNumId="14">
    <w:nsid w:val="6B68079A"/>
    <w:multiLevelType w:val="hybridMultilevel"/>
    <w:lvl w:ilvl="0">
      <w:lvlJc w:val="left"/>
      <w:lvlText w:val="1"/>
      <w:numFmt w:val="bullet"/>
      <w:start w:val="1"/>
    </w:lvl>
  </w:abstractNum>
  <w:abstractNum w:abstractNumId="15">
    <w:nsid w:val="4E6AFB66"/>
    <w:multiLevelType w:val="hybridMultilevel"/>
    <w:lvl w:ilvl="0">
      <w:lvlJc w:val="left"/>
      <w:lvlText w:val="1"/>
      <w:numFmt w:val="bullet"/>
      <w:start w:val="1"/>
    </w:lvl>
  </w:abstractNum>
  <w:abstractNum w:abstractNumId="16">
    <w:nsid w:val="25E45D32"/>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2026-03-10T05:56:37Z</dcterms:created>
  <dcterms:modified xsi:type="dcterms:W3CDTF">2026-03-10T05:56:37Z</dcterms:modified>
</cp:coreProperties>
</file>