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FORM 6-K</w:t>
      </w:r>
    </w:p>
    <w:p>
      <w:pPr>
        <w:spacing w:after="0" w:line="217" w:lineRule="exact"/>
        <w:rPr>
          <w:sz w:val="24"/>
          <w:szCs w:val="24"/>
          <w:color w:val="auto"/>
        </w:rPr>
      </w:pPr>
    </w:p>
    <w:p>
      <w:pPr>
        <w:jc w:val="center"/>
        <w:ind w:right="-59"/>
        <w:spacing w:after="0" w:line="219" w:lineRule="exact"/>
        <w:rPr>
          <w:sz w:val="20"/>
          <w:szCs w:val="20"/>
          <w:color w:val="auto"/>
        </w:rPr>
      </w:pPr>
      <w:r>
        <w:rPr>
          <w:rFonts w:ascii="Times New Roman" w:cs="Times New Roman" w:eastAsia="Times New Roman" w:hAnsi="Times New Roman"/>
          <w:sz w:val="19"/>
          <w:szCs w:val="19"/>
          <w:b w:val="1"/>
          <w:bCs w:val="1"/>
          <w:color w:val="auto"/>
        </w:rPr>
        <w:t>REPORT OF FOREIGN PRIVATE ISSUER PURSUANT TO RULE 13a</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16 OR 15d</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16</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FOR THE MONTH OF NOVEMBER 2020</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COMMISSION FILE NUMBER 001-39081</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4"/>
          <w:szCs w:val="34"/>
          <w:b w:val="1"/>
          <w:bCs w:val="1"/>
          <w:color w:val="auto"/>
        </w:rPr>
        <w:t>BioNTech SE</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333333"/>
        </w:rPr>
        <w:t>(Translation of registrant’s name into English)</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An der Goldgrube 12</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D-55131 Mainz</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Germany</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+49 6131-9084-0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333333"/>
        </w:rPr>
        <w:t>(Address of principal executive offices)</w:t>
      </w:r>
    </w:p>
    <w:p>
      <w:pPr>
        <w:spacing w:after="0" w:line="168" w:lineRule="exact"/>
        <w:rPr>
          <w:sz w:val="24"/>
          <w:szCs w:val="24"/>
          <w:color w:val="auto"/>
        </w:rPr>
      </w:pPr>
    </w:p>
    <w:p>
      <w:pPr>
        <w:spacing w:after="0" w:line="283" w:lineRule="exact"/>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Form 20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 or Form 40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 Form 20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Form 40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 </w:t>
      </w:r>
      <w:r>
        <w:rPr>
          <w:rFonts w:ascii="MS PGothic" w:cs="MS PGothic" w:eastAsia="MS PGothic" w:hAnsi="MS PGothic"/>
          <w:sz w:val="21"/>
          <w:szCs w:val="21"/>
          <w:color w:val="auto"/>
        </w:rPr>
        <w:t>☐</w:t>
      </w:r>
    </w:p>
    <w:p>
      <w:pPr>
        <w:spacing w:after="0" w:line="12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Indicate by check mark if the registrant is submitting the Form 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in paper as permitted by Regulation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 Rule 101(b)(1): </w:t>
      </w:r>
      <w:r>
        <w:rPr>
          <w:rFonts w:ascii="MS PGothic" w:cs="MS PGothic" w:eastAsia="MS PGothic" w:hAnsi="MS PGothic"/>
          <w:sz w:val="21"/>
          <w:szCs w:val="21"/>
          <w:color w:val="auto"/>
        </w:rPr>
        <w:t>☐</w:t>
      </w:r>
    </w:p>
    <w:p>
      <w:pPr>
        <w:spacing w:after="0" w:line="20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Indicate by check mark if the registrant is submitting the Form 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in paper as permitted by Regulation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551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6510"/>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DOCUMENTS INCLUDED AS PART OF THIS FORM 6-K</w:t>
      </w:r>
    </w:p>
    <w:p>
      <w:pPr>
        <w:spacing w:after="0" w:line="2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BioNTech SE (the “Company”) posted five presentations at the Society for Immunotherapy of Cancer (SITC) Annual Meeting, held virtually from November 9 to November 15, 2020, with data from clinical and pre-clinical trials across the Company’s platforms. These presentations are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5518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200" w:lineRule="exact"/>
        <w:rPr>
          <w:sz w:val="20"/>
          <w:szCs w:val="20"/>
          <w:color w:val="auto"/>
        </w:rPr>
      </w:pPr>
    </w:p>
    <w:p>
      <w:pPr>
        <w:ind w:firstLine="803"/>
        <w:spacing w:after="0" w:line="255" w:lineRule="auto"/>
        <w:rPr>
          <w:sz w:val="20"/>
          <w:szCs w:val="20"/>
          <w:color w:val="auto"/>
        </w:rPr>
      </w:pPr>
      <w:r>
        <w:rPr>
          <w:rFonts w:ascii="Times New Roman" w:cs="Times New Roman" w:eastAsia="Times New Roman" w:hAnsi="Times New Roman"/>
          <w:sz w:val="21"/>
          <w:szCs w:val="21"/>
          <w:color w:val="auto"/>
        </w:rPr>
        <w:t>Pursuant to the requirements of the Exchange Act, the registrant has duly caused this report to be signed on its behalf by the undersigned, thereunto duly authorized.</w:t>
      </w:r>
    </w:p>
    <w:p>
      <w:pPr>
        <w:spacing w:after="0" w:line="15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b w:val="1"/>
          <w:bCs w:val="1"/>
          <w:color w:val="auto"/>
        </w:rPr>
        <w:t>BioNTech SE</w:t>
      </w:r>
    </w:p>
    <w:p>
      <w:pPr>
        <w:spacing w:after="0" w:line="200" w:lineRule="exact"/>
        <w:rPr>
          <w:sz w:val="20"/>
          <w:szCs w:val="20"/>
          <w:color w:val="auto"/>
        </w:rPr>
      </w:pPr>
    </w:p>
    <w:p>
      <w:pPr>
        <w:spacing w:after="0" w:line="256"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1"/>
          <w:szCs w:val="21"/>
          <w:color w:val="auto"/>
        </w:rPr>
        <w:t>By:</w:t>
        <w:tab/>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9525</wp:posOffset>
            </wp:positionV>
            <wp:extent cx="3190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21"/>
          <w:szCs w:val="21"/>
          <w:color w:val="auto"/>
        </w:rPr>
        <w:t>Name: Dr. Sierk Poetting</w:t>
      </w:r>
    </w:p>
    <w:p>
      <w:pPr>
        <w:ind w:left="6220"/>
        <w:spacing w:after="0"/>
        <w:tabs>
          <w:tab w:leader="none" w:pos="68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15518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2"/>
        </w:trPr>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5220" w:type="dxa"/>
            <w:vAlign w:val="bottom"/>
          </w:tcPr>
          <w:p>
            <w:pPr>
              <w:ind w:left="1740"/>
              <w:spacing w:after="0"/>
              <w:rPr>
                <w:sz w:val="20"/>
                <w:szCs w:val="20"/>
                <w:color w:val="auto"/>
              </w:rPr>
            </w:pPr>
            <w:r>
              <w:rPr>
                <w:rFonts w:ascii="Times New Roman" w:cs="Times New Roman" w:eastAsia="Times New Roman" w:hAnsi="Times New Roman"/>
                <w:sz w:val="21"/>
                <w:szCs w:val="21"/>
                <w:b w:val="1"/>
                <w:bCs w:val="1"/>
                <w:color w:val="auto"/>
              </w:rPr>
              <w:t>EXHIBIT INDEX</w:t>
            </w:r>
          </w:p>
        </w:tc>
      </w:tr>
      <w:tr>
        <w:trPr>
          <w:trHeight w:val="619"/>
        </w:trPr>
        <w:tc>
          <w:tcPr>
            <w:tcW w:w="9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w:t>
            </w:r>
          </w:p>
        </w:tc>
        <w:tc>
          <w:tcPr>
            <w:tcW w:w="7380" w:type="dxa"/>
            <w:vAlign w:val="bottom"/>
            <w:gridSpan w:val="3"/>
          </w:tcPr>
          <w:p>
            <w:pPr>
              <w:ind w:left="320"/>
              <w:spacing w:after="0"/>
              <w:rPr>
                <w:sz w:val="20"/>
                <w:szCs w:val="20"/>
                <w:color w:val="auto"/>
              </w:rPr>
            </w:pPr>
            <w:r>
              <w:rPr>
                <w:rFonts w:ascii="Times New Roman" w:cs="Times New Roman" w:eastAsia="Times New Roman" w:hAnsi="Times New Roman"/>
                <w:sz w:val="21"/>
                <w:szCs w:val="21"/>
                <w:color w:val="auto"/>
              </w:rPr>
              <w:t>Description of Exhibit</w:t>
            </w: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92"/>
        </w:trPr>
        <w:tc>
          <w:tcPr>
            <w:tcW w:w="600" w:type="dxa"/>
            <w:vAlign w:val="bottom"/>
          </w:tcPr>
          <w:p>
            <w:pPr>
              <w:spacing w:after="0"/>
              <w:rPr>
                <w:sz w:val="20"/>
                <w:szCs w:val="20"/>
                <w:color w:val="auto"/>
              </w:rPr>
            </w:pPr>
            <w:r>
              <w:rPr>
                <w:rFonts w:ascii="Times New Roman" w:cs="Times New Roman" w:eastAsia="Times New Roman" w:hAnsi="Times New Roman"/>
                <w:sz w:val="21"/>
                <w:szCs w:val="21"/>
                <w:color w:val="auto"/>
              </w:rPr>
              <w:t>99.1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
          </w:tcPr>
          <w:p>
            <w:pPr>
              <w:spacing w:after="0"/>
              <w:rPr>
                <w:rFonts w:ascii="Times New Roman" w:cs="Times New Roman" w:eastAsia="Times New Roman" w:hAnsi="Times New Roman"/>
                <w:sz w:val="21"/>
                <w:szCs w:val="21"/>
                <w:u w:val="single" w:color="auto"/>
                <w:color w:val="0000EE"/>
                <w:w w:val="97"/>
              </w:rPr>
            </w:pPr>
            <w:hyperlink w:anchor="page5">
              <w:r>
                <w:rPr>
                  <w:rFonts w:ascii="Times New Roman" w:cs="Times New Roman" w:eastAsia="Times New Roman" w:hAnsi="Times New Roman"/>
                  <w:sz w:val="21"/>
                  <w:szCs w:val="21"/>
                  <w:u w:val="single" w:color="auto"/>
                  <w:color w:val="0000EE"/>
                  <w:w w:val="97"/>
                </w:rPr>
                <w:t>Society for Immunotherapy of Cancer (SITC) Annual Meeting Presentation Materials</w:t>
              </w:r>
            </w:hyperlink>
          </w:p>
        </w:tc>
      </w:tr>
    </w:tbl>
    <w:p>
      <w:pPr>
        <w:sectPr>
          <w:pgSz w:w="11900" w:h="16838" w:orient="portrait"/>
          <w:cols w:equalWidth="0" w:num="1">
            <w:col w:w="10139"/>
          </w:cols>
          <w:pgMar w:left="320" w:top="11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86995</wp:posOffset>
            </wp:positionV>
            <wp:extent cx="7138670" cy="1477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477010"/>
                    </a:xfrm>
                    <a:prstGeom prst="rect">
                      <a:avLst/>
                    </a:prstGeom>
                    <a:noFill/>
                  </pic:spPr>
                </pic:pic>
              </a:graphicData>
            </a:graphic>
          </wp:anchor>
        </w:drawing>
      </w:r>
    </w:p>
    <w:p>
      <w:pPr>
        <w:spacing w:after="0" w:line="251" w:lineRule="exact"/>
        <w:rPr>
          <w:sz w:val="20"/>
          <w:szCs w:val="20"/>
          <w:color w:val="auto"/>
        </w:rPr>
      </w:pPr>
    </w:p>
    <w:p>
      <w:pPr>
        <w:jc w:val="both"/>
        <w:ind w:right="1780"/>
        <w:spacing w:after="0" w:line="214" w:lineRule="auto"/>
        <w:rPr>
          <w:sz w:val="20"/>
          <w:szCs w:val="20"/>
          <w:color w:val="auto"/>
        </w:rPr>
      </w:pPr>
      <w:r>
        <w:rPr>
          <w:rFonts w:ascii="Arial" w:cs="Arial" w:eastAsia="Arial" w:hAnsi="Arial"/>
          <w:sz w:val="24"/>
          <w:szCs w:val="24"/>
          <w:b w:val="1"/>
          <w:bCs w:val="1"/>
          <w:color w:val="FFFFFF"/>
        </w:rPr>
        <w:t>DuoBody</w:t>
      </w:r>
      <w:r>
        <w:rPr>
          <w:rFonts w:ascii="Arial" w:cs="Arial" w:eastAsia="Arial" w:hAnsi="Arial"/>
          <w:sz w:val="40"/>
          <w:szCs w:val="40"/>
          <w:b w:val="1"/>
          <w:bCs w:val="1"/>
          <w:color w:val="FFFFFF"/>
          <w:vertAlign w:val="superscript"/>
        </w:rPr>
        <w:t>®</w:t>
      </w:r>
      <w:r>
        <w:rPr>
          <w:rFonts w:ascii="Arial" w:cs="Arial" w:eastAsia="Arial" w:hAnsi="Arial"/>
          <w:sz w:val="24"/>
          <w:szCs w:val="24"/>
          <w:b w:val="1"/>
          <w:bCs w:val="1"/>
          <w:color w:val="FFFFFF"/>
        </w:rPr>
        <w:t>-PD-L1×4-1BB (GEN1046) induces superior immune-cell activation, cytokine production and cytotoxicity by combining PD-L1 blockade with conditional 4-1BB co-stimulation</w:t>
      </w:r>
    </w:p>
    <w:p>
      <w:pPr>
        <w:spacing w:after="0" w:line="33" w:lineRule="exact"/>
        <w:rPr>
          <w:sz w:val="20"/>
          <w:szCs w:val="20"/>
          <w:color w:val="auto"/>
        </w:rPr>
      </w:pPr>
    </w:p>
    <w:p>
      <w:pPr>
        <w:jc w:val="both"/>
        <w:ind w:right="1780"/>
        <w:spacing w:after="0" w:line="258" w:lineRule="auto"/>
        <w:rPr>
          <w:sz w:val="20"/>
          <w:szCs w:val="20"/>
          <w:color w:val="auto"/>
        </w:rPr>
      </w:pPr>
      <w:r>
        <w:rPr>
          <w:rFonts w:ascii="Arial" w:cs="Arial" w:eastAsia="Arial" w:hAnsi="Arial"/>
          <w:sz w:val="17"/>
          <w:szCs w:val="17"/>
          <w:color w:val="FFFFFF"/>
        </w:rPr>
        <w:t>Alexander Muik</w:t>
      </w:r>
      <w:r>
        <w:rPr>
          <w:rFonts w:ascii="Arial" w:cs="Arial" w:eastAsia="Arial" w:hAnsi="Arial"/>
          <w:sz w:val="9"/>
          <w:szCs w:val="9"/>
          <w:color w:val="FFFFFF"/>
        </w:rPr>
        <w:t>1</w:t>
      </w:r>
      <w:r>
        <w:rPr>
          <w:rFonts w:ascii="Arial" w:cs="Arial" w:eastAsia="Arial" w:hAnsi="Arial"/>
          <w:sz w:val="17"/>
          <w:szCs w:val="17"/>
          <w:color w:val="FFFFFF"/>
        </w:rPr>
        <w:t>, Isil Altintas</w:t>
      </w:r>
      <w:r>
        <w:rPr>
          <w:rFonts w:ascii="Arial" w:cs="Arial" w:eastAsia="Arial" w:hAnsi="Arial"/>
          <w:sz w:val="9"/>
          <w:szCs w:val="9"/>
          <w:color w:val="FFFFFF"/>
        </w:rPr>
        <w:t>2</w:t>
      </w:r>
      <w:r>
        <w:rPr>
          <w:rFonts w:ascii="Arial" w:cs="Arial" w:eastAsia="Arial" w:hAnsi="Arial"/>
          <w:sz w:val="17"/>
          <w:szCs w:val="17"/>
          <w:color w:val="FFFFFF"/>
        </w:rPr>
        <w:t>, Rachelle Kosoff</w:t>
      </w:r>
      <w:r>
        <w:rPr>
          <w:rFonts w:ascii="Arial" w:cs="Arial" w:eastAsia="Arial" w:hAnsi="Arial"/>
          <w:sz w:val="9"/>
          <w:szCs w:val="9"/>
          <w:color w:val="FFFFFF"/>
        </w:rPr>
        <w:t>2</w:t>
      </w:r>
      <w:r>
        <w:rPr>
          <w:rFonts w:ascii="Arial" w:cs="Arial" w:eastAsia="Arial" w:hAnsi="Arial"/>
          <w:sz w:val="17"/>
          <w:szCs w:val="17"/>
          <w:color w:val="FFFFFF"/>
        </w:rPr>
        <w:t>, Friederike Gieseke</w:t>
      </w:r>
      <w:r>
        <w:rPr>
          <w:rFonts w:ascii="Arial" w:cs="Arial" w:eastAsia="Arial" w:hAnsi="Arial"/>
          <w:sz w:val="9"/>
          <w:szCs w:val="9"/>
          <w:color w:val="FFFFFF"/>
        </w:rPr>
        <w:t>1</w:t>
      </w:r>
      <w:r>
        <w:rPr>
          <w:rFonts w:ascii="Arial" w:cs="Arial" w:eastAsia="Arial" w:hAnsi="Arial"/>
          <w:sz w:val="17"/>
          <w:szCs w:val="17"/>
          <w:color w:val="FFFFFF"/>
        </w:rPr>
        <w:t>, Kristina Schödel</w:t>
      </w:r>
      <w:r>
        <w:rPr>
          <w:rFonts w:ascii="Arial" w:cs="Arial" w:eastAsia="Arial" w:hAnsi="Arial"/>
          <w:sz w:val="9"/>
          <w:szCs w:val="9"/>
          <w:color w:val="FFFFFF"/>
        </w:rPr>
        <w:t>1</w:t>
      </w:r>
      <w:r>
        <w:rPr>
          <w:rFonts w:ascii="Arial" w:cs="Arial" w:eastAsia="Arial" w:hAnsi="Arial"/>
          <w:sz w:val="17"/>
          <w:szCs w:val="17"/>
          <w:color w:val="FFFFFF"/>
        </w:rPr>
        <w:t>, Theodora Salcedo</w:t>
      </w:r>
      <w:r>
        <w:rPr>
          <w:rFonts w:ascii="Arial" w:cs="Arial" w:eastAsia="Arial" w:hAnsi="Arial"/>
          <w:sz w:val="9"/>
          <w:szCs w:val="9"/>
          <w:color w:val="FFFFFF"/>
        </w:rPr>
        <w:t>2</w:t>
      </w:r>
      <w:r>
        <w:rPr>
          <w:rFonts w:ascii="Arial" w:cs="Arial" w:eastAsia="Arial" w:hAnsi="Arial"/>
          <w:sz w:val="17"/>
          <w:szCs w:val="17"/>
          <w:color w:val="FFFFFF"/>
        </w:rPr>
        <w:t>, Saskia Burm</w:t>
      </w:r>
      <w:r>
        <w:rPr>
          <w:rFonts w:ascii="Arial" w:cs="Arial" w:eastAsia="Arial" w:hAnsi="Arial"/>
          <w:sz w:val="9"/>
          <w:szCs w:val="9"/>
          <w:color w:val="FFFFFF"/>
        </w:rPr>
        <w:t>2</w:t>
      </w:r>
      <w:r>
        <w:rPr>
          <w:rFonts w:ascii="Arial" w:cs="Arial" w:eastAsia="Arial" w:hAnsi="Arial"/>
          <w:sz w:val="17"/>
          <w:szCs w:val="17"/>
          <w:color w:val="FFFFFF"/>
        </w:rPr>
        <w:t>, Aras Toker</w:t>
      </w:r>
      <w:r>
        <w:rPr>
          <w:rFonts w:ascii="Arial" w:cs="Arial" w:eastAsia="Arial" w:hAnsi="Arial"/>
          <w:sz w:val="9"/>
          <w:szCs w:val="9"/>
          <w:color w:val="FFFFFF"/>
        </w:rPr>
        <w:t>1</w:t>
      </w:r>
      <w:r>
        <w:rPr>
          <w:rFonts w:ascii="Arial" w:cs="Arial" w:eastAsia="Arial" w:hAnsi="Arial"/>
          <w:sz w:val="17"/>
          <w:szCs w:val="17"/>
          <w:color w:val="FFFFFF"/>
        </w:rPr>
        <w:t>, Lena M Kranz</w:t>
      </w:r>
      <w:r>
        <w:rPr>
          <w:rFonts w:ascii="Arial" w:cs="Arial" w:eastAsia="Arial" w:hAnsi="Arial"/>
          <w:sz w:val="9"/>
          <w:szCs w:val="9"/>
          <w:color w:val="FFFFFF"/>
        </w:rPr>
        <w:t>1</w:t>
      </w:r>
      <w:r>
        <w:rPr>
          <w:rFonts w:ascii="Arial" w:cs="Arial" w:eastAsia="Arial" w:hAnsi="Arial"/>
          <w:sz w:val="17"/>
          <w:szCs w:val="17"/>
          <w:color w:val="FFFFFF"/>
        </w:rPr>
        <w:t>, Mathias Vormehr</w:t>
      </w:r>
      <w:r>
        <w:rPr>
          <w:rFonts w:ascii="Arial" w:cs="Arial" w:eastAsia="Arial" w:hAnsi="Arial"/>
          <w:sz w:val="9"/>
          <w:szCs w:val="9"/>
          <w:color w:val="FFFFFF"/>
        </w:rPr>
        <w:t>1</w:t>
      </w:r>
      <w:r>
        <w:rPr>
          <w:rFonts w:ascii="Arial" w:cs="Arial" w:eastAsia="Arial" w:hAnsi="Arial"/>
          <w:sz w:val="17"/>
          <w:szCs w:val="17"/>
          <w:color w:val="FFFFFF"/>
        </w:rPr>
        <w:t>, David Eisel</w:t>
      </w:r>
      <w:r>
        <w:rPr>
          <w:rFonts w:ascii="Arial" w:cs="Arial" w:eastAsia="Arial" w:hAnsi="Arial"/>
          <w:sz w:val="9"/>
          <w:szCs w:val="9"/>
          <w:color w:val="FFFFFF"/>
        </w:rPr>
        <w:t>1</w:t>
      </w:r>
      <w:r>
        <w:rPr>
          <w:rFonts w:ascii="Arial" w:cs="Arial" w:eastAsia="Arial" w:hAnsi="Arial"/>
          <w:sz w:val="17"/>
          <w:szCs w:val="17"/>
          <w:color w:val="FFFFFF"/>
        </w:rPr>
        <w:t>, Mark Fereshteh</w:t>
      </w:r>
      <w:r>
        <w:rPr>
          <w:rFonts w:ascii="Arial" w:cs="Arial" w:eastAsia="Arial" w:hAnsi="Arial"/>
          <w:sz w:val="9"/>
          <w:szCs w:val="9"/>
          <w:color w:val="FFFFFF"/>
        </w:rPr>
        <w:t>2</w:t>
      </w:r>
      <w:r>
        <w:rPr>
          <w:rFonts w:ascii="Arial" w:cs="Arial" w:eastAsia="Arial" w:hAnsi="Arial"/>
          <w:sz w:val="17"/>
          <w:szCs w:val="17"/>
          <w:color w:val="FFFFFF"/>
        </w:rPr>
        <w:t>, Özlem Türeci</w:t>
      </w:r>
      <w:r>
        <w:rPr>
          <w:rFonts w:ascii="Arial" w:cs="Arial" w:eastAsia="Arial" w:hAnsi="Arial"/>
          <w:sz w:val="9"/>
          <w:szCs w:val="9"/>
          <w:color w:val="FFFFFF"/>
        </w:rPr>
        <w:t>1</w:t>
      </w:r>
      <w:r>
        <w:rPr>
          <w:rFonts w:ascii="Arial" w:cs="Arial" w:eastAsia="Arial" w:hAnsi="Arial"/>
          <w:sz w:val="17"/>
          <w:szCs w:val="17"/>
          <w:color w:val="FFFFFF"/>
        </w:rPr>
        <w:t>, Esther Breij</w:t>
      </w:r>
      <w:r>
        <w:rPr>
          <w:rFonts w:ascii="Arial" w:cs="Arial" w:eastAsia="Arial" w:hAnsi="Arial"/>
          <w:sz w:val="9"/>
          <w:szCs w:val="9"/>
          <w:color w:val="FFFFFF"/>
        </w:rPr>
        <w:t>2</w:t>
      </w:r>
      <w:r>
        <w:rPr>
          <w:rFonts w:ascii="Arial" w:cs="Arial" w:eastAsia="Arial" w:hAnsi="Arial"/>
          <w:sz w:val="17"/>
          <w:szCs w:val="17"/>
          <w:color w:val="FFFFFF"/>
        </w:rPr>
        <w:t>, Tahamtan Ahmadi</w:t>
      </w:r>
      <w:r>
        <w:rPr>
          <w:rFonts w:ascii="Arial" w:cs="Arial" w:eastAsia="Arial" w:hAnsi="Arial"/>
          <w:sz w:val="9"/>
          <w:szCs w:val="9"/>
          <w:color w:val="FFFFFF"/>
        </w:rPr>
        <w:t>2</w:t>
      </w:r>
      <w:r>
        <w:rPr>
          <w:rFonts w:ascii="Arial" w:cs="Arial" w:eastAsia="Arial" w:hAnsi="Arial"/>
          <w:sz w:val="17"/>
          <w:szCs w:val="17"/>
          <w:color w:val="FFFFFF"/>
        </w:rPr>
        <w:t>, Ugur Sahin</w:t>
      </w:r>
      <w:r>
        <w:rPr>
          <w:rFonts w:ascii="Arial" w:cs="Arial" w:eastAsia="Arial" w:hAnsi="Arial"/>
          <w:sz w:val="9"/>
          <w:szCs w:val="9"/>
          <w:color w:val="FFFFFF"/>
        </w:rPr>
        <w:t>1*</w:t>
      </w:r>
      <w:r>
        <w:rPr>
          <w:rFonts w:ascii="Arial" w:cs="Arial" w:eastAsia="Arial" w:hAnsi="Arial"/>
          <w:sz w:val="17"/>
          <w:szCs w:val="17"/>
          <w:color w:val="FFFFFF"/>
        </w:rPr>
        <w:t>, Maria Jure-Kunkel</w:t>
      </w:r>
      <w:r>
        <w:rPr>
          <w:rFonts w:ascii="Arial" w:cs="Arial" w:eastAsia="Arial" w:hAnsi="Arial"/>
          <w:sz w:val="9"/>
          <w:szCs w:val="9"/>
          <w:color w:val="FFFFFF"/>
        </w:rPr>
        <w:t>2*</w:t>
      </w:r>
    </w:p>
    <w:p>
      <w:pPr>
        <w:spacing w:after="0" w:line="25" w:lineRule="exact"/>
        <w:rPr>
          <w:sz w:val="20"/>
          <w:szCs w:val="20"/>
          <w:color w:val="auto"/>
        </w:rPr>
      </w:pPr>
    </w:p>
    <w:p>
      <w:pPr>
        <w:ind w:right="4980"/>
        <w:spacing w:after="0" w:line="374" w:lineRule="auto"/>
        <w:rPr>
          <w:sz w:val="20"/>
          <w:szCs w:val="20"/>
          <w:color w:val="auto"/>
        </w:rPr>
      </w:pPr>
      <w:r>
        <w:rPr>
          <w:rFonts w:ascii="Arial" w:cs="Arial" w:eastAsia="Arial" w:hAnsi="Arial"/>
          <w:sz w:val="9"/>
          <w:szCs w:val="9"/>
          <w:color w:val="FFFFFF"/>
        </w:rPr>
        <w:t>1</w:t>
      </w:r>
      <w:r>
        <w:rPr>
          <w:rFonts w:ascii="Arial" w:cs="Arial" w:eastAsia="Arial" w:hAnsi="Arial"/>
          <w:sz w:val="17"/>
          <w:szCs w:val="17"/>
          <w:color w:val="FFFFFF"/>
        </w:rPr>
        <w:t>BioNTech SE, Mainz, Germany;</w:t>
      </w:r>
      <w:r>
        <w:rPr>
          <w:rFonts w:ascii="Arial" w:cs="Arial" w:eastAsia="Arial" w:hAnsi="Arial"/>
          <w:sz w:val="9"/>
          <w:szCs w:val="9"/>
          <w:color w:val="FFFFFF"/>
        </w:rPr>
        <w:t xml:space="preserve"> 2</w:t>
      </w:r>
      <w:r>
        <w:rPr>
          <w:rFonts w:ascii="Arial" w:cs="Arial" w:eastAsia="Arial" w:hAnsi="Arial"/>
          <w:sz w:val="17"/>
          <w:szCs w:val="17"/>
          <w:color w:val="FFFFFF"/>
        </w:rPr>
        <w:t>Genmab *Last authors have contributed equally</w:t>
      </w:r>
      <w:r>
        <w:rPr>
          <w:rFonts w:ascii="Arial" w:cs="Arial" w:eastAsia="Arial" w:hAnsi="Arial"/>
          <w:sz w:val="9"/>
          <w:szCs w:val="9"/>
          <w:color w:val="FFFFFF"/>
        </w:rPr>
        <w:t xml:space="preserve"> </w:t>
      </w:r>
      <w:r>
        <w:rPr>
          <w:rFonts w:ascii="Arial" w:cs="Arial" w:eastAsia="Arial" w:hAnsi="Arial"/>
          <w:sz w:val="17"/>
          <w:szCs w:val="17"/>
          <w:color w:val="FFFFFF"/>
        </w:rPr>
        <w:t>Contact details: Alexander.muik@biontech.de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66040</wp:posOffset>
            </wp:positionV>
            <wp:extent cx="7143750" cy="520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520954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NTRODUCTION</w:t>
      </w:r>
    </w:p>
    <w:p>
      <w:pPr>
        <w:spacing w:after="0" w:line="117" w:lineRule="exact"/>
        <w:rPr>
          <w:sz w:val="20"/>
          <w:szCs w:val="20"/>
          <w:color w:val="auto"/>
        </w:rPr>
      </w:pPr>
    </w:p>
    <w:p>
      <w:pPr>
        <w:ind w:left="360" w:right="120" w:hanging="322"/>
        <w:spacing w:after="0" w:line="279" w:lineRule="auto"/>
        <w:tabs>
          <w:tab w:leader="none" w:pos="3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Checkpoint inhibitors (CPI) targeting the PD-1:PD-L1 axis have changed the treatment paradigm for patients with advanced solid tumors, but many patients experience limited benefit due to treatment resistance</w:t>
      </w:r>
      <w:r>
        <w:rPr>
          <w:rFonts w:ascii="Arial" w:cs="Arial" w:eastAsia="Arial" w:hAnsi="Arial"/>
          <w:sz w:val="14"/>
          <w:szCs w:val="14"/>
          <w:color w:val="auto"/>
        </w:rPr>
        <w:t>1,2</w:t>
      </w:r>
      <w:r>
        <w:rPr>
          <w:rFonts w:ascii="Arial" w:cs="Arial" w:eastAsia="Arial" w:hAnsi="Arial"/>
          <w:sz w:val="17"/>
          <w:szCs w:val="17"/>
          <w:color w:val="auto"/>
        </w:rPr>
        <w:t>.</w:t>
      </w:r>
    </w:p>
    <w:p>
      <w:pPr>
        <w:spacing w:after="0" w:line="45" w:lineRule="exact"/>
        <w:rPr>
          <w:rFonts w:ascii="Times New Roman" w:cs="Times New Roman" w:eastAsia="Times New Roman" w:hAnsi="Times New Roman"/>
          <w:sz w:val="17"/>
          <w:szCs w:val="17"/>
          <w:color w:val="auto"/>
        </w:rPr>
      </w:pPr>
    </w:p>
    <w:p>
      <w:pPr>
        <w:ind w:left="360" w:right="120" w:hanging="322"/>
        <w:spacing w:after="0" w:line="279" w:lineRule="auto"/>
        <w:tabs>
          <w:tab w:leader="none" w:pos="3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4-1BB co-stimulation can activate cytotoxic T-cell and NK-cell mediated anti-tumor immunity and has been shown to synergize with CPI in preclinical models.</w:t>
      </w:r>
    </w:p>
    <w:p>
      <w:pPr>
        <w:spacing w:after="0" w:line="45" w:lineRule="exact"/>
        <w:rPr>
          <w:rFonts w:ascii="Times New Roman" w:cs="Times New Roman" w:eastAsia="Times New Roman" w:hAnsi="Times New Roman"/>
          <w:sz w:val="17"/>
          <w:szCs w:val="17"/>
          <w:color w:val="auto"/>
        </w:rPr>
      </w:pPr>
    </w:p>
    <w:p>
      <w:pPr>
        <w:jc w:val="both"/>
        <w:ind w:left="360" w:right="120" w:hanging="322"/>
        <w:spacing w:after="0" w:line="257" w:lineRule="auto"/>
        <w:tabs>
          <w:tab w:leader="none" w:pos="3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Clinical development of 4-1BB agonists has been hampered by the occurrence of dose-limiting liver toxicity or lack of efficacy as monotherapy.</w:t>
      </w:r>
      <w:r>
        <w:rPr>
          <w:rFonts w:ascii="Arial" w:cs="Arial" w:eastAsia="Arial" w:hAnsi="Arial"/>
          <w:sz w:val="14"/>
          <w:szCs w:val="14"/>
          <w:color w:val="auto"/>
        </w:rPr>
        <w:t>2-5</w:t>
      </w:r>
      <w:r>
        <w:rPr>
          <w:rFonts w:ascii="Arial" w:cs="Arial" w:eastAsia="Arial" w:hAnsi="Arial"/>
          <w:sz w:val="17"/>
          <w:szCs w:val="17"/>
          <w:color w:val="auto"/>
        </w:rPr>
        <w:t xml:space="preserve"> In preclinical models, combination of PD-1 and 4-1BB mAbs efficiently induced anti-tumor activity in syngeneic tumor models</w:t>
      </w:r>
      <w:r>
        <w:rPr>
          <w:rFonts w:ascii="Arial" w:cs="Arial" w:eastAsia="Arial" w:hAnsi="Arial"/>
          <w:sz w:val="14"/>
          <w:szCs w:val="14"/>
          <w:color w:val="auto"/>
        </w:rPr>
        <w:t>6</w:t>
      </w:r>
      <w:r>
        <w:rPr>
          <w:rFonts w:ascii="Arial" w:cs="Arial" w:eastAsia="Arial" w:hAnsi="Arial"/>
          <w:sz w:val="17"/>
          <w:szCs w:val="17"/>
          <w:color w:val="auto"/>
        </w:rPr>
        <w:t>.</w:t>
      </w:r>
    </w:p>
    <w:p>
      <w:pPr>
        <w:spacing w:after="0" w:line="65" w:lineRule="exact"/>
        <w:rPr>
          <w:rFonts w:ascii="Times New Roman" w:cs="Times New Roman" w:eastAsia="Times New Roman" w:hAnsi="Times New Roman"/>
          <w:sz w:val="17"/>
          <w:szCs w:val="17"/>
          <w:color w:val="auto"/>
        </w:rPr>
      </w:pPr>
    </w:p>
    <w:p>
      <w:pPr>
        <w:ind w:left="360" w:right="120" w:hanging="322"/>
        <w:spacing w:after="0" w:line="279" w:lineRule="auto"/>
        <w:tabs>
          <w:tab w:leader="none" w:pos="3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Targeting 4-1BB agonist activity to the tumor and lymphoid tissues by using bispecific antibodies (bsAbs) targeting 4-1BB and PD-L1 may provide for a safe and effective anti-tumor immune response.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ECHANISM OF ACTION OF</w:t>
      </w:r>
      <w:r>
        <w:rPr>
          <w:rFonts w:ascii="Arial" w:cs="Arial" w:eastAsia="Arial" w:hAnsi="Arial"/>
          <w:sz w:val="17"/>
          <w:szCs w:val="17"/>
          <w:color w:val="auto"/>
        </w:rPr>
        <w:t xml:space="preserve"> F</w:t>
      </w:r>
      <w:r>
        <w:rPr>
          <w:rFonts w:ascii="Arial" w:cs="Arial" w:eastAsia="Arial" w:hAnsi="Arial"/>
          <w:sz w:val="14"/>
          <w:szCs w:val="14"/>
          <w:color w:val="auto"/>
        </w:rPr>
        <w:t>C</w:t>
      </w:r>
      <w:r>
        <w:rPr>
          <w:rFonts w:ascii="Arial" w:cs="Arial" w:eastAsia="Arial" w:hAnsi="Arial"/>
          <w:sz w:val="17"/>
          <w:szCs w:val="17"/>
          <w:color w:val="auto"/>
        </w:rPr>
        <w:t>-</w:t>
      </w:r>
      <w:r>
        <w:rPr>
          <w:rFonts w:ascii="Arial" w:cs="Arial" w:eastAsia="Arial" w:hAnsi="Arial"/>
          <w:sz w:val="14"/>
          <w:szCs w:val="14"/>
          <w:color w:val="auto"/>
        </w:rPr>
        <w:t>SILENCED</w:t>
      </w:r>
      <w:r>
        <w:rPr>
          <w:rFonts w:ascii="Arial" w:cs="Arial" w:eastAsia="Arial" w:hAnsi="Arial"/>
          <w:sz w:val="17"/>
          <w:szCs w:val="17"/>
          <w:color w:val="auto"/>
        </w:rPr>
        <w:t xml:space="preserve"> PD-L1×4-1BB </w:t>
      </w:r>
      <w:r>
        <w:rPr>
          <w:rFonts w:ascii="Arial" w:cs="Arial" w:eastAsia="Arial" w:hAnsi="Arial"/>
          <w:sz w:val="14"/>
          <w:szCs w:val="14"/>
          <w:color w:val="auto"/>
        </w:rPr>
        <w:t>BS</w:t>
      </w:r>
      <w:r>
        <w:rPr>
          <w:rFonts w:ascii="Arial" w:cs="Arial" w:eastAsia="Arial" w:hAnsi="Arial"/>
          <w:sz w:val="17"/>
          <w:szCs w:val="17"/>
          <w:color w:val="auto"/>
        </w:rPr>
        <w:t>A</w:t>
      </w:r>
      <w:r>
        <w:rPr>
          <w:rFonts w:ascii="Arial" w:cs="Arial" w:eastAsia="Arial" w:hAnsi="Arial"/>
          <w:sz w:val="14"/>
          <w:szCs w:val="14"/>
          <w:color w:val="auto"/>
        </w:rPr>
        <w:t>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40" w:right="120"/>
        <w:spacing w:after="0" w:line="245" w:lineRule="auto"/>
        <w:rPr>
          <w:sz w:val="20"/>
          <w:szCs w:val="20"/>
          <w:color w:val="auto"/>
        </w:rPr>
      </w:pPr>
      <w:r>
        <w:rPr>
          <w:rFonts w:ascii="Arial" w:cs="Arial" w:eastAsia="Arial" w:hAnsi="Arial"/>
          <w:sz w:val="17"/>
          <w:szCs w:val="17"/>
          <w:b w:val="1"/>
          <w:bCs w:val="1"/>
          <w:color w:val="auto"/>
        </w:rPr>
        <w:t xml:space="preserve">Fc-silenced PD-L1×4-1BB bsAbs are designed to re-activate anti-tumor immune responses by blockade of the PD-1:PD-L1 axis and conditional 4-1BB stimulation. </w:t>
      </w:r>
      <w:r>
        <w:rPr>
          <w:rFonts w:ascii="Arial" w:cs="Arial" w:eastAsia="Arial" w:hAnsi="Arial"/>
          <w:sz w:val="17"/>
          <w:szCs w:val="17"/>
          <w:color w:val="auto"/>
        </w:rPr>
        <w:t>PD-1</w:t>
      </w:r>
      <w:r>
        <w:rPr>
          <w:rFonts w:ascii="Arial" w:cs="Arial" w:eastAsia="Arial" w:hAnsi="Arial"/>
          <w:sz w:val="17"/>
          <w:szCs w:val="17"/>
          <w:b w:val="1"/>
          <w:bCs w:val="1"/>
          <w:color w:val="auto"/>
        </w:rPr>
        <w:t>:</w:t>
      </w:r>
      <w:r>
        <w:rPr>
          <w:rFonts w:ascii="Arial" w:cs="Arial" w:eastAsia="Arial" w:hAnsi="Arial"/>
          <w:sz w:val="17"/>
          <w:szCs w:val="17"/>
          <w:color w:val="auto"/>
        </w:rPr>
        <w:t>PD-L1 checkpoint blockade by the PD-L1-specific arm is constitutively active, whereas co-stimulatory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activity mediated by the 4-1BB specific arm strictly depends on cell-cell crosslinking by simultaneous binding to both 4-1BB and PD-L1. The resulting clustering of 4-1BB provides a local co-stimulatory signal to T cells, further enhancing its T-cell receptor (TCR)-mediated activity and leading to tumor destruction. PD-L1×4-1BB bsAbs are expected to support priming processes in lymphatic tissue, re-activate anti-tumor immune responses in tumor tissue and promote survival of antigen-specific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101600</wp:posOffset>
            </wp:positionV>
            <wp:extent cx="7143750" cy="861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86106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w:t>
      </w:r>
      <w:r>
        <w:rPr>
          <w:rFonts w:ascii="Arial" w:cs="Arial" w:eastAsia="Arial" w:hAnsi="Arial"/>
          <w:sz w:val="17"/>
          <w:szCs w:val="17"/>
          <w:b w:val="1"/>
          <w:bCs w:val="1"/>
          <w:color w:val="auto"/>
        </w:rPr>
        <w:t>BJECTIVES</w:t>
      </w:r>
    </w:p>
    <w:p>
      <w:pPr>
        <w:spacing w:after="0" w:line="117" w:lineRule="exact"/>
        <w:rPr>
          <w:sz w:val="20"/>
          <w:szCs w:val="20"/>
          <w:color w:val="auto"/>
        </w:rPr>
      </w:pPr>
    </w:p>
    <w:p>
      <w:pPr>
        <w:ind w:left="360" w:right="120" w:hanging="322"/>
        <w:spacing w:after="0" w:line="279" w:lineRule="auto"/>
        <w:tabs>
          <w:tab w:leader="none" w:pos="36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We studied the mechanism of action of an Fc-silenced bispecific antibody (bsAb) targeting human PD-L1 and 4-1BB, and evaluated its potential to enhance T cell effector functions in vitro.</w:t>
      </w:r>
    </w:p>
    <w:p>
      <w:pPr>
        <w:spacing w:after="0" w:line="45" w:lineRule="exact"/>
        <w:rPr>
          <w:rFonts w:ascii="Times New Roman" w:cs="Times New Roman" w:eastAsia="Times New Roman" w:hAnsi="Times New Roman"/>
          <w:sz w:val="17"/>
          <w:szCs w:val="17"/>
          <w:color w:val="auto"/>
        </w:rPr>
      </w:pPr>
    </w:p>
    <w:p>
      <w:pPr>
        <w:ind w:left="360" w:right="120" w:hanging="322"/>
        <w:spacing w:after="0" w:line="279" w:lineRule="auto"/>
        <w:tabs>
          <w:tab w:leader="none" w:pos="36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We conducted proof-of-concept studies to assess the anti-tumor activity of a bsAb targeting murine PD-L1 and 4-1BB, and studied the associated in vivo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86360</wp:posOffset>
            </wp:positionV>
            <wp:extent cx="7135495" cy="255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2559050"/>
                    </a:xfrm>
                    <a:prstGeom prst="rect">
                      <a:avLst/>
                    </a:prstGeom>
                    <a:noFill/>
                  </pic:spPr>
                </pic:pic>
              </a:graphicData>
            </a:graphic>
          </wp:anchor>
        </w:drawing>
      </w:r>
    </w:p>
    <w:p>
      <w:pPr>
        <w:spacing w:after="0" w:line="13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ESULTS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DuoBody-PD-L1×4-1BB combines checkpoint blockade and conditional 4-1BB agonist activity</w:t>
      </w:r>
    </w:p>
    <w:p>
      <w:pPr>
        <w:spacing w:after="0" w:line="115" w:lineRule="exact"/>
        <w:rPr>
          <w:sz w:val="20"/>
          <w:szCs w:val="20"/>
          <w:color w:val="auto"/>
        </w:rPr>
      </w:pPr>
    </w:p>
    <w:p>
      <w:pPr>
        <w:ind w:left="380" w:hanging="329"/>
        <w:spacing w:after="0"/>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effectively antagonizes the PD-1:PD-L1 checkpoint by monovalent binding to PD-L1.</w:t>
      </w:r>
    </w:p>
    <w:p>
      <w:pPr>
        <w:spacing w:after="0" w:line="124" w:lineRule="exact"/>
        <w:rPr>
          <w:rFonts w:ascii="Times New Roman" w:cs="Times New Roman" w:eastAsia="Times New Roman" w:hAnsi="Times New Roman"/>
          <w:sz w:val="17"/>
          <w:szCs w:val="17"/>
          <w:color w:val="auto"/>
        </w:rPr>
      </w:pPr>
    </w:p>
    <w:p>
      <w:pPr>
        <w:ind w:left="380" w:right="140" w:hanging="329"/>
        <w:spacing w:after="0" w:line="279" w:lineRule="auto"/>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DuoBody-PD-L1×4-1BB-induced 4-1BB signaling occurs only upon simultaneous binding to PD-L1- expressing cells, which provides Fab-dependent receptor crosslinking.</w:t>
      </w:r>
    </w:p>
    <w:p>
      <w:pPr>
        <w:sectPr>
          <w:pgSz w:w="11900" w:h="16838" w:orient="portrait"/>
          <w:cols w:equalWidth="0" w:num="1">
            <w:col w:w="11160"/>
          </w:cols>
          <w:pgMar w:left="400" w:top="11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5495" cy="4126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412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color w:val="auto"/>
        </w:rPr>
        <w:t xml:space="preserve">Figure 1A. </w:t>
      </w:r>
      <w:r>
        <w:rPr>
          <w:rFonts w:ascii="Arial" w:cs="Arial" w:eastAsia="Arial" w:hAnsi="Arial"/>
          <w:sz w:val="17"/>
          <w:szCs w:val="17"/>
          <w:color w:val="auto"/>
        </w:rPr>
        <w:t>DuoBody-PD-L1×4-1BB was generated by controlled Fab-arm exchange of monoclonal PD-L1 and 4-1BB antibodies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DuoBody</w:t>
      </w:r>
      <w:r>
        <w:rPr>
          <w:rFonts w:ascii="Arial" w:cs="Arial" w:eastAsia="Arial" w:hAnsi="Arial"/>
          <w:sz w:val="14"/>
          <w:szCs w:val="14"/>
          <w:color w:val="auto"/>
        </w:rPr>
        <w:t>®</w:t>
      </w:r>
      <w:r>
        <w:rPr>
          <w:rFonts w:ascii="Arial" w:cs="Arial" w:eastAsia="Arial" w:hAnsi="Arial"/>
          <w:sz w:val="17"/>
          <w:szCs w:val="17"/>
          <w:color w:val="auto"/>
        </w:rPr>
        <w:t xml:space="preserve"> bispecific antibody platform.</w:t>
      </w:r>
      <w:r>
        <w:rPr>
          <w:rFonts w:ascii="Arial" w:cs="Arial" w:eastAsia="Arial" w:hAnsi="Arial"/>
          <w:sz w:val="14"/>
          <w:szCs w:val="14"/>
          <w:color w:val="auto"/>
        </w:rPr>
        <w:t>7-8</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The effect of indicated antibodies on the interaction between PD-1 and its ligand PD-L1 was determined in a bioluminescent cell-based PD-1:PD-L1 Blockade Bioassay. </w:t>
      </w:r>
      <w:r>
        <w:rPr>
          <w:rFonts w:ascii="Arial" w:cs="Arial" w:eastAsia="Arial" w:hAnsi="Arial"/>
          <w:sz w:val="17"/>
          <w:szCs w:val="17"/>
          <w:b w:val="1"/>
          <w:bCs w:val="1"/>
          <w:color w:val="auto"/>
        </w:rPr>
        <w:t>C.</w:t>
      </w:r>
      <w:r>
        <w:rPr>
          <w:rFonts w:ascii="Arial" w:cs="Arial" w:eastAsia="Arial" w:hAnsi="Arial"/>
          <w:sz w:val="17"/>
          <w:szCs w:val="17"/>
          <w:color w:val="auto"/>
        </w:rPr>
        <w:t xml:space="preserve"> 4-1BB- agonist activity of the indicated antibodies was determined in a modified luciferase-based 4-1BB-activation reporter assay with or without adherent human PD-L1+ ES-2 tumor cells.</w:t>
      </w:r>
    </w:p>
    <w:p>
      <w:pPr>
        <w:sectPr>
          <w:pgSz w:w="11900" w:h="16838" w:orient="portrait"/>
          <w:cols w:equalWidth="0" w:num="1">
            <w:col w:w="10960"/>
          </w:cols>
          <w:pgMar w:left="460" w:top="1440" w:right="479" w:bottom="1440" w:gutter="0" w:footer="0" w:header="0"/>
        </w:sectPr>
      </w:pPr>
    </w:p>
    <w:bookmarkStart w:id="6" w:name="page7"/>
    <w:bookmarkEnd w:id="6"/>
    <w:p>
      <w:pPr>
        <w:ind w:left="1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2858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858135"/>
                    </a:xfrm>
                    <a:prstGeom prst="rect">
                      <a:avLst/>
                    </a:prstGeom>
                    <a:noFill/>
                  </pic:spPr>
                </pic:pic>
              </a:graphicData>
            </a:graphic>
          </wp:anchor>
        </w:drawing>
        <w:t>DuoBody-PD-L1×4-1BB induces expression of genes associated with enhanced immune responses</w:t>
      </w:r>
    </w:p>
    <w:p>
      <w:pPr>
        <w:spacing w:after="0" w:line="115" w:lineRule="exact"/>
        <w:rPr>
          <w:sz w:val="20"/>
          <w:szCs w:val="20"/>
          <w:color w:val="auto"/>
        </w:rPr>
      </w:pPr>
    </w:p>
    <w:p>
      <w:pPr>
        <w:ind w:left="317" w:hanging="317"/>
        <w:spacing w:after="0" w:line="279" w:lineRule="auto"/>
        <w:tabs>
          <w:tab w:leader="none" w:pos="317"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significantly induces expression of genes associated with immune cell activation, migration and cytokine production in activated CD8</w:t>
      </w:r>
      <w:r>
        <w:rPr>
          <w:rFonts w:ascii="Arial" w:cs="Arial" w:eastAsia="Arial" w:hAnsi="Arial"/>
          <w:sz w:val="14"/>
          <w:szCs w:val="14"/>
          <w:color w:val="auto"/>
        </w:rPr>
        <w:t>+</w:t>
      </w:r>
      <w:r>
        <w:rPr>
          <w:rFonts w:ascii="Arial" w:cs="Arial" w:eastAsia="Arial" w:hAnsi="Arial"/>
          <w:sz w:val="17"/>
          <w:szCs w:val="17"/>
          <w:color w:val="auto"/>
        </w:rPr>
        <w:t xml:space="preserve"> T cells, which are not altered by atezolizumab.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7"/>
        <w:spacing w:after="0" w:line="259" w:lineRule="auto"/>
        <w:rPr>
          <w:sz w:val="20"/>
          <w:szCs w:val="20"/>
          <w:color w:val="auto"/>
        </w:rPr>
      </w:pPr>
      <w:r>
        <w:rPr>
          <w:rFonts w:ascii="Arial" w:cs="Arial" w:eastAsia="Arial" w:hAnsi="Arial"/>
          <w:sz w:val="17"/>
          <w:szCs w:val="17"/>
          <w:b w:val="1"/>
          <w:bCs w:val="1"/>
          <w:color w:val="auto"/>
        </w:rPr>
        <w:t xml:space="preserve">Figure 2. </w:t>
      </w:r>
      <w:r>
        <w:rPr>
          <w:rFonts w:ascii="Arial" w:cs="Arial" w:eastAsia="Arial" w:hAnsi="Arial"/>
          <w:sz w:val="17"/>
          <w:szCs w:val="17"/>
          <w:color w:val="auto"/>
        </w:rPr>
        <w:t>CD8</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 cells and CD14</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monocytes were isolated from PBMCs, and co-cultured in the presence of 10-90 ng/mL anti-CD3 and 3</w:t>
      </w:r>
      <w:r>
        <w:rPr>
          <w:rFonts w:ascii="Arial" w:cs="Arial" w:eastAsia="Arial" w:hAnsi="Arial"/>
          <w:sz w:val="17"/>
          <w:szCs w:val="17"/>
          <w:b w:val="1"/>
          <w:bCs w:val="1"/>
          <w:color w:val="auto"/>
        </w:rPr>
        <w:t xml:space="preserve"> </w:t>
      </w:r>
      <w:r>
        <w:rPr>
          <w:rFonts w:ascii="Arial" w:cs="Arial" w:eastAsia="Arial" w:hAnsi="Arial"/>
          <w:sz w:val="17"/>
          <w:szCs w:val="17"/>
          <w:color w:val="auto"/>
        </w:rPr>
        <w:t>µg/mL anti-CD28, as well as 0.2 µg/mL DuoBody-PD-L1×4-1BB or atezolizumab. After 48 hours the cells were harvested and subjected to transcriptomic analysis by RNA-sequencing.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92710</wp:posOffset>
            </wp:positionV>
            <wp:extent cx="7143750" cy="7588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7588885"/>
                    </a:xfrm>
                    <a:prstGeom prst="rect">
                      <a:avLst/>
                    </a:prstGeom>
                    <a:noFill/>
                  </pic:spPr>
                </pic:pic>
              </a:graphicData>
            </a:graphic>
          </wp:anchor>
        </w:drawing>
      </w:r>
    </w:p>
    <w:p>
      <w:pPr>
        <w:spacing w:after="0" w:line="157" w:lineRule="exact"/>
        <w:rPr>
          <w:sz w:val="20"/>
          <w:szCs w:val="20"/>
          <w:color w:val="auto"/>
        </w:rPr>
      </w:pPr>
    </w:p>
    <w:p>
      <w:pPr>
        <w:ind w:left="17" w:right="400"/>
        <w:spacing w:after="0" w:line="294" w:lineRule="auto"/>
        <w:rPr>
          <w:sz w:val="20"/>
          <w:szCs w:val="20"/>
          <w:color w:val="auto"/>
        </w:rPr>
      </w:pPr>
      <w:r>
        <w:rPr>
          <w:rFonts w:ascii="Arial" w:cs="Arial" w:eastAsia="Arial" w:hAnsi="Arial"/>
          <w:sz w:val="17"/>
          <w:szCs w:val="17"/>
          <w:b w:val="1"/>
          <w:bCs w:val="1"/>
          <w:color w:val="auto"/>
        </w:rPr>
        <w:t>DuoBody-PD-L1×4-1BB demonstrates enhanced proliferation and cytokine secretion of activated T cells in the presence of PD-L1</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cells in vitro</w:t>
      </w:r>
    </w:p>
    <w:p>
      <w:pPr>
        <w:spacing w:after="0" w:line="24" w:lineRule="exact"/>
        <w:rPr>
          <w:sz w:val="20"/>
          <w:szCs w:val="20"/>
          <w:color w:val="auto"/>
        </w:rPr>
      </w:pPr>
    </w:p>
    <w:p>
      <w:pPr>
        <w:jc w:val="both"/>
        <w:ind w:left="317" w:hanging="317"/>
        <w:spacing w:after="0" w:line="257" w:lineRule="auto"/>
        <w:tabs>
          <w:tab w:leader="none" w:pos="317"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conditionally enhances T-cell proliferation and cytokine secretion in a dose-dependent manner. Binding of only the PD-L1 arm enhances T-cell proliferation to a lesser extent, while binding of only the 4-1BB arm has no effect. EC</w:t>
      </w:r>
      <w:r>
        <w:rPr>
          <w:rFonts w:ascii="Arial" w:cs="Arial" w:eastAsia="Arial" w:hAnsi="Arial"/>
          <w:sz w:val="14"/>
          <w:szCs w:val="14"/>
          <w:color w:val="auto"/>
        </w:rPr>
        <w:t>50</w:t>
      </w:r>
      <w:r>
        <w:rPr>
          <w:rFonts w:ascii="Arial" w:cs="Arial" w:eastAsia="Arial" w:hAnsi="Arial"/>
          <w:sz w:val="17"/>
          <w:szCs w:val="17"/>
          <w:color w:val="auto"/>
        </w:rPr>
        <w:t xml:space="preserve"> values for proliferation are in the picomolar range.</w:t>
      </w:r>
    </w:p>
    <w:p>
      <w:pPr>
        <w:spacing w:after="0" w:line="65" w:lineRule="exact"/>
        <w:rPr>
          <w:rFonts w:ascii="Times New Roman" w:cs="Times New Roman" w:eastAsia="Times New Roman" w:hAnsi="Times New Roman"/>
          <w:sz w:val="17"/>
          <w:szCs w:val="17"/>
          <w:color w:val="auto"/>
        </w:rPr>
      </w:pPr>
    </w:p>
    <w:p>
      <w:pPr>
        <w:ind w:left="317" w:hanging="317"/>
        <w:spacing w:after="0"/>
        <w:tabs>
          <w:tab w:leader="none" w:pos="317"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does not induce proliferation in T cells that have not been activated by TCR stimulation.</w:t>
      </w:r>
    </w:p>
    <w:p>
      <w:pPr>
        <w:sectPr>
          <w:pgSz w:w="11900" w:h="16838" w:orient="portrait"/>
          <w:cols w:equalWidth="0" w:num="1">
            <w:col w:w="10997"/>
          </w:cols>
          <w:pgMar w:left="443" w:top="307"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7"/>
        <w:spacing w:after="0" w:line="294" w:lineRule="auto"/>
        <w:rPr>
          <w:sz w:val="20"/>
          <w:szCs w:val="20"/>
          <w:color w:val="auto"/>
        </w:rPr>
      </w:pPr>
      <w:r>
        <w:rPr>
          <w:rFonts w:ascii="Arial" w:cs="Arial" w:eastAsia="Arial" w:hAnsi="Arial"/>
          <w:sz w:val="17"/>
          <w:szCs w:val="17"/>
          <w:b w:val="1"/>
          <w:bCs w:val="1"/>
          <w:color w:val="auto"/>
        </w:rPr>
        <w:t xml:space="preserve">Figure 3. A-B. </w:t>
      </w:r>
      <w:r>
        <w:rPr>
          <w:rFonts w:ascii="Arial" w:cs="Arial" w:eastAsia="Arial" w:hAnsi="Arial"/>
          <w:sz w:val="17"/>
          <w:szCs w:val="17"/>
          <w:color w:val="auto"/>
        </w:rPr>
        <w:t>Antigen-specific T-cell proliferation assay: CD8</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 cells were electroporated with RNA encoding an HLA-A2/CLDN6 -specific TCR</w:t>
      </w:r>
      <w:r>
        <w:rPr>
          <w:rFonts w:ascii="Arial" w:cs="Arial" w:eastAsia="Arial" w:hAnsi="Arial"/>
          <w:sz w:val="17"/>
          <w:szCs w:val="17"/>
          <w:b w:val="1"/>
          <w:bCs w:val="1"/>
          <w:color w:val="auto"/>
        </w:rPr>
        <w:t xml:space="preserve"> </w:t>
      </w:r>
      <w:r>
        <w:rPr>
          <w:rFonts w:ascii="Arial" w:cs="Arial" w:eastAsia="Arial" w:hAnsi="Arial"/>
          <w:sz w:val="17"/>
          <w:szCs w:val="17"/>
          <w:color w:val="auto"/>
        </w:rPr>
        <w:t>and PD-1 (</w:t>
      </w:r>
      <w:r>
        <w:rPr>
          <w:rFonts w:ascii="Arial" w:cs="Arial" w:eastAsia="Arial" w:hAnsi="Arial"/>
          <w:sz w:val="17"/>
          <w:szCs w:val="17"/>
          <w:b w:val="1"/>
          <w:bCs w:val="1"/>
          <w:color w:val="auto"/>
        </w:rPr>
        <w:t>A</w:t>
      </w:r>
      <w:r>
        <w:rPr>
          <w:rFonts w:ascii="Arial" w:cs="Arial" w:eastAsia="Arial" w:hAnsi="Arial"/>
          <w:sz w:val="17"/>
          <w:szCs w:val="17"/>
          <w:color w:val="auto"/>
        </w:rPr>
        <w:t xml:space="preserve">. 5 µg; </w:t>
      </w:r>
      <w:r>
        <w:rPr>
          <w:rFonts w:ascii="Arial" w:cs="Arial" w:eastAsia="Arial" w:hAnsi="Arial"/>
          <w:sz w:val="17"/>
          <w:szCs w:val="17"/>
          <w:b w:val="1"/>
          <w:bCs w:val="1"/>
          <w:color w:val="auto"/>
        </w:rPr>
        <w:t>B</w:t>
      </w:r>
      <w:r>
        <w:rPr>
          <w:rFonts w:ascii="Arial" w:cs="Arial" w:eastAsia="Arial" w:hAnsi="Arial"/>
          <w:sz w:val="17"/>
          <w:szCs w:val="17"/>
          <w:color w:val="auto"/>
        </w:rPr>
        <w:t>. w/o, 2 or 10 µg, as indicated), and labeled with CFSE, co-cultured with autologous DCs electroporated with CLDN6-</w:t>
      </w:r>
    </w:p>
    <w:p>
      <w:pPr>
        <w:sectPr>
          <w:pgSz w:w="11900" w:h="16838" w:orient="portrait"/>
          <w:cols w:equalWidth="0" w:num="1">
            <w:col w:w="10997"/>
          </w:cols>
          <w:pgMar w:left="443" w:top="307" w:right="459" w:bottom="0" w:gutter="0" w:footer="0" w:header="0"/>
          <w:type w:val="continuous"/>
        </w:sectPr>
      </w:pPr>
    </w:p>
    <w:bookmarkStart w:id="7" w:name="page8"/>
    <w:bookmarkEnd w:id="7"/>
    <w:p>
      <w:pPr>
        <w:jc w:val="both"/>
        <w:spacing w:after="0" w:line="244" w:lineRule="auto"/>
        <w:rPr>
          <w:sz w:val="20"/>
          <w:szCs w:val="20"/>
          <w:color w:val="auto"/>
        </w:rPr>
      </w:pPr>
      <w:r>
        <w:rPr>
          <w:rFonts w:ascii="Arial" w:cs="Arial" w:eastAsia="Arial" w:hAnsi="Arial"/>
          <w:sz w:val="17"/>
          <w:szCs w:val="17"/>
          <w:color w:val="auto"/>
        </w:rPr>
        <w:t>encoding RNA in presence of the indicated antibodies for 4 days. Polyclonal T-cell proliferation assay: CFSE-labeled human PBMCs were stimulated with 0.1 µg/mL anti-CD3 and incubated with the indicated antibodies for 4 days. CFSE dilution in CD8</w:t>
      </w:r>
      <w:r>
        <w:rPr>
          <w:rFonts w:ascii="Arial" w:cs="Arial" w:eastAsia="Arial" w:hAnsi="Arial"/>
          <w:sz w:val="14"/>
          <w:szCs w:val="14"/>
          <w:color w:val="auto"/>
        </w:rPr>
        <w:t>+</w:t>
      </w:r>
      <w:r>
        <w:rPr>
          <w:rFonts w:ascii="Arial" w:cs="Arial" w:eastAsia="Arial" w:hAnsi="Arial"/>
          <w:sz w:val="17"/>
          <w:szCs w:val="17"/>
          <w:color w:val="auto"/>
        </w:rPr>
        <w:t xml:space="preserve"> T cells was analyzed by flow cytometry and the expansion index was calculated. </w:t>
      </w:r>
      <w:r>
        <w:rPr>
          <w:rFonts w:ascii="Arial" w:cs="Arial" w:eastAsia="Arial" w:hAnsi="Arial"/>
          <w:sz w:val="17"/>
          <w:szCs w:val="17"/>
          <w:b w:val="1"/>
          <w:bCs w:val="1"/>
          <w:color w:val="auto"/>
        </w:rPr>
        <w:t>C</w:t>
      </w:r>
      <w:r>
        <w:rPr>
          <w:rFonts w:ascii="Arial" w:cs="Arial" w:eastAsia="Arial" w:hAnsi="Arial"/>
          <w:sz w:val="17"/>
          <w:szCs w:val="17"/>
          <w:color w:val="auto"/>
        </w:rPr>
        <w:t xml:space="preserve">. Cell culture supernatants were collected 48 h after the start of the polyclonal T-cell proliferation assays, and cytokine concentrations measured using the MSD V-PLEX Pro-inflammatory Panel 1 Human Kit. </w:t>
      </w:r>
      <w:r>
        <w:rPr>
          <w:rFonts w:ascii="Arial" w:cs="Arial" w:eastAsia="Arial" w:hAnsi="Arial"/>
          <w:sz w:val="17"/>
          <w:szCs w:val="17"/>
          <w:b w:val="1"/>
          <w:bCs w:val="1"/>
          <w:color w:val="auto"/>
        </w:rPr>
        <w:t>D</w:t>
      </w:r>
      <w:r>
        <w:rPr>
          <w:rFonts w:ascii="Arial" w:cs="Arial" w:eastAsia="Arial" w:hAnsi="Arial"/>
          <w:sz w:val="17"/>
          <w:szCs w:val="17"/>
          <w:color w:val="auto"/>
        </w:rPr>
        <w:t>: Naive CD8</w:t>
      </w:r>
      <w:r>
        <w:rPr>
          <w:rFonts w:ascii="Arial" w:cs="Arial" w:eastAsia="Arial" w:hAnsi="Arial"/>
          <w:sz w:val="14"/>
          <w:szCs w:val="14"/>
          <w:color w:val="auto"/>
        </w:rPr>
        <w:t>+</w:t>
      </w:r>
      <w:r>
        <w:rPr>
          <w:rFonts w:ascii="Arial" w:cs="Arial" w:eastAsia="Arial" w:hAnsi="Arial"/>
          <w:sz w:val="17"/>
          <w:szCs w:val="17"/>
          <w:color w:val="auto"/>
        </w:rPr>
        <w:t xml:space="preserve"> T cells were co-cultured with immature or LPS-matured (24 h prior to start of the co-culture) allogeneic dendritic cells in the presence of DuoBody-PD-L1×4-1BB or isotype control for 5 days.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and TNF-</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concentrations were determined in the culture supernatant.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-742950</wp:posOffset>
            </wp:positionV>
            <wp:extent cx="7143750" cy="785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78549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sectPr>
      </w:pPr>
    </w:p>
    <w:bookmarkStart w:id="8" w:name="page9"/>
    <w:bookmarkEnd w:id="8"/>
    <w:p>
      <w:pPr>
        <w:ind w:left="1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8324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8324215"/>
                    </a:xfrm>
                    <a:prstGeom prst="rect">
                      <a:avLst/>
                    </a:prstGeom>
                    <a:noFill/>
                  </pic:spPr>
                </pic:pic>
              </a:graphicData>
            </a:graphic>
          </wp:anchor>
        </w:drawing>
        <w:t>DuoBody-PD-L1×4-1BB demonstrates enhanced antigen-specific T-cell mediated cytotoxicity in vitro</w:t>
      </w:r>
    </w:p>
    <w:p>
      <w:pPr>
        <w:spacing w:after="0" w:line="115" w:lineRule="exact"/>
        <w:rPr>
          <w:sz w:val="20"/>
          <w:szCs w:val="20"/>
          <w:color w:val="auto"/>
        </w:rPr>
      </w:pPr>
    </w:p>
    <w:p>
      <w:pPr>
        <w:ind w:left="317" w:right="20" w:hanging="317"/>
        <w:spacing w:after="0" w:line="279" w:lineRule="auto"/>
        <w:tabs>
          <w:tab w:leader="none" w:pos="317"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dose-dependently and conditionally induces expression of the cytotoxic mediator granzyme B (GzmB) and the degranulation marker LAMP-1.</w:t>
      </w:r>
    </w:p>
    <w:p>
      <w:pPr>
        <w:spacing w:after="0" w:line="45" w:lineRule="exact"/>
        <w:rPr>
          <w:rFonts w:ascii="Times New Roman" w:cs="Times New Roman" w:eastAsia="Times New Roman" w:hAnsi="Times New Roman"/>
          <w:sz w:val="17"/>
          <w:szCs w:val="17"/>
          <w:color w:val="auto"/>
        </w:rPr>
      </w:pPr>
    </w:p>
    <w:p>
      <w:pPr>
        <w:ind w:left="317" w:hanging="317"/>
        <w:spacing w:after="0"/>
        <w:tabs>
          <w:tab w:leader="none" w:pos="317"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enhances antigen-specific T-cell mediated cytotoxicity, which is superior to atezolizumab.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7"/>
        <w:spacing w:after="0" w:line="243" w:lineRule="auto"/>
        <w:rPr>
          <w:sz w:val="20"/>
          <w:szCs w:val="20"/>
          <w:color w:val="auto"/>
        </w:rPr>
      </w:pPr>
      <w:r>
        <w:rPr>
          <w:rFonts w:ascii="Arial" w:cs="Arial" w:eastAsia="Arial" w:hAnsi="Arial"/>
          <w:sz w:val="17"/>
          <w:szCs w:val="17"/>
          <w:b w:val="1"/>
          <w:bCs w:val="1"/>
          <w:color w:val="auto"/>
        </w:rPr>
        <w:t xml:space="preserve">Figure 4. A-C. </w:t>
      </w:r>
      <w:r>
        <w:rPr>
          <w:rFonts w:ascii="Arial" w:cs="Arial" w:eastAsia="Arial" w:hAnsi="Arial"/>
          <w:sz w:val="17"/>
          <w:szCs w:val="17"/>
          <w:color w:val="auto"/>
        </w:rPr>
        <w:t>PBMC-derived CD8</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 cells were electroporated with a CLDN6-specific TCR, and preactivated in co-culture with adherent</w:t>
      </w:r>
      <w:r>
        <w:rPr>
          <w:rFonts w:ascii="Arial" w:cs="Arial" w:eastAsia="Arial" w:hAnsi="Arial"/>
          <w:sz w:val="17"/>
          <w:szCs w:val="17"/>
          <w:b w:val="1"/>
          <w:bCs w:val="1"/>
          <w:color w:val="auto"/>
        </w:rPr>
        <w:t xml:space="preserve"> </w:t>
      </w:r>
      <w:r>
        <w:rPr>
          <w:rFonts w:ascii="Arial" w:cs="Arial" w:eastAsia="Arial" w:hAnsi="Arial"/>
          <w:sz w:val="17"/>
          <w:szCs w:val="17"/>
          <w:color w:val="auto"/>
        </w:rPr>
        <w:t>MDA-MB-231 cells stably transduced with CLDN6, or co-cultured with untransduced parental cells. One day later, 4-1BB expression in preactivated T cells was verified. The T cells were transferred to new co-cultures with CLDN6-transduced or untransduced MDA-MD-231 cells as before, and incubated in the presence of the indicated antibodies. After 48 hours, T cell intracellular Granzyme B and LAMP-1 expression was analyzed by flow cytometry (</w:t>
      </w:r>
      <w:r>
        <w:rPr>
          <w:rFonts w:ascii="Arial" w:cs="Arial" w:eastAsia="Arial" w:hAnsi="Arial"/>
          <w:sz w:val="17"/>
          <w:szCs w:val="17"/>
          <w:b w:val="1"/>
          <w:bCs w:val="1"/>
          <w:color w:val="auto"/>
        </w:rPr>
        <w:t>A-B</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Separate co-cultures with the identical setup were subjected to impedance analysis in 30-minute intervals over 5 days using an x CELLigence Real-Time Cell Analyzer (</w:t>
      </w:r>
      <w:r>
        <w:rPr>
          <w:rFonts w:ascii="Arial" w:cs="Arial" w:eastAsia="Arial" w:hAnsi="Arial"/>
          <w:sz w:val="17"/>
          <w:szCs w:val="17"/>
          <w:b w:val="1"/>
          <w:bCs w:val="1"/>
          <w:color w:val="auto"/>
        </w:rPr>
        <w:t>C</w:t>
      </w: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7"/>
          <w:szCs w:val="17"/>
          <w:color w:val="auto"/>
        </w:rPr>
        <w:t xml:space="preserve"> Naive CD8</w:t>
      </w:r>
      <w:r>
        <w:rPr>
          <w:rFonts w:ascii="Arial" w:cs="Arial" w:eastAsia="Arial" w:hAnsi="Arial"/>
          <w:sz w:val="14"/>
          <w:szCs w:val="14"/>
          <w:color w:val="auto"/>
        </w:rPr>
        <w:t>+</w:t>
      </w:r>
      <w:r>
        <w:rPr>
          <w:rFonts w:ascii="Arial" w:cs="Arial" w:eastAsia="Arial" w:hAnsi="Arial"/>
          <w:sz w:val="17"/>
          <w:szCs w:val="17"/>
          <w:color w:val="auto"/>
        </w:rPr>
        <w:t xml:space="preserve"> T cells were co-cultured with LPS-matured (24 h prior to start of the co-culture) allogeneic dendritic cells in the presence of DuoBody-PD-L1×4-1BB or isotype control for 5 days, and GzmB concentrations were determined in the culture supernatant.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101600</wp:posOffset>
            </wp:positionV>
            <wp:extent cx="7143750" cy="2122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2122170"/>
                    </a:xfrm>
                    <a:prstGeom prst="rect">
                      <a:avLst/>
                    </a:prstGeom>
                    <a:noFill/>
                  </pic:spPr>
                </pic:pic>
              </a:graphicData>
            </a:graphic>
          </wp:anchor>
        </w:drawing>
      </w:r>
    </w:p>
    <w:p>
      <w:pPr>
        <w:spacing w:after="0" w:line="170" w:lineRule="exact"/>
        <w:rPr>
          <w:sz w:val="20"/>
          <w:szCs w:val="20"/>
          <w:color w:val="auto"/>
        </w:rPr>
      </w:pPr>
    </w:p>
    <w:p>
      <w:pPr>
        <w:ind w:left="17"/>
        <w:spacing w:after="0"/>
        <w:rPr>
          <w:sz w:val="20"/>
          <w:szCs w:val="20"/>
          <w:color w:val="auto"/>
        </w:rPr>
      </w:pPr>
      <w:r>
        <w:rPr>
          <w:rFonts w:ascii="Arial" w:cs="Arial" w:eastAsia="Arial" w:hAnsi="Arial"/>
          <w:sz w:val="17"/>
          <w:szCs w:val="17"/>
          <w:b w:val="1"/>
          <w:bCs w:val="1"/>
          <w:color w:val="auto"/>
        </w:rPr>
        <w:t>DuoBody-PD-L1×4-1BB increases tumor infiltrating lymphocyte (TIL) expansion in human tumor tissue cultures ex vivo</w:t>
      </w:r>
    </w:p>
    <w:p>
      <w:pPr>
        <w:spacing w:after="0" w:line="115" w:lineRule="exact"/>
        <w:rPr>
          <w:sz w:val="20"/>
          <w:szCs w:val="20"/>
          <w:color w:val="auto"/>
        </w:rPr>
      </w:pPr>
    </w:p>
    <w:p>
      <w:pPr>
        <w:ind w:left="317" w:hanging="317"/>
        <w:spacing w:after="0" w:line="279" w:lineRule="auto"/>
        <w:tabs>
          <w:tab w:leader="none" w:pos="317"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i) increases total TIL count, ii) induces expansion of CD4</w:t>
      </w:r>
      <w:r>
        <w:rPr>
          <w:rFonts w:ascii="Arial" w:cs="Arial" w:eastAsia="Arial" w:hAnsi="Arial"/>
          <w:sz w:val="14"/>
          <w:szCs w:val="14"/>
          <w:color w:val="auto"/>
        </w:rPr>
        <w:t>+</w:t>
      </w:r>
      <w:r>
        <w:rPr>
          <w:rFonts w:ascii="Arial" w:cs="Arial" w:eastAsia="Arial" w:hAnsi="Arial"/>
          <w:sz w:val="17"/>
          <w:szCs w:val="17"/>
          <w:color w:val="auto"/>
        </w:rPr>
        <w:t>, CD8</w:t>
      </w:r>
      <w:r>
        <w:rPr>
          <w:rFonts w:ascii="Arial" w:cs="Arial" w:eastAsia="Arial" w:hAnsi="Arial"/>
          <w:sz w:val="14"/>
          <w:szCs w:val="14"/>
          <w:color w:val="auto"/>
        </w:rPr>
        <w:t>+</w:t>
      </w:r>
      <w:r>
        <w:rPr>
          <w:rFonts w:ascii="Arial" w:cs="Arial" w:eastAsia="Arial" w:hAnsi="Arial"/>
          <w:sz w:val="17"/>
          <w:szCs w:val="17"/>
          <w:color w:val="auto"/>
        </w:rPr>
        <w:t xml:space="preserve"> T cells, and CD56</w:t>
      </w:r>
      <w:r>
        <w:rPr>
          <w:rFonts w:ascii="Arial" w:cs="Arial" w:eastAsia="Arial" w:hAnsi="Arial"/>
          <w:sz w:val="14"/>
          <w:szCs w:val="14"/>
          <w:color w:val="auto"/>
        </w:rPr>
        <w:t>+</w:t>
      </w:r>
      <w:r>
        <w:rPr>
          <w:rFonts w:ascii="Arial" w:cs="Arial" w:eastAsia="Arial" w:hAnsi="Arial"/>
          <w:sz w:val="17"/>
          <w:szCs w:val="17"/>
          <w:color w:val="auto"/>
        </w:rPr>
        <w:t xml:space="preserve"> NK cells, and iii) induces clonal expansion of the TCR repertoire.</w:t>
      </w:r>
    </w:p>
    <w:p>
      <w:pPr>
        <w:sectPr>
          <w:pgSz w:w="11900" w:h="16838" w:orient="portrait"/>
          <w:cols w:equalWidth="0" w:num="1">
            <w:col w:w="10997"/>
          </w:cols>
          <w:pgMar w:left="443" w:top="307" w:right="4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391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439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color w:val="auto"/>
        </w:rPr>
        <w:t xml:space="preserve">Figure 5. A. </w:t>
      </w:r>
      <w:r>
        <w:rPr>
          <w:rFonts w:ascii="Arial" w:cs="Arial" w:eastAsia="Arial" w:hAnsi="Arial"/>
          <w:sz w:val="17"/>
          <w:szCs w:val="17"/>
          <w:color w:val="auto"/>
        </w:rPr>
        <w:t>Tumor tissue of a NSCLC patient was resected, cut into pieces of 1-2 mm</w:t>
      </w:r>
      <w:r>
        <w:rPr>
          <w:rFonts w:ascii="Arial" w:cs="Arial" w:eastAsia="Arial" w:hAnsi="Arial"/>
          <w:sz w:val="14"/>
          <w:szCs w:val="14"/>
          <w:color w:val="auto"/>
        </w:rPr>
        <w:t>3</w:t>
      </w:r>
      <w:r>
        <w:rPr>
          <w:rFonts w:ascii="Arial" w:cs="Arial" w:eastAsia="Arial" w:hAnsi="Arial"/>
          <w:sz w:val="17"/>
          <w:szCs w:val="17"/>
          <w:color w:val="auto"/>
        </w:rPr>
        <w:t>, and cultured in the presence of IL-2 (10 U/mL)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indicated antibodies. On day 10, viable TIL were counted and the fold expansion of the indicated subpopulations was analyzed by flow cytometry. Data shown represents mean±SD of n=5 individual wells. </w:t>
      </w:r>
      <w:r>
        <w:rPr>
          <w:rFonts w:ascii="Arial" w:cs="Arial" w:eastAsia="Arial" w:hAnsi="Arial"/>
          <w:sz w:val="17"/>
          <w:szCs w:val="17"/>
          <w:b w:val="1"/>
          <w:bCs w:val="1"/>
          <w:color w:val="auto"/>
        </w:rPr>
        <w:t>B.</w:t>
      </w:r>
      <w:r>
        <w:rPr>
          <w:rFonts w:ascii="Arial" w:cs="Arial" w:eastAsia="Arial" w:hAnsi="Arial"/>
          <w:sz w:val="17"/>
          <w:szCs w:val="17"/>
          <w:color w:val="auto"/>
        </w:rPr>
        <w:t xml:space="preserve"> Clonotype repertoire analysis was performed on TCR sequencing of the CDR3 region of the expanded TIL and the frozen tumor. The ten most frequent clones (1-10) for well 1 of DuoBody-PD-L1×4-1BB-treated cultures were used as reference and the frequency rank of these sequences in all other samples is visualized according to the color scheme. About 200 sequences were obtained per sample. Each sample contained about 100,000 cells.</w:t>
      </w:r>
    </w:p>
    <w:p>
      <w:pPr>
        <w:sectPr>
          <w:pgSz w:w="11900" w:h="16838" w:orient="portrait"/>
          <w:cols w:equalWidth="0" w:num="1">
            <w:col w:w="10980"/>
          </w:cols>
          <w:pgMar w:left="460" w:top="1440" w:right="459" w:bottom="1440" w:gutter="0" w:footer="0" w:header="0"/>
        </w:sectPr>
      </w:pPr>
    </w:p>
    <w:bookmarkStart w:id="10" w:name="page11"/>
    <w:bookmarkEnd w:id="10"/>
    <w:p>
      <w:pPr>
        <w:ind w:left="17" w:right="80"/>
        <w:spacing w:after="0" w:line="29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4595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595495"/>
                    </a:xfrm>
                    <a:prstGeom prst="rect">
                      <a:avLst/>
                    </a:prstGeom>
                    <a:noFill/>
                  </pic:spPr>
                </pic:pic>
              </a:graphicData>
            </a:graphic>
          </wp:anchor>
        </w:drawing>
        <w:t>An Fc-silenced bsAb targeting mouse PD-L1 and 4-1BB (mbsAb-PD-L1×4-1BB) induces tumor regression and increases the frequency of tumor-reactive T cells in CT26-tumor bearing mice</w:t>
      </w:r>
    </w:p>
    <w:p>
      <w:pPr>
        <w:spacing w:after="0" w:line="24" w:lineRule="exact"/>
        <w:rPr>
          <w:sz w:val="20"/>
          <w:szCs w:val="20"/>
          <w:color w:val="auto"/>
        </w:rPr>
      </w:pPr>
    </w:p>
    <w:p>
      <w:pPr>
        <w:ind w:left="317" w:hanging="317"/>
        <w:spacing w:after="0" w:line="279" w:lineRule="auto"/>
        <w:tabs>
          <w:tab w:leader="none" w:pos="317"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mbsAb-PD-L1×4-1BB-treatment leads to complete tumor regression in the majority of mice and significantly improves survival, which is associated with an increased frequency of tumor-reactive T cells in the peripheral blood.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7"/>
        <w:spacing w:after="0" w:line="256" w:lineRule="auto"/>
        <w:rPr>
          <w:sz w:val="20"/>
          <w:szCs w:val="20"/>
          <w:color w:val="auto"/>
        </w:rPr>
      </w:pPr>
      <w:r>
        <w:rPr>
          <w:rFonts w:ascii="Arial" w:cs="Arial" w:eastAsia="Arial" w:hAnsi="Arial"/>
          <w:sz w:val="17"/>
          <w:szCs w:val="17"/>
          <w:b w:val="1"/>
          <w:bCs w:val="1"/>
          <w:color w:val="auto"/>
        </w:rPr>
        <w:t xml:space="preserve">Figure 6. </w:t>
      </w:r>
      <w:r>
        <w:rPr>
          <w:rFonts w:ascii="Arial" w:cs="Arial" w:eastAsia="Arial" w:hAnsi="Arial"/>
          <w:sz w:val="17"/>
          <w:szCs w:val="17"/>
          <w:color w:val="auto"/>
        </w:rPr>
        <w:t>BALB/c mice bearing subcutaneous CT26 tumors were treated after tumors reached a size</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³</w:t>
      </w:r>
      <w:r>
        <w:rPr>
          <w:rFonts w:ascii="Arial" w:cs="Arial" w:eastAsia="Arial" w:hAnsi="Arial"/>
          <w:sz w:val="17"/>
          <w:szCs w:val="17"/>
          <w:b w:val="1"/>
          <w:bCs w:val="1"/>
          <w:color w:val="auto"/>
        </w:rPr>
        <w:t xml:space="preserve"> </w:t>
      </w:r>
      <w:r>
        <w:rPr>
          <w:rFonts w:ascii="Arial" w:cs="Arial" w:eastAsia="Arial" w:hAnsi="Arial"/>
          <w:sz w:val="17"/>
          <w:szCs w:val="17"/>
          <w:color w:val="auto"/>
        </w:rPr>
        <w:t>30 mm</w:t>
      </w:r>
      <w:r>
        <w:rPr>
          <w:rFonts w:ascii="Arial" w:cs="Arial" w:eastAsia="Arial" w:hAnsi="Arial"/>
          <w:sz w:val="14"/>
          <w:szCs w:val="14"/>
          <w:color w:val="auto"/>
        </w:rPr>
        <w:t>3</w:t>
      </w:r>
      <w:r>
        <w:rPr>
          <w:rFonts w:ascii="Arial" w:cs="Arial" w:eastAsia="Arial" w:hAnsi="Arial"/>
          <w:sz w:val="17"/>
          <w:szCs w:val="17"/>
          <w:color w:val="auto"/>
        </w:rPr>
        <w:t>. Antibody was dosed every 2-3</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for three weeks starting at day 11 (indicated by arrows). </w:t>
      </w:r>
      <w:r>
        <w:rPr>
          <w:rFonts w:ascii="Arial" w:cs="Arial" w:eastAsia="Arial" w:hAnsi="Arial"/>
          <w:sz w:val="17"/>
          <w:szCs w:val="17"/>
          <w:b w:val="1"/>
          <w:bCs w:val="1"/>
          <w:color w:val="auto"/>
        </w:rPr>
        <w:t>A.</w:t>
      </w:r>
      <w:r>
        <w:rPr>
          <w:rFonts w:ascii="Arial" w:cs="Arial" w:eastAsia="Arial" w:hAnsi="Arial"/>
          <w:sz w:val="17"/>
          <w:szCs w:val="17"/>
          <w:color w:val="auto"/>
        </w:rPr>
        <w:t xml:space="preserve"> Individual tumor growth curves; CR: complete regression. </w:t>
      </w:r>
      <w:r>
        <w:rPr>
          <w:rFonts w:ascii="Arial" w:cs="Arial" w:eastAsia="Arial" w:hAnsi="Arial"/>
          <w:sz w:val="17"/>
          <w:szCs w:val="17"/>
          <w:b w:val="1"/>
          <w:bCs w:val="1"/>
          <w:color w:val="auto"/>
        </w:rPr>
        <w:t>B.</w:t>
      </w:r>
      <w:r>
        <w:rPr>
          <w:rFonts w:ascii="Arial" w:cs="Arial" w:eastAsia="Arial" w:hAnsi="Arial"/>
          <w:sz w:val="17"/>
          <w:szCs w:val="17"/>
          <w:color w:val="auto"/>
        </w:rPr>
        <w:t xml:space="preserve"> Kaplan-Meier analysis of animal survival. </w:t>
      </w:r>
      <w:r>
        <w:rPr>
          <w:rFonts w:ascii="Arial" w:cs="Arial" w:eastAsia="Arial" w:hAnsi="Arial"/>
          <w:sz w:val="17"/>
          <w:szCs w:val="17"/>
          <w:b w:val="1"/>
          <w:bCs w:val="1"/>
          <w:color w:val="auto"/>
        </w:rPr>
        <w:t>C</w:t>
      </w:r>
      <w:r>
        <w:rPr>
          <w:rFonts w:ascii="Arial" w:cs="Arial" w:eastAsia="Arial" w:hAnsi="Arial"/>
          <w:sz w:val="17"/>
          <w:szCs w:val="17"/>
          <w:color w:val="auto"/>
        </w:rPr>
        <w:t>. On day 18, blood was drawn and the relative frequency of CD8</w:t>
      </w:r>
      <w:r>
        <w:rPr>
          <w:rFonts w:ascii="Arial" w:cs="Arial" w:eastAsia="Arial" w:hAnsi="Arial"/>
          <w:sz w:val="14"/>
          <w:szCs w:val="14"/>
          <w:color w:val="auto"/>
        </w:rPr>
        <w:t>+</w:t>
      </w:r>
      <w:r>
        <w:rPr>
          <w:rFonts w:ascii="Arial" w:cs="Arial" w:eastAsia="Arial" w:hAnsi="Arial"/>
          <w:sz w:val="17"/>
          <w:szCs w:val="17"/>
          <w:color w:val="auto"/>
        </w:rPr>
        <w:t xml:space="preserve"> T cells specific for gp70, the immunodominant antigen expressed by CT26, was determined by flow cytometry. ****, p&lt;0.0001, One-way ANOVA with Dunnett’s multiple comparisons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95250</wp:posOffset>
            </wp:positionV>
            <wp:extent cx="7143750" cy="4100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4100195"/>
                    </a:xfrm>
                    <a:prstGeom prst="rect">
                      <a:avLst/>
                    </a:prstGeom>
                    <a:noFill/>
                  </pic:spPr>
                </pic:pic>
              </a:graphicData>
            </a:graphic>
          </wp:anchor>
        </w:drawing>
      </w:r>
    </w:p>
    <w:p>
      <w:pPr>
        <w:spacing w:after="0" w:line="160" w:lineRule="exact"/>
        <w:rPr>
          <w:sz w:val="20"/>
          <w:szCs w:val="20"/>
          <w:color w:val="auto"/>
        </w:rPr>
      </w:pPr>
    </w:p>
    <w:p>
      <w:pPr>
        <w:ind w:left="17" w:right="840"/>
        <w:spacing w:after="0" w:line="294" w:lineRule="auto"/>
        <w:rPr>
          <w:sz w:val="20"/>
          <w:szCs w:val="20"/>
          <w:color w:val="auto"/>
        </w:rPr>
      </w:pPr>
      <w:r>
        <w:rPr>
          <w:rFonts w:ascii="Arial" w:cs="Arial" w:eastAsia="Arial" w:hAnsi="Arial"/>
          <w:sz w:val="17"/>
          <w:szCs w:val="17"/>
          <w:b w:val="1"/>
          <w:bCs w:val="1"/>
          <w:color w:val="auto"/>
        </w:rPr>
        <w:t>mbsAb-PD-L1×4-1BB shows superior efficacy compared to a combination of Fc-silenced PD-L1 or 4-1BB monovalent control antibodies</w:t>
      </w:r>
    </w:p>
    <w:p>
      <w:pPr>
        <w:spacing w:after="0" w:line="24" w:lineRule="exact"/>
        <w:rPr>
          <w:sz w:val="20"/>
          <w:szCs w:val="20"/>
          <w:color w:val="auto"/>
        </w:rPr>
      </w:pPr>
    </w:p>
    <w:p>
      <w:pPr>
        <w:ind w:left="317" w:hanging="317"/>
        <w:spacing w:after="0" w:line="279" w:lineRule="auto"/>
        <w:tabs>
          <w:tab w:leader="none" w:pos="317"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mbsAb-PD-L1×4-1BB induces superior anti-tumor activity compared to a combination of both monovalent controls and efficiently induces tumor regression in mice bearing medium-sized tumors.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7"/>
        <w:spacing w:after="0" w:line="265" w:lineRule="auto"/>
        <w:rPr>
          <w:sz w:val="20"/>
          <w:szCs w:val="20"/>
          <w:color w:val="auto"/>
        </w:rPr>
      </w:pPr>
      <w:r>
        <w:rPr>
          <w:rFonts w:ascii="Arial" w:cs="Arial" w:eastAsia="Arial" w:hAnsi="Arial"/>
          <w:sz w:val="17"/>
          <w:szCs w:val="17"/>
          <w:b w:val="1"/>
          <w:bCs w:val="1"/>
          <w:color w:val="auto"/>
        </w:rPr>
        <w:t xml:space="preserve">Figure 7. </w:t>
      </w:r>
      <w:r>
        <w:rPr>
          <w:rFonts w:ascii="Arial" w:cs="Arial" w:eastAsia="Arial" w:hAnsi="Arial"/>
          <w:sz w:val="17"/>
          <w:szCs w:val="17"/>
          <w:color w:val="auto"/>
        </w:rPr>
        <w:t>BALB/c mice bearing subcutaneous CT26 tumors were treated after tumors reached a mean size of approximately 100 mm</w:t>
      </w:r>
      <w:r>
        <w:rPr>
          <w:rFonts w:ascii="Arial" w:cs="Arial" w:eastAsia="Arial" w:hAnsi="Arial"/>
          <w:sz w:val="14"/>
          <w:szCs w:val="14"/>
          <w:color w:val="auto"/>
        </w:rPr>
        <w:t>3</w:t>
      </w:r>
      <w:r>
        <w:rPr>
          <w:rFonts w:ascii="Arial" w:cs="Arial" w:eastAsia="Arial" w:hAnsi="Arial"/>
          <w:sz w:val="17"/>
          <w:szCs w:val="17"/>
          <w:color w:val="auto"/>
        </w:rPr>
        <w:t>.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was dosed at 100 µg per mouse every 4 days, for three weeks starting at day 20 (indicated by arrows). </w:t>
      </w:r>
      <w:r>
        <w:rPr>
          <w:rFonts w:ascii="Arial" w:cs="Arial" w:eastAsia="Arial" w:hAnsi="Arial"/>
          <w:sz w:val="17"/>
          <w:szCs w:val="17"/>
          <w:b w:val="1"/>
          <w:bCs w:val="1"/>
          <w:color w:val="auto"/>
        </w:rPr>
        <w:t>A</w:t>
      </w:r>
      <w:r>
        <w:rPr>
          <w:rFonts w:ascii="Arial" w:cs="Arial" w:eastAsia="Arial" w:hAnsi="Arial"/>
          <w:sz w:val="17"/>
          <w:szCs w:val="17"/>
          <w:color w:val="auto"/>
        </w:rPr>
        <w:t xml:space="preserve">. Individual tumor growth curves, CR: complete regression. </w:t>
      </w:r>
      <w:r>
        <w:rPr>
          <w:rFonts w:ascii="Arial" w:cs="Arial" w:eastAsia="Arial" w:hAnsi="Arial"/>
          <w:sz w:val="17"/>
          <w:szCs w:val="17"/>
          <w:b w:val="1"/>
          <w:bCs w:val="1"/>
          <w:color w:val="auto"/>
        </w:rPr>
        <w:t>B</w:t>
      </w:r>
      <w:r>
        <w:rPr>
          <w:rFonts w:ascii="Arial" w:cs="Arial" w:eastAsia="Arial" w:hAnsi="Arial"/>
          <w:sz w:val="17"/>
          <w:szCs w:val="17"/>
          <w:color w:val="auto"/>
        </w:rPr>
        <w:t>. Kaplan-Meier analysis of animal survival. *, p&lt;0.05; log-rank (Mantel-Cox)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92075</wp:posOffset>
            </wp:positionV>
            <wp:extent cx="7143750" cy="168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682115"/>
                    </a:xfrm>
                    <a:prstGeom prst="rect">
                      <a:avLst/>
                    </a:prstGeom>
                    <a:noFill/>
                  </pic:spPr>
                </pic:pic>
              </a:graphicData>
            </a:graphic>
          </wp:anchor>
        </w:drawing>
      </w:r>
    </w:p>
    <w:p>
      <w:pPr>
        <w:spacing w:after="0" w:line="155" w:lineRule="exact"/>
        <w:rPr>
          <w:sz w:val="20"/>
          <w:szCs w:val="20"/>
          <w:color w:val="auto"/>
        </w:rPr>
      </w:pPr>
    </w:p>
    <w:p>
      <w:pPr>
        <w:ind w:left="17"/>
        <w:spacing w:after="0"/>
        <w:rPr>
          <w:sz w:val="20"/>
          <w:szCs w:val="20"/>
          <w:color w:val="auto"/>
        </w:rPr>
      </w:pPr>
      <w:r>
        <w:rPr>
          <w:rFonts w:ascii="Arial" w:cs="Arial" w:eastAsia="Arial" w:hAnsi="Arial"/>
          <w:sz w:val="17"/>
          <w:szCs w:val="17"/>
          <w:b w:val="1"/>
          <w:bCs w:val="1"/>
          <w:color w:val="auto"/>
        </w:rPr>
        <w:t>mbsAb-PD-L1×4-1BB shows superior efficacy compared to PD-L1 blockade</w:t>
      </w:r>
    </w:p>
    <w:p>
      <w:pPr>
        <w:spacing w:after="0" w:line="115" w:lineRule="exact"/>
        <w:rPr>
          <w:sz w:val="20"/>
          <w:szCs w:val="20"/>
          <w:color w:val="auto"/>
        </w:rPr>
      </w:pPr>
    </w:p>
    <w:p>
      <w:pPr>
        <w:ind w:left="317" w:hanging="317"/>
        <w:spacing w:after="0" w:line="279" w:lineRule="auto"/>
        <w:tabs>
          <w:tab w:leader="none" w:pos="317"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mice bearing subcutaneous CT26 tumors, a model that is insensitive to PD-L1 blockade, mbsAb-PD-L1×4-1BB elicits tumor rejection in the majority of the mice at active dose levels and significantly improves survival.</w:t>
      </w:r>
    </w:p>
    <w:p>
      <w:pPr>
        <w:sectPr>
          <w:pgSz w:w="11900" w:h="16838" w:orient="portrait"/>
          <w:cols w:equalWidth="0" w:num="1">
            <w:col w:w="10997"/>
          </w:cols>
          <w:pgMar w:left="443" w:top="307" w:right="4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1862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86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Figure 8. </w:t>
      </w:r>
      <w:r>
        <w:rPr>
          <w:rFonts w:ascii="Arial" w:cs="Arial" w:eastAsia="Arial" w:hAnsi="Arial"/>
          <w:sz w:val="17"/>
          <w:szCs w:val="17"/>
          <w:color w:val="auto"/>
        </w:rPr>
        <w:t>BALB/c mice bearing subcutaneous CT26 tumors were treated after tumors reached a mean size of approximately 76 mm</w:t>
      </w:r>
      <w:r>
        <w:rPr>
          <w:rFonts w:ascii="Arial" w:cs="Arial" w:eastAsia="Arial" w:hAnsi="Arial"/>
          <w:sz w:val="14"/>
          <w:szCs w:val="14"/>
          <w:color w:val="auto"/>
        </w:rPr>
        <w:t>3</w:t>
      </w:r>
      <w:r>
        <w:rPr>
          <w:rFonts w:ascii="Arial" w:cs="Arial" w:eastAsia="Arial" w:hAnsi="Arial"/>
          <w:sz w:val="17"/>
          <w:szCs w:val="17"/>
          <w:color w:val="auto"/>
        </w:rPr>
        <w:t>.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was dosed at 100 µg per mouse every 3-4 days for three weeks starting at day 14 (indicated by arrows). </w:t>
      </w:r>
      <w:r>
        <w:rPr>
          <w:rFonts w:ascii="Arial" w:cs="Arial" w:eastAsia="Arial" w:hAnsi="Arial"/>
          <w:sz w:val="17"/>
          <w:szCs w:val="17"/>
          <w:b w:val="1"/>
          <w:bCs w:val="1"/>
          <w:color w:val="auto"/>
        </w:rPr>
        <w:t>A</w:t>
      </w:r>
      <w:r>
        <w:rPr>
          <w:rFonts w:ascii="Arial" w:cs="Arial" w:eastAsia="Arial" w:hAnsi="Arial"/>
          <w:sz w:val="17"/>
          <w:szCs w:val="17"/>
          <w:color w:val="auto"/>
        </w:rPr>
        <w:t xml:space="preserve">. individual tumor growth curves, CR: complete regression. </w:t>
      </w:r>
      <w:r>
        <w:rPr>
          <w:rFonts w:ascii="Arial" w:cs="Arial" w:eastAsia="Arial" w:hAnsi="Arial"/>
          <w:sz w:val="17"/>
          <w:szCs w:val="17"/>
          <w:b w:val="1"/>
          <w:bCs w:val="1"/>
          <w:color w:val="auto"/>
        </w:rPr>
        <w:t>B</w:t>
      </w:r>
      <w:r>
        <w:rPr>
          <w:rFonts w:ascii="Arial" w:cs="Arial" w:eastAsia="Arial" w:hAnsi="Arial"/>
          <w:sz w:val="17"/>
          <w:szCs w:val="17"/>
          <w:color w:val="auto"/>
        </w:rPr>
        <w:t>. Kaplan-Meier analysis of animal survival. ***, p&lt;0.001, log-rank (Mantel-Cox) test.</w:t>
      </w:r>
    </w:p>
    <w:p>
      <w:pPr>
        <w:sectPr>
          <w:pgSz w:w="11900" w:h="16838" w:orient="portrait"/>
          <w:cols w:equalWidth="0" w:num="1">
            <w:col w:w="10980"/>
          </w:cols>
          <w:pgMar w:left="460" w:top="1440" w:right="459" w:bottom="1440" w:gutter="0" w:footer="0" w:header="0"/>
        </w:sectPr>
      </w:pPr>
    </w:p>
    <w:bookmarkStart w:id="12" w:name="page13"/>
    <w:bookmarkEnd w:id="1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8479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8479155"/>
                    </a:xfrm>
                    <a:prstGeom prst="rect">
                      <a:avLst/>
                    </a:prstGeom>
                    <a:noFill/>
                  </pic:spPr>
                </pic:pic>
              </a:graphicData>
            </a:graphic>
          </wp:anchor>
        </w:drawing>
      </w:r>
    </w:p>
    <w:p>
      <w:pPr>
        <w:ind w:left="22" w:right="800"/>
        <w:spacing w:after="0" w:line="294" w:lineRule="auto"/>
        <w:rPr>
          <w:sz w:val="20"/>
          <w:szCs w:val="20"/>
          <w:color w:val="auto"/>
        </w:rPr>
      </w:pPr>
      <w:r>
        <w:rPr>
          <w:rFonts w:ascii="Arial" w:cs="Arial" w:eastAsia="Arial" w:hAnsi="Arial"/>
          <w:sz w:val="17"/>
          <w:szCs w:val="17"/>
          <w:b w:val="1"/>
          <w:bCs w:val="1"/>
          <w:color w:val="auto"/>
        </w:rPr>
        <w:t>mbsAb-PD-L1×4-1BB modulates tumor-draining lymph node and intratumoral immune-cell composition in favor of anti-tumor immunity</w:t>
      </w:r>
    </w:p>
    <w:p>
      <w:pPr>
        <w:spacing w:after="0" w:line="24" w:lineRule="exact"/>
        <w:rPr>
          <w:sz w:val="20"/>
          <w:szCs w:val="20"/>
          <w:color w:val="auto"/>
        </w:rPr>
      </w:pPr>
    </w:p>
    <w:p>
      <w:pPr>
        <w:ind w:left="322" w:right="20" w:hanging="317"/>
        <w:spacing w:after="0" w:line="279" w:lineRule="auto"/>
        <w:tabs>
          <w:tab w:leader="none" w:pos="322"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mbsAb-PD-L1×4-1BB-treatment leads to increased frequencies of tumor antigen-specific T cells, PD-1</w:t>
      </w:r>
      <w:r>
        <w:rPr>
          <w:rFonts w:ascii="Arial" w:cs="Arial" w:eastAsia="Arial" w:hAnsi="Arial"/>
          <w:sz w:val="14"/>
          <w:szCs w:val="14"/>
          <w:color w:val="auto"/>
        </w:rPr>
        <w:t>+</w:t>
      </w:r>
      <w:r>
        <w:rPr>
          <w:rFonts w:ascii="Arial" w:cs="Arial" w:eastAsia="Arial" w:hAnsi="Arial"/>
          <w:sz w:val="17"/>
          <w:szCs w:val="17"/>
          <w:color w:val="auto"/>
        </w:rPr>
        <w:t xml:space="preserve"> activated T cells and NK cells in tumor-draining lymph nodes (tdLNs).</w:t>
      </w:r>
    </w:p>
    <w:p>
      <w:pPr>
        <w:spacing w:after="0" w:line="45" w:lineRule="exact"/>
        <w:rPr>
          <w:rFonts w:ascii="Times New Roman" w:cs="Times New Roman" w:eastAsia="Times New Roman" w:hAnsi="Times New Roman"/>
          <w:sz w:val="17"/>
          <w:szCs w:val="17"/>
          <w:color w:val="auto"/>
        </w:rPr>
      </w:pPr>
    </w:p>
    <w:p>
      <w:pPr>
        <w:ind w:left="322" w:hanging="317"/>
        <w:spacing w:after="0" w:line="295" w:lineRule="auto"/>
        <w:tabs>
          <w:tab w:leader="none" w:pos="322"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proportion of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secreting cells is increased in the tdLNs of mbsAb-PD-L1×4-1BB-treated mice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in response to restimulation with tumor antigen.</w:t>
      </w:r>
    </w:p>
    <w:p>
      <w:pPr>
        <w:spacing w:after="0" w:line="32" w:lineRule="exact"/>
        <w:rPr>
          <w:rFonts w:ascii="Times New Roman" w:cs="Times New Roman" w:eastAsia="Times New Roman" w:hAnsi="Times New Roman"/>
          <w:sz w:val="17"/>
          <w:szCs w:val="17"/>
          <w:color w:val="auto"/>
        </w:rPr>
      </w:pPr>
    </w:p>
    <w:p>
      <w:pPr>
        <w:jc w:val="both"/>
        <w:ind w:left="322" w:hanging="317"/>
        <w:spacing w:after="0" w:line="279" w:lineRule="auto"/>
        <w:tabs>
          <w:tab w:leader="none" w:pos="322"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proportions of CD8</w:t>
      </w:r>
      <w:r>
        <w:rPr>
          <w:rFonts w:ascii="Arial" w:cs="Arial" w:eastAsia="Arial" w:hAnsi="Arial"/>
          <w:sz w:val="14"/>
          <w:szCs w:val="14"/>
          <w:color w:val="auto"/>
        </w:rPr>
        <w:t>+</w:t>
      </w:r>
      <w:r>
        <w:rPr>
          <w:rFonts w:ascii="Arial" w:cs="Arial" w:eastAsia="Arial" w:hAnsi="Arial"/>
          <w:sz w:val="17"/>
          <w:szCs w:val="17"/>
          <w:color w:val="auto"/>
        </w:rPr>
        <w:t xml:space="preserve"> T cells, most of which are tumor antigen-specific, and reduced Treg proportions are present within the tumor microenvironment (TME) of mbsAb-PD-L1×4-1BB-treated mice, resulting in a CD8:Treg cell ratio in favor of an anti-tumor immune response.</w:t>
      </w:r>
    </w:p>
    <w:p>
      <w:pPr>
        <w:spacing w:after="0" w:line="45" w:lineRule="exact"/>
        <w:rPr>
          <w:rFonts w:ascii="Times New Roman" w:cs="Times New Roman" w:eastAsia="Times New Roman" w:hAnsi="Times New Roman"/>
          <w:sz w:val="17"/>
          <w:szCs w:val="17"/>
          <w:color w:val="auto"/>
        </w:rPr>
      </w:pPr>
    </w:p>
    <w:p>
      <w:pPr>
        <w:ind w:left="322" w:right="20" w:hanging="317"/>
        <w:spacing w:after="0" w:line="279" w:lineRule="auto"/>
        <w:tabs>
          <w:tab w:leader="none" w:pos="322"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An increased subset of Tcf-1</w:t>
      </w:r>
      <w:r>
        <w:rPr>
          <w:rFonts w:ascii="Arial" w:cs="Arial" w:eastAsia="Arial" w:hAnsi="Arial"/>
          <w:sz w:val="14"/>
          <w:szCs w:val="14"/>
          <w:color w:val="auto"/>
        </w:rPr>
        <w:t>+</w:t>
      </w:r>
      <w:r>
        <w:rPr>
          <w:rFonts w:ascii="Arial" w:cs="Arial" w:eastAsia="Arial" w:hAnsi="Arial"/>
          <w:sz w:val="17"/>
          <w:szCs w:val="17"/>
          <w:color w:val="auto"/>
        </w:rPr>
        <w:t xml:space="preserve"> tumor-specific T cells with self-renewal capability is present in the tumors of mbsAb-PD-L1×4-1BB-treated mice.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2"/>
        <w:spacing w:after="0" w:line="248" w:lineRule="auto"/>
        <w:rPr>
          <w:sz w:val="20"/>
          <w:szCs w:val="20"/>
          <w:color w:val="auto"/>
        </w:rPr>
      </w:pPr>
      <w:r>
        <w:rPr>
          <w:rFonts w:ascii="Arial" w:cs="Arial" w:eastAsia="Arial" w:hAnsi="Arial"/>
          <w:sz w:val="17"/>
          <w:szCs w:val="17"/>
          <w:b w:val="1"/>
          <w:bCs w:val="1"/>
          <w:color w:val="auto"/>
        </w:rPr>
        <w:t xml:space="preserve">Figure 9. </w:t>
      </w:r>
      <w:r>
        <w:rPr>
          <w:rFonts w:ascii="Arial" w:cs="Arial" w:eastAsia="Arial" w:hAnsi="Arial"/>
          <w:sz w:val="17"/>
          <w:szCs w:val="17"/>
          <w:color w:val="auto"/>
        </w:rPr>
        <w:t>BALB/c mice bearing subcutaneous CT26 tumors were treated with the indicated antibodies after tumors reached a median size of 38</w:t>
      </w:r>
      <w:r>
        <w:rPr>
          <w:rFonts w:ascii="Arial" w:cs="Arial" w:eastAsia="Arial" w:hAnsi="Arial"/>
          <w:sz w:val="17"/>
          <w:szCs w:val="17"/>
          <w:b w:val="1"/>
          <w:bCs w:val="1"/>
          <w:color w:val="auto"/>
        </w:rPr>
        <w:t xml:space="preserve"> </w:t>
      </w:r>
      <w:r>
        <w:rPr>
          <w:rFonts w:ascii="Arial" w:cs="Arial" w:eastAsia="Arial" w:hAnsi="Arial"/>
          <w:sz w:val="17"/>
          <w:szCs w:val="17"/>
          <w:color w:val="auto"/>
        </w:rPr>
        <w:t>mm</w:t>
      </w:r>
      <w:r>
        <w:rPr>
          <w:rFonts w:ascii="Arial" w:cs="Arial" w:eastAsia="Arial" w:hAnsi="Arial"/>
          <w:sz w:val="14"/>
          <w:szCs w:val="14"/>
          <w:color w:val="auto"/>
        </w:rPr>
        <w:t>3</w:t>
      </w:r>
      <w:r>
        <w:rPr>
          <w:rFonts w:ascii="Arial" w:cs="Arial" w:eastAsia="Arial" w:hAnsi="Arial"/>
          <w:sz w:val="17"/>
          <w:szCs w:val="17"/>
          <w:color w:val="auto"/>
        </w:rPr>
        <w:t xml:space="preserve">. Antibody was dosed at 100 µg per mouse on days 12 and 17. Mice were sacrificed on day 18 after inoculation for analysis. </w:t>
      </w:r>
      <w:r>
        <w:rPr>
          <w:rFonts w:ascii="Arial" w:cs="Arial" w:eastAsia="Arial" w:hAnsi="Arial"/>
          <w:sz w:val="17"/>
          <w:szCs w:val="17"/>
          <w:b w:val="1"/>
          <w:bCs w:val="1"/>
          <w:color w:val="auto"/>
        </w:rPr>
        <w:t>A</w:t>
      </w:r>
      <w:r>
        <w:rPr>
          <w:rFonts w:ascii="Arial" w:cs="Arial" w:eastAsia="Arial" w:hAnsi="Arial"/>
          <w:sz w:val="17"/>
          <w:szCs w:val="17"/>
          <w:color w:val="auto"/>
        </w:rPr>
        <w:t xml:space="preserve">. Flow cytometry analysis of tdLNs. </w:t>
      </w:r>
      <w:r>
        <w:rPr>
          <w:rFonts w:ascii="Arial" w:cs="Arial" w:eastAsia="Arial" w:hAnsi="Arial"/>
          <w:sz w:val="17"/>
          <w:szCs w:val="17"/>
          <w:b w:val="1"/>
          <w:bCs w:val="1"/>
          <w:color w:val="auto"/>
        </w:rPr>
        <w:t>B-C</w:t>
      </w:r>
      <w:r>
        <w:rPr>
          <w:rFonts w:ascii="Arial" w:cs="Arial" w:eastAsia="Arial" w:hAnsi="Arial"/>
          <w:sz w:val="17"/>
          <w:szCs w:val="17"/>
          <w:color w:val="auto"/>
        </w:rPr>
        <w:t>. tdLN cell suspensions were either left unstimulated (</w:t>
      </w:r>
      <w:r>
        <w:rPr>
          <w:rFonts w:ascii="Arial" w:cs="Arial" w:eastAsia="Arial" w:hAnsi="Arial"/>
          <w:sz w:val="17"/>
          <w:szCs w:val="17"/>
          <w:b w:val="1"/>
          <w:bCs w:val="1"/>
          <w:color w:val="auto"/>
        </w:rPr>
        <w:t>B</w:t>
      </w:r>
      <w:r>
        <w:rPr>
          <w:rFonts w:ascii="Arial" w:cs="Arial" w:eastAsia="Arial" w:hAnsi="Arial"/>
          <w:sz w:val="17"/>
          <w:szCs w:val="17"/>
          <w:color w:val="auto"/>
        </w:rPr>
        <w:t>) or restimulated with a gp70 peptide or CT26 cells (</w:t>
      </w:r>
      <w:r>
        <w:rPr>
          <w:rFonts w:ascii="Arial" w:cs="Arial" w:eastAsia="Arial" w:hAnsi="Arial"/>
          <w:sz w:val="17"/>
          <w:szCs w:val="17"/>
          <w:b w:val="1"/>
          <w:bCs w:val="1"/>
          <w:color w:val="auto"/>
        </w:rPr>
        <w:t>C</w:t>
      </w:r>
      <w:r>
        <w:rPr>
          <w:rFonts w:ascii="Arial" w:cs="Arial" w:eastAsia="Arial" w:hAnsi="Arial"/>
          <w:sz w:val="17"/>
          <w:szCs w:val="17"/>
          <w:color w:val="auto"/>
        </w:rPr>
        <w:t>), and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secretion was assessed by ELISpot. </w:t>
      </w:r>
      <w:r>
        <w:rPr>
          <w:rFonts w:ascii="Arial" w:cs="Arial" w:eastAsia="Arial" w:hAnsi="Arial"/>
          <w:sz w:val="17"/>
          <w:szCs w:val="17"/>
          <w:b w:val="1"/>
          <w:bCs w:val="1"/>
          <w:color w:val="auto"/>
        </w:rPr>
        <w:t>D</w:t>
      </w:r>
      <w:r>
        <w:rPr>
          <w:rFonts w:ascii="Arial" w:cs="Arial" w:eastAsia="Arial" w:hAnsi="Arial"/>
          <w:sz w:val="17"/>
          <w:szCs w:val="17"/>
          <w:color w:val="auto"/>
        </w:rPr>
        <w:t>.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ELISpot using distant non-draining LN cell (ndLN) suspensions of mbsAb-PD-L1×4-1BB treated mice. </w:t>
      </w:r>
      <w:r>
        <w:rPr>
          <w:rFonts w:ascii="Arial" w:cs="Arial" w:eastAsia="Arial" w:hAnsi="Arial"/>
          <w:sz w:val="17"/>
          <w:szCs w:val="17"/>
          <w:b w:val="1"/>
          <w:bCs w:val="1"/>
          <w:color w:val="auto"/>
        </w:rPr>
        <w:t>E</w:t>
      </w:r>
      <w:r>
        <w:rPr>
          <w:rFonts w:ascii="Arial" w:cs="Arial" w:eastAsia="Arial" w:hAnsi="Arial"/>
          <w:sz w:val="17"/>
          <w:szCs w:val="17"/>
          <w:color w:val="auto"/>
        </w:rPr>
        <w:t>. Flow cytometry analysis of enzymatically dissociated tumors. Data from individual mice are shown, as well as group mean (± SD). *, P&lt;0.05; **, P&lt;0.01; ***, P&lt;0.001; ****, P&lt;0.0001; One-way ANOVA with Dunnett‘s multiple comparisons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100330</wp:posOffset>
            </wp:positionV>
            <wp:extent cx="7143750" cy="1967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967230"/>
                    </a:xfrm>
                    <a:prstGeom prst="rect">
                      <a:avLst/>
                    </a:prstGeom>
                    <a:noFill/>
                  </pic:spPr>
                </pic:pic>
              </a:graphicData>
            </a:graphic>
          </wp:anchor>
        </w:drawing>
      </w:r>
    </w:p>
    <w:p>
      <w:pPr>
        <w:spacing w:after="0" w:line="16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CONCLUSIONS</w:t>
      </w:r>
    </w:p>
    <w:p>
      <w:pPr>
        <w:spacing w:after="0" w:line="115" w:lineRule="exact"/>
        <w:rPr>
          <w:sz w:val="20"/>
          <w:szCs w:val="20"/>
          <w:color w:val="auto"/>
        </w:rPr>
      </w:pPr>
    </w:p>
    <w:p>
      <w:pPr>
        <w:ind w:left="322" w:hanging="322"/>
        <w:spacing w:after="0" w:line="279" w:lineRule="auto"/>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Dual targeting of PD-L1 and 4-1BB with an Fc-silenced bsAb combines immune checkpoint blockade and conditional T-cell co-stimulation in one molecule.</w:t>
      </w:r>
    </w:p>
    <w:p>
      <w:pPr>
        <w:spacing w:after="0" w:line="45" w:lineRule="exact"/>
        <w:rPr>
          <w:rFonts w:ascii="Times New Roman" w:cs="Times New Roman" w:eastAsia="Times New Roman" w:hAnsi="Times New Roman"/>
          <w:sz w:val="17"/>
          <w:szCs w:val="17"/>
          <w:color w:val="auto"/>
        </w:rPr>
      </w:pPr>
    </w:p>
    <w:p>
      <w:pPr>
        <w:ind w:left="322" w:hanging="322"/>
        <w:spacing w:after="0" w:line="279" w:lineRule="auto"/>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constitutively blocks the inhibitory PD-1:PD-L1 signaling axis and induces conditional 4-1BB stimulation in vitro in a PD-L1-dependent fashion.</w:t>
      </w:r>
    </w:p>
    <w:p>
      <w:pPr>
        <w:spacing w:after="0" w:line="45" w:lineRule="exact"/>
        <w:rPr>
          <w:rFonts w:ascii="Times New Roman" w:cs="Times New Roman" w:eastAsia="Times New Roman" w:hAnsi="Times New Roman"/>
          <w:sz w:val="17"/>
          <w:szCs w:val="17"/>
          <w:color w:val="auto"/>
        </w:rPr>
      </w:pPr>
    </w:p>
    <w:p>
      <w:pPr>
        <w:ind w:left="322" w:hanging="322"/>
        <w:spacing w:after="0" w:line="279" w:lineRule="auto"/>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By combining these mechanisms, DuoBody-PD-L1×4-1BB enhances proliferation and cytokine production of human primary T cells in vitro, and enhances TIL expansion.</w:t>
      </w:r>
    </w:p>
    <w:p>
      <w:pPr>
        <w:spacing w:after="0" w:line="45" w:lineRule="exact"/>
        <w:rPr>
          <w:rFonts w:ascii="Times New Roman" w:cs="Times New Roman" w:eastAsia="Times New Roman" w:hAnsi="Times New Roman"/>
          <w:sz w:val="17"/>
          <w:szCs w:val="17"/>
          <w:color w:val="auto"/>
        </w:rPr>
      </w:pPr>
    </w:p>
    <w:p>
      <w:pPr>
        <w:ind w:left="322" w:hanging="322"/>
        <w:spacing w:after="0"/>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DuoBody-PD-L1×4-1BB enhances antigen-specific T-cell mediated cytotoxicity superior to checkpoint inhibition in vitro.</w:t>
      </w:r>
    </w:p>
    <w:p>
      <w:pPr>
        <w:spacing w:after="0" w:line="124" w:lineRule="exact"/>
        <w:rPr>
          <w:rFonts w:ascii="Times New Roman" w:cs="Times New Roman" w:eastAsia="Times New Roman" w:hAnsi="Times New Roman"/>
          <w:sz w:val="17"/>
          <w:szCs w:val="17"/>
          <w:color w:val="auto"/>
        </w:rPr>
      </w:pPr>
    </w:p>
    <w:p>
      <w:pPr>
        <w:ind w:left="322" w:hanging="322"/>
        <w:spacing w:after="0" w:line="279" w:lineRule="auto"/>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Mouse-reactive mbsAb-PD-L1×4-1BB efficiently induces tumor regression in murine models that are insensitive to PD-L1 blockade. Anti-tumor activity of mbsAb-PD-L1×4-1BB is dependent on simultaneous engagement of both PD-L1 and 4-1BB</w:t>
      </w:r>
    </w:p>
    <w:p>
      <w:pPr>
        <w:spacing w:after="0" w:line="45" w:lineRule="exact"/>
        <w:rPr>
          <w:rFonts w:ascii="Times New Roman" w:cs="Times New Roman" w:eastAsia="Times New Roman" w:hAnsi="Times New Roman"/>
          <w:sz w:val="17"/>
          <w:szCs w:val="17"/>
          <w:color w:val="auto"/>
        </w:rPr>
      </w:pPr>
    </w:p>
    <w:p>
      <w:pPr>
        <w:ind w:left="322" w:hanging="322"/>
        <w:spacing w:after="0" w:line="279" w:lineRule="auto"/>
        <w:tabs>
          <w:tab w:leader="none" w:pos="322"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Anti-tumor activity is associated with an increased prevalence of tumor antigen-specific T cells as well as reduced immunosuppression in the TME and tdLNs.</w:t>
      </w:r>
    </w:p>
    <w:p>
      <w:pPr>
        <w:sectPr>
          <w:pgSz w:w="11900" w:h="16923" w:orient="portrait"/>
          <w:cols w:equalWidth="0" w:num="1">
            <w:col w:w="11002"/>
          </w:cols>
          <w:pgMar w:left="438" w:top="307" w:right="459" w:bottom="0" w:gutter="0" w:footer="0" w:header="0"/>
        </w:sectPr>
      </w:pPr>
    </w:p>
    <w:bookmarkStart w:id="13" w:name="page14"/>
    <w:bookmarkEnd w:id="13"/>
    <w:p>
      <w:pPr>
        <w:ind w:left="322" w:hanging="322"/>
        <w:spacing w:after="0" w:line="279" w:lineRule="auto"/>
        <w:tabs>
          <w:tab w:leader="none" w:pos="322"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61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361315"/>
                    </a:xfrm>
                    <a:prstGeom prst="rect">
                      <a:avLst/>
                    </a:prstGeom>
                    <a:noFill/>
                  </pic:spPr>
                </pic:pic>
              </a:graphicData>
            </a:graphic>
          </wp:anchor>
        </w:drawing>
        <w:t>The clinical safety of DuoBody-PD-L1×4-1BB (GEN1046) is currently being assessed in patients with advanced malignant solid tumors in a first-in-human trial (NCT03917381).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155575</wp:posOffset>
            </wp:positionV>
            <wp:extent cx="7143750" cy="706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706120"/>
                    </a:xfrm>
                    <a:prstGeom prst="rect">
                      <a:avLst/>
                    </a:prstGeom>
                    <a:noFill/>
                  </pic:spPr>
                </pic:pic>
              </a:graphicData>
            </a:graphic>
          </wp:anchor>
        </w:drawing>
      </w:r>
    </w:p>
    <w:p>
      <w:pPr>
        <w:spacing w:after="0" w:line="255" w:lineRule="exact"/>
        <w:rPr>
          <w:sz w:val="20"/>
          <w:szCs w:val="20"/>
          <w:color w:val="auto"/>
        </w:rPr>
      </w:pPr>
    </w:p>
    <w:p>
      <w:pPr>
        <w:ind w:left="22"/>
        <w:spacing w:after="0"/>
        <w:rPr>
          <w:sz w:val="20"/>
          <w:szCs w:val="20"/>
          <w:color w:val="auto"/>
        </w:rPr>
      </w:pPr>
      <w:r>
        <w:rPr>
          <w:rFonts w:ascii="Arial" w:cs="Arial" w:eastAsia="Arial" w:hAnsi="Arial"/>
          <w:sz w:val="17"/>
          <w:szCs w:val="17"/>
          <w:b w:val="1"/>
          <w:bCs w:val="1"/>
          <w:color w:val="auto"/>
        </w:rPr>
        <w:t>References</w:t>
      </w:r>
    </w:p>
    <w:p>
      <w:pPr>
        <w:spacing w:after="0" w:line="27" w:lineRule="exact"/>
        <w:rPr>
          <w:sz w:val="20"/>
          <w:szCs w:val="20"/>
          <w:color w:val="auto"/>
        </w:rPr>
      </w:pPr>
    </w:p>
    <w:tbl>
      <w:tblPr>
        <w:tblLayout w:type="fixed"/>
        <w:tblInd w:w="22" w:type="dxa"/>
        <w:tblCellMar>
          <w:top w:w="0" w:type="dxa"/>
          <w:left w:w="0" w:type="dxa"/>
          <w:bottom w:w="0" w:type="dxa"/>
          <w:right w:w="0" w:type="dxa"/>
        </w:tblCellMar>
      </w:tblPr>
      <w:tr>
        <w:trPr>
          <w:trHeight w:val="175"/>
        </w:trPr>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1</w:t>
            </w:r>
          </w:p>
        </w:tc>
        <w:tc>
          <w:tcPr>
            <w:tcW w:w="3620" w:type="dxa"/>
            <w:vAlign w:val="bottom"/>
          </w:tcPr>
          <w:p>
            <w:pPr>
              <w:ind w:left="100"/>
              <w:spacing w:after="0"/>
              <w:rPr>
                <w:sz w:val="20"/>
                <w:szCs w:val="20"/>
                <w:color w:val="auto"/>
              </w:rPr>
            </w:pPr>
            <w:r>
              <w:rPr>
                <w:rFonts w:ascii="Arial" w:cs="Arial" w:eastAsia="Arial" w:hAnsi="Arial"/>
                <w:sz w:val="14"/>
                <w:szCs w:val="14"/>
                <w:color w:val="auto"/>
              </w:rPr>
              <w:t>Zou et al., 2016, Sci Transl Med</w:t>
            </w:r>
          </w:p>
        </w:tc>
        <w:tc>
          <w:tcPr>
            <w:tcW w:w="1220" w:type="dxa"/>
            <w:vAlign w:val="bottom"/>
          </w:tcPr>
          <w:p>
            <w:pPr>
              <w:jc w:val="right"/>
              <w:spacing w:after="0"/>
              <w:rPr>
                <w:sz w:val="20"/>
                <w:szCs w:val="20"/>
                <w:color w:val="auto"/>
              </w:rPr>
            </w:pPr>
            <w:r>
              <w:rPr>
                <w:rFonts w:ascii="Arial" w:cs="Arial" w:eastAsia="Arial" w:hAnsi="Arial"/>
                <w:sz w:val="14"/>
                <w:szCs w:val="14"/>
                <w:color w:val="auto"/>
              </w:rPr>
              <w:t>5</w:t>
            </w:r>
          </w:p>
        </w:tc>
        <w:tc>
          <w:tcPr>
            <w:tcW w:w="2200" w:type="dxa"/>
            <w:vAlign w:val="bottom"/>
          </w:tcPr>
          <w:p>
            <w:pPr>
              <w:ind w:left="60"/>
              <w:spacing w:after="0"/>
              <w:rPr>
                <w:sz w:val="20"/>
                <w:szCs w:val="20"/>
                <w:color w:val="auto"/>
              </w:rPr>
            </w:pPr>
            <w:r>
              <w:rPr>
                <w:rFonts w:ascii="Arial" w:cs="Arial" w:eastAsia="Arial" w:hAnsi="Arial"/>
                <w:sz w:val="14"/>
                <w:szCs w:val="14"/>
                <w:color w:val="auto"/>
                <w:w w:val="96"/>
              </w:rPr>
              <w:t>Segal et al., 2018, Clin Cancer Res</w:t>
            </w:r>
          </w:p>
        </w:tc>
      </w:tr>
      <w:tr>
        <w:trPr>
          <w:trHeight w:val="186"/>
        </w:trPr>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2</w:t>
            </w:r>
          </w:p>
        </w:tc>
        <w:tc>
          <w:tcPr>
            <w:tcW w:w="3620" w:type="dxa"/>
            <w:vAlign w:val="bottom"/>
          </w:tcPr>
          <w:p>
            <w:pPr>
              <w:ind w:left="100"/>
              <w:spacing w:after="0"/>
              <w:rPr>
                <w:sz w:val="20"/>
                <w:szCs w:val="20"/>
                <w:color w:val="auto"/>
              </w:rPr>
            </w:pPr>
            <w:r>
              <w:rPr>
                <w:rFonts w:ascii="Arial" w:cs="Arial" w:eastAsia="Arial" w:hAnsi="Arial"/>
                <w:sz w:val="14"/>
                <w:szCs w:val="14"/>
                <w:color w:val="auto"/>
              </w:rPr>
              <w:t>Perez-Ruiz et al., 2017, Clin Cancer Res</w:t>
            </w: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2200" w:type="dxa"/>
            <w:vAlign w:val="bottom"/>
          </w:tcPr>
          <w:p>
            <w:pPr>
              <w:ind w:left="60"/>
              <w:spacing w:after="0"/>
              <w:rPr>
                <w:sz w:val="20"/>
                <w:szCs w:val="20"/>
                <w:color w:val="auto"/>
              </w:rPr>
            </w:pPr>
            <w:r>
              <w:rPr>
                <w:rFonts w:ascii="Arial" w:cs="Arial" w:eastAsia="Arial" w:hAnsi="Arial"/>
                <w:sz w:val="14"/>
                <w:szCs w:val="14"/>
                <w:color w:val="auto"/>
              </w:rPr>
              <w:t>Wei et al., 2014, Oncoimmunol</w:t>
            </w:r>
          </w:p>
        </w:tc>
      </w:tr>
      <w:tr>
        <w:trPr>
          <w:trHeight w:val="206"/>
        </w:trPr>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3</w:t>
            </w:r>
          </w:p>
        </w:tc>
        <w:tc>
          <w:tcPr>
            <w:tcW w:w="3620" w:type="dxa"/>
            <w:vAlign w:val="bottom"/>
          </w:tcPr>
          <w:p>
            <w:pPr>
              <w:ind w:left="100"/>
              <w:spacing w:after="0"/>
              <w:rPr>
                <w:sz w:val="20"/>
                <w:szCs w:val="20"/>
                <w:color w:val="auto"/>
              </w:rPr>
            </w:pPr>
            <w:r>
              <w:rPr>
                <w:rFonts w:ascii="Arial" w:cs="Arial" w:eastAsia="Arial" w:hAnsi="Arial"/>
                <w:sz w:val="14"/>
                <w:szCs w:val="14"/>
                <w:color w:val="auto"/>
              </w:rPr>
              <w:t>Bartkowiak et al., 2015, Front Oncol</w:t>
            </w: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2200" w:type="dxa"/>
            <w:vAlign w:val="bottom"/>
          </w:tcPr>
          <w:p>
            <w:pPr>
              <w:ind w:left="60"/>
              <w:spacing w:after="0"/>
              <w:rPr>
                <w:sz w:val="20"/>
                <w:szCs w:val="20"/>
                <w:color w:val="auto"/>
              </w:rPr>
            </w:pPr>
            <w:r>
              <w:rPr>
                <w:rFonts w:ascii="Arial" w:cs="Arial" w:eastAsia="Arial" w:hAnsi="Arial"/>
                <w:sz w:val="14"/>
                <w:szCs w:val="14"/>
                <w:color w:val="auto"/>
              </w:rPr>
              <w:t>Labrijn et al., 2013, PNAS</w:t>
            </w:r>
          </w:p>
        </w:tc>
      </w:tr>
      <w:tr>
        <w:trPr>
          <w:trHeight w:val="193"/>
        </w:trPr>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4</w:t>
            </w:r>
          </w:p>
        </w:tc>
        <w:tc>
          <w:tcPr>
            <w:tcW w:w="3620" w:type="dxa"/>
            <w:vAlign w:val="bottom"/>
          </w:tcPr>
          <w:p>
            <w:pPr>
              <w:ind w:left="100"/>
              <w:spacing w:after="0"/>
              <w:rPr>
                <w:sz w:val="20"/>
                <w:szCs w:val="20"/>
                <w:color w:val="auto"/>
              </w:rPr>
            </w:pPr>
            <w:r>
              <w:rPr>
                <w:rFonts w:ascii="Arial" w:cs="Arial" w:eastAsia="Arial" w:hAnsi="Arial"/>
                <w:sz w:val="14"/>
                <w:szCs w:val="14"/>
                <w:color w:val="auto"/>
              </w:rPr>
              <w:t>Segal et al., 2017, Clin Cancer Res</w:t>
            </w: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2200" w:type="dxa"/>
            <w:vAlign w:val="bottom"/>
          </w:tcPr>
          <w:p>
            <w:pPr>
              <w:ind w:left="60"/>
              <w:spacing w:after="0"/>
              <w:rPr>
                <w:sz w:val="20"/>
                <w:szCs w:val="20"/>
                <w:color w:val="auto"/>
              </w:rPr>
            </w:pPr>
            <w:r>
              <w:rPr>
                <w:rFonts w:ascii="Arial" w:cs="Arial" w:eastAsia="Arial" w:hAnsi="Arial"/>
                <w:sz w:val="14"/>
                <w:szCs w:val="14"/>
                <w:color w:val="auto"/>
              </w:rPr>
              <w:t>Labrijn et al., 2014, Nat Protoc</w:t>
            </w:r>
          </w:p>
        </w:tc>
      </w:tr>
    </w:tbl>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4"/>
          <w:szCs w:val="14"/>
          <w:i w:val="1"/>
          <w:iCs w:val="1"/>
          <w:color w:val="auto"/>
        </w:rPr>
        <w:t>Society for Immunotherapy of Cancer (SITC); 11-14 November, 2020; Poster # 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-94615</wp:posOffset>
            </wp:positionV>
            <wp:extent cx="7138670" cy="97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97790"/>
                    </a:xfrm>
                    <a:prstGeom prst="rect">
                      <a:avLst/>
                    </a:prstGeom>
                    <a:noFill/>
                  </pic:spPr>
                </pic:pic>
              </a:graphicData>
            </a:graphic>
          </wp:anchor>
        </w:drawing>
      </w:r>
    </w:p>
    <w:p>
      <w:pPr>
        <w:sectPr>
          <w:pgSz w:w="11900" w:h="16838" w:orient="portrait"/>
          <w:cols w:equalWidth="0" w:num="1">
            <w:col w:w="11002"/>
          </w:cols>
          <w:pgMar w:left="438" w:top="232" w:right="459" w:bottom="1440" w:gutter="0" w:footer="0" w:header="0"/>
        </w:sectPr>
      </w:pPr>
    </w:p>
    <w:bookmarkStart w:id="14" w:name="page15"/>
    <w:bookmarkEnd w:id="14"/>
    <w:p>
      <w:pPr>
        <w:ind w:right="1720"/>
        <w:spacing w:after="0" w:line="219" w:lineRule="auto"/>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1704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704975"/>
                    </a:xfrm>
                    <a:prstGeom prst="rect">
                      <a:avLst/>
                    </a:prstGeom>
                    <a:noFill/>
                  </pic:spPr>
                </pic:pic>
              </a:graphicData>
            </a:graphic>
          </wp:anchor>
        </w:drawing>
        <w:t>First-in-human, phase I/IIa trial to evaluate the safety and initial clinical activity of DuoBody</w:t>
      </w:r>
      <w:r>
        <w:rPr>
          <w:rFonts w:ascii="Arial" w:cs="Arial" w:eastAsia="Arial" w:hAnsi="Arial"/>
          <w:sz w:val="40"/>
          <w:szCs w:val="40"/>
          <w:b w:val="1"/>
          <w:bCs w:val="1"/>
          <w:color w:val="FFFFFF"/>
          <w:vertAlign w:val="superscript"/>
        </w:rPr>
        <w:t>®</w:t>
      </w:r>
      <w:r>
        <w:rPr>
          <w:rFonts w:ascii="Arial" w:cs="Arial" w:eastAsia="Arial" w:hAnsi="Arial"/>
          <w:sz w:val="24"/>
          <w:szCs w:val="24"/>
          <w:b w:val="1"/>
          <w:bCs w:val="1"/>
          <w:color w:val="FFFFFF"/>
        </w:rPr>
        <w:t>-PD-L1×4-1BB (GEN1046) in patients with advanced solid tumors</w:t>
      </w:r>
    </w:p>
    <w:p>
      <w:pPr>
        <w:spacing w:after="0" w:line="3" w:lineRule="exact"/>
        <w:rPr>
          <w:sz w:val="20"/>
          <w:szCs w:val="20"/>
          <w:color w:val="auto"/>
        </w:rPr>
      </w:pPr>
    </w:p>
    <w:p>
      <w:pPr>
        <w:ind w:right="1720"/>
        <w:spacing w:after="0" w:line="265" w:lineRule="auto"/>
        <w:rPr>
          <w:sz w:val="20"/>
          <w:szCs w:val="20"/>
          <w:color w:val="auto"/>
        </w:rPr>
      </w:pPr>
      <w:r>
        <w:rPr>
          <w:rFonts w:ascii="Arial" w:cs="Arial" w:eastAsia="Arial" w:hAnsi="Arial"/>
          <w:sz w:val="17"/>
          <w:szCs w:val="17"/>
          <w:color w:val="FFFFFF"/>
        </w:rPr>
        <w:t>Elena Garralda</w:t>
      </w:r>
      <w:r>
        <w:rPr>
          <w:rFonts w:ascii="Arial" w:cs="Arial" w:eastAsia="Arial" w:hAnsi="Arial"/>
          <w:sz w:val="9"/>
          <w:szCs w:val="9"/>
          <w:color w:val="FFFFFF"/>
        </w:rPr>
        <w:t>1</w:t>
      </w:r>
      <w:r>
        <w:rPr>
          <w:rFonts w:ascii="Arial" w:cs="Arial" w:eastAsia="Arial" w:hAnsi="Arial"/>
          <w:sz w:val="17"/>
          <w:szCs w:val="17"/>
          <w:color w:val="FFFFFF"/>
        </w:rPr>
        <w:t>, Ravit Geva</w:t>
      </w:r>
      <w:r>
        <w:rPr>
          <w:rFonts w:ascii="Arial" w:cs="Arial" w:eastAsia="Arial" w:hAnsi="Arial"/>
          <w:sz w:val="9"/>
          <w:szCs w:val="9"/>
          <w:color w:val="FFFFFF"/>
        </w:rPr>
        <w:t>2</w:t>
      </w:r>
      <w:r>
        <w:rPr>
          <w:rFonts w:ascii="Arial" w:cs="Arial" w:eastAsia="Arial" w:hAnsi="Arial"/>
          <w:sz w:val="17"/>
          <w:szCs w:val="17"/>
          <w:color w:val="FFFFFF"/>
        </w:rPr>
        <w:t>, Eytan Ben-Ami</w:t>
      </w:r>
      <w:r>
        <w:rPr>
          <w:rFonts w:ascii="Arial" w:cs="Arial" w:eastAsia="Arial" w:hAnsi="Arial"/>
          <w:sz w:val="9"/>
          <w:szCs w:val="9"/>
          <w:color w:val="FFFFFF"/>
        </w:rPr>
        <w:t>3</w:t>
      </w:r>
      <w:r>
        <w:rPr>
          <w:rFonts w:ascii="Arial" w:cs="Arial" w:eastAsia="Arial" w:hAnsi="Arial"/>
          <w:sz w:val="17"/>
          <w:szCs w:val="17"/>
          <w:color w:val="FFFFFF"/>
        </w:rPr>
        <w:t>, Corinne Maurice-Dror</w:t>
      </w:r>
      <w:r>
        <w:rPr>
          <w:rFonts w:ascii="Arial" w:cs="Arial" w:eastAsia="Arial" w:hAnsi="Arial"/>
          <w:sz w:val="9"/>
          <w:szCs w:val="9"/>
          <w:color w:val="FFFFFF"/>
        </w:rPr>
        <w:t>4</w:t>
      </w:r>
      <w:r>
        <w:rPr>
          <w:rFonts w:ascii="Arial" w:cs="Arial" w:eastAsia="Arial" w:hAnsi="Arial"/>
          <w:sz w:val="17"/>
          <w:szCs w:val="17"/>
          <w:color w:val="FFFFFF"/>
        </w:rPr>
        <w:t>, Emiliano Calvo</w:t>
      </w:r>
      <w:r>
        <w:rPr>
          <w:rFonts w:ascii="Arial" w:cs="Arial" w:eastAsia="Arial" w:hAnsi="Arial"/>
          <w:sz w:val="9"/>
          <w:szCs w:val="9"/>
          <w:color w:val="FFFFFF"/>
        </w:rPr>
        <w:t>5</w:t>
      </w:r>
      <w:r>
        <w:rPr>
          <w:rFonts w:ascii="Arial" w:cs="Arial" w:eastAsia="Arial" w:hAnsi="Arial"/>
          <w:sz w:val="17"/>
          <w:szCs w:val="17"/>
          <w:color w:val="FFFFFF"/>
        </w:rPr>
        <w:t>, Patricia LoRusso</w:t>
      </w:r>
      <w:r>
        <w:rPr>
          <w:rFonts w:ascii="Arial" w:cs="Arial" w:eastAsia="Arial" w:hAnsi="Arial"/>
          <w:sz w:val="9"/>
          <w:szCs w:val="9"/>
          <w:color w:val="FFFFFF"/>
        </w:rPr>
        <w:t>6</w:t>
      </w:r>
      <w:r>
        <w:rPr>
          <w:rFonts w:ascii="Arial" w:cs="Arial" w:eastAsia="Arial" w:hAnsi="Arial"/>
          <w:sz w:val="17"/>
          <w:szCs w:val="17"/>
          <w:color w:val="FFFFFF"/>
        </w:rPr>
        <w:t>, Özlem Türeci</w:t>
      </w:r>
      <w:r>
        <w:rPr>
          <w:rFonts w:ascii="Arial" w:cs="Arial" w:eastAsia="Arial" w:hAnsi="Arial"/>
          <w:sz w:val="9"/>
          <w:szCs w:val="9"/>
          <w:color w:val="FFFFFF"/>
        </w:rPr>
        <w:t>7</w:t>
      </w:r>
      <w:r>
        <w:rPr>
          <w:rFonts w:ascii="Arial" w:cs="Arial" w:eastAsia="Arial" w:hAnsi="Arial"/>
          <w:sz w:val="17"/>
          <w:szCs w:val="17"/>
          <w:color w:val="FFFFFF"/>
        </w:rPr>
        <w:t>, Michelle Niewood</w:t>
      </w:r>
      <w:r>
        <w:rPr>
          <w:rFonts w:ascii="Arial" w:cs="Arial" w:eastAsia="Arial" w:hAnsi="Arial"/>
          <w:sz w:val="9"/>
          <w:szCs w:val="9"/>
          <w:color w:val="FFFFFF"/>
        </w:rPr>
        <w:t>8</w:t>
      </w:r>
      <w:r>
        <w:rPr>
          <w:rFonts w:ascii="Arial" w:cs="Arial" w:eastAsia="Arial" w:hAnsi="Arial"/>
          <w:sz w:val="17"/>
          <w:szCs w:val="17"/>
          <w:color w:val="FFFFFF"/>
        </w:rPr>
        <w:t>, Uğur Şahin</w:t>
      </w:r>
      <w:r>
        <w:rPr>
          <w:rFonts w:ascii="Arial" w:cs="Arial" w:eastAsia="Arial" w:hAnsi="Arial"/>
          <w:sz w:val="9"/>
          <w:szCs w:val="9"/>
          <w:color w:val="FFFFFF"/>
        </w:rPr>
        <w:t>7</w:t>
      </w:r>
      <w:r>
        <w:rPr>
          <w:rFonts w:ascii="Arial" w:cs="Arial" w:eastAsia="Arial" w:hAnsi="Arial"/>
          <w:sz w:val="17"/>
          <w:szCs w:val="17"/>
          <w:color w:val="FFFFFF"/>
        </w:rPr>
        <w:t>, Maria Jure-Kunkel</w:t>
      </w:r>
      <w:r>
        <w:rPr>
          <w:rFonts w:ascii="Arial" w:cs="Arial" w:eastAsia="Arial" w:hAnsi="Arial"/>
          <w:sz w:val="9"/>
          <w:szCs w:val="9"/>
          <w:color w:val="FFFFFF"/>
        </w:rPr>
        <w:t>8</w:t>
      </w:r>
      <w:r>
        <w:rPr>
          <w:rFonts w:ascii="Arial" w:cs="Arial" w:eastAsia="Arial" w:hAnsi="Arial"/>
          <w:sz w:val="17"/>
          <w:szCs w:val="17"/>
          <w:color w:val="FFFFFF"/>
        </w:rPr>
        <w:t>, Ulf Forssmann</w:t>
      </w:r>
      <w:r>
        <w:rPr>
          <w:rFonts w:ascii="Arial" w:cs="Arial" w:eastAsia="Arial" w:hAnsi="Arial"/>
          <w:sz w:val="9"/>
          <w:szCs w:val="9"/>
          <w:color w:val="FFFFFF"/>
        </w:rPr>
        <w:t>9</w:t>
      </w:r>
      <w:r>
        <w:rPr>
          <w:rFonts w:ascii="Arial" w:cs="Arial" w:eastAsia="Arial" w:hAnsi="Arial"/>
          <w:sz w:val="17"/>
          <w:szCs w:val="17"/>
          <w:color w:val="FFFFFF"/>
        </w:rPr>
        <w:t>, Tahamtan Ahmadi</w:t>
      </w:r>
      <w:r>
        <w:rPr>
          <w:rFonts w:ascii="Arial" w:cs="Arial" w:eastAsia="Arial" w:hAnsi="Arial"/>
          <w:sz w:val="9"/>
          <w:szCs w:val="9"/>
          <w:color w:val="FFFFFF"/>
        </w:rPr>
        <w:t>8</w:t>
      </w:r>
      <w:r>
        <w:rPr>
          <w:rFonts w:ascii="Arial" w:cs="Arial" w:eastAsia="Arial" w:hAnsi="Arial"/>
          <w:sz w:val="17"/>
          <w:szCs w:val="17"/>
          <w:color w:val="FFFFFF"/>
        </w:rPr>
        <w:t xml:space="preserve">, </w:t>
      </w:r>
      <w:r>
        <w:rPr>
          <w:rFonts w:ascii="Arial" w:cs="Arial" w:eastAsia="Arial" w:hAnsi="Arial"/>
          <w:sz w:val="17"/>
          <w:szCs w:val="17"/>
          <w:b w:val="1"/>
          <w:bCs w:val="1"/>
          <w:color w:val="FFFFFF"/>
        </w:rPr>
        <w:t>Ignacio Melero</w:t>
      </w:r>
      <w:r>
        <w:rPr>
          <w:rFonts w:ascii="Arial" w:cs="Arial" w:eastAsia="Arial" w:hAnsi="Arial"/>
          <w:sz w:val="9"/>
          <w:szCs w:val="9"/>
          <w:color w:val="FFFFFF"/>
        </w:rPr>
        <w:t>10</w:t>
      </w:r>
    </w:p>
    <w:p>
      <w:pPr>
        <w:spacing w:after="0" w:line="9" w:lineRule="exact"/>
        <w:rPr>
          <w:sz w:val="20"/>
          <w:szCs w:val="20"/>
          <w:color w:val="auto"/>
        </w:rPr>
      </w:pPr>
    </w:p>
    <w:p>
      <w:pPr>
        <w:spacing w:after="0"/>
        <w:rPr>
          <w:sz w:val="20"/>
          <w:szCs w:val="20"/>
          <w:color w:val="auto"/>
        </w:rPr>
      </w:pPr>
      <w:r>
        <w:rPr>
          <w:rFonts w:ascii="Arial" w:cs="Arial" w:eastAsia="Arial" w:hAnsi="Arial"/>
          <w:sz w:val="9"/>
          <w:szCs w:val="9"/>
          <w:color w:val="FFFFFF"/>
        </w:rPr>
        <w:t>1</w:t>
      </w:r>
      <w:r>
        <w:rPr>
          <w:rFonts w:ascii="Arial" w:cs="Arial" w:eastAsia="Arial" w:hAnsi="Arial"/>
          <w:sz w:val="17"/>
          <w:szCs w:val="17"/>
          <w:color w:val="FFFFFF"/>
        </w:rPr>
        <w:t>Medical Oncology Department, Vall d’Hebron University Hospital and Institute of Oncology (VHIO), Barcelona, Spain;</w:t>
      </w:r>
    </w:p>
    <w:p>
      <w:pPr>
        <w:spacing w:after="0" w:line="19" w:lineRule="exact"/>
        <w:rPr>
          <w:sz w:val="20"/>
          <w:szCs w:val="20"/>
          <w:color w:val="auto"/>
        </w:rPr>
      </w:pPr>
    </w:p>
    <w:p>
      <w:pPr>
        <w:ind w:right="1680"/>
        <w:spacing w:after="0"/>
        <w:rPr>
          <w:sz w:val="20"/>
          <w:szCs w:val="20"/>
          <w:color w:val="auto"/>
        </w:rPr>
      </w:pPr>
      <w:r>
        <w:rPr>
          <w:rFonts w:ascii="Arial" w:cs="Arial" w:eastAsia="Arial" w:hAnsi="Arial"/>
          <w:sz w:val="9"/>
          <w:szCs w:val="9"/>
          <w:color w:val="FFFFFF"/>
        </w:rPr>
        <w:t>2</w:t>
      </w:r>
      <w:r>
        <w:rPr>
          <w:rFonts w:ascii="Arial" w:cs="Arial" w:eastAsia="Arial" w:hAnsi="Arial"/>
          <w:sz w:val="17"/>
          <w:szCs w:val="17"/>
          <w:color w:val="FFFFFF"/>
        </w:rPr>
        <w:t>Oncology Division, Tel-Aviv Sourasky Medical Center, Tel Aviv, Israel;</w:t>
      </w:r>
      <w:r>
        <w:rPr>
          <w:rFonts w:ascii="Arial" w:cs="Arial" w:eastAsia="Arial" w:hAnsi="Arial"/>
          <w:sz w:val="9"/>
          <w:szCs w:val="9"/>
          <w:color w:val="FFFFFF"/>
        </w:rPr>
        <w:t xml:space="preserve"> 3</w:t>
      </w:r>
      <w:r>
        <w:rPr>
          <w:rFonts w:ascii="Arial" w:cs="Arial" w:eastAsia="Arial" w:hAnsi="Arial"/>
          <w:sz w:val="17"/>
          <w:szCs w:val="17"/>
          <w:color w:val="FFFFFF"/>
        </w:rPr>
        <w:t>Department of Oncology, Chaim Sheba Medical</w:t>
      </w:r>
      <w:r>
        <w:rPr>
          <w:rFonts w:ascii="Arial" w:cs="Arial" w:eastAsia="Arial" w:hAnsi="Arial"/>
          <w:sz w:val="9"/>
          <w:szCs w:val="9"/>
          <w:color w:val="FFFFFF"/>
        </w:rPr>
        <w:t xml:space="preserve"> </w:t>
      </w:r>
      <w:r>
        <w:rPr>
          <w:rFonts w:ascii="Arial" w:cs="Arial" w:eastAsia="Arial" w:hAnsi="Arial"/>
          <w:sz w:val="17"/>
          <w:szCs w:val="17"/>
          <w:color w:val="FFFFFF"/>
        </w:rPr>
        <w:t xml:space="preserve">Center, Ramat Gan, Israel; </w:t>
      </w:r>
      <w:r>
        <w:rPr>
          <w:rFonts w:ascii="Arial" w:cs="Arial" w:eastAsia="Arial" w:hAnsi="Arial"/>
          <w:sz w:val="9"/>
          <w:szCs w:val="9"/>
          <w:color w:val="FFFFFF"/>
        </w:rPr>
        <w:t>4</w:t>
      </w:r>
      <w:r>
        <w:rPr>
          <w:rFonts w:ascii="Arial" w:cs="Arial" w:eastAsia="Arial" w:hAnsi="Arial"/>
          <w:sz w:val="17"/>
          <w:szCs w:val="17"/>
          <w:color w:val="FFFFFF"/>
        </w:rPr>
        <w:t xml:space="preserve">Institute of Oncology, Rambam Health Care Campus, Haifa, Israel; </w:t>
      </w:r>
      <w:r>
        <w:rPr>
          <w:rFonts w:ascii="Arial" w:cs="Arial" w:eastAsia="Arial" w:hAnsi="Arial"/>
          <w:sz w:val="9"/>
          <w:szCs w:val="9"/>
          <w:color w:val="FFFFFF"/>
        </w:rPr>
        <w:t>5</w:t>
      </w:r>
      <w:r>
        <w:rPr>
          <w:rFonts w:ascii="Arial" w:cs="Arial" w:eastAsia="Arial" w:hAnsi="Arial"/>
          <w:sz w:val="17"/>
          <w:szCs w:val="17"/>
          <w:color w:val="FFFFFF"/>
        </w:rPr>
        <w:t xml:space="preserve">START Madrid-CIOCC, Centro Integral Oncológico Clara Campal, Madrid, Spain; </w:t>
      </w:r>
      <w:r>
        <w:rPr>
          <w:rFonts w:ascii="Arial" w:cs="Arial" w:eastAsia="Arial" w:hAnsi="Arial"/>
          <w:sz w:val="9"/>
          <w:szCs w:val="9"/>
          <w:color w:val="FFFFFF"/>
        </w:rPr>
        <w:t>6</w:t>
      </w:r>
      <w:r>
        <w:rPr>
          <w:rFonts w:ascii="Arial" w:cs="Arial" w:eastAsia="Arial" w:hAnsi="Arial"/>
          <w:sz w:val="17"/>
          <w:szCs w:val="17"/>
          <w:color w:val="FFFFFF"/>
        </w:rPr>
        <w:t xml:space="preserve">Yale Cancer Center, Yale University, New Haven, Connecticut, USA; </w:t>
      </w:r>
      <w:r>
        <w:rPr>
          <w:rFonts w:ascii="Arial" w:cs="Arial" w:eastAsia="Arial" w:hAnsi="Arial"/>
          <w:sz w:val="9"/>
          <w:szCs w:val="9"/>
          <w:color w:val="FFFFFF"/>
        </w:rPr>
        <w:t>7</w:t>
      </w:r>
      <w:r>
        <w:rPr>
          <w:rFonts w:ascii="Arial" w:cs="Arial" w:eastAsia="Arial" w:hAnsi="Arial"/>
          <w:sz w:val="17"/>
          <w:szCs w:val="17"/>
          <w:color w:val="FFFFFF"/>
        </w:rPr>
        <w:t xml:space="preserve">BioNTech SE, Mainz, Germany; </w:t>
      </w:r>
      <w:r>
        <w:rPr>
          <w:rFonts w:ascii="Arial" w:cs="Arial" w:eastAsia="Arial" w:hAnsi="Arial"/>
          <w:sz w:val="9"/>
          <w:szCs w:val="9"/>
          <w:color w:val="FFFFFF"/>
        </w:rPr>
        <w:t>8</w:t>
      </w:r>
      <w:r>
        <w:rPr>
          <w:rFonts w:ascii="Arial" w:cs="Arial" w:eastAsia="Arial" w:hAnsi="Arial"/>
          <w:sz w:val="17"/>
          <w:szCs w:val="17"/>
          <w:color w:val="FFFFFF"/>
        </w:rPr>
        <w:t xml:space="preserve">Genmab A/S, Princeton, New Jersey, USA; </w:t>
      </w:r>
      <w:r>
        <w:rPr>
          <w:rFonts w:ascii="Arial" w:cs="Arial" w:eastAsia="Arial" w:hAnsi="Arial"/>
          <w:sz w:val="9"/>
          <w:szCs w:val="9"/>
          <w:color w:val="FFFFFF"/>
        </w:rPr>
        <w:t>9</w:t>
      </w:r>
      <w:r>
        <w:rPr>
          <w:rFonts w:ascii="Arial" w:cs="Arial" w:eastAsia="Arial" w:hAnsi="Arial"/>
          <w:sz w:val="17"/>
          <w:szCs w:val="17"/>
          <w:color w:val="FFFFFF"/>
        </w:rPr>
        <w:t xml:space="preserve">Genmab A/S, Copenhagen, Denmark; </w:t>
      </w:r>
      <w:r>
        <w:rPr>
          <w:rFonts w:ascii="Arial" w:cs="Arial" w:eastAsia="Arial" w:hAnsi="Arial"/>
          <w:sz w:val="9"/>
          <w:szCs w:val="9"/>
          <w:color w:val="FFFFFF"/>
        </w:rPr>
        <w:t>10</w:t>
      </w:r>
      <w:r>
        <w:rPr>
          <w:rFonts w:ascii="Arial" w:cs="Arial" w:eastAsia="Arial" w:hAnsi="Arial"/>
          <w:sz w:val="17"/>
          <w:szCs w:val="17"/>
          <w:color w:val="FFFFFF"/>
        </w:rPr>
        <w:t>Department of Immunology, Clinica Universidad de Navarra, Pamplona,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136525</wp:posOffset>
            </wp:positionV>
            <wp:extent cx="7143750" cy="8739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8739505"/>
                    </a:xfrm>
                    <a:prstGeom prst="rect">
                      <a:avLst/>
                    </a:prstGeom>
                    <a:noFill/>
                  </pic:spPr>
                </pic:pic>
              </a:graphicData>
            </a:graphic>
          </wp:anchor>
        </w:drawing>
      </w:r>
    </w:p>
    <w:p>
      <w:pPr>
        <w:spacing w:after="0" w:line="31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NTRODUCTION</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PD-(L)1 AND 4-1BB AS TARGETS</w:t>
      </w:r>
    </w:p>
    <w:p>
      <w:pPr>
        <w:spacing w:after="0" w:line="76" w:lineRule="exact"/>
        <w:rPr>
          <w:sz w:val="20"/>
          <w:szCs w:val="20"/>
          <w:color w:val="auto"/>
        </w:rPr>
      </w:pPr>
    </w:p>
    <w:p>
      <w:pPr>
        <w:ind w:left="360" w:right="80" w:hanging="322"/>
        <w:spacing w:after="0" w:line="279" w:lineRule="auto"/>
        <w:tabs>
          <w:tab w:leader="none" w:pos="36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PD-(L)1 inhibition has changed the treatment paradigm for patients with advanced solid tumors.</w:t>
      </w:r>
      <w:r>
        <w:rPr>
          <w:rFonts w:ascii="Arial" w:cs="Arial" w:eastAsia="Arial" w:hAnsi="Arial"/>
          <w:sz w:val="14"/>
          <w:szCs w:val="14"/>
          <w:color w:val="auto"/>
        </w:rPr>
        <w:t>1-3</w:t>
      </w:r>
      <w:r>
        <w:rPr>
          <w:rFonts w:ascii="Arial" w:cs="Arial" w:eastAsia="Arial" w:hAnsi="Arial"/>
          <w:sz w:val="17"/>
          <w:szCs w:val="17"/>
          <w:color w:val="auto"/>
        </w:rPr>
        <w:t xml:space="preserve"> However, not all patients respond to this approach, and not all responders continue to experience long-term benefit.</w:t>
      </w:r>
      <w:r>
        <w:rPr>
          <w:rFonts w:ascii="Arial" w:cs="Arial" w:eastAsia="Arial" w:hAnsi="Arial"/>
          <w:sz w:val="14"/>
          <w:szCs w:val="14"/>
          <w:color w:val="auto"/>
        </w:rPr>
        <w:t>1</w:t>
      </w:r>
    </w:p>
    <w:p>
      <w:pPr>
        <w:spacing w:after="0" w:line="7" w:lineRule="exact"/>
        <w:rPr>
          <w:rFonts w:ascii="Times New Roman" w:cs="Times New Roman" w:eastAsia="Times New Roman" w:hAnsi="Times New Roman"/>
          <w:sz w:val="17"/>
          <w:szCs w:val="17"/>
          <w:color w:val="auto"/>
        </w:rPr>
      </w:pPr>
    </w:p>
    <w:p>
      <w:pPr>
        <w:ind w:left="360" w:hanging="322"/>
        <w:spacing w:after="0"/>
        <w:tabs>
          <w:tab w:leader="none" w:pos="36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4-1BB is a co-stimulatory receptor expressed on activated, antigen-experienced T cells and activated natural killer (NK) cells.</w:t>
      </w:r>
      <w:r>
        <w:rPr>
          <w:rFonts w:ascii="Arial" w:cs="Arial" w:eastAsia="Arial" w:hAnsi="Arial"/>
          <w:sz w:val="14"/>
          <w:szCs w:val="14"/>
          <w:color w:val="auto"/>
        </w:rPr>
        <w:t>4</w:t>
      </w:r>
    </w:p>
    <w:p>
      <w:pPr>
        <w:spacing w:after="0" w:line="86" w:lineRule="exact"/>
        <w:rPr>
          <w:rFonts w:ascii="Times New Roman" w:cs="Times New Roman" w:eastAsia="Times New Roman" w:hAnsi="Times New Roman"/>
          <w:sz w:val="17"/>
          <w:szCs w:val="17"/>
          <w:color w:val="auto"/>
        </w:rPr>
      </w:pPr>
    </w:p>
    <w:p>
      <w:pPr>
        <w:ind w:left="700" w:right="120" w:hanging="334"/>
        <w:spacing w:after="0" w:line="280" w:lineRule="auto"/>
        <w:rPr>
          <w:rFonts w:ascii="Times New Roman" w:cs="Times New Roman" w:eastAsia="Times New Roman" w:hAnsi="Times New Roman"/>
          <w:sz w:val="17"/>
          <w:szCs w:val="17"/>
          <w:color w:val="auto"/>
        </w:rPr>
      </w:pPr>
      <w:r>
        <w:rPr>
          <w:rFonts w:ascii="Arial" w:cs="Arial" w:eastAsia="Arial" w:hAnsi="Arial"/>
          <w:sz w:val="17"/>
          <w:szCs w:val="17"/>
          <w:color w:val="auto"/>
        </w:rPr>
        <w:t>– In preclinical studies, co-stimulation with 4-1BB monoclonal agonists was shown to activate cytotoxic T-cell and NK-cell mediated anti-tumor response.</w:t>
      </w:r>
      <w:r>
        <w:rPr>
          <w:rFonts w:ascii="Arial" w:cs="Arial" w:eastAsia="Arial" w:hAnsi="Arial"/>
          <w:sz w:val="14"/>
          <w:szCs w:val="14"/>
          <w:color w:val="auto"/>
        </w:rPr>
        <w:t>5-7</w:t>
      </w:r>
    </w:p>
    <w:p>
      <w:pPr>
        <w:spacing w:after="0" w:line="6"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Clinical development of 4-1BB agonists has been hampered by severe liver toxicity and lack of monotherapy efficacy.</w:t>
      </w:r>
      <w:r>
        <w:rPr>
          <w:rFonts w:ascii="Arial" w:cs="Arial" w:eastAsia="Arial" w:hAnsi="Arial"/>
          <w:sz w:val="14"/>
          <w:szCs w:val="14"/>
          <w:color w:val="auto"/>
        </w:rPr>
        <w:t>8,9</w:t>
      </w:r>
    </w:p>
    <w:p>
      <w:pPr>
        <w:spacing w:after="0" w:line="74" w:lineRule="exact"/>
        <w:rPr>
          <w:rFonts w:ascii="Times New Roman" w:cs="Times New Roman" w:eastAsia="Times New Roman" w:hAnsi="Times New Roman"/>
          <w:sz w:val="17"/>
          <w:szCs w:val="17"/>
          <w:color w:val="auto"/>
        </w:rPr>
      </w:pPr>
    </w:p>
    <w:p>
      <w:pPr>
        <w:ind w:left="700" w:hanging="334"/>
        <w:spacing w:after="0" w:line="280" w:lineRule="auto"/>
        <w:rPr>
          <w:rFonts w:ascii="Times New Roman" w:cs="Times New Roman" w:eastAsia="Times New Roman" w:hAnsi="Times New Roman"/>
          <w:sz w:val="17"/>
          <w:szCs w:val="17"/>
          <w:color w:val="auto"/>
        </w:rPr>
      </w:pPr>
      <w:r>
        <w:rPr>
          <w:rFonts w:ascii="Arial" w:cs="Arial" w:eastAsia="Arial" w:hAnsi="Arial"/>
          <w:sz w:val="17"/>
          <w:szCs w:val="17"/>
          <w:color w:val="auto"/>
        </w:rPr>
        <w:t>– The combination of PD-(L)1 blockade and 4-1BB agonists was associated with enhanced T-cell effector function and anti-tumor efficacy in preclinical mouse models.</w:t>
      </w:r>
      <w:r>
        <w:rPr>
          <w:rFonts w:ascii="Arial" w:cs="Arial" w:eastAsia="Arial" w:hAnsi="Arial"/>
          <w:sz w:val="14"/>
          <w:szCs w:val="14"/>
          <w:color w:val="auto"/>
        </w:rPr>
        <w:t>10,11</w:t>
      </w:r>
    </w:p>
    <w:p>
      <w:pPr>
        <w:spacing w:after="0" w:line="6" w:lineRule="exact"/>
        <w:rPr>
          <w:rFonts w:ascii="Times New Roman" w:cs="Times New Roman" w:eastAsia="Times New Roman" w:hAnsi="Times New Roman"/>
          <w:sz w:val="17"/>
          <w:szCs w:val="17"/>
          <w:color w:val="auto"/>
        </w:rPr>
      </w:pPr>
    </w:p>
    <w:p>
      <w:pPr>
        <w:ind w:left="360" w:right="440" w:hanging="322"/>
        <w:spacing w:after="0" w:line="279" w:lineRule="auto"/>
        <w:tabs>
          <w:tab w:leader="none" w:pos="36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Targeting 4-1BB agonist activity may improve the efficacy of PD-(L)1 blockade through concurrent enhancement of T-cell function, and conditional activation may mitigate the potential for liver toxicity.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OA AND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RECLINICAL</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w:t>
      </w:r>
    </w:p>
    <w:p>
      <w:pPr>
        <w:spacing w:after="0" w:line="49" w:lineRule="exact"/>
        <w:rPr>
          <w:sz w:val="20"/>
          <w:szCs w:val="20"/>
          <w:color w:val="auto"/>
        </w:rPr>
      </w:pPr>
    </w:p>
    <w:p>
      <w:pPr>
        <w:ind w:left="360" w:hanging="322"/>
        <w:spacing w:after="0" w:line="277" w:lineRule="auto"/>
        <w:tabs>
          <w:tab w:leader="none" w:pos="3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GEN1046 is a first-in-class, next generation, checkpoint immunotherapy designed to enhance T-cell and NK cell function through conditional 4-1BB co-stimulation, while simultaneously blocking the PD-L1 axis (</w:t>
      </w:r>
      <w:r>
        <w:rPr>
          <w:rFonts w:ascii="Arial" w:cs="Arial" w:eastAsia="Arial" w:hAnsi="Arial"/>
          <w:sz w:val="17"/>
          <w:szCs w:val="17"/>
          <w:b w:val="1"/>
          <w:bCs w:val="1"/>
          <w:color w:val="auto"/>
        </w:rPr>
        <w:t>Figure 1A</w:t>
      </w:r>
      <w:r>
        <w:rPr>
          <w:rFonts w:ascii="Arial" w:cs="Arial" w:eastAsia="Arial" w:hAnsi="Arial"/>
          <w:sz w:val="17"/>
          <w:szCs w:val="17"/>
          <w:color w:val="auto"/>
        </w:rPr>
        <w:t>).</w:t>
      </w:r>
    </w:p>
    <w:p>
      <w:pPr>
        <w:spacing w:after="0" w:line="1" w:lineRule="exact"/>
        <w:rPr>
          <w:rFonts w:ascii="Times New Roman" w:cs="Times New Roman" w:eastAsia="Times New Roman" w:hAnsi="Times New Roman"/>
          <w:sz w:val="17"/>
          <w:szCs w:val="17"/>
          <w:color w:val="auto"/>
        </w:rPr>
      </w:pPr>
    </w:p>
    <w:p>
      <w:pPr>
        <w:ind w:left="360" w:right="20" w:hanging="322"/>
        <w:spacing w:after="0" w:line="279" w:lineRule="auto"/>
        <w:tabs>
          <w:tab w:leader="none" w:pos="3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GEN1046 is a full-length IgG1 bispecific antibody created via Fab-arm exchange using the DuoBody</w:t>
      </w:r>
      <w:r>
        <w:rPr>
          <w:rFonts w:ascii="Arial" w:cs="Arial" w:eastAsia="Arial" w:hAnsi="Arial"/>
          <w:sz w:val="14"/>
          <w:szCs w:val="14"/>
          <w:color w:val="auto"/>
        </w:rPr>
        <w:t>®</w:t>
      </w:r>
      <w:r>
        <w:rPr>
          <w:rFonts w:ascii="Arial" w:cs="Arial" w:eastAsia="Arial" w:hAnsi="Arial"/>
          <w:sz w:val="17"/>
          <w:szCs w:val="17"/>
          <w:color w:val="auto"/>
        </w:rPr>
        <w:t xml:space="preserve"> technology platform, which generates stable antibodies that retain native IgG structure and pharmacokinetics.</w:t>
      </w:r>
      <w:r>
        <w:rPr>
          <w:rFonts w:ascii="Arial" w:cs="Arial" w:eastAsia="Arial" w:hAnsi="Arial"/>
          <w:sz w:val="14"/>
          <w:szCs w:val="14"/>
          <w:color w:val="auto"/>
        </w:rPr>
        <w:t>12,13</w:t>
      </w:r>
    </w:p>
    <w:p>
      <w:pPr>
        <w:spacing w:after="0" w:line="7"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Effector-silenced Fc-region ensures 4-1BB signaling is strictly dependent on simultaneous binding of the PD-(L)1-binding arm.</w:t>
      </w:r>
    </w:p>
    <w:p>
      <w:pPr>
        <w:spacing w:after="0" w:line="74" w:lineRule="exact"/>
        <w:rPr>
          <w:rFonts w:ascii="Times New Roman" w:cs="Times New Roman" w:eastAsia="Times New Roman" w:hAnsi="Times New Roman"/>
          <w:sz w:val="17"/>
          <w:szCs w:val="17"/>
          <w:color w:val="auto"/>
        </w:rPr>
      </w:pPr>
    </w:p>
    <w:p>
      <w:pPr>
        <w:ind w:left="360" w:right="80" w:hanging="322"/>
        <w:spacing w:after="0" w:line="257" w:lineRule="auto"/>
        <w:tabs>
          <w:tab w:leader="none" w:pos="3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By combining checkpoint blockade with 4-1BB–dependent T-cell activation, GEN1046 enhances proliferation and cytokine production of activated T cells, activates immune cells in the tumor-draining lymph nodes, and induces tumor regression in vivo (</w:t>
      </w:r>
      <w:r>
        <w:rPr>
          <w:rFonts w:ascii="Arial" w:cs="Arial" w:eastAsia="Arial" w:hAnsi="Arial"/>
          <w:sz w:val="17"/>
          <w:szCs w:val="17"/>
          <w:b w:val="1"/>
          <w:bCs w:val="1"/>
          <w:color w:val="auto"/>
        </w:rPr>
        <w:t>Figure 1B</w:t>
      </w:r>
      <w:r>
        <w:rPr>
          <w:rFonts w:ascii="Arial" w:cs="Arial" w:eastAsia="Arial" w:hAnsi="Arial"/>
          <w:sz w:val="17"/>
          <w:szCs w:val="17"/>
          <w:color w:val="auto"/>
        </w:rPr>
        <w:t>) (see Muik A, et al. SITC 2020, Poster 561 for additional information).</w:t>
      </w:r>
      <w:r>
        <w:rPr>
          <w:rFonts w:ascii="Arial" w:cs="Arial" w:eastAsia="Arial" w:hAnsi="Arial"/>
          <w:sz w:val="14"/>
          <w:szCs w:val="14"/>
          <w:color w:val="auto"/>
        </w:rPr>
        <w:t>14</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Figure 1. GEN1046: IgG1 bispecific PD-L1×4-1BB antibody and mechanism of action</w:t>
      </w:r>
    </w:p>
    <w:p>
      <w:pPr>
        <w:sectPr>
          <w:pgSz w:w="11900" w:h="16838" w:orient="portrait"/>
          <w:cols w:equalWidth="0" w:num="1">
            <w:col w:w="10960"/>
          </w:cols>
          <w:pgMar w:left="400" w:top="415" w:right="5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7157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715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O</w:t>
      </w:r>
      <w:r>
        <w:rPr>
          <w:rFonts w:ascii="Arial" w:cs="Arial" w:eastAsia="Arial" w:hAnsi="Arial"/>
          <w:sz w:val="17"/>
          <w:szCs w:val="17"/>
          <w:b w:val="1"/>
          <w:bCs w:val="1"/>
          <w:color w:val="auto"/>
        </w:rPr>
        <w:t>BJECTIVES</w:t>
      </w:r>
    </w:p>
    <w:p>
      <w:pPr>
        <w:spacing w:after="0" w:line="78" w:lineRule="exact"/>
        <w:rPr>
          <w:sz w:val="20"/>
          <w:szCs w:val="20"/>
          <w:color w:val="auto"/>
        </w:rPr>
      </w:pPr>
    </w:p>
    <w:p>
      <w:pPr>
        <w:ind w:left="322" w:right="20" w:hanging="322"/>
        <w:spacing w:after="0" w:line="279" w:lineRule="auto"/>
        <w:tabs>
          <w:tab w:leader="none" w:pos="322"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The primary objectives of this trial include characterization of the safety and efficacy profile of GEN1046 and determination of the maximum tolerated dose (MTD).</w:t>
      </w:r>
    </w:p>
    <w:p>
      <w:pPr>
        <w:spacing w:after="0" w:line="7" w:lineRule="exact"/>
        <w:rPr>
          <w:rFonts w:ascii="Times New Roman" w:cs="Times New Roman" w:eastAsia="Times New Roman" w:hAnsi="Times New Roman"/>
          <w:sz w:val="17"/>
          <w:szCs w:val="17"/>
          <w:color w:val="auto"/>
        </w:rPr>
      </w:pPr>
    </w:p>
    <w:p>
      <w:pPr>
        <w:ind w:left="322" w:hanging="322"/>
        <w:spacing w:after="0" w:line="279" w:lineRule="auto"/>
        <w:tabs>
          <w:tab w:leader="none" w:pos="322"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Secondary objectives include the establishment of a pharmacokinetic profile and evaluation of the immunogenicity and anti-tumor activity of GEN1046.</w:t>
      </w:r>
    </w:p>
    <w:p>
      <w:pPr>
        <w:spacing w:after="0" w:line="7" w:lineRule="exact"/>
        <w:rPr>
          <w:rFonts w:ascii="Times New Roman" w:cs="Times New Roman" w:eastAsia="Times New Roman" w:hAnsi="Times New Roman"/>
          <w:sz w:val="17"/>
          <w:szCs w:val="17"/>
          <w:color w:val="auto"/>
        </w:rPr>
      </w:pPr>
    </w:p>
    <w:p>
      <w:pPr>
        <w:ind w:left="322" w:right="800" w:hanging="322"/>
        <w:spacing w:after="0" w:line="279" w:lineRule="auto"/>
        <w:tabs>
          <w:tab w:leader="none" w:pos="322"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Exploratory objectives include the assessment of pharmacodynamic endpoints and potential biomarkers of clinical response, and assessment of anti-tumor activity of GEN1046 based on immune Response Evaluation Criteria in Solid Tumors (iRECIST).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285750</wp:posOffset>
            </wp:positionV>
            <wp:extent cx="7143750" cy="1163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16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ETHODS</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RIAL</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ESIGN</w:t>
      </w:r>
    </w:p>
    <w:p>
      <w:pPr>
        <w:spacing w:after="0" w:line="74" w:lineRule="exact"/>
        <w:rPr>
          <w:sz w:val="20"/>
          <w:szCs w:val="20"/>
          <w:color w:val="auto"/>
        </w:rPr>
      </w:pPr>
    </w:p>
    <w:p>
      <w:pPr>
        <w:ind w:left="322" w:hanging="322"/>
        <w:spacing w:after="0"/>
        <w:tabs>
          <w:tab w:leader="none" w:pos="322"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This is a first-in-human, multicenter, open-label, phase I/IIa trial of GEN1046 in advanced solid tumors (NCT03917381) (</w:t>
      </w:r>
      <w:r>
        <w:rPr>
          <w:rFonts w:ascii="Arial" w:cs="Arial" w:eastAsia="Arial" w:hAnsi="Arial"/>
          <w:sz w:val="17"/>
          <w:szCs w:val="17"/>
          <w:b w:val="1"/>
          <w:bCs w:val="1"/>
          <w:color w:val="auto"/>
        </w:rPr>
        <w:t>Figure 2</w:t>
      </w:r>
      <w:r>
        <w:rPr>
          <w:rFonts w:ascii="Arial" w:cs="Arial" w:eastAsia="Arial" w:hAnsi="Arial"/>
          <w:sz w:val="17"/>
          <w:szCs w:val="17"/>
          <w:color w:val="auto"/>
        </w:rPr>
        <w:t>).</w:t>
      </w:r>
    </w:p>
    <w:p>
      <w:pPr>
        <w:spacing w:after="0" w:line="88" w:lineRule="exact"/>
        <w:rPr>
          <w:rFonts w:ascii="Times New Roman" w:cs="Times New Roman" w:eastAsia="Times New Roman" w:hAnsi="Times New Roman"/>
          <w:sz w:val="17"/>
          <w:szCs w:val="17"/>
          <w:color w:val="auto"/>
        </w:rPr>
      </w:pPr>
    </w:p>
    <w:p>
      <w:pPr>
        <w:ind w:left="322" w:hanging="322"/>
        <w:spacing w:after="0"/>
        <w:tabs>
          <w:tab w:leader="none" w:pos="322"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trial consists of two consecutive parts: dose escalation (phase I) and expansion (phase IIa).</w:t>
      </w:r>
    </w:p>
    <w:p>
      <w:pPr>
        <w:spacing w:after="0" w:line="86" w:lineRule="exact"/>
        <w:rPr>
          <w:rFonts w:ascii="Times New Roman" w:cs="Times New Roman" w:eastAsia="Times New Roman" w:hAnsi="Times New Roman"/>
          <w:sz w:val="17"/>
          <w:szCs w:val="17"/>
          <w:color w:val="auto"/>
        </w:rPr>
      </w:pPr>
    </w:p>
    <w:p>
      <w:pPr>
        <w:ind w:left="322" w:hanging="322"/>
        <w:spacing w:after="0"/>
        <w:tabs>
          <w:tab w:leader="none" w:pos="322"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dose-limiting toxicity (DLT) monitoring period was 21 days.</w:t>
      </w:r>
    </w:p>
    <w:p>
      <w:pPr>
        <w:sectPr>
          <w:pgSz w:w="11900" w:h="16838" w:orient="portrait"/>
          <w:cols w:equalWidth="0" w:num="1">
            <w:col w:w="10862"/>
          </w:cols>
          <w:pgMar w:left="438" w:top="1440" w:right="599" w:bottom="1440" w:gutter="0" w:footer="0" w:header="0"/>
        </w:sectPr>
      </w:pPr>
    </w:p>
    <w:bookmarkStart w:id="16" w:name="page17"/>
    <w:bookmarkEnd w:id="16"/>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3698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3698240"/>
                    </a:xfrm>
                    <a:prstGeom prst="rect">
                      <a:avLst/>
                    </a:prstGeom>
                    <a:noFill/>
                  </pic:spPr>
                </pic:pic>
              </a:graphicData>
            </a:graphic>
          </wp:anchor>
        </w:drawing>
      </w:r>
    </w:p>
    <w:p>
      <w:pPr>
        <w:ind w:left="2"/>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7"/>
          <w:szCs w:val="17"/>
          <w:b w:val="1"/>
          <w:bCs w:val="1"/>
          <w:color w:val="auto"/>
        </w:rPr>
        <w:t>REATMENT</w:t>
      </w:r>
    </w:p>
    <w:p>
      <w:pPr>
        <w:spacing w:after="0" w:line="78" w:lineRule="exact"/>
        <w:rPr>
          <w:sz w:val="20"/>
          <w:szCs w:val="20"/>
          <w:color w:val="auto"/>
        </w:rPr>
      </w:pPr>
    </w:p>
    <w:p>
      <w:pPr>
        <w:ind w:left="322" w:right="80" w:hanging="322"/>
        <w:spacing w:after="0" w:line="279" w:lineRule="auto"/>
        <w:tabs>
          <w:tab w:leader="none" w:pos="322"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Dose escalation started with an accelerated phase consisting of single-patient cohorts followed by larger cohorts that were informed by both the modified Continual Reassessment Method and the Escalation with Overdose Control design.</w:t>
      </w:r>
    </w:p>
    <w:p>
      <w:pPr>
        <w:spacing w:after="0" w:line="7" w:lineRule="exact"/>
        <w:rPr>
          <w:rFonts w:ascii="Times New Roman" w:cs="Times New Roman" w:eastAsia="Times New Roman" w:hAnsi="Times New Roman"/>
          <w:sz w:val="17"/>
          <w:szCs w:val="17"/>
          <w:color w:val="auto"/>
        </w:rPr>
      </w:pPr>
    </w:p>
    <w:p>
      <w:pPr>
        <w:ind w:left="322" w:right="200" w:hanging="322"/>
        <w:spacing w:after="0" w:line="274" w:lineRule="auto"/>
        <w:tabs>
          <w:tab w:leader="none" w:pos="322"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Efficacy was assessed by on-treatment computed tomography or magnetic resonance imaging at Week 6 (-7 days) and every 6 weeks (±7 days) thereafter until disease progression (unless the investigator elected to continue treatment and follow iRECIST).</w:t>
      </w:r>
    </w:p>
    <w:p>
      <w:pPr>
        <w:spacing w:after="0" w:line="1" w:lineRule="exact"/>
        <w:rPr>
          <w:sz w:val="20"/>
          <w:szCs w:val="20"/>
          <w:color w:val="auto"/>
        </w:rPr>
      </w:pPr>
    </w:p>
    <w:p>
      <w:pPr>
        <w:ind w:left="182"/>
        <w:spacing w:after="0"/>
        <w:rPr>
          <w:sz w:val="20"/>
          <w:szCs w:val="20"/>
          <w:color w:val="auto"/>
        </w:rPr>
      </w:pPr>
      <w:r>
        <w:rPr>
          <w:rFonts w:ascii="Arial" w:cs="Arial" w:eastAsia="Arial" w:hAnsi="Arial"/>
          <w:sz w:val="17"/>
          <w:szCs w:val="17"/>
          <w:b w:val="1"/>
          <w:bCs w:val="1"/>
          <w:color w:val="auto"/>
        </w:rPr>
        <w:t>Figure 2. Trial design (dose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2838450</wp:posOffset>
            </wp:positionV>
            <wp:extent cx="7135495" cy="6671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667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ESULTS</w:t>
      </w:r>
    </w:p>
    <w:p>
      <w:pPr>
        <w:spacing w:after="0" w:line="63" w:lineRule="exact"/>
        <w:rPr>
          <w:sz w:val="20"/>
          <w:szCs w:val="20"/>
          <w:color w:val="auto"/>
        </w:rPr>
      </w:pPr>
    </w:p>
    <w:p>
      <w:pPr>
        <w:ind w:left="22"/>
        <w:spacing w:after="0"/>
        <w:rPr>
          <w:sz w:val="20"/>
          <w:szCs w:val="20"/>
          <w:color w:val="auto"/>
        </w:rPr>
      </w:pPr>
      <w:r>
        <w:rPr>
          <w:rFonts w:ascii="Arial" w:cs="Arial" w:eastAsia="Arial" w:hAnsi="Arial"/>
          <w:sz w:val="17"/>
          <w:szCs w:val="17"/>
          <w:b w:val="1"/>
          <w:bCs w:val="1"/>
          <w:color w:val="auto"/>
        </w:rPr>
        <w:t>Patient characteristics and disposition</w:t>
      </w:r>
    </w:p>
    <w:p>
      <w:pPr>
        <w:spacing w:after="0" w:line="48" w:lineRule="exact"/>
        <w:rPr>
          <w:sz w:val="20"/>
          <w:szCs w:val="20"/>
          <w:color w:val="auto"/>
        </w:rPr>
      </w:pPr>
    </w:p>
    <w:p>
      <w:pPr>
        <w:ind w:left="342" w:hanging="329"/>
        <w:spacing w:after="0"/>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A total of 61 patients were enrolled in the dose escalation part of the trial </w:t>
      </w:r>
      <w:r>
        <w:rPr>
          <w:rFonts w:ascii="Arial" w:cs="Arial" w:eastAsia="Arial" w:hAnsi="Arial"/>
          <w:sz w:val="17"/>
          <w:szCs w:val="17"/>
          <w:b w:val="1"/>
          <w:bCs w:val="1"/>
          <w:color w:val="auto"/>
        </w:rPr>
        <w:t>(Table 1)</w:t>
      </w:r>
      <w:r>
        <w:rPr>
          <w:rFonts w:ascii="Arial" w:cs="Arial" w:eastAsia="Arial" w:hAnsi="Arial"/>
          <w:sz w:val="17"/>
          <w:szCs w:val="17"/>
          <w:color w:val="auto"/>
        </w:rPr>
        <w:t>.</w:t>
      </w:r>
    </w:p>
    <w:p>
      <w:pPr>
        <w:spacing w:after="0" w:line="38" w:lineRule="exact"/>
        <w:rPr>
          <w:rFonts w:ascii="Times New Roman" w:cs="Times New Roman" w:eastAsia="Times New Roman" w:hAnsi="Times New Roman"/>
          <w:sz w:val="17"/>
          <w:szCs w:val="17"/>
          <w:color w:val="auto"/>
        </w:rPr>
      </w:pPr>
    </w:p>
    <w:p>
      <w:pPr>
        <w:ind w:left="342" w:right="240" w:hanging="329"/>
        <w:spacing w:after="0" w:line="259" w:lineRule="auto"/>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Patients were heavily pretreated, receiving a median (range) of 3 (1–11) treatments; 37.7% of patients had received prior treatment with a PD-(L)1 immunotherapy.</w:t>
      </w:r>
    </w:p>
    <w:p>
      <w:pPr>
        <w:spacing w:after="0" w:line="1" w:lineRule="exact"/>
        <w:rPr>
          <w:rFonts w:ascii="Times New Roman" w:cs="Times New Roman" w:eastAsia="Times New Roman" w:hAnsi="Times New Roman"/>
          <w:sz w:val="17"/>
          <w:szCs w:val="17"/>
          <w:color w:val="auto"/>
        </w:rPr>
      </w:pPr>
    </w:p>
    <w:p>
      <w:pPr>
        <w:ind w:left="342" w:hanging="329"/>
        <w:spacing w:after="0"/>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As of data cut-off date of August 31, 2020, treatment is ongoing in 10 (16.4%) patients </w:t>
      </w:r>
      <w:r>
        <w:rPr>
          <w:rFonts w:ascii="Arial" w:cs="Arial" w:eastAsia="Arial" w:hAnsi="Arial"/>
          <w:sz w:val="17"/>
          <w:szCs w:val="17"/>
          <w:b w:val="1"/>
          <w:bCs w:val="1"/>
          <w:color w:val="auto"/>
        </w:rPr>
        <w:t>(Table 2)</w:t>
      </w:r>
      <w:r>
        <w:rPr>
          <w:rFonts w:ascii="Arial" w:cs="Arial" w:eastAsia="Arial" w:hAnsi="Arial"/>
          <w:sz w:val="17"/>
          <w:szCs w:val="17"/>
          <w:color w:val="auto"/>
        </w:rPr>
        <w:t>.</w:t>
      </w:r>
    </w:p>
    <w:p>
      <w:pPr>
        <w:spacing w:after="0" w:line="48" w:lineRule="exact"/>
        <w:rPr>
          <w:rFonts w:ascii="Times New Roman" w:cs="Times New Roman" w:eastAsia="Times New Roman" w:hAnsi="Times New Roman"/>
          <w:sz w:val="17"/>
          <w:szCs w:val="17"/>
          <w:color w:val="auto"/>
        </w:rPr>
      </w:pPr>
    </w:p>
    <w:p>
      <w:pPr>
        <w:ind w:left="342" w:hanging="329"/>
        <w:spacing w:after="0"/>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MTD was not reached.</w:t>
      </w:r>
    </w:p>
    <w:p>
      <w:pPr>
        <w:spacing w:after="0" w:line="47" w:lineRule="exact"/>
        <w:rPr>
          <w:rFonts w:ascii="Times New Roman" w:cs="Times New Roman" w:eastAsia="Times New Roman" w:hAnsi="Times New Roman"/>
          <w:sz w:val="17"/>
          <w:szCs w:val="17"/>
          <w:color w:val="auto"/>
        </w:rPr>
      </w:pPr>
    </w:p>
    <w:p>
      <w:pPr>
        <w:ind w:left="342" w:right="420" w:hanging="329"/>
        <w:spacing w:after="0" w:line="259" w:lineRule="auto"/>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Patients discontinued treatment due to the following adverse events (AEs): alanine aminotransferase (ALT) increase (n=3), aspartate aminotransferase (AST) increase (n=2), hepatoxicity (n=1), immune-mediated nephritis (n=1), and pneumonitis (n=1); all were Grade 3.</w:t>
      </w:r>
    </w:p>
    <w:p>
      <w:pPr>
        <w:spacing w:after="0" w:line="1" w:lineRule="exact"/>
        <w:rPr>
          <w:rFonts w:ascii="Times New Roman" w:cs="Times New Roman" w:eastAsia="Times New Roman" w:hAnsi="Times New Roman"/>
          <w:sz w:val="17"/>
          <w:szCs w:val="17"/>
          <w:color w:val="auto"/>
        </w:rPr>
      </w:pPr>
    </w:p>
    <w:p>
      <w:pPr>
        <w:ind w:left="342" w:hanging="329"/>
        <w:spacing w:after="0"/>
        <w:tabs>
          <w:tab w:leader="none" w:pos="342"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There was a single on-treatment death which was due to disease progression and unrelated to treatment.</w:t>
      </w:r>
    </w:p>
    <w:p>
      <w:pPr>
        <w:spacing w:after="0" w:line="263" w:lineRule="exact"/>
        <w:rPr>
          <w:sz w:val="20"/>
          <w:szCs w:val="20"/>
          <w:color w:val="auto"/>
        </w:rPr>
      </w:pPr>
    </w:p>
    <w:tbl>
      <w:tblPr>
        <w:tblLayout w:type="fixed"/>
        <w:tblInd w:w="22" w:type="dxa"/>
        <w:tblCellMar>
          <w:top w:w="0" w:type="dxa"/>
          <w:left w:w="0" w:type="dxa"/>
          <w:bottom w:w="0" w:type="dxa"/>
          <w:right w:w="0" w:type="dxa"/>
        </w:tblCellMar>
      </w:tblPr>
      <w:tr>
        <w:trPr>
          <w:trHeight w:val="244"/>
        </w:trPr>
        <w:tc>
          <w:tcPr>
            <w:tcW w:w="8540" w:type="dxa"/>
            <w:vAlign w:val="bottom"/>
            <w:gridSpan w:val="3"/>
            <w:shd w:val="clear" w:color="auto" w:fill="EBF3F3"/>
          </w:tcPr>
          <w:p>
            <w:pPr>
              <w:ind w:left="80"/>
              <w:spacing w:after="0"/>
              <w:rPr>
                <w:sz w:val="20"/>
                <w:szCs w:val="20"/>
                <w:color w:val="auto"/>
              </w:rPr>
            </w:pPr>
            <w:r>
              <w:rPr>
                <w:rFonts w:ascii="Arial" w:cs="Arial" w:eastAsia="Arial" w:hAnsi="Arial"/>
                <w:sz w:val="14"/>
                <w:szCs w:val="14"/>
                <w:b w:val="1"/>
                <w:bCs w:val="1"/>
                <w:color w:val="auto"/>
              </w:rPr>
              <w:t>Table 1. Baseline demographics and clinical characteristics</w:t>
            </w:r>
          </w:p>
        </w:tc>
        <w:tc>
          <w:tcPr>
            <w:tcW w:w="1140" w:type="dxa"/>
            <w:vAlign w:val="bottom"/>
            <w:shd w:val="clear" w:color="auto" w:fill="EBF3F3"/>
          </w:tcPr>
          <w:p>
            <w:pPr>
              <w:spacing w:after="0"/>
              <w:rPr>
                <w:sz w:val="21"/>
                <w:szCs w:val="21"/>
                <w:color w:val="auto"/>
              </w:rPr>
            </w:pPr>
          </w:p>
        </w:tc>
        <w:tc>
          <w:tcPr>
            <w:tcW w:w="1280" w:type="dxa"/>
            <w:vAlign w:val="bottom"/>
            <w:shd w:val="clear" w:color="auto" w:fill="EBF3F3"/>
          </w:tcPr>
          <w:p>
            <w:pPr>
              <w:spacing w:after="0"/>
              <w:rPr>
                <w:sz w:val="21"/>
                <w:szCs w:val="21"/>
                <w:color w:val="auto"/>
              </w:rPr>
            </w:pPr>
          </w:p>
        </w:tc>
      </w:tr>
      <w:tr>
        <w:trPr>
          <w:trHeight w:val="168"/>
        </w:trPr>
        <w:tc>
          <w:tcPr>
            <w:tcW w:w="8540" w:type="dxa"/>
            <w:vAlign w:val="bottom"/>
            <w:gridSpan w:val="3"/>
            <w:shd w:val="clear" w:color="auto" w:fill="009D93"/>
          </w:tcPr>
          <w:p>
            <w:pPr>
              <w:ind w:left="100"/>
              <w:spacing w:after="0" w:line="168" w:lineRule="exact"/>
              <w:rPr>
                <w:sz w:val="20"/>
                <w:szCs w:val="20"/>
                <w:color w:val="auto"/>
              </w:rPr>
            </w:pPr>
            <w:r>
              <w:rPr>
                <w:rFonts w:ascii="Arial" w:cs="Arial" w:eastAsia="Arial" w:hAnsi="Arial"/>
                <w:sz w:val="17"/>
                <w:szCs w:val="17"/>
                <w:b w:val="1"/>
                <w:bCs w:val="1"/>
                <w:color w:val="FFFFFF"/>
              </w:rPr>
              <w:t>Dose escalation cohort</w:t>
            </w:r>
          </w:p>
        </w:tc>
        <w:tc>
          <w:tcPr>
            <w:tcW w:w="2420" w:type="dxa"/>
            <w:vAlign w:val="bottom"/>
            <w:gridSpan w:val="2"/>
            <w:shd w:val="clear" w:color="auto" w:fill="009D93"/>
          </w:tcPr>
          <w:p>
            <w:pPr>
              <w:jc w:val="center"/>
              <w:ind w:left="54"/>
              <w:spacing w:after="0" w:line="168" w:lineRule="exact"/>
              <w:rPr>
                <w:sz w:val="20"/>
                <w:szCs w:val="20"/>
                <w:color w:val="auto"/>
              </w:rPr>
            </w:pPr>
            <w:r>
              <w:rPr>
                <w:rFonts w:ascii="Arial" w:cs="Arial" w:eastAsia="Arial" w:hAnsi="Arial"/>
                <w:sz w:val="17"/>
                <w:szCs w:val="17"/>
                <w:b w:val="1"/>
                <w:bCs w:val="1"/>
                <w:color w:val="FFFFFF"/>
              </w:rPr>
              <w:t>All patients</w:t>
            </w:r>
          </w:p>
        </w:tc>
      </w:tr>
      <w:tr>
        <w:trPr>
          <w:trHeight w:val="243"/>
        </w:trPr>
        <w:tc>
          <w:tcPr>
            <w:tcW w:w="340" w:type="dxa"/>
            <w:vAlign w:val="bottom"/>
            <w:shd w:val="clear" w:color="auto" w:fill="009D93"/>
          </w:tcPr>
          <w:p>
            <w:pPr>
              <w:spacing w:after="0"/>
              <w:rPr>
                <w:sz w:val="21"/>
                <w:szCs w:val="21"/>
                <w:color w:val="auto"/>
              </w:rPr>
            </w:pPr>
          </w:p>
        </w:tc>
        <w:tc>
          <w:tcPr>
            <w:tcW w:w="100" w:type="dxa"/>
            <w:vAlign w:val="bottom"/>
            <w:shd w:val="clear" w:color="auto" w:fill="009D93"/>
          </w:tcPr>
          <w:p>
            <w:pPr>
              <w:spacing w:after="0"/>
              <w:rPr>
                <w:sz w:val="21"/>
                <w:szCs w:val="21"/>
                <w:color w:val="auto"/>
              </w:rPr>
            </w:pPr>
          </w:p>
        </w:tc>
        <w:tc>
          <w:tcPr>
            <w:tcW w:w="8100" w:type="dxa"/>
            <w:vAlign w:val="bottom"/>
            <w:shd w:val="clear" w:color="auto" w:fill="009D93"/>
          </w:tcPr>
          <w:p>
            <w:pPr>
              <w:spacing w:after="0"/>
              <w:rPr>
                <w:sz w:val="21"/>
                <w:szCs w:val="21"/>
                <w:color w:val="auto"/>
              </w:rPr>
            </w:pPr>
          </w:p>
        </w:tc>
        <w:tc>
          <w:tcPr>
            <w:tcW w:w="2420" w:type="dxa"/>
            <w:vAlign w:val="bottom"/>
            <w:gridSpan w:val="2"/>
            <w:shd w:val="clear" w:color="auto" w:fill="009D93"/>
          </w:tcPr>
          <w:p>
            <w:pPr>
              <w:jc w:val="center"/>
              <w:ind w:left="34"/>
              <w:spacing w:after="0"/>
              <w:rPr>
                <w:sz w:val="20"/>
                <w:szCs w:val="20"/>
                <w:color w:val="auto"/>
              </w:rPr>
            </w:pPr>
            <w:r>
              <w:rPr>
                <w:rFonts w:ascii="Arial" w:cs="Arial" w:eastAsia="Arial" w:hAnsi="Arial"/>
                <w:sz w:val="17"/>
                <w:szCs w:val="17"/>
                <w:b w:val="1"/>
                <w:bCs w:val="1"/>
                <w:color w:val="FFFFFF"/>
              </w:rPr>
              <w:t>N=61</w:t>
            </w:r>
          </w:p>
        </w:tc>
      </w:tr>
      <w:tr>
        <w:trPr>
          <w:trHeight w:val="64"/>
        </w:trPr>
        <w:tc>
          <w:tcPr>
            <w:tcW w:w="340" w:type="dxa"/>
            <w:vAlign w:val="bottom"/>
            <w:shd w:val="clear" w:color="auto" w:fill="009D93"/>
          </w:tcPr>
          <w:p>
            <w:pPr>
              <w:spacing w:after="0"/>
              <w:rPr>
                <w:sz w:val="5"/>
                <w:szCs w:val="5"/>
                <w:color w:val="auto"/>
              </w:rPr>
            </w:pPr>
          </w:p>
        </w:tc>
        <w:tc>
          <w:tcPr>
            <w:tcW w:w="100" w:type="dxa"/>
            <w:vAlign w:val="bottom"/>
            <w:shd w:val="clear" w:color="auto" w:fill="009D93"/>
          </w:tcPr>
          <w:p>
            <w:pPr>
              <w:spacing w:after="0"/>
              <w:rPr>
                <w:sz w:val="5"/>
                <w:szCs w:val="5"/>
                <w:color w:val="auto"/>
              </w:rPr>
            </w:pPr>
          </w:p>
        </w:tc>
        <w:tc>
          <w:tcPr>
            <w:tcW w:w="8100" w:type="dxa"/>
            <w:vAlign w:val="bottom"/>
            <w:shd w:val="clear" w:color="auto" w:fill="009D93"/>
          </w:tcPr>
          <w:p>
            <w:pPr>
              <w:spacing w:after="0"/>
              <w:rPr>
                <w:sz w:val="5"/>
                <w:szCs w:val="5"/>
                <w:color w:val="auto"/>
              </w:rPr>
            </w:pPr>
          </w:p>
        </w:tc>
        <w:tc>
          <w:tcPr>
            <w:tcW w:w="2420" w:type="dxa"/>
            <w:vAlign w:val="bottom"/>
            <w:gridSpan w:val="2"/>
            <w:shd w:val="clear" w:color="auto" w:fill="009D93"/>
          </w:tcPr>
          <w:p>
            <w:pPr>
              <w:spacing w:after="0"/>
              <w:rPr>
                <w:sz w:val="5"/>
                <w:szCs w:val="5"/>
                <w:color w:val="auto"/>
              </w:rPr>
            </w:pPr>
          </w:p>
        </w:tc>
      </w:tr>
      <w:tr>
        <w:trPr>
          <w:trHeight w:val="206"/>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color w:val="auto"/>
              </w:rPr>
              <w:t>Median (range) age, years</w:t>
            </w:r>
          </w:p>
        </w:tc>
        <w:tc>
          <w:tcPr>
            <w:tcW w:w="2420" w:type="dxa"/>
            <w:vAlign w:val="bottom"/>
            <w:gridSpan w:val="2"/>
            <w:shd w:val="clear" w:color="auto" w:fill="EBF3F3"/>
          </w:tcPr>
          <w:p>
            <w:pPr>
              <w:jc w:val="center"/>
              <w:ind w:left="34"/>
              <w:spacing w:after="0"/>
              <w:rPr>
                <w:sz w:val="20"/>
                <w:szCs w:val="20"/>
                <w:color w:val="auto"/>
              </w:rPr>
            </w:pPr>
            <w:r>
              <w:rPr>
                <w:rFonts w:ascii="Arial" w:cs="Arial" w:eastAsia="Arial" w:hAnsi="Arial"/>
                <w:sz w:val="17"/>
                <w:szCs w:val="17"/>
                <w:color w:val="auto"/>
                <w:w w:val="99"/>
              </w:rPr>
              <w:t>59 (23–79)</w:t>
            </w:r>
          </w:p>
        </w:tc>
      </w:tr>
      <w:tr>
        <w:trPr>
          <w:trHeight w:val="183"/>
        </w:trPr>
        <w:tc>
          <w:tcPr>
            <w:tcW w:w="8540" w:type="dxa"/>
            <w:vAlign w:val="bottom"/>
            <w:gridSpan w:val="3"/>
            <w:shd w:val="clear" w:color="auto" w:fill="D5E6E4"/>
          </w:tcPr>
          <w:p>
            <w:pPr>
              <w:ind w:left="100"/>
              <w:spacing w:after="0" w:line="183" w:lineRule="exact"/>
              <w:rPr>
                <w:sz w:val="20"/>
                <w:szCs w:val="20"/>
                <w:color w:val="auto"/>
              </w:rPr>
            </w:pPr>
            <w:r>
              <w:rPr>
                <w:rFonts w:ascii="Arial" w:cs="Arial" w:eastAsia="Arial" w:hAnsi="Arial"/>
                <w:sz w:val="17"/>
                <w:szCs w:val="17"/>
                <w:b w:val="1"/>
                <w:bCs w:val="1"/>
                <w:color w:val="auto"/>
              </w:rPr>
              <w:t>Age group, n (%)</w:t>
            </w:r>
          </w:p>
        </w:tc>
        <w:tc>
          <w:tcPr>
            <w:tcW w:w="1140" w:type="dxa"/>
            <w:vAlign w:val="bottom"/>
            <w:shd w:val="clear" w:color="auto" w:fill="D5E6E4"/>
          </w:tcPr>
          <w:p>
            <w:pPr>
              <w:spacing w:after="0"/>
              <w:rPr>
                <w:sz w:val="15"/>
                <w:szCs w:val="15"/>
                <w:color w:val="auto"/>
              </w:rPr>
            </w:pPr>
          </w:p>
        </w:tc>
        <w:tc>
          <w:tcPr>
            <w:tcW w:w="1280" w:type="dxa"/>
            <w:vAlign w:val="bottom"/>
            <w:shd w:val="clear" w:color="auto" w:fill="D5E6E4"/>
          </w:tcPr>
          <w:p>
            <w:pPr>
              <w:spacing w:after="0"/>
              <w:rPr>
                <w:sz w:val="15"/>
                <w:szCs w:val="15"/>
                <w:color w:val="auto"/>
              </w:rPr>
            </w:pPr>
          </w:p>
        </w:tc>
      </w:tr>
      <w:tr>
        <w:trPr>
          <w:trHeight w:val="193"/>
        </w:trPr>
        <w:tc>
          <w:tcPr>
            <w:tcW w:w="8540" w:type="dxa"/>
            <w:vAlign w:val="bottom"/>
            <w:gridSpan w:val="3"/>
            <w:shd w:val="clear" w:color="auto" w:fill="D5E6E4"/>
          </w:tcPr>
          <w:p>
            <w:pPr>
              <w:ind w:left="340"/>
              <w:spacing w:after="0" w:line="193" w:lineRule="exact"/>
              <w:rPr>
                <w:sz w:val="20"/>
                <w:szCs w:val="20"/>
                <w:color w:val="auto"/>
              </w:rPr>
            </w:pPr>
            <w:r>
              <w:rPr>
                <w:rFonts w:ascii="Arial" w:cs="Arial" w:eastAsia="Arial" w:hAnsi="Arial"/>
                <w:sz w:val="17"/>
                <w:szCs w:val="17"/>
                <w:color w:val="auto"/>
              </w:rPr>
              <w:t>&lt;65 years</w:t>
            </w:r>
          </w:p>
        </w:tc>
        <w:tc>
          <w:tcPr>
            <w:tcW w:w="1140" w:type="dxa"/>
            <w:vAlign w:val="bottom"/>
            <w:shd w:val="clear" w:color="auto" w:fill="D5E6E4"/>
          </w:tcPr>
          <w:p>
            <w:pPr>
              <w:jc w:val="right"/>
              <w:spacing w:after="0" w:line="193" w:lineRule="exact"/>
              <w:rPr>
                <w:sz w:val="20"/>
                <w:szCs w:val="20"/>
                <w:color w:val="auto"/>
              </w:rPr>
            </w:pPr>
            <w:r>
              <w:rPr>
                <w:rFonts w:ascii="Arial" w:cs="Arial" w:eastAsia="Arial" w:hAnsi="Arial"/>
                <w:sz w:val="17"/>
                <w:szCs w:val="17"/>
                <w:color w:val="auto"/>
              </w:rPr>
              <w:t>44</w:t>
            </w:r>
          </w:p>
        </w:tc>
        <w:tc>
          <w:tcPr>
            <w:tcW w:w="1280" w:type="dxa"/>
            <w:vAlign w:val="bottom"/>
            <w:shd w:val="clear" w:color="auto" w:fill="D5E6E4"/>
          </w:tcPr>
          <w:p>
            <w:pPr>
              <w:ind w:left="20"/>
              <w:spacing w:after="0" w:line="193" w:lineRule="exact"/>
              <w:rPr>
                <w:sz w:val="20"/>
                <w:szCs w:val="20"/>
                <w:color w:val="auto"/>
              </w:rPr>
            </w:pPr>
            <w:r>
              <w:rPr>
                <w:rFonts w:ascii="Arial" w:cs="Arial" w:eastAsia="Arial" w:hAnsi="Arial"/>
                <w:sz w:val="17"/>
                <w:szCs w:val="17"/>
                <w:color w:val="auto"/>
              </w:rPr>
              <w:t>(72.1)</w:t>
            </w:r>
          </w:p>
        </w:tc>
      </w:tr>
      <w:tr>
        <w:trPr>
          <w:trHeight w:val="190"/>
        </w:trPr>
        <w:tc>
          <w:tcPr>
            <w:tcW w:w="340" w:type="dxa"/>
            <w:vAlign w:val="bottom"/>
            <w:shd w:val="clear" w:color="auto" w:fill="D5E6E4"/>
          </w:tcPr>
          <w:p>
            <w:pPr>
              <w:spacing w:after="0"/>
              <w:rPr>
                <w:sz w:val="16"/>
                <w:szCs w:val="16"/>
                <w:color w:val="auto"/>
              </w:rPr>
            </w:pPr>
          </w:p>
        </w:tc>
        <w:tc>
          <w:tcPr>
            <w:tcW w:w="8200" w:type="dxa"/>
            <w:vAlign w:val="bottom"/>
            <w:gridSpan w:val="2"/>
            <w:shd w:val="clear" w:color="auto" w:fill="D5E6E4"/>
          </w:tcPr>
          <w:p>
            <w:pPr>
              <w:spacing w:after="0" w:line="190" w:lineRule="exact"/>
              <w:rPr>
                <w:sz w:val="20"/>
                <w:szCs w:val="20"/>
                <w:color w:val="auto"/>
              </w:rPr>
            </w:pPr>
            <w:r>
              <w:rPr>
                <w:rFonts w:ascii="Arial" w:cs="Arial" w:eastAsia="Arial" w:hAnsi="Arial"/>
                <w:sz w:val="17"/>
                <w:szCs w:val="17"/>
                <w:color w:val="auto"/>
              </w:rPr>
              <w:t>&gt;65 years</w:t>
            </w:r>
          </w:p>
        </w:tc>
        <w:tc>
          <w:tcPr>
            <w:tcW w:w="1140" w:type="dxa"/>
            <w:vAlign w:val="bottom"/>
            <w:shd w:val="clear" w:color="auto" w:fill="D5E6E4"/>
          </w:tcPr>
          <w:p>
            <w:pPr>
              <w:jc w:val="right"/>
              <w:spacing w:after="0" w:line="190" w:lineRule="exact"/>
              <w:rPr>
                <w:sz w:val="20"/>
                <w:szCs w:val="20"/>
                <w:color w:val="auto"/>
              </w:rPr>
            </w:pPr>
            <w:r>
              <w:rPr>
                <w:rFonts w:ascii="Arial" w:cs="Arial" w:eastAsia="Arial" w:hAnsi="Arial"/>
                <w:sz w:val="17"/>
                <w:szCs w:val="17"/>
                <w:color w:val="auto"/>
              </w:rPr>
              <w:t>17</w:t>
            </w:r>
          </w:p>
        </w:tc>
        <w:tc>
          <w:tcPr>
            <w:tcW w:w="1280" w:type="dxa"/>
            <w:vAlign w:val="bottom"/>
            <w:shd w:val="clear" w:color="auto" w:fill="D5E6E4"/>
          </w:tcPr>
          <w:p>
            <w:pPr>
              <w:ind w:left="20"/>
              <w:spacing w:after="0" w:line="190" w:lineRule="exact"/>
              <w:rPr>
                <w:sz w:val="20"/>
                <w:szCs w:val="20"/>
                <w:color w:val="auto"/>
              </w:rPr>
            </w:pPr>
            <w:r>
              <w:rPr>
                <w:rFonts w:ascii="Arial" w:cs="Arial" w:eastAsia="Arial" w:hAnsi="Arial"/>
                <w:sz w:val="17"/>
                <w:szCs w:val="17"/>
                <w:color w:val="auto"/>
              </w:rPr>
              <w:t>(27.9)</w:t>
            </w:r>
          </w:p>
        </w:tc>
      </w:tr>
      <w:tr>
        <w:trPr>
          <w:trHeight w:val="26"/>
        </w:trPr>
        <w:tc>
          <w:tcPr>
            <w:tcW w:w="340" w:type="dxa"/>
            <w:vAlign w:val="bottom"/>
            <w:shd w:val="clear" w:color="auto" w:fill="D5E6E4"/>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100" w:type="dxa"/>
            <w:vAlign w:val="bottom"/>
            <w:shd w:val="clear" w:color="auto" w:fill="D5E6E4"/>
          </w:tcPr>
          <w:p>
            <w:pPr>
              <w:spacing w:after="0"/>
              <w:rPr>
                <w:sz w:val="2"/>
                <w:szCs w:val="2"/>
                <w:color w:val="auto"/>
              </w:rPr>
            </w:pPr>
          </w:p>
        </w:tc>
        <w:tc>
          <w:tcPr>
            <w:tcW w:w="1140" w:type="dxa"/>
            <w:vAlign w:val="bottom"/>
            <w:shd w:val="clear" w:color="auto" w:fill="D5E6E4"/>
          </w:tcPr>
          <w:p>
            <w:pPr>
              <w:spacing w:after="0"/>
              <w:rPr>
                <w:sz w:val="2"/>
                <w:szCs w:val="2"/>
                <w:color w:val="auto"/>
              </w:rPr>
            </w:pPr>
          </w:p>
        </w:tc>
        <w:tc>
          <w:tcPr>
            <w:tcW w:w="1280" w:type="dxa"/>
            <w:vAlign w:val="bottom"/>
            <w:shd w:val="clear" w:color="auto" w:fill="D5E6E4"/>
          </w:tcPr>
          <w:p>
            <w:pPr>
              <w:spacing w:after="0"/>
              <w:rPr>
                <w:sz w:val="2"/>
                <w:szCs w:val="2"/>
                <w:color w:val="auto"/>
              </w:rPr>
            </w:pPr>
          </w:p>
        </w:tc>
      </w:tr>
      <w:tr>
        <w:trPr>
          <w:trHeight w:val="206"/>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color w:val="auto"/>
              </w:rPr>
              <w:t>Female, n (%)</w:t>
            </w:r>
          </w:p>
        </w:tc>
        <w:tc>
          <w:tcPr>
            <w:tcW w:w="1140" w:type="dxa"/>
            <w:vAlign w:val="bottom"/>
            <w:shd w:val="clear" w:color="auto" w:fill="EBF3F3"/>
          </w:tcPr>
          <w:p>
            <w:pPr>
              <w:jc w:val="right"/>
              <w:spacing w:after="0"/>
              <w:rPr>
                <w:sz w:val="20"/>
                <w:szCs w:val="20"/>
                <w:color w:val="auto"/>
              </w:rPr>
            </w:pPr>
            <w:r>
              <w:rPr>
                <w:rFonts w:ascii="Arial" w:cs="Arial" w:eastAsia="Arial" w:hAnsi="Arial"/>
                <w:sz w:val="17"/>
                <w:szCs w:val="17"/>
                <w:color w:val="auto"/>
              </w:rPr>
              <w:t>28</w:t>
            </w:r>
          </w:p>
        </w:tc>
        <w:tc>
          <w:tcPr>
            <w:tcW w:w="1280" w:type="dxa"/>
            <w:vAlign w:val="bottom"/>
            <w:shd w:val="clear" w:color="auto" w:fill="EBF3F3"/>
          </w:tcPr>
          <w:p>
            <w:pPr>
              <w:ind w:left="20"/>
              <w:spacing w:after="0"/>
              <w:rPr>
                <w:sz w:val="20"/>
                <w:szCs w:val="20"/>
                <w:color w:val="auto"/>
              </w:rPr>
            </w:pPr>
            <w:r>
              <w:rPr>
                <w:rFonts w:ascii="Arial" w:cs="Arial" w:eastAsia="Arial" w:hAnsi="Arial"/>
                <w:sz w:val="17"/>
                <w:szCs w:val="17"/>
                <w:color w:val="auto"/>
              </w:rPr>
              <w:t>(45.9)</w:t>
            </w:r>
          </w:p>
        </w:tc>
      </w:tr>
      <w:tr>
        <w:trPr>
          <w:trHeight w:val="183"/>
        </w:trPr>
        <w:tc>
          <w:tcPr>
            <w:tcW w:w="8540" w:type="dxa"/>
            <w:vAlign w:val="bottom"/>
            <w:gridSpan w:val="3"/>
            <w:shd w:val="clear" w:color="auto" w:fill="D5E6E4"/>
          </w:tcPr>
          <w:p>
            <w:pPr>
              <w:ind w:left="100"/>
              <w:spacing w:after="0" w:line="183" w:lineRule="exact"/>
              <w:rPr>
                <w:sz w:val="20"/>
                <w:szCs w:val="20"/>
                <w:color w:val="auto"/>
              </w:rPr>
            </w:pPr>
            <w:r>
              <w:rPr>
                <w:rFonts w:ascii="Arial" w:cs="Arial" w:eastAsia="Arial" w:hAnsi="Arial"/>
                <w:sz w:val="17"/>
                <w:szCs w:val="17"/>
                <w:b w:val="1"/>
                <w:bCs w:val="1"/>
                <w:color w:val="auto"/>
              </w:rPr>
              <w:t>Cancer type, n (%)</w:t>
            </w:r>
            <w:r>
              <w:rPr>
                <w:rFonts w:ascii="Arial" w:cs="Arial" w:eastAsia="Arial" w:hAnsi="Arial"/>
                <w:sz w:val="14"/>
                <w:szCs w:val="14"/>
                <w:b w:val="1"/>
                <w:bCs w:val="1"/>
                <w:color w:val="auto"/>
              </w:rPr>
              <w:t>a</w:t>
            </w:r>
          </w:p>
        </w:tc>
        <w:tc>
          <w:tcPr>
            <w:tcW w:w="1140" w:type="dxa"/>
            <w:vAlign w:val="bottom"/>
            <w:shd w:val="clear" w:color="auto" w:fill="D5E6E4"/>
          </w:tcPr>
          <w:p>
            <w:pPr>
              <w:spacing w:after="0"/>
              <w:rPr>
                <w:sz w:val="15"/>
                <w:szCs w:val="15"/>
                <w:color w:val="auto"/>
              </w:rPr>
            </w:pPr>
          </w:p>
        </w:tc>
        <w:tc>
          <w:tcPr>
            <w:tcW w:w="1280" w:type="dxa"/>
            <w:vAlign w:val="bottom"/>
            <w:shd w:val="clear" w:color="auto" w:fill="D5E6E4"/>
          </w:tcPr>
          <w:p>
            <w:pPr>
              <w:spacing w:after="0"/>
              <w:rPr>
                <w:sz w:val="15"/>
                <w:szCs w:val="15"/>
                <w:color w:val="auto"/>
              </w:rPr>
            </w:pPr>
          </w:p>
        </w:tc>
      </w:tr>
      <w:tr>
        <w:trPr>
          <w:trHeight w:val="193"/>
        </w:trPr>
        <w:tc>
          <w:tcPr>
            <w:tcW w:w="8540" w:type="dxa"/>
            <w:vAlign w:val="bottom"/>
            <w:gridSpan w:val="3"/>
            <w:shd w:val="clear" w:color="auto" w:fill="D5E6E4"/>
          </w:tcPr>
          <w:p>
            <w:pPr>
              <w:ind w:left="340"/>
              <w:spacing w:after="0" w:line="193" w:lineRule="exact"/>
              <w:rPr>
                <w:sz w:val="20"/>
                <w:szCs w:val="20"/>
                <w:color w:val="auto"/>
              </w:rPr>
            </w:pPr>
            <w:r>
              <w:rPr>
                <w:rFonts w:ascii="Arial" w:cs="Arial" w:eastAsia="Arial" w:hAnsi="Arial"/>
                <w:sz w:val="17"/>
                <w:szCs w:val="17"/>
                <w:color w:val="auto"/>
              </w:rPr>
              <w:t>Colorectal</w:t>
            </w:r>
          </w:p>
        </w:tc>
        <w:tc>
          <w:tcPr>
            <w:tcW w:w="1140" w:type="dxa"/>
            <w:vAlign w:val="bottom"/>
            <w:shd w:val="clear" w:color="auto" w:fill="D5E6E4"/>
          </w:tcPr>
          <w:p>
            <w:pPr>
              <w:jc w:val="right"/>
              <w:spacing w:after="0" w:line="193" w:lineRule="exact"/>
              <w:rPr>
                <w:sz w:val="20"/>
                <w:szCs w:val="20"/>
                <w:color w:val="auto"/>
              </w:rPr>
            </w:pPr>
            <w:r>
              <w:rPr>
                <w:rFonts w:ascii="Arial" w:cs="Arial" w:eastAsia="Arial" w:hAnsi="Arial"/>
                <w:sz w:val="17"/>
                <w:szCs w:val="17"/>
                <w:color w:val="auto"/>
              </w:rPr>
              <w:t>12</w:t>
            </w:r>
          </w:p>
        </w:tc>
        <w:tc>
          <w:tcPr>
            <w:tcW w:w="1280" w:type="dxa"/>
            <w:vAlign w:val="bottom"/>
            <w:shd w:val="clear" w:color="auto" w:fill="D5E6E4"/>
          </w:tcPr>
          <w:p>
            <w:pPr>
              <w:ind w:left="20"/>
              <w:spacing w:after="0" w:line="193" w:lineRule="exact"/>
              <w:rPr>
                <w:sz w:val="20"/>
                <w:szCs w:val="20"/>
                <w:color w:val="auto"/>
              </w:rPr>
            </w:pPr>
            <w:r>
              <w:rPr>
                <w:rFonts w:ascii="Arial" w:cs="Arial" w:eastAsia="Arial" w:hAnsi="Arial"/>
                <w:sz w:val="17"/>
                <w:szCs w:val="17"/>
                <w:color w:val="auto"/>
              </w:rPr>
              <w:t>(19.7)</w:t>
            </w:r>
          </w:p>
        </w:tc>
      </w:tr>
      <w:tr>
        <w:trPr>
          <w:trHeight w:val="193"/>
        </w:trPr>
        <w:tc>
          <w:tcPr>
            <w:tcW w:w="8540" w:type="dxa"/>
            <w:vAlign w:val="bottom"/>
            <w:gridSpan w:val="3"/>
            <w:shd w:val="clear" w:color="auto" w:fill="D5E6E4"/>
          </w:tcPr>
          <w:p>
            <w:pPr>
              <w:ind w:left="340"/>
              <w:spacing w:after="0" w:line="193" w:lineRule="exact"/>
              <w:rPr>
                <w:sz w:val="20"/>
                <w:szCs w:val="20"/>
                <w:color w:val="auto"/>
              </w:rPr>
            </w:pPr>
            <w:r>
              <w:rPr>
                <w:rFonts w:ascii="Arial" w:cs="Arial" w:eastAsia="Arial" w:hAnsi="Arial"/>
                <w:sz w:val="17"/>
                <w:szCs w:val="17"/>
                <w:color w:val="auto"/>
              </w:rPr>
              <w:t>Ovarian</w:t>
            </w:r>
          </w:p>
        </w:tc>
        <w:tc>
          <w:tcPr>
            <w:tcW w:w="2420" w:type="dxa"/>
            <w:vAlign w:val="bottom"/>
            <w:gridSpan w:val="2"/>
            <w:shd w:val="clear" w:color="auto" w:fill="D5E6E4"/>
          </w:tcPr>
          <w:p>
            <w:pPr>
              <w:jc w:val="center"/>
              <w:ind w:left="34"/>
              <w:spacing w:after="0" w:line="193" w:lineRule="exact"/>
              <w:rPr>
                <w:sz w:val="20"/>
                <w:szCs w:val="20"/>
                <w:color w:val="auto"/>
              </w:rPr>
            </w:pPr>
            <w:r>
              <w:rPr>
                <w:rFonts w:ascii="Arial" w:cs="Arial" w:eastAsia="Arial" w:hAnsi="Arial"/>
                <w:sz w:val="17"/>
                <w:szCs w:val="17"/>
                <w:color w:val="auto"/>
                <w:w w:val="98"/>
              </w:rPr>
              <w:t>9 (14.8)</w:t>
            </w:r>
          </w:p>
        </w:tc>
      </w:tr>
      <w:tr>
        <w:trPr>
          <w:trHeight w:val="193"/>
        </w:trPr>
        <w:tc>
          <w:tcPr>
            <w:tcW w:w="8540" w:type="dxa"/>
            <w:vAlign w:val="bottom"/>
            <w:gridSpan w:val="3"/>
            <w:shd w:val="clear" w:color="auto" w:fill="D5E6E4"/>
          </w:tcPr>
          <w:p>
            <w:pPr>
              <w:ind w:left="340"/>
              <w:spacing w:after="0" w:line="193" w:lineRule="exact"/>
              <w:rPr>
                <w:sz w:val="20"/>
                <w:szCs w:val="20"/>
                <w:color w:val="auto"/>
              </w:rPr>
            </w:pPr>
            <w:r>
              <w:rPr>
                <w:rFonts w:ascii="Arial" w:cs="Arial" w:eastAsia="Arial" w:hAnsi="Arial"/>
                <w:sz w:val="17"/>
                <w:szCs w:val="17"/>
                <w:color w:val="auto"/>
              </w:rPr>
              <w:t>Pancreatic</w:t>
            </w:r>
          </w:p>
        </w:tc>
        <w:tc>
          <w:tcPr>
            <w:tcW w:w="1140" w:type="dxa"/>
            <w:vAlign w:val="bottom"/>
            <w:shd w:val="clear" w:color="auto" w:fill="D5E6E4"/>
          </w:tcPr>
          <w:p>
            <w:pPr>
              <w:jc w:val="right"/>
              <w:spacing w:after="0" w:line="193" w:lineRule="exact"/>
              <w:rPr>
                <w:sz w:val="20"/>
                <w:szCs w:val="20"/>
                <w:color w:val="auto"/>
              </w:rPr>
            </w:pPr>
            <w:r>
              <w:rPr>
                <w:rFonts w:ascii="Arial" w:cs="Arial" w:eastAsia="Arial" w:hAnsi="Arial"/>
                <w:sz w:val="17"/>
                <w:szCs w:val="17"/>
                <w:color w:val="auto"/>
              </w:rPr>
              <w:t>6</w:t>
            </w:r>
          </w:p>
        </w:tc>
        <w:tc>
          <w:tcPr>
            <w:tcW w:w="1280" w:type="dxa"/>
            <w:vAlign w:val="bottom"/>
            <w:shd w:val="clear" w:color="auto" w:fill="D5E6E4"/>
          </w:tcPr>
          <w:p>
            <w:pPr>
              <w:ind w:left="20"/>
              <w:spacing w:after="0" w:line="193" w:lineRule="exact"/>
              <w:rPr>
                <w:sz w:val="20"/>
                <w:szCs w:val="20"/>
                <w:color w:val="auto"/>
              </w:rPr>
            </w:pPr>
            <w:r>
              <w:rPr>
                <w:rFonts w:ascii="Arial" w:cs="Arial" w:eastAsia="Arial" w:hAnsi="Arial"/>
                <w:sz w:val="17"/>
                <w:szCs w:val="17"/>
                <w:color w:val="auto"/>
              </w:rPr>
              <w:t>(9.8)</w:t>
            </w:r>
          </w:p>
        </w:tc>
      </w:tr>
      <w:tr>
        <w:trPr>
          <w:trHeight w:val="193"/>
        </w:trPr>
        <w:tc>
          <w:tcPr>
            <w:tcW w:w="8540" w:type="dxa"/>
            <w:vAlign w:val="bottom"/>
            <w:gridSpan w:val="3"/>
            <w:shd w:val="clear" w:color="auto" w:fill="D5E6E4"/>
          </w:tcPr>
          <w:p>
            <w:pPr>
              <w:ind w:left="340"/>
              <w:spacing w:after="0" w:line="193" w:lineRule="exact"/>
              <w:rPr>
                <w:sz w:val="20"/>
                <w:szCs w:val="20"/>
                <w:color w:val="auto"/>
              </w:rPr>
            </w:pPr>
            <w:r>
              <w:rPr>
                <w:rFonts w:ascii="Arial" w:cs="Arial" w:eastAsia="Arial" w:hAnsi="Arial"/>
                <w:sz w:val="17"/>
                <w:szCs w:val="17"/>
                <w:color w:val="auto"/>
              </w:rPr>
              <w:t>NSCLC</w:t>
            </w:r>
          </w:p>
        </w:tc>
        <w:tc>
          <w:tcPr>
            <w:tcW w:w="1140" w:type="dxa"/>
            <w:vAlign w:val="bottom"/>
            <w:shd w:val="clear" w:color="auto" w:fill="D5E6E4"/>
          </w:tcPr>
          <w:p>
            <w:pPr>
              <w:jc w:val="right"/>
              <w:spacing w:after="0" w:line="193" w:lineRule="exact"/>
              <w:rPr>
                <w:sz w:val="20"/>
                <w:szCs w:val="20"/>
                <w:color w:val="auto"/>
              </w:rPr>
            </w:pPr>
            <w:r>
              <w:rPr>
                <w:rFonts w:ascii="Arial" w:cs="Arial" w:eastAsia="Arial" w:hAnsi="Arial"/>
                <w:sz w:val="17"/>
                <w:szCs w:val="17"/>
                <w:color w:val="auto"/>
              </w:rPr>
              <w:t>6</w:t>
            </w:r>
          </w:p>
        </w:tc>
        <w:tc>
          <w:tcPr>
            <w:tcW w:w="1280" w:type="dxa"/>
            <w:vAlign w:val="bottom"/>
            <w:shd w:val="clear" w:color="auto" w:fill="D5E6E4"/>
          </w:tcPr>
          <w:p>
            <w:pPr>
              <w:ind w:left="20"/>
              <w:spacing w:after="0" w:line="193" w:lineRule="exact"/>
              <w:rPr>
                <w:sz w:val="20"/>
                <w:szCs w:val="20"/>
                <w:color w:val="auto"/>
              </w:rPr>
            </w:pPr>
            <w:r>
              <w:rPr>
                <w:rFonts w:ascii="Arial" w:cs="Arial" w:eastAsia="Arial" w:hAnsi="Arial"/>
                <w:sz w:val="17"/>
                <w:szCs w:val="17"/>
                <w:color w:val="auto"/>
              </w:rPr>
              <w:t>(9.8)</w:t>
            </w:r>
          </w:p>
        </w:tc>
      </w:tr>
      <w:tr>
        <w:trPr>
          <w:trHeight w:val="216"/>
        </w:trPr>
        <w:tc>
          <w:tcPr>
            <w:tcW w:w="8540" w:type="dxa"/>
            <w:vAlign w:val="bottom"/>
            <w:gridSpan w:val="3"/>
            <w:shd w:val="clear" w:color="auto" w:fill="D5E6E4"/>
          </w:tcPr>
          <w:p>
            <w:pPr>
              <w:ind w:left="340"/>
              <w:spacing w:after="0"/>
              <w:rPr>
                <w:sz w:val="20"/>
                <w:szCs w:val="20"/>
                <w:color w:val="auto"/>
              </w:rPr>
            </w:pPr>
            <w:r>
              <w:rPr>
                <w:rFonts w:ascii="Arial" w:cs="Arial" w:eastAsia="Arial" w:hAnsi="Arial"/>
                <w:sz w:val="17"/>
                <w:szCs w:val="17"/>
                <w:color w:val="auto"/>
              </w:rPr>
              <w:t>Other</w:t>
            </w:r>
          </w:p>
        </w:tc>
        <w:tc>
          <w:tcPr>
            <w:tcW w:w="1140" w:type="dxa"/>
            <w:vAlign w:val="bottom"/>
            <w:shd w:val="clear" w:color="auto" w:fill="D5E6E4"/>
          </w:tcPr>
          <w:p>
            <w:pPr>
              <w:jc w:val="right"/>
              <w:spacing w:after="0"/>
              <w:rPr>
                <w:sz w:val="20"/>
                <w:szCs w:val="20"/>
                <w:color w:val="auto"/>
              </w:rPr>
            </w:pPr>
            <w:r>
              <w:rPr>
                <w:rFonts w:ascii="Arial" w:cs="Arial" w:eastAsia="Arial" w:hAnsi="Arial"/>
                <w:sz w:val="17"/>
                <w:szCs w:val="17"/>
                <w:color w:val="auto"/>
              </w:rPr>
              <w:t>28</w:t>
            </w:r>
          </w:p>
        </w:tc>
        <w:tc>
          <w:tcPr>
            <w:tcW w:w="1280" w:type="dxa"/>
            <w:vAlign w:val="bottom"/>
            <w:shd w:val="clear" w:color="auto" w:fill="D5E6E4"/>
          </w:tcPr>
          <w:p>
            <w:pPr>
              <w:ind w:left="20"/>
              <w:spacing w:after="0"/>
              <w:rPr>
                <w:sz w:val="20"/>
                <w:szCs w:val="20"/>
                <w:color w:val="auto"/>
              </w:rPr>
            </w:pPr>
            <w:r>
              <w:rPr>
                <w:rFonts w:ascii="Arial" w:cs="Arial" w:eastAsia="Arial" w:hAnsi="Arial"/>
                <w:sz w:val="17"/>
                <w:szCs w:val="17"/>
                <w:color w:val="auto"/>
              </w:rPr>
              <w:t>(45.9)</w:t>
            </w:r>
          </w:p>
        </w:tc>
      </w:tr>
      <w:tr>
        <w:trPr>
          <w:trHeight w:val="170"/>
        </w:trPr>
        <w:tc>
          <w:tcPr>
            <w:tcW w:w="8540" w:type="dxa"/>
            <w:vAlign w:val="bottom"/>
            <w:gridSpan w:val="3"/>
            <w:shd w:val="clear" w:color="auto" w:fill="EBF3F3"/>
          </w:tcPr>
          <w:p>
            <w:pPr>
              <w:ind w:left="100"/>
              <w:spacing w:after="0" w:line="170" w:lineRule="exact"/>
              <w:rPr>
                <w:sz w:val="20"/>
                <w:szCs w:val="20"/>
                <w:color w:val="auto"/>
              </w:rPr>
            </w:pPr>
            <w:r>
              <w:rPr>
                <w:rFonts w:ascii="Arial" w:cs="Arial" w:eastAsia="Arial" w:hAnsi="Arial"/>
                <w:sz w:val="17"/>
                <w:szCs w:val="17"/>
                <w:b w:val="1"/>
                <w:bCs w:val="1"/>
                <w:color w:val="auto"/>
              </w:rPr>
              <w:t>ECOG performance status, n (%)</w:t>
            </w:r>
          </w:p>
        </w:tc>
        <w:tc>
          <w:tcPr>
            <w:tcW w:w="1140" w:type="dxa"/>
            <w:vAlign w:val="bottom"/>
            <w:shd w:val="clear" w:color="auto" w:fill="EBF3F3"/>
          </w:tcPr>
          <w:p>
            <w:pPr>
              <w:spacing w:after="0"/>
              <w:rPr>
                <w:sz w:val="14"/>
                <w:szCs w:val="14"/>
                <w:color w:val="auto"/>
              </w:rPr>
            </w:pPr>
          </w:p>
        </w:tc>
        <w:tc>
          <w:tcPr>
            <w:tcW w:w="1280" w:type="dxa"/>
            <w:vAlign w:val="bottom"/>
            <w:shd w:val="clear" w:color="auto" w:fill="EBF3F3"/>
          </w:tcPr>
          <w:p>
            <w:pPr>
              <w:spacing w:after="0"/>
              <w:rPr>
                <w:sz w:val="14"/>
                <w:szCs w:val="14"/>
                <w:color w:val="auto"/>
              </w:rPr>
            </w:pPr>
          </w:p>
        </w:tc>
      </w:tr>
      <w:tr>
        <w:trPr>
          <w:trHeight w:val="193"/>
        </w:trPr>
        <w:tc>
          <w:tcPr>
            <w:tcW w:w="440" w:type="dxa"/>
            <w:vAlign w:val="bottom"/>
            <w:gridSpan w:val="2"/>
            <w:shd w:val="clear" w:color="auto" w:fill="EBF3F3"/>
          </w:tcPr>
          <w:p>
            <w:pPr>
              <w:ind w:left="340"/>
              <w:spacing w:after="0" w:line="193" w:lineRule="exact"/>
              <w:rPr>
                <w:sz w:val="20"/>
                <w:szCs w:val="20"/>
                <w:color w:val="auto"/>
              </w:rPr>
            </w:pPr>
            <w:r>
              <w:rPr>
                <w:rFonts w:ascii="Arial" w:cs="Arial" w:eastAsia="Arial" w:hAnsi="Arial"/>
                <w:sz w:val="17"/>
                <w:szCs w:val="17"/>
                <w:color w:val="auto"/>
                <w:w w:val="84"/>
              </w:rPr>
              <w:t>0</w:t>
            </w:r>
          </w:p>
        </w:tc>
        <w:tc>
          <w:tcPr>
            <w:tcW w:w="8100" w:type="dxa"/>
            <w:vAlign w:val="bottom"/>
            <w:shd w:val="clear" w:color="auto" w:fill="EBF3F3"/>
          </w:tcPr>
          <w:p>
            <w:pPr>
              <w:spacing w:after="0"/>
              <w:rPr>
                <w:sz w:val="16"/>
                <w:szCs w:val="16"/>
                <w:color w:val="auto"/>
              </w:rPr>
            </w:pPr>
          </w:p>
        </w:tc>
        <w:tc>
          <w:tcPr>
            <w:tcW w:w="1140" w:type="dxa"/>
            <w:vAlign w:val="bottom"/>
            <w:shd w:val="clear" w:color="auto" w:fill="EBF3F3"/>
          </w:tcPr>
          <w:p>
            <w:pPr>
              <w:jc w:val="right"/>
              <w:spacing w:after="0" w:line="193" w:lineRule="exact"/>
              <w:rPr>
                <w:sz w:val="20"/>
                <w:szCs w:val="20"/>
                <w:color w:val="auto"/>
              </w:rPr>
            </w:pPr>
            <w:r>
              <w:rPr>
                <w:rFonts w:ascii="Arial" w:cs="Arial" w:eastAsia="Arial" w:hAnsi="Arial"/>
                <w:sz w:val="17"/>
                <w:szCs w:val="17"/>
                <w:color w:val="auto"/>
              </w:rPr>
              <w:t>32</w:t>
            </w:r>
          </w:p>
        </w:tc>
        <w:tc>
          <w:tcPr>
            <w:tcW w:w="1280" w:type="dxa"/>
            <w:vAlign w:val="bottom"/>
            <w:shd w:val="clear" w:color="auto" w:fill="EBF3F3"/>
          </w:tcPr>
          <w:p>
            <w:pPr>
              <w:ind w:left="20"/>
              <w:spacing w:after="0" w:line="193" w:lineRule="exact"/>
              <w:rPr>
                <w:sz w:val="20"/>
                <w:szCs w:val="20"/>
                <w:color w:val="auto"/>
              </w:rPr>
            </w:pPr>
            <w:r>
              <w:rPr>
                <w:rFonts w:ascii="Arial" w:cs="Arial" w:eastAsia="Arial" w:hAnsi="Arial"/>
                <w:sz w:val="17"/>
                <w:szCs w:val="17"/>
                <w:color w:val="auto"/>
              </w:rPr>
              <w:t>(52.5)</w:t>
            </w:r>
          </w:p>
        </w:tc>
      </w:tr>
      <w:tr>
        <w:trPr>
          <w:trHeight w:val="216"/>
        </w:trPr>
        <w:tc>
          <w:tcPr>
            <w:tcW w:w="440" w:type="dxa"/>
            <w:vAlign w:val="bottom"/>
            <w:gridSpan w:val="2"/>
            <w:shd w:val="clear" w:color="auto" w:fill="EBF3F3"/>
          </w:tcPr>
          <w:p>
            <w:pPr>
              <w:ind w:left="340"/>
              <w:spacing w:after="0"/>
              <w:rPr>
                <w:sz w:val="20"/>
                <w:szCs w:val="20"/>
                <w:color w:val="auto"/>
              </w:rPr>
            </w:pPr>
            <w:r>
              <w:rPr>
                <w:rFonts w:ascii="Arial" w:cs="Arial" w:eastAsia="Arial" w:hAnsi="Arial"/>
                <w:sz w:val="17"/>
                <w:szCs w:val="17"/>
                <w:color w:val="auto"/>
                <w:w w:val="84"/>
              </w:rPr>
              <w:t>1</w:t>
            </w:r>
          </w:p>
        </w:tc>
        <w:tc>
          <w:tcPr>
            <w:tcW w:w="8100" w:type="dxa"/>
            <w:vAlign w:val="bottom"/>
            <w:shd w:val="clear" w:color="auto" w:fill="EBF3F3"/>
          </w:tcPr>
          <w:p>
            <w:pPr>
              <w:spacing w:after="0"/>
              <w:rPr>
                <w:sz w:val="18"/>
                <w:szCs w:val="18"/>
                <w:color w:val="auto"/>
              </w:rPr>
            </w:pPr>
          </w:p>
        </w:tc>
        <w:tc>
          <w:tcPr>
            <w:tcW w:w="1140" w:type="dxa"/>
            <w:vAlign w:val="bottom"/>
            <w:shd w:val="clear" w:color="auto" w:fill="EBF3F3"/>
          </w:tcPr>
          <w:p>
            <w:pPr>
              <w:jc w:val="right"/>
              <w:spacing w:after="0"/>
              <w:rPr>
                <w:sz w:val="20"/>
                <w:szCs w:val="20"/>
                <w:color w:val="auto"/>
              </w:rPr>
            </w:pPr>
            <w:r>
              <w:rPr>
                <w:rFonts w:ascii="Arial" w:cs="Arial" w:eastAsia="Arial" w:hAnsi="Arial"/>
                <w:sz w:val="17"/>
                <w:szCs w:val="17"/>
                <w:color w:val="auto"/>
              </w:rPr>
              <w:t>29</w:t>
            </w:r>
          </w:p>
        </w:tc>
        <w:tc>
          <w:tcPr>
            <w:tcW w:w="1280" w:type="dxa"/>
            <w:vAlign w:val="bottom"/>
            <w:shd w:val="clear" w:color="auto" w:fill="EBF3F3"/>
          </w:tcPr>
          <w:p>
            <w:pPr>
              <w:ind w:left="20"/>
              <w:spacing w:after="0"/>
              <w:rPr>
                <w:sz w:val="20"/>
                <w:szCs w:val="20"/>
                <w:color w:val="auto"/>
              </w:rPr>
            </w:pPr>
            <w:r>
              <w:rPr>
                <w:rFonts w:ascii="Arial" w:cs="Arial" w:eastAsia="Arial" w:hAnsi="Arial"/>
                <w:sz w:val="17"/>
                <w:szCs w:val="17"/>
                <w:color w:val="auto"/>
              </w:rPr>
              <w:t>(47.5)</w:t>
            </w:r>
          </w:p>
        </w:tc>
      </w:tr>
      <w:tr>
        <w:trPr>
          <w:trHeight w:val="206"/>
        </w:trPr>
        <w:tc>
          <w:tcPr>
            <w:tcW w:w="8540" w:type="dxa"/>
            <w:vAlign w:val="bottom"/>
            <w:gridSpan w:val="3"/>
            <w:shd w:val="clear" w:color="auto" w:fill="D5E6E4"/>
          </w:tcPr>
          <w:p>
            <w:pPr>
              <w:ind w:left="100"/>
              <w:spacing w:after="0"/>
              <w:rPr>
                <w:sz w:val="20"/>
                <w:szCs w:val="20"/>
                <w:color w:val="auto"/>
              </w:rPr>
            </w:pPr>
            <w:r>
              <w:rPr>
                <w:rFonts w:ascii="Arial" w:cs="Arial" w:eastAsia="Arial" w:hAnsi="Arial"/>
                <w:sz w:val="17"/>
                <w:szCs w:val="17"/>
                <w:color w:val="auto"/>
              </w:rPr>
              <w:t>Median (range) number of prior regimens</w:t>
            </w:r>
          </w:p>
        </w:tc>
        <w:tc>
          <w:tcPr>
            <w:tcW w:w="2420" w:type="dxa"/>
            <w:vAlign w:val="bottom"/>
            <w:gridSpan w:val="2"/>
            <w:shd w:val="clear" w:color="auto" w:fill="D5E6E4"/>
          </w:tcPr>
          <w:p>
            <w:pPr>
              <w:jc w:val="center"/>
              <w:ind w:left="34"/>
              <w:spacing w:after="0"/>
              <w:rPr>
                <w:sz w:val="20"/>
                <w:szCs w:val="20"/>
                <w:color w:val="auto"/>
              </w:rPr>
            </w:pPr>
            <w:r>
              <w:rPr>
                <w:rFonts w:ascii="Arial" w:cs="Arial" w:eastAsia="Arial" w:hAnsi="Arial"/>
                <w:sz w:val="17"/>
                <w:szCs w:val="17"/>
                <w:color w:val="auto"/>
                <w:w w:val="97"/>
              </w:rPr>
              <w:t>3 (1–11)</w:t>
            </w:r>
          </w:p>
        </w:tc>
      </w:tr>
      <w:tr>
        <w:trPr>
          <w:trHeight w:val="206"/>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color w:val="auto"/>
              </w:rPr>
              <w:t>Prior treatment with PD-(L)1 inhibitor, n (%)</w:t>
            </w:r>
          </w:p>
        </w:tc>
        <w:tc>
          <w:tcPr>
            <w:tcW w:w="1140" w:type="dxa"/>
            <w:vAlign w:val="bottom"/>
            <w:shd w:val="clear" w:color="auto" w:fill="EBF3F3"/>
          </w:tcPr>
          <w:p>
            <w:pPr>
              <w:jc w:val="right"/>
              <w:spacing w:after="0"/>
              <w:rPr>
                <w:sz w:val="20"/>
                <w:szCs w:val="20"/>
                <w:color w:val="auto"/>
              </w:rPr>
            </w:pPr>
            <w:r>
              <w:rPr>
                <w:rFonts w:ascii="Arial" w:cs="Arial" w:eastAsia="Arial" w:hAnsi="Arial"/>
                <w:sz w:val="17"/>
                <w:szCs w:val="17"/>
                <w:color w:val="auto"/>
              </w:rPr>
              <w:t>23</w:t>
            </w:r>
          </w:p>
        </w:tc>
        <w:tc>
          <w:tcPr>
            <w:tcW w:w="1280" w:type="dxa"/>
            <w:vAlign w:val="bottom"/>
            <w:shd w:val="clear" w:color="auto" w:fill="EBF3F3"/>
          </w:tcPr>
          <w:p>
            <w:pPr>
              <w:ind w:left="20"/>
              <w:spacing w:after="0"/>
              <w:rPr>
                <w:sz w:val="20"/>
                <w:szCs w:val="20"/>
                <w:color w:val="auto"/>
              </w:rPr>
            </w:pPr>
            <w:r>
              <w:rPr>
                <w:rFonts w:ascii="Arial" w:cs="Arial" w:eastAsia="Arial" w:hAnsi="Arial"/>
                <w:sz w:val="17"/>
                <w:szCs w:val="17"/>
                <w:color w:val="auto"/>
              </w:rPr>
              <w:t>(37.7)</w:t>
            </w:r>
          </w:p>
        </w:tc>
      </w:tr>
      <w:tr>
        <w:trPr>
          <w:trHeight w:val="240"/>
        </w:trPr>
        <w:tc>
          <w:tcPr>
            <w:tcW w:w="8540" w:type="dxa"/>
            <w:vAlign w:val="bottom"/>
            <w:gridSpan w:val="3"/>
          </w:tcPr>
          <w:p>
            <w:pPr>
              <w:spacing w:after="0"/>
              <w:rPr>
                <w:sz w:val="20"/>
                <w:szCs w:val="20"/>
                <w:color w:val="auto"/>
              </w:rPr>
            </w:pPr>
            <w:r>
              <w:rPr>
                <w:rFonts w:ascii="Arial" w:cs="Arial" w:eastAsia="Arial" w:hAnsi="Arial"/>
                <w:sz w:val="14"/>
                <w:szCs w:val="14"/>
                <w:color w:val="auto"/>
              </w:rPr>
              <w:t>Data cut-off: August 31, 2020.</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57"/>
        </w:trPr>
        <w:tc>
          <w:tcPr>
            <w:tcW w:w="8540" w:type="dxa"/>
            <w:vAlign w:val="bottom"/>
            <w:gridSpan w:val="3"/>
          </w:tcPr>
          <w:p>
            <w:pPr>
              <w:spacing w:after="0" w:line="157" w:lineRule="exact"/>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Cancer types occurring in &lt;5 patients were categorized as “Other”.</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6"/>
        </w:trPr>
        <w:tc>
          <w:tcPr>
            <w:tcW w:w="8540" w:type="dxa"/>
            <w:vAlign w:val="bottom"/>
            <w:gridSpan w:val="3"/>
          </w:tcPr>
          <w:p>
            <w:pPr>
              <w:spacing w:after="0"/>
              <w:rPr>
                <w:sz w:val="20"/>
                <w:szCs w:val="20"/>
                <w:color w:val="auto"/>
              </w:rPr>
            </w:pPr>
            <w:r>
              <w:rPr>
                <w:rFonts w:ascii="Arial" w:cs="Arial" w:eastAsia="Arial" w:hAnsi="Arial"/>
                <w:sz w:val="14"/>
                <w:szCs w:val="14"/>
                <w:color w:val="auto"/>
              </w:rPr>
              <w:t>ECOG, Eastern Cooperative Oncology Group; NSCLC, non-small cell lung cancer; PD-(L)1, programmed death (ligand) 1.</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57"/>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3"/>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b w:val="1"/>
                <w:bCs w:val="1"/>
                <w:color w:val="auto"/>
              </w:rPr>
              <w:t>Table 2. Patient disposition and exposure</w:t>
            </w:r>
          </w:p>
        </w:tc>
        <w:tc>
          <w:tcPr>
            <w:tcW w:w="1140" w:type="dxa"/>
            <w:vAlign w:val="bottom"/>
            <w:shd w:val="clear" w:color="auto" w:fill="EBF3F3"/>
          </w:tcPr>
          <w:p>
            <w:pPr>
              <w:spacing w:after="0"/>
              <w:rPr>
                <w:sz w:val="24"/>
                <w:szCs w:val="24"/>
                <w:color w:val="auto"/>
              </w:rPr>
            </w:pPr>
          </w:p>
        </w:tc>
        <w:tc>
          <w:tcPr>
            <w:tcW w:w="1280" w:type="dxa"/>
            <w:vAlign w:val="bottom"/>
            <w:shd w:val="clear" w:color="auto" w:fill="EBF3F3"/>
          </w:tcPr>
          <w:p>
            <w:pPr>
              <w:spacing w:after="0"/>
              <w:rPr>
                <w:sz w:val="24"/>
                <w:szCs w:val="24"/>
                <w:color w:val="auto"/>
              </w:rPr>
            </w:pPr>
          </w:p>
        </w:tc>
      </w:tr>
      <w:tr>
        <w:trPr>
          <w:trHeight w:val="168"/>
        </w:trPr>
        <w:tc>
          <w:tcPr>
            <w:tcW w:w="8540" w:type="dxa"/>
            <w:vAlign w:val="bottom"/>
            <w:gridSpan w:val="3"/>
            <w:shd w:val="clear" w:color="auto" w:fill="009D93"/>
          </w:tcPr>
          <w:p>
            <w:pPr>
              <w:ind w:left="100"/>
              <w:spacing w:after="0" w:line="168" w:lineRule="exact"/>
              <w:rPr>
                <w:sz w:val="20"/>
                <w:szCs w:val="20"/>
                <w:color w:val="auto"/>
              </w:rPr>
            </w:pPr>
            <w:r>
              <w:rPr>
                <w:rFonts w:ascii="Arial" w:cs="Arial" w:eastAsia="Arial" w:hAnsi="Arial"/>
                <w:sz w:val="17"/>
                <w:szCs w:val="17"/>
                <w:b w:val="1"/>
                <w:bCs w:val="1"/>
                <w:color w:val="FFFFFF"/>
              </w:rPr>
              <w:t>Dose escalation cohort</w:t>
            </w:r>
          </w:p>
        </w:tc>
        <w:tc>
          <w:tcPr>
            <w:tcW w:w="2420" w:type="dxa"/>
            <w:vAlign w:val="bottom"/>
            <w:gridSpan w:val="2"/>
            <w:shd w:val="clear" w:color="auto" w:fill="009D93"/>
          </w:tcPr>
          <w:p>
            <w:pPr>
              <w:jc w:val="center"/>
              <w:ind w:left="54"/>
              <w:spacing w:after="0" w:line="168" w:lineRule="exact"/>
              <w:rPr>
                <w:sz w:val="20"/>
                <w:szCs w:val="20"/>
                <w:color w:val="auto"/>
              </w:rPr>
            </w:pPr>
            <w:r>
              <w:rPr>
                <w:rFonts w:ascii="Arial" w:cs="Arial" w:eastAsia="Arial" w:hAnsi="Arial"/>
                <w:sz w:val="17"/>
                <w:szCs w:val="17"/>
                <w:b w:val="1"/>
                <w:bCs w:val="1"/>
                <w:color w:val="FFFFFF"/>
              </w:rPr>
              <w:t>All patients</w:t>
            </w:r>
          </w:p>
        </w:tc>
      </w:tr>
      <w:tr>
        <w:trPr>
          <w:trHeight w:val="243"/>
        </w:trPr>
        <w:tc>
          <w:tcPr>
            <w:tcW w:w="340" w:type="dxa"/>
            <w:vAlign w:val="bottom"/>
            <w:shd w:val="clear" w:color="auto" w:fill="009D93"/>
          </w:tcPr>
          <w:p>
            <w:pPr>
              <w:spacing w:after="0"/>
              <w:rPr>
                <w:sz w:val="21"/>
                <w:szCs w:val="21"/>
                <w:color w:val="auto"/>
              </w:rPr>
            </w:pPr>
          </w:p>
        </w:tc>
        <w:tc>
          <w:tcPr>
            <w:tcW w:w="100" w:type="dxa"/>
            <w:vAlign w:val="bottom"/>
            <w:shd w:val="clear" w:color="auto" w:fill="009D93"/>
          </w:tcPr>
          <w:p>
            <w:pPr>
              <w:spacing w:after="0"/>
              <w:rPr>
                <w:sz w:val="21"/>
                <w:szCs w:val="21"/>
                <w:color w:val="auto"/>
              </w:rPr>
            </w:pPr>
          </w:p>
        </w:tc>
        <w:tc>
          <w:tcPr>
            <w:tcW w:w="8100" w:type="dxa"/>
            <w:vAlign w:val="bottom"/>
            <w:shd w:val="clear" w:color="auto" w:fill="009D93"/>
          </w:tcPr>
          <w:p>
            <w:pPr>
              <w:spacing w:after="0"/>
              <w:rPr>
                <w:sz w:val="21"/>
                <w:szCs w:val="21"/>
                <w:color w:val="auto"/>
              </w:rPr>
            </w:pPr>
          </w:p>
        </w:tc>
        <w:tc>
          <w:tcPr>
            <w:tcW w:w="2420" w:type="dxa"/>
            <w:vAlign w:val="bottom"/>
            <w:gridSpan w:val="2"/>
            <w:shd w:val="clear" w:color="auto" w:fill="009D93"/>
          </w:tcPr>
          <w:p>
            <w:pPr>
              <w:jc w:val="center"/>
              <w:ind w:left="34"/>
              <w:spacing w:after="0"/>
              <w:rPr>
                <w:sz w:val="20"/>
                <w:szCs w:val="20"/>
                <w:color w:val="auto"/>
              </w:rPr>
            </w:pPr>
            <w:r>
              <w:rPr>
                <w:rFonts w:ascii="Arial" w:cs="Arial" w:eastAsia="Arial" w:hAnsi="Arial"/>
                <w:sz w:val="17"/>
                <w:szCs w:val="17"/>
                <w:b w:val="1"/>
                <w:bCs w:val="1"/>
                <w:color w:val="FFFFFF"/>
              </w:rPr>
              <w:t>N=61</w:t>
            </w:r>
          </w:p>
        </w:tc>
      </w:tr>
      <w:tr>
        <w:trPr>
          <w:trHeight w:val="64"/>
        </w:trPr>
        <w:tc>
          <w:tcPr>
            <w:tcW w:w="340" w:type="dxa"/>
            <w:vAlign w:val="bottom"/>
            <w:shd w:val="clear" w:color="auto" w:fill="009D93"/>
          </w:tcPr>
          <w:p>
            <w:pPr>
              <w:spacing w:after="0"/>
              <w:rPr>
                <w:sz w:val="5"/>
                <w:szCs w:val="5"/>
                <w:color w:val="auto"/>
              </w:rPr>
            </w:pPr>
          </w:p>
        </w:tc>
        <w:tc>
          <w:tcPr>
            <w:tcW w:w="100" w:type="dxa"/>
            <w:vAlign w:val="bottom"/>
            <w:shd w:val="clear" w:color="auto" w:fill="009D93"/>
          </w:tcPr>
          <w:p>
            <w:pPr>
              <w:spacing w:after="0"/>
              <w:rPr>
                <w:sz w:val="5"/>
                <w:szCs w:val="5"/>
                <w:color w:val="auto"/>
              </w:rPr>
            </w:pPr>
          </w:p>
        </w:tc>
        <w:tc>
          <w:tcPr>
            <w:tcW w:w="8100" w:type="dxa"/>
            <w:vAlign w:val="bottom"/>
            <w:shd w:val="clear" w:color="auto" w:fill="009D93"/>
          </w:tcPr>
          <w:p>
            <w:pPr>
              <w:spacing w:after="0"/>
              <w:rPr>
                <w:sz w:val="5"/>
                <w:szCs w:val="5"/>
                <w:color w:val="auto"/>
              </w:rPr>
            </w:pPr>
          </w:p>
        </w:tc>
        <w:tc>
          <w:tcPr>
            <w:tcW w:w="2420" w:type="dxa"/>
            <w:vAlign w:val="bottom"/>
            <w:gridSpan w:val="2"/>
            <w:shd w:val="clear" w:color="auto" w:fill="009D93"/>
          </w:tcPr>
          <w:p>
            <w:pPr>
              <w:spacing w:after="0"/>
              <w:rPr>
                <w:sz w:val="5"/>
                <w:szCs w:val="5"/>
                <w:color w:val="auto"/>
              </w:rPr>
            </w:pPr>
          </w:p>
        </w:tc>
      </w:tr>
      <w:tr>
        <w:trPr>
          <w:trHeight w:val="206"/>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color w:val="auto"/>
              </w:rPr>
              <w:t>Median (range) duration of follow-up, months</w:t>
            </w:r>
          </w:p>
        </w:tc>
        <w:tc>
          <w:tcPr>
            <w:tcW w:w="2420" w:type="dxa"/>
            <w:vAlign w:val="bottom"/>
            <w:gridSpan w:val="2"/>
            <w:shd w:val="clear" w:color="auto" w:fill="EBF3F3"/>
          </w:tcPr>
          <w:p>
            <w:pPr>
              <w:jc w:val="center"/>
              <w:ind w:left="34"/>
              <w:spacing w:after="0"/>
              <w:rPr>
                <w:sz w:val="20"/>
                <w:szCs w:val="20"/>
                <w:color w:val="auto"/>
              </w:rPr>
            </w:pPr>
            <w:r>
              <w:rPr>
                <w:rFonts w:ascii="Arial" w:cs="Arial" w:eastAsia="Arial" w:hAnsi="Arial"/>
                <w:sz w:val="17"/>
                <w:szCs w:val="17"/>
                <w:color w:val="auto"/>
              </w:rPr>
              <w:t>6.0 (0.3–14.7)</w:t>
            </w:r>
          </w:p>
        </w:tc>
      </w:tr>
      <w:tr>
        <w:trPr>
          <w:trHeight w:val="206"/>
        </w:trPr>
        <w:tc>
          <w:tcPr>
            <w:tcW w:w="8540" w:type="dxa"/>
            <w:vAlign w:val="bottom"/>
            <w:gridSpan w:val="3"/>
            <w:shd w:val="clear" w:color="auto" w:fill="D5E6E4"/>
          </w:tcPr>
          <w:p>
            <w:pPr>
              <w:ind w:left="100"/>
              <w:spacing w:after="0"/>
              <w:rPr>
                <w:sz w:val="20"/>
                <w:szCs w:val="20"/>
                <w:color w:val="auto"/>
              </w:rPr>
            </w:pPr>
            <w:r>
              <w:rPr>
                <w:rFonts w:ascii="Arial" w:cs="Arial" w:eastAsia="Arial" w:hAnsi="Arial"/>
                <w:sz w:val="17"/>
                <w:szCs w:val="17"/>
                <w:color w:val="auto"/>
              </w:rPr>
              <w:t>Treatment ongoing, n (%)</w:t>
            </w:r>
          </w:p>
        </w:tc>
        <w:tc>
          <w:tcPr>
            <w:tcW w:w="1140" w:type="dxa"/>
            <w:vAlign w:val="bottom"/>
            <w:shd w:val="clear" w:color="auto" w:fill="D5E6E4"/>
          </w:tcPr>
          <w:p>
            <w:pPr>
              <w:jc w:val="right"/>
              <w:spacing w:after="0"/>
              <w:rPr>
                <w:sz w:val="20"/>
                <w:szCs w:val="20"/>
                <w:color w:val="auto"/>
              </w:rPr>
            </w:pPr>
            <w:r>
              <w:rPr>
                <w:rFonts w:ascii="Arial" w:cs="Arial" w:eastAsia="Arial" w:hAnsi="Arial"/>
                <w:sz w:val="17"/>
                <w:szCs w:val="17"/>
                <w:color w:val="auto"/>
              </w:rPr>
              <w:t>10</w:t>
            </w:r>
          </w:p>
        </w:tc>
        <w:tc>
          <w:tcPr>
            <w:tcW w:w="1280" w:type="dxa"/>
            <w:vAlign w:val="bottom"/>
            <w:shd w:val="clear" w:color="auto" w:fill="D5E6E4"/>
          </w:tcPr>
          <w:p>
            <w:pPr>
              <w:ind w:left="20"/>
              <w:spacing w:after="0"/>
              <w:rPr>
                <w:sz w:val="20"/>
                <w:szCs w:val="20"/>
                <w:color w:val="auto"/>
              </w:rPr>
            </w:pPr>
            <w:r>
              <w:rPr>
                <w:rFonts w:ascii="Arial" w:cs="Arial" w:eastAsia="Arial" w:hAnsi="Arial"/>
                <w:sz w:val="17"/>
                <w:szCs w:val="17"/>
                <w:color w:val="auto"/>
              </w:rPr>
              <w:t>(16.4)</w:t>
            </w:r>
          </w:p>
        </w:tc>
      </w:tr>
      <w:tr>
        <w:trPr>
          <w:trHeight w:val="183"/>
        </w:trPr>
        <w:tc>
          <w:tcPr>
            <w:tcW w:w="8540" w:type="dxa"/>
            <w:vAlign w:val="bottom"/>
            <w:gridSpan w:val="3"/>
            <w:shd w:val="clear" w:color="auto" w:fill="EBF3F3"/>
          </w:tcPr>
          <w:p>
            <w:pPr>
              <w:ind w:left="100"/>
              <w:spacing w:after="0" w:line="183" w:lineRule="exact"/>
              <w:rPr>
                <w:sz w:val="20"/>
                <w:szCs w:val="20"/>
                <w:color w:val="auto"/>
              </w:rPr>
            </w:pPr>
            <w:r>
              <w:rPr>
                <w:rFonts w:ascii="Arial" w:cs="Arial" w:eastAsia="Arial" w:hAnsi="Arial"/>
                <w:sz w:val="17"/>
                <w:szCs w:val="17"/>
                <w:b w:val="1"/>
                <w:bCs w:val="1"/>
                <w:color w:val="auto"/>
              </w:rPr>
              <w:t>Treatment discontinuation due to, n (%)</w:t>
            </w:r>
          </w:p>
        </w:tc>
        <w:tc>
          <w:tcPr>
            <w:tcW w:w="1140" w:type="dxa"/>
            <w:vAlign w:val="bottom"/>
            <w:shd w:val="clear" w:color="auto" w:fill="EBF3F3"/>
          </w:tcPr>
          <w:p>
            <w:pPr>
              <w:spacing w:after="0"/>
              <w:rPr>
                <w:sz w:val="15"/>
                <w:szCs w:val="15"/>
                <w:color w:val="auto"/>
              </w:rPr>
            </w:pPr>
          </w:p>
        </w:tc>
        <w:tc>
          <w:tcPr>
            <w:tcW w:w="1280" w:type="dxa"/>
            <w:vAlign w:val="bottom"/>
            <w:shd w:val="clear" w:color="auto" w:fill="EBF3F3"/>
          </w:tcPr>
          <w:p>
            <w:pPr>
              <w:spacing w:after="0"/>
              <w:rPr>
                <w:sz w:val="15"/>
                <w:szCs w:val="15"/>
                <w:color w:val="auto"/>
              </w:rPr>
            </w:pPr>
          </w:p>
        </w:tc>
      </w:tr>
      <w:tr>
        <w:trPr>
          <w:trHeight w:val="193"/>
        </w:trPr>
        <w:tc>
          <w:tcPr>
            <w:tcW w:w="8540" w:type="dxa"/>
            <w:vAlign w:val="bottom"/>
            <w:gridSpan w:val="3"/>
            <w:shd w:val="clear" w:color="auto" w:fill="EBF3F3"/>
          </w:tcPr>
          <w:p>
            <w:pPr>
              <w:ind w:left="340"/>
              <w:spacing w:after="0" w:line="193" w:lineRule="exact"/>
              <w:rPr>
                <w:sz w:val="20"/>
                <w:szCs w:val="20"/>
                <w:color w:val="auto"/>
              </w:rPr>
            </w:pPr>
            <w:r>
              <w:rPr>
                <w:rFonts w:ascii="Arial" w:cs="Arial" w:eastAsia="Arial" w:hAnsi="Arial"/>
                <w:sz w:val="17"/>
                <w:szCs w:val="17"/>
                <w:color w:val="auto"/>
              </w:rPr>
              <w:t>Progressive disease</w:t>
            </w:r>
          </w:p>
        </w:tc>
        <w:tc>
          <w:tcPr>
            <w:tcW w:w="1140" w:type="dxa"/>
            <w:vAlign w:val="bottom"/>
            <w:shd w:val="clear" w:color="auto" w:fill="EBF3F3"/>
          </w:tcPr>
          <w:p>
            <w:pPr>
              <w:jc w:val="right"/>
              <w:spacing w:after="0" w:line="193" w:lineRule="exact"/>
              <w:rPr>
                <w:sz w:val="20"/>
                <w:szCs w:val="20"/>
                <w:color w:val="auto"/>
              </w:rPr>
            </w:pPr>
            <w:r>
              <w:rPr>
                <w:rFonts w:ascii="Arial" w:cs="Arial" w:eastAsia="Arial" w:hAnsi="Arial"/>
                <w:sz w:val="17"/>
                <w:szCs w:val="17"/>
                <w:color w:val="auto"/>
              </w:rPr>
              <w:t>44</w:t>
            </w:r>
          </w:p>
        </w:tc>
        <w:tc>
          <w:tcPr>
            <w:tcW w:w="1280" w:type="dxa"/>
            <w:vAlign w:val="bottom"/>
            <w:shd w:val="clear" w:color="auto" w:fill="EBF3F3"/>
          </w:tcPr>
          <w:p>
            <w:pPr>
              <w:ind w:left="20"/>
              <w:spacing w:after="0" w:line="193" w:lineRule="exact"/>
              <w:rPr>
                <w:sz w:val="20"/>
                <w:szCs w:val="20"/>
                <w:color w:val="auto"/>
              </w:rPr>
            </w:pPr>
            <w:r>
              <w:rPr>
                <w:rFonts w:ascii="Arial" w:cs="Arial" w:eastAsia="Arial" w:hAnsi="Arial"/>
                <w:sz w:val="17"/>
                <w:szCs w:val="17"/>
                <w:color w:val="auto"/>
              </w:rPr>
              <w:t>(72.1)</w:t>
            </w:r>
          </w:p>
        </w:tc>
      </w:tr>
      <w:tr>
        <w:trPr>
          <w:trHeight w:val="193"/>
        </w:trPr>
        <w:tc>
          <w:tcPr>
            <w:tcW w:w="8540" w:type="dxa"/>
            <w:vAlign w:val="bottom"/>
            <w:gridSpan w:val="3"/>
            <w:shd w:val="clear" w:color="auto" w:fill="EBF3F3"/>
          </w:tcPr>
          <w:p>
            <w:pPr>
              <w:ind w:left="340"/>
              <w:spacing w:after="0" w:line="193" w:lineRule="exact"/>
              <w:rPr>
                <w:sz w:val="20"/>
                <w:szCs w:val="20"/>
                <w:color w:val="auto"/>
              </w:rPr>
            </w:pPr>
            <w:r>
              <w:rPr>
                <w:rFonts w:ascii="Arial" w:cs="Arial" w:eastAsia="Arial" w:hAnsi="Arial"/>
                <w:sz w:val="17"/>
                <w:szCs w:val="17"/>
                <w:color w:val="auto"/>
              </w:rPr>
              <w:t>AE</w:t>
            </w:r>
          </w:p>
        </w:tc>
        <w:tc>
          <w:tcPr>
            <w:tcW w:w="1140" w:type="dxa"/>
            <w:vAlign w:val="bottom"/>
            <w:shd w:val="clear" w:color="auto" w:fill="EBF3F3"/>
          </w:tcPr>
          <w:p>
            <w:pPr>
              <w:jc w:val="right"/>
              <w:spacing w:after="0" w:line="193" w:lineRule="exact"/>
              <w:rPr>
                <w:sz w:val="20"/>
                <w:szCs w:val="20"/>
                <w:color w:val="auto"/>
              </w:rPr>
            </w:pPr>
            <w:r>
              <w:rPr>
                <w:rFonts w:ascii="Arial" w:cs="Arial" w:eastAsia="Arial" w:hAnsi="Arial"/>
                <w:sz w:val="17"/>
                <w:szCs w:val="17"/>
                <w:color w:val="auto"/>
              </w:rPr>
              <w:t>6</w:t>
            </w:r>
          </w:p>
        </w:tc>
        <w:tc>
          <w:tcPr>
            <w:tcW w:w="1280" w:type="dxa"/>
            <w:vAlign w:val="bottom"/>
            <w:shd w:val="clear" w:color="auto" w:fill="EBF3F3"/>
          </w:tcPr>
          <w:p>
            <w:pPr>
              <w:ind w:left="20"/>
              <w:spacing w:after="0" w:line="193" w:lineRule="exact"/>
              <w:rPr>
                <w:sz w:val="20"/>
                <w:szCs w:val="20"/>
                <w:color w:val="auto"/>
              </w:rPr>
            </w:pPr>
            <w:r>
              <w:rPr>
                <w:rFonts w:ascii="Arial" w:cs="Arial" w:eastAsia="Arial" w:hAnsi="Arial"/>
                <w:sz w:val="17"/>
                <w:szCs w:val="17"/>
                <w:color w:val="auto"/>
              </w:rPr>
              <w:t>(9.8)</w:t>
            </w:r>
          </w:p>
        </w:tc>
      </w:tr>
      <w:tr>
        <w:trPr>
          <w:trHeight w:val="216"/>
        </w:trPr>
        <w:tc>
          <w:tcPr>
            <w:tcW w:w="8540" w:type="dxa"/>
            <w:vAlign w:val="bottom"/>
            <w:gridSpan w:val="3"/>
            <w:shd w:val="clear" w:color="auto" w:fill="EBF3F3"/>
          </w:tcPr>
          <w:p>
            <w:pPr>
              <w:ind w:left="340"/>
              <w:spacing w:after="0"/>
              <w:rPr>
                <w:sz w:val="20"/>
                <w:szCs w:val="20"/>
                <w:color w:val="auto"/>
              </w:rPr>
            </w:pPr>
            <w:r>
              <w:rPr>
                <w:rFonts w:ascii="Arial" w:cs="Arial" w:eastAsia="Arial" w:hAnsi="Arial"/>
                <w:sz w:val="17"/>
                <w:szCs w:val="17"/>
                <w:color w:val="auto"/>
              </w:rPr>
              <w:t>Death</w:t>
            </w:r>
          </w:p>
        </w:tc>
        <w:tc>
          <w:tcPr>
            <w:tcW w:w="2420" w:type="dxa"/>
            <w:vAlign w:val="bottom"/>
            <w:gridSpan w:val="2"/>
            <w:shd w:val="clear" w:color="auto" w:fill="EBF3F3"/>
          </w:tcPr>
          <w:p>
            <w:pPr>
              <w:jc w:val="center"/>
              <w:ind w:left="34"/>
              <w:spacing w:after="0"/>
              <w:rPr>
                <w:sz w:val="20"/>
                <w:szCs w:val="20"/>
                <w:color w:val="auto"/>
              </w:rPr>
            </w:pPr>
            <w:r>
              <w:rPr>
                <w:rFonts w:ascii="Arial" w:cs="Arial" w:eastAsia="Arial" w:hAnsi="Arial"/>
                <w:sz w:val="17"/>
                <w:szCs w:val="17"/>
                <w:color w:val="auto"/>
              </w:rPr>
              <w:t>1 (1.6)</w:t>
            </w:r>
            <w:r>
              <w:rPr>
                <w:rFonts w:ascii="Arial" w:cs="Arial" w:eastAsia="Arial" w:hAnsi="Arial"/>
                <w:sz w:val="14"/>
                <w:szCs w:val="14"/>
                <w:color w:val="auto"/>
              </w:rPr>
              <w:t>a</w:t>
            </w:r>
          </w:p>
        </w:tc>
      </w:tr>
      <w:tr>
        <w:trPr>
          <w:trHeight w:val="193"/>
        </w:trPr>
        <w:tc>
          <w:tcPr>
            <w:tcW w:w="8540" w:type="dxa"/>
            <w:vAlign w:val="bottom"/>
            <w:gridSpan w:val="3"/>
            <w:shd w:val="clear" w:color="auto" w:fill="D5E6E4"/>
          </w:tcPr>
          <w:p>
            <w:pPr>
              <w:ind w:left="100"/>
              <w:spacing w:after="0" w:line="193" w:lineRule="exact"/>
              <w:rPr>
                <w:sz w:val="20"/>
                <w:szCs w:val="20"/>
                <w:color w:val="auto"/>
              </w:rPr>
            </w:pPr>
            <w:r>
              <w:rPr>
                <w:rFonts w:ascii="Arial" w:cs="Arial" w:eastAsia="Arial" w:hAnsi="Arial"/>
                <w:sz w:val="17"/>
                <w:szCs w:val="17"/>
                <w:color w:val="auto"/>
              </w:rPr>
              <w:t>Median (range) number of GEN1046 dose infusions</w:t>
            </w:r>
          </w:p>
        </w:tc>
        <w:tc>
          <w:tcPr>
            <w:tcW w:w="2420" w:type="dxa"/>
            <w:vAlign w:val="bottom"/>
            <w:gridSpan w:val="2"/>
            <w:shd w:val="clear" w:color="auto" w:fill="D5E6E4"/>
          </w:tcPr>
          <w:p>
            <w:pPr>
              <w:jc w:val="center"/>
              <w:ind w:left="54"/>
              <w:spacing w:after="0" w:line="193" w:lineRule="exact"/>
              <w:rPr>
                <w:sz w:val="20"/>
                <w:szCs w:val="20"/>
                <w:color w:val="auto"/>
              </w:rPr>
            </w:pPr>
            <w:r>
              <w:rPr>
                <w:rFonts w:ascii="Arial" w:cs="Arial" w:eastAsia="Arial" w:hAnsi="Arial"/>
                <w:sz w:val="17"/>
                <w:szCs w:val="17"/>
                <w:color w:val="auto"/>
              </w:rPr>
              <w:t>4 (1–18)</w:t>
            </w:r>
          </w:p>
        </w:tc>
      </w:tr>
      <w:tr>
        <w:trPr>
          <w:trHeight w:val="206"/>
        </w:trPr>
        <w:tc>
          <w:tcPr>
            <w:tcW w:w="8540" w:type="dxa"/>
            <w:vAlign w:val="bottom"/>
            <w:gridSpan w:val="3"/>
            <w:shd w:val="clear" w:color="auto" w:fill="EBF3F3"/>
          </w:tcPr>
          <w:p>
            <w:pPr>
              <w:ind w:left="100"/>
              <w:spacing w:after="0"/>
              <w:rPr>
                <w:sz w:val="20"/>
                <w:szCs w:val="20"/>
                <w:color w:val="auto"/>
              </w:rPr>
            </w:pPr>
            <w:r>
              <w:rPr>
                <w:rFonts w:ascii="Arial" w:cs="Arial" w:eastAsia="Arial" w:hAnsi="Arial"/>
                <w:sz w:val="17"/>
                <w:szCs w:val="17"/>
                <w:color w:val="auto"/>
              </w:rPr>
              <w:t>Median (range) duration of exposure, months</w:t>
            </w:r>
          </w:p>
        </w:tc>
        <w:tc>
          <w:tcPr>
            <w:tcW w:w="2420" w:type="dxa"/>
            <w:vAlign w:val="bottom"/>
            <w:gridSpan w:val="2"/>
            <w:shd w:val="clear" w:color="auto" w:fill="EBF3F3"/>
          </w:tcPr>
          <w:p>
            <w:pPr>
              <w:jc w:val="center"/>
              <w:ind w:left="54"/>
              <w:spacing w:after="0"/>
              <w:rPr>
                <w:sz w:val="20"/>
                <w:szCs w:val="20"/>
                <w:color w:val="auto"/>
              </w:rPr>
            </w:pPr>
            <w:r>
              <w:rPr>
                <w:rFonts w:ascii="Arial" w:cs="Arial" w:eastAsia="Arial" w:hAnsi="Arial"/>
                <w:sz w:val="17"/>
                <w:szCs w:val="17"/>
                <w:color w:val="auto"/>
              </w:rPr>
              <w:t>3 (0.7–13.9)</w:t>
            </w:r>
          </w:p>
        </w:tc>
      </w:tr>
      <w:tr>
        <w:trPr>
          <w:trHeight w:val="244"/>
        </w:trPr>
        <w:tc>
          <w:tcPr>
            <w:tcW w:w="8540" w:type="dxa"/>
            <w:vAlign w:val="bottom"/>
            <w:gridSpan w:val="3"/>
          </w:tcPr>
          <w:p>
            <w:pPr>
              <w:ind w:left="80"/>
              <w:spacing w:after="0"/>
              <w:rPr>
                <w:sz w:val="20"/>
                <w:szCs w:val="20"/>
                <w:color w:val="auto"/>
              </w:rPr>
            </w:pPr>
            <w:r>
              <w:rPr>
                <w:rFonts w:ascii="Arial" w:cs="Arial" w:eastAsia="Arial" w:hAnsi="Arial"/>
                <w:sz w:val="14"/>
                <w:szCs w:val="14"/>
                <w:color w:val="auto"/>
              </w:rPr>
              <w:t>Data cut-off: August 31, 2020.</w:t>
            </w: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51"/>
        </w:trPr>
        <w:tc>
          <w:tcPr>
            <w:tcW w:w="8540" w:type="dxa"/>
            <w:vAlign w:val="bottom"/>
            <w:gridSpan w:val="3"/>
          </w:tcPr>
          <w:p>
            <w:pPr>
              <w:ind w:left="80"/>
              <w:spacing w:after="0" w:line="151" w:lineRule="exact"/>
              <w:rPr>
                <w:sz w:val="20"/>
                <w:szCs w:val="20"/>
                <w:color w:val="auto"/>
              </w:rPr>
            </w:pPr>
            <w:r>
              <w:rPr>
                <w:rFonts w:ascii="Arial" w:cs="Arial" w:eastAsia="Arial" w:hAnsi="Arial"/>
                <w:sz w:val="14"/>
                <w:szCs w:val="14"/>
                <w:color w:val="auto"/>
              </w:rPr>
              <w:t>AE, adverse event.</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13"/>
        </w:trPr>
        <w:tc>
          <w:tcPr>
            <w:tcW w:w="8540" w:type="dxa"/>
            <w:vAlign w:val="bottom"/>
            <w:gridSpan w:val="3"/>
          </w:tcPr>
          <w:p>
            <w:pPr>
              <w:ind w:left="80"/>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4"/>
                <w:szCs w:val="14"/>
                <w:color w:val="auto"/>
              </w:rPr>
              <w:t>Related to disease progression.</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980" w:orient="portrait"/>
          <w:cols w:equalWidth="0" w:num="1">
            <w:col w:w="10982"/>
          </w:cols>
          <w:pgMar w:left="438" w:top="298" w:right="479" w:bottom="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5495" cy="194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94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8348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8348980"/>
                    </a:xfrm>
                    <a:prstGeom prst="rect">
                      <a:avLst/>
                    </a:prstGeom>
                    <a:noFill/>
                  </pic:spPr>
                </pic:pic>
              </a:graphicData>
            </a:graphic>
          </wp:anchor>
        </w:drawing>
        <w:t>Safety</w:t>
      </w:r>
    </w:p>
    <w:p>
      <w:pPr>
        <w:spacing w:after="0" w:line="49" w:lineRule="exact"/>
        <w:rPr>
          <w:sz w:val="20"/>
          <w:szCs w:val="20"/>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Treatment-emergent adverse events (TEAEs) occurred in 58 (95.1%) patients. Most AEs were Grade 1–2 (</w:t>
      </w:r>
      <w:r>
        <w:rPr>
          <w:rFonts w:ascii="Arial" w:cs="Arial" w:eastAsia="Arial" w:hAnsi="Arial"/>
          <w:sz w:val="17"/>
          <w:szCs w:val="17"/>
          <w:b w:val="1"/>
          <w:bCs w:val="1"/>
          <w:color w:val="auto"/>
        </w:rPr>
        <w:t>Figure 3</w:t>
      </w: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most common (</w:t>
      </w:r>
      <w:r>
        <w:rPr>
          <w:rFonts w:ascii="Times New Roman" w:cs="Times New Roman" w:eastAsia="Times New Roman" w:hAnsi="Times New Roman"/>
          <w:sz w:val="17"/>
          <w:szCs w:val="17"/>
          <w:color w:val="auto"/>
        </w:rPr>
        <w:t>³</w:t>
      </w:r>
      <w:r>
        <w:rPr>
          <w:rFonts w:ascii="Arial" w:cs="Arial" w:eastAsia="Arial" w:hAnsi="Arial"/>
          <w:sz w:val="17"/>
          <w:szCs w:val="17"/>
          <w:color w:val="auto"/>
        </w:rPr>
        <w:t>10%) TEAEs were transaminase elevations, anemia, and asthenia.</w:t>
      </w:r>
    </w:p>
    <w:p>
      <w:pPr>
        <w:spacing w:after="0" w:line="9" w:lineRule="exact"/>
        <w:rPr>
          <w:rFonts w:ascii="Arial" w:cs="Arial" w:eastAsia="Arial" w:hAnsi="Arial"/>
          <w:sz w:val="17"/>
          <w:szCs w:val="17"/>
          <w:color w:val="auto"/>
        </w:rPr>
      </w:pPr>
    </w:p>
    <w:p>
      <w:pPr>
        <w:ind w:left="320"/>
        <w:spacing w:after="0" w:line="236" w:lineRule="auto"/>
        <w:rPr>
          <w:rFonts w:ascii="Arial" w:cs="Arial" w:eastAsia="Arial" w:hAnsi="Arial"/>
          <w:sz w:val="17"/>
          <w:szCs w:val="17"/>
          <w:color w:val="auto"/>
        </w:rPr>
      </w:pPr>
      <w:r>
        <w:rPr>
          <w:rFonts w:ascii="Arial" w:cs="Arial" w:eastAsia="Arial" w:hAnsi="Arial"/>
          <w:sz w:val="17"/>
          <w:szCs w:val="17"/>
          <w:color w:val="auto"/>
        </w:rPr>
        <w:t>–Grade 3–4 TEAEs were experienced by 36 (59.0%) patients.</w:t>
      </w:r>
    </w:p>
    <w:p>
      <w:pPr>
        <w:ind w:left="740" w:right="160" w:hanging="424"/>
        <w:spacing w:after="0" w:line="253" w:lineRule="auto"/>
        <w:rPr>
          <w:rFonts w:ascii="Arial" w:cs="Arial" w:eastAsia="Arial" w:hAnsi="Arial"/>
          <w:sz w:val="17"/>
          <w:szCs w:val="17"/>
          <w:color w:val="auto"/>
        </w:rPr>
      </w:pPr>
      <w:r>
        <w:rPr>
          <w:rFonts w:ascii="Arial" w:cs="Arial" w:eastAsia="Arial" w:hAnsi="Arial"/>
          <w:sz w:val="17"/>
          <w:szCs w:val="17"/>
          <w:color w:val="auto"/>
        </w:rPr>
        <w:t>–Treatment-emergent transaminase elevations (AST increased and/or ALT increased, transaminase increased) occurred in 32.8% of patients (Grade 3: 16.4%).</w:t>
      </w:r>
    </w:p>
    <w:p>
      <w:pPr>
        <w:spacing w:after="0" w:line="26" w:lineRule="exact"/>
        <w:rPr>
          <w:rFonts w:ascii="Arial" w:cs="Arial" w:eastAsia="Arial" w:hAnsi="Arial"/>
          <w:sz w:val="17"/>
          <w:szCs w:val="17"/>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Treatment-related adverse events (TRAEs) occurred in 43 (70.5%) patients (</w:t>
      </w:r>
      <w:r>
        <w:rPr>
          <w:rFonts w:ascii="Arial" w:cs="Arial" w:eastAsia="Arial" w:hAnsi="Arial"/>
          <w:sz w:val="17"/>
          <w:szCs w:val="17"/>
          <w:b w:val="1"/>
          <w:bCs w:val="1"/>
          <w:color w:val="auto"/>
        </w:rPr>
        <w:t>Table 3</w:t>
      </w:r>
      <w:r>
        <w:rPr>
          <w:rFonts w:ascii="Arial" w:cs="Arial" w:eastAsia="Arial" w:hAnsi="Arial"/>
          <w:sz w:val="17"/>
          <w:szCs w:val="17"/>
          <w:color w:val="auto"/>
        </w:rPr>
        <w:t>).</w:t>
      </w:r>
    </w:p>
    <w:p>
      <w:pPr>
        <w:spacing w:after="0" w:line="21" w:lineRule="exact"/>
        <w:rPr>
          <w:rFonts w:ascii="Arial" w:cs="Arial" w:eastAsia="Arial" w:hAnsi="Arial"/>
          <w:sz w:val="17"/>
          <w:szCs w:val="17"/>
          <w:color w:val="auto"/>
        </w:rPr>
      </w:pPr>
    </w:p>
    <w:p>
      <w:pPr>
        <w:ind w:left="320"/>
        <w:spacing w:after="0" w:line="236" w:lineRule="auto"/>
        <w:rPr>
          <w:rFonts w:ascii="Arial" w:cs="Arial" w:eastAsia="Arial" w:hAnsi="Arial"/>
          <w:sz w:val="17"/>
          <w:szCs w:val="17"/>
          <w:color w:val="auto"/>
        </w:rPr>
      </w:pPr>
      <w:r>
        <w:rPr>
          <w:rFonts w:ascii="Arial" w:cs="Arial" w:eastAsia="Arial" w:hAnsi="Arial"/>
          <w:sz w:val="17"/>
          <w:szCs w:val="17"/>
          <w:color w:val="auto"/>
        </w:rPr>
        <w:t>–Grade 3–4 TRAEs were experienced by 17 (27.9%) patients.</w:t>
      </w:r>
    </w:p>
    <w:p>
      <w:pPr>
        <w:ind w:left="740" w:right="440" w:hanging="424"/>
        <w:spacing w:after="0" w:line="253" w:lineRule="auto"/>
        <w:rPr>
          <w:rFonts w:ascii="Arial" w:cs="Arial" w:eastAsia="Arial" w:hAnsi="Arial"/>
          <w:sz w:val="17"/>
          <w:szCs w:val="17"/>
          <w:color w:val="auto"/>
        </w:rPr>
      </w:pPr>
      <w:r>
        <w:rPr>
          <w:rFonts w:ascii="Arial" w:cs="Arial" w:eastAsia="Arial" w:hAnsi="Arial"/>
          <w:sz w:val="17"/>
          <w:szCs w:val="17"/>
          <w:color w:val="auto"/>
        </w:rPr>
        <w:t>–Treatment-related transaminase elevation (AST increased and/or ALT increased, transaminase increased) occurred in 26.2% of patients (Grade 3: 9.8%) and improved with corticosteroid administration.</w:t>
      </w:r>
    </w:p>
    <w:p>
      <w:pPr>
        <w:spacing w:after="0" w:line="28" w:lineRule="exact"/>
        <w:rPr>
          <w:rFonts w:ascii="Arial" w:cs="Arial" w:eastAsia="Arial" w:hAnsi="Arial"/>
          <w:sz w:val="17"/>
          <w:szCs w:val="17"/>
          <w:color w:val="auto"/>
        </w:rPr>
      </w:pPr>
    </w:p>
    <w:p>
      <w:pPr>
        <w:ind w:left="320" w:hanging="316"/>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patients had treatment-related bilirubin or Grade 4 transaminase elevations.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Table 3. TRAEs occurring in </w:t>
      </w:r>
      <w:r>
        <w:rPr>
          <w:rFonts w:ascii="Times New Roman" w:cs="Times New Roman" w:eastAsia="Times New Roman" w:hAnsi="Times New Roman"/>
          <w:sz w:val="17"/>
          <w:szCs w:val="17"/>
          <w:color w:val="auto"/>
        </w:rPr>
        <w:t>³</w:t>
      </w:r>
      <w:r>
        <w:rPr>
          <w:rFonts w:ascii="Arial" w:cs="Arial" w:eastAsia="Arial" w:hAnsi="Arial"/>
          <w:sz w:val="17"/>
          <w:szCs w:val="17"/>
          <w:b w:val="1"/>
          <w:bCs w:val="1"/>
          <w:color w:val="auto"/>
        </w:rPr>
        <w:t>10% of patients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gridSpan w:val="3"/>
            <w:shd w:val="clear" w:color="auto" w:fill="009D93"/>
          </w:tcPr>
          <w:p>
            <w:pPr>
              <w:ind w:left="180"/>
              <w:spacing w:after="0"/>
              <w:rPr>
                <w:sz w:val="20"/>
                <w:szCs w:val="20"/>
                <w:color w:val="auto"/>
              </w:rPr>
            </w:pPr>
            <w:r>
              <w:rPr>
                <w:rFonts w:ascii="Arial" w:cs="Arial" w:eastAsia="Arial" w:hAnsi="Arial"/>
                <w:sz w:val="14"/>
                <w:szCs w:val="14"/>
                <w:b w:val="1"/>
                <w:bCs w:val="1"/>
                <w:color w:val="FFFFFF"/>
              </w:rPr>
              <w:t>Dose escalation cohort</w:t>
            </w:r>
          </w:p>
        </w:tc>
        <w:tc>
          <w:tcPr>
            <w:tcW w:w="1980" w:type="dxa"/>
            <w:vAlign w:val="bottom"/>
            <w:shd w:val="clear" w:color="auto" w:fill="009D93"/>
          </w:tcPr>
          <w:p>
            <w:pPr>
              <w:spacing w:after="0"/>
              <w:rPr>
                <w:sz w:val="15"/>
                <w:szCs w:val="15"/>
                <w:color w:val="auto"/>
              </w:rPr>
            </w:pPr>
          </w:p>
        </w:tc>
        <w:tc>
          <w:tcPr>
            <w:tcW w:w="2060" w:type="dxa"/>
            <w:vAlign w:val="bottom"/>
            <w:gridSpan w:val="2"/>
            <w:shd w:val="clear" w:color="auto" w:fill="009D93"/>
          </w:tcPr>
          <w:p>
            <w:pPr>
              <w:jc w:val="center"/>
              <w:ind w:left="281"/>
              <w:spacing w:after="0"/>
              <w:rPr>
                <w:sz w:val="20"/>
                <w:szCs w:val="20"/>
                <w:color w:val="auto"/>
              </w:rPr>
            </w:pPr>
            <w:r>
              <w:rPr>
                <w:rFonts w:ascii="Arial" w:cs="Arial" w:eastAsia="Arial" w:hAnsi="Arial"/>
                <w:sz w:val="14"/>
                <w:szCs w:val="14"/>
                <w:b w:val="1"/>
                <w:bCs w:val="1"/>
                <w:color w:val="FFFFFF"/>
                <w:w w:val="98"/>
              </w:rPr>
              <w:t>All patients</w:t>
            </w:r>
          </w:p>
        </w:tc>
        <w:tc>
          <w:tcPr>
            <w:tcW w:w="1660" w:type="dxa"/>
            <w:vAlign w:val="bottom"/>
            <w:shd w:val="clear" w:color="auto" w:fill="009D93"/>
          </w:tcPr>
          <w:p>
            <w:pPr>
              <w:spacing w:after="0"/>
              <w:rPr>
                <w:sz w:val="15"/>
                <w:szCs w:val="15"/>
                <w:color w:val="auto"/>
              </w:rPr>
            </w:pPr>
          </w:p>
        </w:tc>
      </w:tr>
      <w:tr>
        <w:trPr>
          <w:trHeight w:val="154"/>
        </w:trPr>
        <w:tc>
          <w:tcPr>
            <w:tcW w:w="860" w:type="dxa"/>
            <w:vAlign w:val="bottom"/>
            <w:shd w:val="clear" w:color="auto" w:fill="009D93"/>
          </w:tcPr>
          <w:p>
            <w:pPr>
              <w:spacing w:after="0"/>
              <w:rPr>
                <w:sz w:val="13"/>
                <w:szCs w:val="13"/>
                <w:color w:val="auto"/>
              </w:rPr>
            </w:pPr>
          </w:p>
        </w:tc>
        <w:tc>
          <w:tcPr>
            <w:tcW w:w="100" w:type="dxa"/>
            <w:vAlign w:val="bottom"/>
            <w:shd w:val="clear" w:color="auto" w:fill="009D93"/>
          </w:tcPr>
          <w:p>
            <w:pPr>
              <w:spacing w:after="0"/>
              <w:rPr>
                <w:sz w:val="13"/>
                <w:szCs w:val="13"/>
                <w:color w:val="auto"/>
              </w:rPr>
            </w:pPr>
          </w:p>
        </w:tc>
        <w:tc>
          <w:tcPr>
            <w:tcW w:w="4180" w:type="dxa"/>
            <w:vAlign w:val="bottom"/>
            <w:shd w:val="clear" w:color="auto" w:fill="009D93"/>
          </w:tcPr>
          <w:p>
            <w:pPr>
              <w:spacing w:after="0"/>
              <w:rPr>
                <w:sz w:val="13"/>
                <w:szCs w:val="13"/>
                <w:color w:val="auto"/>
              </w:rPr>
            </w:pPr>
          </w:p>
        </w:tc>
        <w:tc>
          <w:tcPr>
            <w:tcW w:w="1980" w:type="dxa"/>
            <w:vAlign w:val="bottom"/>
            <w:shd w:val="clear" w:color="auto" w:fill="009D93"/>
          </w:tcPr>
          <w:p>
            <w:pPr>
              <w:spacing w:after="0"/>
              <w:rPr>
                <w:sz w:val="13"/>
                <w:szCs w:val="13"/>
                <w:color w:val="auto"/>
              </w:rPr>
            </w:pPr>
          </w:p>
        </w:tc>
        <w:tc>
          <w:tcPr>
            <w:tcW w:w="980" w:type="dxa"/>
            <w:vAlign w:val="bottom"/>
            <w:shd w:val="clear" w:color="auto" w:fill="009D93"/>
          </w:tcPr>
          <w:p>
            <w:pPr>
              <w:spacing w:after="0"/>
              <w:rPr>
                <w:sz w:val="13"/>
                <w:szCs w:val="13"/>
                <w:color w:val="auto"/>
              </w:rPr>
            </w:pPr>
          </w:p>
        </w:tc>
        <w:tc>
          <w:tcPr>
            <w:tcW w:w="1080" w:type="dxa"/>
            <w:vAlign w:val="bottom"/>
            <w:shd w:val="clear" w:color="auto" w:fill="009D93"/>
          </w:tcPr>
          <w:p>
            <w:pPr>
              <w:jc w:val="center"/>
              <w:ind w:right="538"/>
              <w:spacing w:after="0" w:line="154" w:lineRule="exact"/>
              <w:rPr>
                <w:sz w:val="20"/>
                <w:szCs w:val="20"/>
                <w:color w:val="auto"/>
              </w:rPr>
            </w:pPr>
            <w:r>
              <w:rPr>
                <w:rFonts w:ascii="Arial" w:cs="Arial" w:eastAsia="Arial" w:hAnsi="Arial"/>
                <w:sz w:val="14"/>
                <w:szCs w:val="14"/>
                <w:b w:val="1"/>
                <w:bCs w:val="1"/>
                <w:color w:val="FFFFFF"/>
                <w:w w:val="97"/>
              </w:rPr>
              <w:t>(N=61)</w:t>
            </w:r>
          </w:p>
        </w:tc>
        <w:tc>
          <w:tcPr>
            <w:tcW w:w="1660" w:type="dxa"/>
            <w:vAlign w:val="bottom"/>
            <w:shd w:val="clear" w:color="auto" w:fill="009D93"/>
          </w:tcPr>
          <w:p>
            <w:pPr>
              <w:spacing w:after="0"/>
              <w:rPr>
                <w:sz w:val="13"/>
                <w:szCs w:val="13"/>
                <w:color w:val="auto"/>
              </w:rPr>
            </w:pPr>
          </w:p>
        </w:tc>
      </w:tr>
      <w:tr>
        <w:trPr>
          <w:trHeight w:val="167"/>
        </w:trPr>
        <w:tc>
          <w:tcPr>
            <w:tcW w:w="860" w:type="dxa"/>
            <w:vAlign w:val="bottom"/>
            <w:shd w:val="clear" w:color="auto" w:fill="009D93"/>
          </w:tcPr>
          <w:p>
            <w:pPr>
              <w:spacing w:after="0"/>
              <w:rPr>
                <w:sz w:val="14"/>
                <w:szCs w:val="14"/>
                <w:color w:val="auto"/>
              </w:rPr>
            </w:pPr>
          </w:p>
        </w:tc>
        <w:tc>
          <w:tcPr>
            <w:tcW w:w="100" w:type="dxa"/>
            <w:vAlign w:val="bottom"/>
            <w:shd w:val="clear" w:color="auto" w:fill="009D93"/>
          </w:tcPr>
          <w:p>
            <w:pPr>
              <w:spacing w:after="0"/>
              <w:rPr>
                <w:sz w:val="14"/>
                <w:szCs w:val="14"/>
                <w:color w:val="auto"/>
              </w:rPr>
            </w:pPr>
          </w:p>
        </w:tc>
        <w:tc>
          <w:tcPr>
            <w:tcW w:w="4180" w:type="dxa"/>
            <w:vAlign w:val="bottom"/>
            <w:shd w:val="clear" w:color="auto" w:fill="009D93"/>
          </w:tcPr>
          <w:p>
            <w:pPr>
              <w:spacing w:after="0"/>
              <w:rPr>
                <w:sz w:val="14"/>
                <w:szCs w:val="14"/>
                <w:color w:val="auto"/>
              </w:rPr>
            </w:pPr>
          </w:p>
        </w:tc>
        <w:tc>
          <w:tcPr>
            <w:tcW w:w="1980" w:type="dxa"/>
            <w:vAlign w:val="bottom"/>
            <w:shd w:val="clear" w:color="auto" w:fill="009D93"/>
          </w:tcPr>
          <w:p>
            <w:pPr>
              <w:ind w:left="680"/>
              <w:spacing w:after="0"/>
              <w:rPr>
                <w:sz w:val="20"/>
                <w:szCs w:val="20"/>
                <w:color w:val="auto"/>
              </w:rPr>
            </w:pPr>
            <w:r>
              <w:rPr>
                <w:rFonts w:ascii="Arial" w:cs="Arial" w:eastAsia="Arial" w:hAnsi="Arial"/>
                <w:sz w:val="14"/>
                <w:szCs w:val="14"/>
                <w:b w:val="1"/>
                <w:bCs w:val="1"/>
                <w:color w:val="FFFFFF"/>
              </w:rPr>
              <w:t>All grades, n (%)</w:t>
            </w:r>
          </w:p>
        </w:tc>
        <w:tc>
          <w:tcPr>
            <w:tcW w:w="2060" w:type="dxa"/>
            <w:vAlign w:val="bottom"/>
            <w:gridSpan w:val="2"/>
            <w:shd w:val="clear" w:color="auto" w:fill="009D93"/>
          </w:tcPr>
          <w:p>
            <w:pPr>
              <w:jc w:val="center"/>
              <w:ind w:left="141"/>
              <w:spacing w:after="0"/>
              <w:rPr>
                <w:sz w:val="20"/>
                <w:szCs w:val="20"/>
                <w:color w:val="auto"/>
              </w:rPr>
            </w:pPr>
            <w:r>
              <w:rPr>
                <w:rFonts w:ascii="Arial" w:cs="Arial" w:eastAsia="Arial" w:hAnsi="Arial"/>
                <w:sz w:val="14"/>
                <w:szCs w:val="14"/>
                <w:b w:val="1"/>
                <w:bCs w:val="1"/>
                <w:color w:val="FFFFFF"/>
                <w:w w:val="97"/>
              </w:rPr>
              <w:t>Grade 3, n (%)</w:t>
            </w:r>
          </w:p>
        </w:tc>
        <w:tc>
          <w:tcPr>
            <w:tcW w:w="1660" w:type="dxa"/>
            <w:vAlign w:val="bottom"/>
            <w:shd w:val="clear" w:color="auto" w:fill="009D93"/>
          </w:tcPr>
          <w:p>
            <w:pPr>
              <w:ind w:left="460"/>
              <w:spacing w:after="0"/>
              <w:rPr>
                <w:sz w:val="20"/>
                <w:szCs w:val="20"/>
                <w:color w:val="auto"/>
              </w:rPr>
            </w:pPr>
            <w:r>
              <w:rPr>
                <w:rFonts w:ascii="Arial" w:cs="Arial" w:eastAsia="Arial" w:hAnsi="Arial"/>
                <w:sz w:val="14"/>
                <w:szCs w:val="14"/>
                <w:b w:val="1"/>
                <w:bCs w:val="1"/>
                <w:color w:val="FFFFFF"/>
              </w:rPr>
              <w:t>Grade 4, n (%)</w:t>
            </w:r>
          </w:p>
        </w:tc>
      </w:tr>
      <w:tr>
        <w:trPr>
          <w:trHeight w:val="193"/>
        </w:trPr>
        <w:tc>
          <w:tcPr>
            <w:tcW w:w="5140" w:type="dxa"/>
            <w:vAlign w:val="bottom"/>
            <w:gridSpan w:val="3"/>
            <w:shd w:val="clear" w:color="auto" w:fill="EBF3F3"/>
          </w:tcPr>
          <w:p>
            <w:pPr>
              <w:ind w:left="40"/>
              <w:spacing w:after="0" w:line="193" w:lineRule="exact"/>
              <w:rPr>
                <w:sz w:val="20"/>
                <w:szCs w:val="20"/>
                <w:color w:val="auto"/>
              </w:rPr>
            </w:pPr>
            <w:r>
              <w:rPr>
                <w:rFonts w:ascii="Arial" w:cs="Arial" w:eastAsia="Arial" w:hAnsi="Arial"/>
                <w:sz w:val="17"/>
                <w:szCs w:val="17"/>
                <w:color w:val="auto"/>
              </w:rPr>
              <w:t>Any TRAE</w:t>
            </w:r>
          </w:p>
        </w:tc>
        <w:tc>
          <w:tcPr>
            <w:tcW w:w="1980" w:type="dxa"/>
            <w:vAlign w:val="bottom"/>
            <w:shd w:val="clear" w:color="auto" w:fill="EBF3F3"/>
          </w:tcPr>
          <w:p>
            <w:pPr>
              <w:jc w:val="center"/>
              <w:ind w:left="318"/>
              <w:spacing w:after="0" w:line="193" w:lineRule="exact"/>
              <w:rPr>
                <w:sz w:val="20"/>
                <w:szCs w:val="20"/>
                <w:color w:val="auto"/>
              </w:rPr>
            </w:pPr>
            <w:r>
              <w:rPr>
                <w:rFonts w:ascii="Arial" w:cs="Arial" w:eastAsia="Arial" w:hAnsi="Arial"/>
                <w:sz w:val="17"/>
                <w:szCs w:val="17"/>
                <w:color w:val="auto"/>
              </w:rPr>
              <w:t>43 (70.5)</w:t>
            </w:r>
          </w:p>
        </w:tc>
        <w:tc>
          <w:tcPr>
            <w:tcW w:w="980" w:type="dxa"/>
            <w:vAlign w:val="bottom"/>
            <w:shd w:val="clear" w:color="auto" w:fill="EBF3F3"/>
          </w:tcPr>
          <w:p>
            <w:pPr>
              <w:jc w:val="right"/>
              <w:spacing w:after="0" w:line="193" w:lineRule="exact"/>
              <w:rPr>
                <w:sz w:val="20"/>
                <w:szCs w:val="20"/>
                <w:color w:val="auto"/>
              </w:rPr>
            </w:pPr>
            <w:r>
              <w:rPr>
                <w:rFonts w:ascii="Arial" w:cs="Arial" w:eastAsia="Arial" w:hAnsi="Arial"/>
                <w:sz w:val="17"/>
                <w:szCs w:val="17"/>
                <w:color w:val="auto"/>
              </w:rPr>
              <w:t>15</w:t>
            </w:r>
          </w:p>
        </w:tc>
        <w:tc>
          <w:tcPr>
            <w:tcW w:w="1080" w:type="dxa"/>
            <w:vAlign w:val="bottom"/>
            <w:shd w:val="clear" w:color="auto" w:fill="EBF3F3"/>
          </w:tcPr>
          <w:p>
            <w:pPr>
              <w:ind w:left="40"/>
              <w:spacing w:after="0" w:line="193" w:lineRule="exact"/>
              <w:rPr>
                <w:sz w:val="20"/>
                <w:szCs w:val="20"/>
                <w:color w:val="auto"/>
              </w:rPr>
            </w:pPr>
            <w:r>
              <w:rPr>
                <w:rFonts w:ascii="Arial" w:cs="Arial" w:eastAsia="Arial" w:hAnsi="Arial"/>
                <w:sz w:val="17"/>
                <w:szCs w:val="17"/>
                <w:color w:val="auto"/>
              </w:rPr>
              <w:t>(24.6)</w:t>
            </w:r>
          </w:p>
        </w:tc>
        <w:tc>
          <w:tcPr>
            <w:tcW w:w="1660" w:type="dxa"/>
            <w:vAlign w:val="bottom"/>
            <w:shd w:val="clear" w:color="auto" w:fill="EBF3F3"/>
          </w:tcPr>
          <w:p>
            <w:pPr>
              <w:jc w:val="center"/>
              <w:ind w:left="118"/>
              <w:spacing w:after="0" w:line="193" w:lineRule="exact"/>
              <w:rPr>
                <w:sz w:val="20"/>
                <w:szCs w:val="20"/>
                <w:color w:val="auto"/>
              </w:rPr>
            </w:pPr>
            <w:r>
              <w:rPr>
                <w:rFonts w:ascii="Arial" w:cs="Arial" w:eastAsia="Arial" w:hAnsi="Arial"/>
                <w:sz w:val="17"/>
                <w:szCs w:val="17"/>
                <w:color w:val="auto"/>
              </w:rPr>
              <w:t>3 (4.9)</w:t>
            </w:r>
          </w:p>
        </w:tc>
      </w:tr>
      <w:tr>
        <w:trPr>
          <w:trHeight w:val="167"/>
        </w:trPr>
        <w:tc>
          <w:tcPr>
            <w:tcW w:w="5140" w:type="dxa"/>
            <w:vAlign w:val="bottom"/>
            <w:gridSpan w:val="3"/>
            <w:shd w:val="clear" w:color="auto" w:fill="D5E6E4"/>
          </w:tcPr>
          <w:p>
            <w:pPr>
              <w:ind w:left="60"/>
              <w:spacing w:after="0" w:line="167" w:lineRule="exact"/>
              <w:rPr>
                <w:sz w:val="20"/>
                <w:szCs w:val="20"/>
                <w:color w:val="auto"/>
              </w:rPr>
            </w:pPr>
            <w:r>
              <w:rPr>
                <w:rFonts w:ascii="Arial" w:cs="Arial" w:eastAsia="Arial" w:hAnsi="Arial"/>
                <w:sz w:val="17"/>
                <w:szCs w:val="17"/>
                <w:b w:val="1"/>
                <w:bCs w:val="1"/>
                <w:color w:val="auto"/>
              </w:rPr>
              <w:t>TRAEs in &gt; 10% of patients, by preferred term</w:t>
            </w:r>
          </w:p>
        </w:tc>
        <w:tc>
          <w:tcPr>
            <w:tcW w:w="1980" w:type="dxa"/>
            <w:vAlign w:val="bottom"/>
            <w:shd w:val="clear" w:color="auto" w:fill="D5E6E4"/>
          </w:tcPr>
          <w:p>
            <w:pPr>
              <w:spacing w:after="0"/>
              <w:rPr>
                <w:sz w:val="14"/>
                <w:szCs w:val="14"/>
                <w:color w:val="auto"/>
              </w:rPr>
            </w:pPr>
          </w:p>
        </w:tc>
        <w:tc>
          <w:tcPr>
            <w:tcW w:w="980" w:type="dxa"/>
            <w:vAlign w:val="bottom"/>
            <w:shd w:val="clear" w:color="auto" w:fill="D5E6E4"/>
          </w:tcPr>
          <w:p>
            <w:pPr>
              <w:spacing w:after="0"/>
              <w:rPr>
                <w:sz w:val="14"/>
                <w:szCs w:val="14"/>
                <w:color w:val="auto"/>
              </w:rPr>
            </w:pPr>
          </w:p>
        </w:tc>
        <w:tc>
          <w:tcPr>
            <w:tcW w:w="1080" w:type="dxa"/>
            <w:vAlign w:val="bottom"/>
            <w:shd w:val="clear" w:color="auto" w:fill="D5E6E4"/>
          </w:tcPr>
          <w:p>
            <w:pPr>
              <w:spacing w:after="0"/>
              <w:rPr>
                <w:sz w:val="14"/>
                <w:szCs w:val="14"/>
                <w:color w:val="auto"/>
              </w:rPr>
            </w:pPr>
          </w:p>
        </w:tc>
        <w:tc>
          <w:tcPr>
            <w:tcW w:w="1660" w:type="dxa"/>
            <w:vAlign w:val="bottom"/>
            <w:shd w:val="clear" w:color="auto" w:fill="D5E6E4"/>
          </w:tcPr>
          <w:p>
            <w:pPr>
              <w:spacing w:after="0"/>
              <w:rPr>
                <w:sz w:val="14"/>
                <w:szCs w:val="14"/>
                <w:color w:val="auto"/>
              </w:rPr>
            </w:pPr>
          </w:p>
        </w:tc>
      </w:tr>
      <w:tr>
        <w:trPr>
          <w:trHeight w:val="20"/>
        </w:trPr>
        <w:tc>
          <w:tcPr>
            <w:tcW w:w="860" w:type="dxa"/>
            <w:vAlign w:val="bottom"/>
            <w:shd w:val="clear" w:color="auto" w:fill="D5E6E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80" w:type="dxa"/>
            <w:vAlign w:val="bottom"/>
            <w:shd w:val="clear" w:color="auto" w:fill="D5E6E4"/>
          </w:tcPr>
          <w:p>
            <w:pPr>
              <w:spacing w:after="0" w:line="20" w:lineRule="exact"/>
              <w:rPr>
                <w:sz w:val="1"/>
                <w:szCs w:val="1"/>
                <w:color w:val="auto"/>
              </w:rPr>
            </w:pPr>
          </w:p>
        </w:tc>
        <w:tc>
          <w:tcPr>
            <w:tcW w:w="1980" w:type="dxa"/>
            <w:vAlign w:val="bottom"/>
            <w:shd w:val="clear" w:color="auto" w:fill="D5E6E4"/>
          </w:tcPr>
          <w:p>
            <w:pPr>
              <w:spacing w:after="0" w:line="20" w:lineRule="exact"/>
              <w:rPr>
                <w:sz w:val="1"/>
                <w:szCs w:val="1"/>
                <w:color w:val="auto"/>
              </w:rPr>
            </w:pPr>
          </w:p>
        </w:tc>
        <w:tc>
          <w:tcPr>
            <w:tcW w:w="980" w:type="dxa"/>
            <w:vAlign w:val="bottom"/>
            <w:shd w:val="clear" w:color="auto" w:fill="D5E6E4"/>
          </w:tcPr>
          <w:p>
            <w:pPr>
              <w:spacing w:after="0" w:line="20" w:lineRule="exact"/>
              <w:rPr>
                <w:sz w:val="1"/>
                <w:szCs w:val="1"/>
                <w:color w:val="auto"/>
              </w:rPr>
            </w:pPr>
          </w:p>
        </w:tc>
        <w:tc>
          <w:tcPr>
            <w:tcW w:w="1080" w:type="dxa"/>
            <w:vAlign w:val="bottom"/>
            <w:shd w:val="clear" w:color="auto" w:fill="D5E6E4"/>
          </w:tcPr>
          <w:p>
            <w:pPr>
              <w:spacing w:after="0" w:line="20" w:lineRule="exact"/>
              <w:rPr>
                <w:sz w:val="1"/>
                <w:szCs w:val="1"/>
                <w:color w:val="auto"/>
              </w:rPr>
            </w:pPr>
          </w:p>
        </w:tc>
        <w:tc>
          <w:tcPr>
            <w:tcW w:w="1660" w:type="dxa"/>
            <w:vAlign w:val="bottom"/>
            <w:shd w:val="clear" w:color="auto" w:fill="D5E6E4"/>
          </w:tcPr>
          <w:p>
            <w:pPr>
              <w:spacing w:after="0" w:line="20" w:lineRule="exact"/>
              <w:rPr>
                <w:sz w:val="1"/>
                <w:szCs w:val="1"/>
                <w:color w:val="auto"/>
              </w:rPr>
            </w:pPr>
          </w:p>
        </w:tc>
      </w:tr>
      <w:tr>
        <w:trPr>
          <w:trHeight w:val="176"/>
        </w:trPr>
        <w:tc>
          <w:tcPr>
            <w:tcW w:w="5140" w:type="dxa"/>
            <w:vAlign w:val="bottom"/>
            <w:gridSpan w:val="3"/>
            <w:shd w:val="clear" w:color="auto" w:fill="D5E6E4"/>
          </w:tcPr>
          <w:p>
            <w:pPr>
              <w:ind w:left="360"/>
              <w:spacing w:after="0" w:line="176" w:lineRule="exact"/>
              <w:rPr>
                <w:sz w:val="20"/>
                <w:szCs w:val="20"/>
                <w:color w:val="auto"/>
              </w:rPr>
            </w:pPr>
            <w:r>
              <w:rPr>
                <w:rFonts w:ascii="Arial" w:cs="Arial" w:eastAsia="Arial" w:hAnsi="Arial"/>
                <w:sz w:val="17"/>
                <w:szCs w:val="17"/>
                <w:color w:val="auto"/>
              </w:rPr>
              <w:t>Transaminase elevation</w:t>
            </w:r>
          </w:p>
        </w:tc>
        <w:tc>
          <w:tcPr>
            <w:tcW w:w="1980" w:type="dxa"/>
            <w:vAlign w:val="bottom"/>
            <w:shd w:val="clear" w:color="auto" w:fill="D5E6E4"/>
          </w:tcPr>
          <w:p>
            <w:pPr>
              <w:jc w:val="center"/>
              <w:ind w:left="318"/>
              <w:spacing w:after="0" w:line="176" w:lineRule="exact"/>
              <w:rPr>
                <w:sz w:val="20"/>
                <w:szCs w:val="20"/>
                <w:color w:val="auto"/>
              </w:rPr>
            </w:pPr>
            <w:r>
              <w:rPr>
                <w:rFonts w:ascii="Arial" w:cs="Arial" w:eastAsia="Arial" w:hAnsi="Arial"/>
                <w:sz w:val="17"/>
                <w:szCs w:val="17"/>
                <w:color w:val="auto"/>
              </w:rPr>
              <w:t>16 (26.2)</w:t>
            </w:r>
          </w:p>
        </w:tc>
        <w:tc>
          <w:tcPr>
            <w:tcW w:w="980" w:type="dxa"/>
            <w:vAlign w:val="bottom"/>
            <w:shd w:val="clear" w:color="auto" w:fill="D5E6E4"/>
          </w:tcPr>
          <w:p>
            <w:pPr>
              <w:jc w:val="right"/>
              <w:spacing w:after="0" w:line="176" w:lineRule="exact"/>
              <w:rPr>
                <w:sz w:val="20"/>
                <w:szCs w:val="20"/>
                <w:color w:val="auto"/>
              </w:rPr>
            </w:pPr>
            <w:r>
              <w:rPr>
                <w:rFonts w:ascii="Arial" w:cs="Arial" w:eastAsia="Arial" w:hAnsi="Arial"/>
                <w:sz w:val="17"/>
                <w:szCs w:val="17"/>
                <w:color w:val="auto"/>
              </w:rPr>
              <w:t>6</w:t>
            </w:r>
          </w:p>
        </w:tc>
        <w:tc>
          <w:tcPr>
            <w:tcW w:w="1080" w:type="dxa"/>
            <w:vAlign w:val="bottom"/>
            <w:shd w:val="clear" w:color="auto" w:fill="D5E6E4"/>
          </w:tcPr>
          <w:p>
            <w:pPr>
              <w:ind w:left="40"/>
              <w:spacing w:after="0" w:line="176" w:lineRule="exact"/>
              <w:rPr>
                <w:sz w:val="20"/>
                <w:szCs w:val="20"/>
                <w:color w:val="auto"/>
              </w:rPr>
            </w:pPr>
            <w:r>
              <w:rPr>
                <w:rFonts w:ascii="Arial" w:cs="Arial" w:eastAsia="Arial" w:hAnsi="Arial"/>
                <w:sz w:val="17"/>
                <w:szCs w:val="17"/>
                <w:color w:val="auto"/>
              </w:rPr>
              <w:t>(9.8)</w:t>
            </w:r>
          </w:p>
        </w:tc>
        <w:tc>
          <w:tcPr>
            <w:tcW w:w="1660" w:type="dxa"/>
            <w:vAlign w:val="bottom"/>
            <w:shd w:val="clear" w:color="auto" w:fill="D5E6E4"/>
          </w:tcPr>
          <w:p>
            <w:pPr>
              <w:jc w:val="center"/>
              <w:ind w:left="118"/>
              <w:spacing w:after="0" w:line="176" w:lineRule="exact"/>
              <w:rPr>
                <w:sz w:val="20"/>
                <w:szCs w:val="20"/>
                <w:color w:val="auto"/>
              </w:rPr>
            </w:pPr>
            <w:r>
              <w:rPr>
                <w:rFonts w:ascii="Arial" w:cs="Arial" w:eastAsia="Arial" w:hAnsi="Arial"/>
                <w:sz w:val="17"/>
                <w:szCs w:val="17"/>
                <w:color w:val="auto"/>
              </w:rPr>
              <w:t>0</w:t>
            </w:r>
          </w:p>
        </w:tc>
      </w:tr>
      <w:tr>
        <w:trPr>
          <w:trHeight w:val="193"/>
        </w:trPr>
        <w:tc>
          <w:tcPr>
            <w:tcW w:w="5140" w:type="dxa"/>
            <w:vAlign w:val="bottom"/>
            <w:gridSpan w:val="3"/>
            <w:shd w:val="clear" w:color="auto" w:fill="D5E6E4"/>
          </w:tcPr>
          <w:p>
            <w:pPr>
              <w:ind w:left="360"/>
              <w:spacing w:after="0" w:line="193" w:lineRule="exact"/>
              <w:rPr>
                <w:sz w:val="20"/>
                <w:szCs w:val="20"/>
                <w:color w:val="auto"/>
              </w:rPr>
            </w:pPr>
            <w:r>
              <w:rPr>
                <w:rFonts w:ascii="Arial" w:cs="Arial" w:eastAsia="Arial" w:hAnsi="Arial"/>
                <w:sz w:val="17"/>
                <w:szCs w:val="17"/>
                <w:color w:val="auto"/>
              </w:rPr>
              <w:t>Hypothyroidism</w:t>
            </w:r>
          </w:p>
        </w:tc>
        <w:tc>
          <w:tcPr>
            <w:tcW w:w="1980" w:type="dxa"/>
            <w:vAlign w:val="bottom"/>
            <w:shd w:val="clear" w:color="auto" w:fill="D5E6E4"/>
          </w:tcPr>
          <w:p>
            <w:pPr>
              <w:jc w:val="center"/>
              <w:ind w:left="318"/>
              <w:spacing w:after="0" w:line="193" w:lineRule="exact"/>
              <w:rPr>
                <w:sz w:val="20"/>
                <w:szCs w:val="20"/>
                <w:color w:val="auto"/>
              </w:rPr>
            </w:pPr>
            <w:r>
              <w:rPr>
                <w:rFonts w:ascii="Arial" w:cs="Arial" w:eastAsia="Arial" w:hAnsi="Arial"/>
                <w:sz w:val="17"/>
                <w:szCs w:val="17"/>
                <w:color w:val="auto"/>
                <w:w w:val="96"/>
              </w:rPr>
              <w:t>11 (18.0)</w:t>
            </w:r>
          </w:p>
        </w:tc>
        <w:tc>
          <w:tcPr>
            <w:tcW w:w="980" w:type="dxa"/>
            <w:vAlign w:val="bottom"/>
            <w:shd w:val="clear" w:color="auto" w:fill="D5E6E4"/>
          </w:tcPr>
          <w:p>
            <w:pPr>
              <w:spacing w:after="0"/>
              <w:rPr>
                <w:sz w:val="16"/>
                <w:szCs w:val="16"/>
                <w:color w:val="auto"/>
              </w:rPr>
            </w:pPr>
          </w:p>
        </w:tc>
        <w:tc>
          <w:tcPr>
            <w:tcW w:w="1080" w:type="dxa"/>
            <w:vAlign w:val="bottom"/>
            <w:shd w:val="clear" w:color="auto" w:fill="D5E6E4"/>
          </w:tcPr>
          <w:p>
            <w:pPr>
              <w:jc w:val="right"/>
              <w:ind w:right="818"/>
              <w:spacing w:after="0" w:line="193" w:lineRule="exact"/>
              <w:rPr>
                <w:sz w:val="20"/>
                <w:szCs w:val="20"/>
                <w:color w:val="auto"/>
              </w:rPr>
            </w:pPr>
            <w:r>
              <w:rPr>
                <w:rFonts w:ascii="Arial" w:cs="Arial" w:eastAsia="Arial" w:hAnsi="Arial"/>
                <w:sz w:val="17"/>
                <w:szCs w:val="17"/>
                <w:color w:val="auto"/>
              </w:rPr>
              <w:t>0</w:t>
            </w:r>
          </w:p>
        </w:tc>
        <w:tc>
          <w:tcPr>
            <w:tcW w:w="1660" w:type="dxa"/>
            <w:vAlign w:val="bottom"/>
            <w:shd w:val="clear" w:color="auto" w:fill="D5E6E4"/>
          </w:tcPr>
          <w:p>
            <w:pPr>
              <w:jc w:val="center"/>
              <w:ind w:left="118"/>
              <w:spacing w:after="0" w:line="193" w:lineRule="exact"/>
              <w:rPr>
                <w:sz w:val="20"/>
                <w:szCs w:val="20"/>
                <w:color w:val="auto"/>
              </w:rPr>
            </w:pPr>
            <w:r>
              <w:rPr>
                <w:rFonts w:ascii="Arial" w:cs="Arial" w:eastAsia="Arial" w:hAnsi="Arial"/>
                <w:sz w:val="17"/>
                <w:szCs w:val="17"/>
                <w:color w:val="auto"/>
              </w:rPr>
              <w:t>1 (1.6)</w:t>
            </w:r>
          </w:p>
        </w:tc>
      </w:tr>
      <w:tr>
        <w:trPr>
          <w:trHeight w:val="216"/>
        </w:trPr>
        <w:tc>
          <w:tcPr>
            <w:tcW w:w="5140" w:type="dxa"/>
            <w:vAlign w:val="bottom"/>
            <w:gridSpan w:val="3"/>
            <w:shd w:val="clear" w:color="auto" w:fill="D5E6E4"/>
          </w:tcPr>
          <w:p>
            <w:pPr>
              <w:ind w:left="360"/>
              <w:spacing w:after="0"/>
              <w:rPr>
                <w:sz w:val="20"/>
                <w:szCs w:val="20"/>
                <w:color w:val="auto"/>
              </w:rPr>
            </w:pPr>
            <w:r>
              <w:rPr>
                <w:rFonts w:ascii="Arial" w:cs="Arial" w:eastAsia="Arial" w:hAnsi="Arial"/>
                <w:sz w:val="17"/>
                <w:szCs w:val="17"/>
                <w:color w:val="auto"/>
              </w:rPr>
              <w:t>Fatigue</w:t>
            </w:r>
          </w:p>
        </w:tc>
        <w:tc>
          <w:tcPr>
            <w:tcW w:w="1980" w:type="dxa"/>
            <w:vAlign w:val="bottom"/>
            <w:shd w:val="clear" w:color="auto" w:fill="D5E6E4"/>
          </w:tcPr>
          <w:p>
            <w:pPr>
              <w:jc w:val="center"/>
              <w:ind w:left="318"/>
              <w:spacing w:after="0"/>
              <w:rPr>
                <w:sz w:val="20"/>
                <w:szCs w:val="20"/>
                <w:color w:val="auto"/>
              </w:rPr>
            </w:pPr>
            <w:r>
              <w:rPr>
                <w:rFonts w:ascii="Arial" w:cs="Arial" w:eastAsia="Arial" w:hAnsi="Arial"/>
                <w:sz w:val="17"/>
                <w:szCs w:val="17"/>
                <w:color w:val="auto"/>
                <w:w w:val="98"/>
              </w:rPr>
              <w:t>8 (13.1)</w:t>
            </w:r>
          </w:p>
        </w:tc>
        <w:tc>
          <w:tcPr>
            <w:tcW w:w="980" w:type="dxa"/>
            <w:vAlign w:val="bottom"/>
            <w:shd w:val="clear" w:color="auto" w:fill="D5E6E4"/>
          </w:tcPr>
          <w:p>
            <w:pPr>
              <w:jc w:val="right"/>
              <w:spacing w:after="0"/>
              <w:rPr>
                <w:sz w:val="20"/>
                <w:szCs w:val="20"/>
                <w:color w:val="auto"/>
              </w:rPr>
            </w:pPr>
            <w:r>
              <w:rPr>
                <w:rFonts w:ascii="Arial" w:cs="Arial" w:eastAsia="Arial" w:hAnsi="Arial"/>
                <w:sz w:val="17"/>
                <w:szCs w:val="17"/>
                <w:color w:val="auto"/>
              </w:rPr>
              <w:t>1</w:t>
            </w:r>
          </w:p>
        </w:tc>
        <w:tc>
          <w:tcPr>
            <w:tcW w:w="1080" w:type="dxa"/>
            <w:vAlign w:val="bottom"/>
            <w:shd w:val="clear" w:color="auto" w:fill="D5E6E4"/>
          </w:tcPr>
          <w:p>
            <w:pPr>
              <w:ind w:left="40"/>
              <w:spacing w:after="0"/>
              <w:rPr>
                <w:sz w:val="20"/>
                <w:szCs w:val="20"/>
                <w:color w:val="auto"/>
              </w:rPr>
            </w:pPr>
            <w:r>
              <w:rPr>
                <w:rFonts w:ascii="Arial" w:cs="Arial" w:eastAsia="Arial" w:hAnsi="Arial"/>
                <w:sz w:val="17"/>
                <w:szCs w:val="17"/>
                <w:color w:val="auto"/>
              </w:rPr>
              <w:t>(1.6)</w:t>
            </w:r>
          </w:p>
        </w:tc>
        <w:tc>
          <w:tcPr>
            <w:tcW w:w="1660" w:type="dxa"/>
            <w:vAlign w:val="bottom"/>
            <w:shd w:val="clear" w:color="auto" w:fill="D5E6E4"/>
          </w:tcPr>
          <w:p>
            <w:pPr>
              <w:jc w:val="center"/>
              <w:ind w:left="118"/>
              <w:spacing w:after="0"/>
              <w:rPr>
                <w:sz w:val="20"/>
                <w:szCs w:val="20"/>
                <w:color w:val="auto"/>
              </w:rPr>
            </w:pPr>
            <w:r>
              <w:rPr>
                <w:rFonts w:ascii="Arial" w:cs="Arial" w:eastAsia="Arial" w:hAnsi="Arial"/>
                <w:sz w:val="17"/>
                <w:szCs w:val="17"/>
                <w:color w:val="auto"/>
              </w:rPr>
              <w:t>0</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Data cut-off: August 31, 2020.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Adverse events graded according to National Cancer Institute (NCI) Common Terminology Criteria for Adverse Events (CTCAE) v.5.0.</w:t>
      </w:r>
    </w:p>
    <w:p>
      <w:pPr>
        <w:spacing w:after="0"/>
        <w:rPr>
          <w:sz w:val="20"/>
          <w:szCs w:val="20"/>
          <w:color w:val="auto"/>
        </w:rPr>
      </w:pPr>
      <w:r>
        <w:rPr>
          <w:rFonts w:ascii="Arial" w:cs="Arial" w:eastAsia="Arial" w:hAnsi="Arial"/>
          <w:sz w:val="14"/>
          <w:szCs w:val="14"/>
          <w:color w:val="auto"/>
        </w:rPr>
        <w:t>TRAE, treatment-related adverse event.</w:t>
      </w:r>
    </w:p>
    <w:p>
      <w:pPr>
        <w:spacing w:after="0" w:line="195" w:lineRule="exact"/>
        <w:rPr>
          <w:sz w:val="20"/>
          <w:szCs w:val="20"/>
          <w:color w:val="auto"/>
        </w:rPr>
      </w:pPr>
    </w:p>
    <w:p>
      <w:pPr>
        <w:ind w:left="320" w:hanging="316"/>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Six patients experienced DLTs across the dose range evaluated (</w:t>
      </w:r>
      <w:r>
        <w:rPr>
          <w:rFonts w:ascii="Arial" w:cs="Arial" w:eastAsia="Arial" w:hAnsi="Arial"/>
          <w:sz w:val="17"/>
          <w:szCs w:val="17"/>
          <w:b w:val="1"/>
          <w:bCs w:val="1"/>
          <w:color w:val="auto"/>
        </w:rPr>
        <w:t>Table 4</w:t>
      </w:r>
      <w:r>
        <w:rPr>
          <w:rFonts w:ascii="Arial" w:cs="Arial" w:eastAsia="Arial" w:hAnsi="Arial"/>
          <w:sz w:val="17"/>
          <w:szCs w:val="17"/>
          <w:color w:val="auto"/>
        </w:rPr>
        <w:t>).</w:t>
      </w:r>
    </w:p>
    <w:p>
      <w:pPr>
        <w:spacing w:after="0" w:line="21" w:lineRule="exact"/>
        <w:rPr>
          <w:rFonts w:ascii="Arial" w:cs="Arial" w:eastAsia="Arial" w:hAnsi="Arial"/>
          <w:sz w:val="17"/>
          <w:szCs w:val="17"/>
          <w:color w:val="auto"/>
        </w:rPr>
      </w:pPr>
    </w:p>
    <w:p>
      <w:pPr>
        <w:ind w:left="320"/>
        <w:spacing w:after="0" w:line="236" w:lineRule="auto"/>
        <w:rPr>
          <w:rFonts w:ascii="Arial" w:cs="Arial" w:eastAsia="Arial" w:hAnsi="Arial"/>
          <w:sz w:val="17"/>
          <w:szCs w:val="17"/>
          <w:color w:val="auto"/>
        </w:rPr>
      </w:pPr>
      <w:r>
        <w:rPr>
          <w:rFonts w:ascii="Arial" w:cs="Arial" w:eastAsia="Arial" w:hAnsi="Arial"/>
          <w:sz w:val="17"/>
          <w:szCs w:val="17"/>
          <w:color w:val="auto"/>
        </w:rPr>
        <w:t>–All six patients recovered without sequelae.</w:t>
      </w:r>
    </w:p>
    <w:p>
      <w:pPr>
        <w:ind w:left="320"/>
        <w:spacing w:after="0" w:line="236" w:lineRule="auto"/>
        <w:rPr>
          <w:rFonts w:ascii="Arial" w:cs="Arial" w:eastAsia="Arial" w:hAnsi="Arial"/>
          <w:sz w:val="17"/>
          <w:szCs w:val="17"/>
          <w:color w:val="auto"/>
        </w:rPr>
      </w:pPr>
      <w:r>
        <w:rPr>
          <w:rFonts w:ascii="Arial" w:cs="Arial" w:eastAsia="Arial" w:hAnsi="Arial"/>
          <w:sz w:val="17"/>
          <w:szCs w:val="17"/>
          <w:color w:val="auto"/>
        </w:rPr>
        <w:t>–Cases of neutropenia (n=2) were managed with granulocyte colony stimulating factor administration (G-CSF).</w:t>
      </w:r>
    </w:p>
    <w:p>
      <w:pPr>
        <w:ind w:left="320"/>
        <w:spacing w:after="0"/>
        <w:rPr>
          <w:rFonts w:ascii="Arial" w:cs="Arial" w:eastAsia="Arial" w:hAnsi="Arial"/>
          <w:sz w:val="17"/>
          <w:szCs w:val="17"/>
          <w:color w:val="auto"/>
        </w:rPr>
      </w:pPr>
      <w:r>
        <w:rPr>
          <w:rFonts w:ascii="Arial" w:cs="Arial" w:eastAsia="Arial" w:hAnsi="Arial"/>
          <w:sz w:val="17"/>
          <w:szCs w:val="17"/>
          <w:color w:val="auto"/>
        </w:rPr>
        <w:t>–Transaminase increases improved with corticosteroid administration.</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Table 4. Summary of dose-limiting toxicities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40" w:type="dxa"/>
            <w:vAlign w:val="bottom"/>
            <w:shd w:val="clear" w:color="auto" w:fill="009D93"/>
          </w:tcPr>
          <w:p>
            <w:pPr>
              <w:jc w:val="center"/>
              <w:spacing w:after="0"/>
              <w:rPr>
                <w:sz w:val="20"/>
                <w:szCs w:val="20"/>
                <w:color w:val="auto"/>
              </w:rPr>
            </w:pPr>
            <w:r>
              <w:rPr>
                <w:rFonts w:ascii="Arial" w:cs="Arial" w:eastAsia="Arial" w:hAnsi="Arial"/>
                <w:sz w:val="14"/>
                <w:szCs w:val="14"/>
                <w:b w:val="1"/>
                <w:bCs w:val="1"/>
                <w:color w:val="FFFFFF"/>
                <w:w w:val="98"/>
              </w:rPr>
              <w:t>Dose level</w:t>
            </w:r>
          </w:p>
        </w:tc>
        <w:tc>
          <w:tcPr>
            <w:tcW w:w="1800" w:type="dxa"/>
            <w:vAlign w:val="bottom"/>
            <w:shd w:val="clear" w:color="auto" w:fill="009D93"/>
          </w:tcPr>
          <w:p>
            <w:pPr>
              <w:jc w:val="center"/>
              <w:spacing w:after="0"/>
              <w:rPr>
                <w:sz w:val="20"/>
                <w:szCs w:val="20"/>
                <w:color w:val="auto"/>
              </w:rPr>
            </w:pPr>
            <w:r>
              <w:rPr>
                <w:rFonts w:ascii="Arial" w:cs="Arial" w:eastAsia="Arial" w:hAnsi="Arial"/>
                <w:sz w:val="14"/>
                <w:szCs w:val="14"/>
                <w:b w:val="1"/>
                <w:bCs w:val="1"/>
                <w:color w:val="FFFFFF"/>
                <w:w w:val="98"/>
              </w:rPr>
              <w:t>Patients, n</w:t>
            </w:r>
          </w:p>
        </w:tc>
        <w:tc>
          <w:tcPr>
            <w:tcW w:w="2220" w:type="dxa"/>
            <w:vAlign w:val="bottom"/>
            <w:shd w:val="clear" w:color="auto" w:fill="009D93"/>
          </w:tcPr>
          <w:p>
            <w:pPr>
              <w:jc w:val="center"/>
              <w:ind w:left="136"/>
              <w:spacing w:after="0"/>
              <w:rPr>
                <w:sz w:val="20"/>
                <w:szCs w:val="20"/>
                <w:color w:val="auto"/>
              </w:rPr>
            </w:pPr>
            <w:r>
              <w:rPr>
                <w:rFonts w:ascii="Arial" w:cs="Arial" w:eastAsia="Arial" w:hAnsi="Arial"/>
                <w:sz w:val="14"/>
                <w:szCs w:val="14"/>
                <w:b w:val="1"/>
                <w:bCs w:val="1"/>
                <w:color w:val="FFFFFF"/>
                <w:w w:val="96"/>
              </w:rPr>
              <w:t>Patients with DLTs, n</w:t>
            </w:r>
          </w:p>
        </w:tc>
        <w:tc>
          <w:tcPr>
            <w:tcW w:w="5180" w:type="dxa"/>
            <w:vAlign w:val="bottom"/>
            <w:shd w:val="clear" w:color="auto" w:fill="009D93"/>
          </w:tcPr>
          <w:p>
            <w:pPr>
              <w:ind w:left="300"/>
              <w:spacing w:after="0"/>
              <w:rPr>
                <w:sz w:val="20"/>
                <w:szCs w:val="20"/>
                <w:color w:val="auto"/>
              </w:rPr>
            </w:pPr>
            <w:r>
              <w:rPr>
                <w:rFonts w:ascii="Arial" w:cs="Arial" w:eastAsia="Arial" w:hAnsi="Arial"/>
                <w:sz w:val="14"/>
                <w:szCs w:val="14"/>
                <w:b w:val="1"/>
                <w:bCs w:val="1"/>
                <w:color w:val="FFFFFF"/>
              </w:rPr>
              <w:t>DLT</w:t>
            </w:r>
          </w:p>
        </w:tc>
      </w:tr>
      <w:tr>
        <w:trPr>
          <w:trHeight w:val="193"/>
        </w:trPr>
        <w:tc>
          <w:tcPr>
            <w:tcW w:w="164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25 mg</w:t>
            </w:r>
          </w:p>
        </w:tc>
        <w:tc>
          <w:tcPr>
            <w:tcW w:w="180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4</w:t>
            </w:r>
          </w:p>
        </w:tc>
        <w:tc>
          <w:tcPr>
            <w:tcW w:w="2220" w:type="dxa"/>
            <w:vAlign w:val="bottom"/>
            <w:shd w:val="clear" w:color="auto" w:fill="EBF3F3"/>
          </w:tcPr>
          <w:p>
            <w:pPr>
              <w:jc w:val="center"/>
              <w:ind w:left="176"/>
              <w:spacing w:after="0" w:line="193" w:lineRule="exact"/>
              <w:rPr>
                <w:sz w:val="20"/>
                <w:szCs w:val="20"/>
                <w:color w:val="auto"/>
              </w:rPr>
            </w:pPr>
            <w:r>
              <w:rPr>
                <w:rFonts w:ascii="Arial" w:cs="Arial" w:eastAsia="Arial" w:hAnsi="Arial"/>
                <w:sz w:val="17"/>
                <w:szCs w:val="17"/>
                <w:color w:val="auto"/>
                <w:w w:val="84"/>
              </w:rPr>
              <w:t>1</w:t>
            </w:r>
          </w:p>
        </w:tc>
        <w:tc>
          <w:tcPr>
            <w:tcW w:w="5180" w:type="dxa"/>
            <w:vAlign w:val="bottom"/>
            <w:shd w:val="clear" w:color="auto" w:fill="EBF3F3"/>
          </w:tcPr>
          <w:p>
            <w:pPr>
              <w:ind w:left="300"/>
              <w:spacing w:after="0" w:line="193" w:lineRule="exact"/>
              <w:rPr>
                <w:sz w:val="20"/>
                <w:szCs w:val="20"/>
                <w:color w:val="auto"/>
              </w:rPr>
            </w:pPr>
            <w:r>
              <w:rPr>
                <w:rFonts w:ascii="Arial" w:cs="Arial" w:eastAsia="Arial" w:hAnsi="Arial"/>
                <w:sz w:val="17"/>
                <w:szCs w:val="17"/>
                <w:color w:val="auto"/>
              </w:rPr>
              <w:t>Grade 4 febrile neutropenia</w:t>
            </w:r>
          </w:p>
        </w:tc>
      </w:tr>
      <w:tr>
        <w:trPr>
          <w:trHeight w:val="193"/>
        </w:trPr>
        <w:tc>
          <w:tcPr>
            <w:tcW w:w="164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rPr>
              <w:t>50 mg</w:t>
            </w:r>
          </w:p>
        </w:tc>
        <w:tc>
          <w:tcPr>
            <w:tcW w:w="180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rPr>
              <w:t>5</w:t>
            </w:r>
          </w:p>
        </w:tc>
        <w:tc>
          <w:tcPr>
            <w:tcW w:w="2220" w:type="dxa"/>
            <w:vAlign w:val="bottom"/>
            <w:shd w:val="clear" w:color="auto" w:fill="D5E6E4"/>
          </w:tcPr>
          <w:p>
            <w:pPr>
              <w:jc w:val="center"/>
              <w:ind w:left="176"/>
              <w:spacing w:after="0" w:line="193" w:lineRule="exact"/>
              <w:rPr>
                <w:sz w:val="20"/>
                <w:szCs w:val="20"/>
                <w:color w:val="auto"/>
              </w:rPr>
            </w:pPr>
            <w:r>
              <w:rPr>
                <w:rFonts w:ascii="Arial" w:cs="Arial" w:eastAsia="Arial" w:hAnsi="Arial"/>
                <w:sz w:val="17"/>
                <w:szCs w:val="17"/>
                <w:color w:val="auto"/>
                <w:w w:val="84"/>
              </w:rPr>
              <w:t>0</w:t>
            </w:r>
          </w:p>
        </w:tc>
        <w:tc>
          <w:tcPr>
            <w:tcW w:w="5180" w:type="dxa"/>
            <w:vAlign w:val="bottom"/>
            <w:shd w:val="clear" w:color="auto" w:fill="D5E6E4"/>
          </w:tcPr>
          <w:p>
            <w:pPr>
              <w:ind w:left="300"/>
              <w:spacing w:after="0" w:line="193" w:lineRule="exact"/>
              <w:rPr>
                <w:sz w:val="20"/>
                <w:szCs w:val="20"/>
                <w:color w:val="auto"/>
              </w:rPr>
            </w:pPr>
            <w:r>
              <w:rPr>
                <w:rFonts w:ascii="Arial" w:cs="Arial" w:eastAsia="Arial" w:hAnsi="Arial"/>
                <w:sz w:val="17"/>
                <w:szCs w:val="17"/>
                <w:color w:val="auto"/>
              </w:rPr>
              <w:t>–</w:t>
            </w:r>
          </w:p>
        </w:tc>
      </w:tr>
      <w:tr>
        <w:trPr>
          <w:trHeight w:val="193"/>
        </w:trPr>
        <w:tc>
          <w:tcPr>
            <w:tcW w:w="164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80 mg</w:t>
            </w:r>
          </w:p>
        </w:tc>
        <w:tc>
          <w:tcPr>
            <w:tcW w:w="180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9</w:t>
            </w:r>
          </w:p>
        </w:tc>
        <w:tc>
          <w:tcPr>
            <w:tcW w:w="2220" w:type="dxa"/>
            <w:vAlign w:val="bottom"/>
            <w:shd w:val="clear" w:color="auto" w:fill="EBF3F3"/>
          </w:tcPr>
          <w:p>
            <w:pPr>
              <w:jc w:val="center"/>
              <w:ind w:left="176"/>
              <w:spacing w:after="0" w:line="193" w:lineRule="exact"/>
              <w:rPr>
                <w:sz w:val="20"/>
                <w:szCs w:val="20"/>
                <w:color w:val="auto"/>
              </w:rPr>
            </w:pPr>
            <w:r>
              <w:rPr>
                <w:rFonts w:ascii="Arial" w:cs="Arial" w:eastAsia="Arial" w:hAnsi="Arial"/>
                <w:sz w:val="17"/>
                <w:szCs w:val="17"/>
                <w:color w:val="auto"/>
                <w:w w:val="84"/>
              </w:rPr>
              <w:t>1</w:t>
            </w:r>
          </w:p>
        </w:tc>
        <w:tc>
          <w:tcPr>
            <w:tcW w:w="5180" w:type="dxa"/>
            <w:vAlign w:val="bottom"/>
            <w:shd w:val="clear" w:color="auto" w:fill="EBF3F3"/>
          </w:tcPr>
          <w:p>
            <w:pPr>
              <w:ind w:left="300"/>
              <w:spacing w:after="0" w:line="193" w:lineRule="exact"/>
              <w:rPr>
                <w:sz w:val="20"/>
                <w:szCs w:val="20"/>
                <w:color w:val="auto"/>
              </w:rPr>
            </w:pPr>
            <w:r>
              <w:rPr>
                <w:rFonts w:ascii="Arial" w:cs="Arial" w:eastAsia="Arial" w:hAnsi="Arial"/>
                <w:sz w:val="17"/>
                <w:szCs w:val="17"/>
                <w:color w:val="auto"/>
              </w:rPr>
              <w:t>Grade 4 febrile neutropenia</w:t>
            </w:r>
          </w:p>
        </w:tc>
      </w:tr>
      <w:tr>
        <w:trPr>
          <w:trHeight w:val="193"/>
        </w:trPr>
        <w:tc>
          <w:tcPr>
            <w:tcW w:w="164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w w:val="98"/>
              </w:rPr>
              <w:t>100 mg</w:t>
            </w:r>
          </w:p>
        </w:tc>
        <w:tc>
          <w:tcPr>
            <w:tcW w:w="180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rPr>
              <w:t>6</w:t>
            </w:r>
            <w:r>
              <w:rPr>
                <w:rFonts w:ascii="Arial" w:cs="Arial" w:eastAsia="Arial" w:hAnsi="Arial"/>
                <w:sz w:val="14"/>
                <w:szCs w:val="14"/>
                <w:color w:val="auto"/>
              </w:rPr>
              <w:t>a</w:t>
            </w:r>
          </w:p>
        </w:tc>
        <w:tc>
          <w:tcPr>
            <w:tcW w:w="2220" w:type="dxa"/>
            <w:vAlign w:val="bottom"/>
            <w:shd w:val="clear" w:color="auto" w:fill="D5E6E4"/>
          </w:tcPr>
          <w:p>
            <w:pPr>
              <w:jc w:val="center"/>
              <w:ind w:left="176"/>
              <w:spacing w:after="0" w:line="193" w:lineRule="exact"/>
              <w:rPr>
                <w:sz w:val="20"/>
                <w:szCs w:val="20"/>
                <w:color w:val="auto"/>
              </w:rPr>
            </w:pPr>
            <w:r>
              <w:rPr>
                <w:rFonts w:ascii="Arial" w:cs="Arial" w:eastAsia="Arial" w:hAnsi="Arial"/>
                <w:sz w:val="17"/>
                <w:szCs w:val="17"/>
                <w:color w:val="auto"/>
                <w:w w:val="84"/>
              </w:rPr>
              <w:t>0</w:t>
            </w:r>
          </w:p>
        </w:tc>
        <w:tc>
          <w:tcPr>
            <w:tcW w:w="5180" w:type="dxa"/>
            <w:vAlign w:val="bottom"/>
            <w:shd w:val="clear" w:color="auto" w:fill="D5E6E4"/>
          </w:tcPr>
          <w:p>
            <w:pPr>
              <w:ind w:left="300"/>
              <w:spacing w:after="0" w:line="193" w:lineRule="exact"/>
              <w:rPr>
                <w:sz w:val="20"/>
                <w:szCs w:val="20"/>
                <w:color w:val="auto"/>
              </w:rPr>
            </w:pPr>
            <w:r>
              <w:rPr>
                <w:rFonts w:ascii="Arial" w:cs="Arial" w:eastAsia="Arial" w:hAnsi="Arial"/>
                <w:sz w:val="17"/>
                <w:szCs w:val="17"/>
                <w:color w:val="auto"/>
              </w:rPr>
              <w:t>–</w:t>
            </w:r>
          </w:p>
        </w:tc>
      </w:tr>
      <w:tr>
        <w:trPr>
          <w:trHeight w:val="193"/>
        </w:trPr>
        <w:tc>
          <w:tcPr>
            <w:tcW w:w="164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w w:val="98"/>
              </w:rPr>
              <w:t>140 mg</w:t>
            </w:r>
          </w:p>
        </w:tc>
        <w:tc>
          <w:tcPr>
            <w:tcW w:w="180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6</w:t>
            </w:r>
          </w:p>
        </w:tc>
        <w:tc>
          <w:tcPr>
            <w:tcW w:w="2220" w:type="dxa"/>
            <w:vAlign w:val="bottom"/>
            <w:shd w:val="clear" w:color="auto" w:fill="EBF3F3"/>
          </w:tcPr>
          <w:p>
            <w:pPr>
              <w:jc w:val="center"/>
              <w:ind w:left="176"/>
              <w:spacing w:after="0" w:line="193" w:lineRule="exact"/>
              <w:rPr>
                <w:sz w:val="20"/>
                <w:szCs w:val="20"/>
                <w:color w:val="auto"/>
              </w:rPr>
            </w:pPr>
            <w:r>
              <w:rPr>
                <w:rFonts w:ascii="Arial" w:cs="Arial" w:eastAsia="Arial" w:hAnsi="Arial"/>
                <w:sz w:val="17"/>
                <w:szCs w:val="17"/>
                <w:color w:val="auto"/>
                <w:w w:val="84"/>
              </w:rPr>
              <w:t>2</w:t>
            </w:r>
          </w:p>
        </w:tc>
        <w:tc>
          <w:tcPr>
            <w:tcW w:w="5180" w:type="dxa"/>
            <w:vAlign w:val="bottom"/>
            <w:shd w:val="clear" w:color="auto" w:fill="EBF3F3"/>
          </w:tcPr>
          <w:p>
            <w:pPr>
              <w:ind w:left="300"/>
              <w:spacing w:after="0" w:line="193" w:lineRule="exact"/>
              <w:rPr>
                <w:sz w:val="20"/>
                <w:szCs w:val="20"/>
                <w:color w:val="auto"/>
              </w:rPr>
            </w:pPr>
            <w:r>
              <w:rPr>
                <w:rFonts w:ascii="Arial" w:cs="Arial" w:eastAsia="Arial" w:hAnsi="Arial"/>
                <w:sz w:val="17"/>
                <w:szCs w:val="17"/>
                <w:color w:val="auto"/>
              </w:rPr>
              <w:t>Grade 3 nephritis; Grade 3 ALT increased</w:t>
            </w:r>
          </w:p>
        </w:tc>
      </w:tr>
      <w:tr>
        <w:trPr>
          <w:trHeight w:val="193"/>
        </w:trPr>
        <w:tc>
          <w:tcPr>
            <w:tcW w:w="164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w w:val="98"/>
              </w:rPr>
              <w:t>200 mg</w:t>
            </w:r>
          </w:p>
        </w:tc>
        <w:tc>
          <w:tcPr>
            <w:tcW w:w="180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rPr>
              <w:t>9</w:t>
            </w:r>
          </w:p>
        </w:tc>
        <w:tc>
          <w:tcPr>
            <w:tcW w:w="2220" w:type="dxa"/>
            <w:vAlign w:val="bottom"/>
            <w:shd w:val="clear" w:color="auto" w:fill="D5E6E4"/>
          </w:tcPr>
          <w:p>
            <w:pPr>
              <w:jc w:val="center"/>
              <w:ind w:left="176"/>
              <w:spacing w:after="0" w:line="193" w:lineRule="exact"/>
              <w:rPr>
                <w:sz w:val="20"/>
                <w:szCs w:val="20"/>
                <w:color w:val="auto"/>
              </w:rPr>
            </w:pPr>
            <w:r>
              <w:rPr>
                <w:rFonts w:ascii="Arial" w:cs="Arial" w:eastAsia="Arial" w:hAnsi="Arial"/>
                <w:sz w:val="17"/>
                <w:szCs w:val="17"/>
                <w:color w:val="auto"/>
                <w:w w:val="84"/>
              </w:rPr>
              <w:t>1</w:t>
            </w:r>
          </w:p>
        </w:tc>
        <w:tc>
          <w:tcPr>
            <w:tcW w:w="5180" w:type="dxa"/>
            <w:vAlign w:val="bottom"/>
            <w:shd w:val="clear" w:color="auto" w:fill="D5E6E4"/>
          </w:tcPr>
          <w:p>
            <w:pPr>
              <w:ind w:left="300"/>
              <w:spacing w:after="0" w:line="193" w:lineRule="exact"/>
              <w:rPr>
                <w:sz w:val="20"/>
                <w:szCs w:val="20"/>
                <w:color w:val="auto"/>
              </w:rPr>
            </w:pPr>
            <w:r>
              <w:rPr>
                <w:rFonts w:ascii="Arial" w:cs="Arial" w:eastAsia="Arial" w:hAnsi="Arial"/>
                <w:sz w:val="17"/>
                <w:szCs w:val="17"/>
                <w:color w:val="auto"/>
              </w:rPr>
              <w:t>Grade 3 AST increased/ALT increased</w:t>
            </w:r>
          </w:p>
        </w:tc>
      </w:tr>
      <w:tr>
        <w:trPr>
          <w:trHeight w:val="193"/>
        </w:trPr>
        <w:tc>
          <w:tcPr>
            <w:tcW w:w="164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w w:val="98"/>
              </w:rPr>
              <w:t>400 mg</w:t>
            </w:r>
          </w:p>
        </w:tc>
        <w:tc>
          <w:tcPr>
            <w:tcW w:w="180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9</w:t>
            </w:r>
          </w:p>
        </w:tc>
        <w:tc>
          <w:tcPr>
            <w:tcW w:w="2220" w:type="dxa"/>
            <w:vAlign w:val="bottom"/>
            <w:shd w:val="clear" w:color="auto" w:fill="EBF3F3"/>
          </w:tcPr>
          <w:p>
            <w:pPr>
              <w:jc w:val="center"/>
              <w:ind w:left="176"/>
              <w:spacing w:after="0" w:line="193" w:lineRule="exact"/>
              <w:rPr>
                <w:sz w:val="20"/>
                <w:szCs w:val="20"/>
                <w:color w:val="auto"/>
              </w:rPr>
            </w:pPr>
            <w:r>
              <w:rPr>
                <w:rFonts w:ascii="Arial" w:cs="Arial" w:eastAsia="Arial" w:hAnsi="Arial"/>
                <w:sz w:val="17"/>
                <w:szCs w:val="17"/>
                <w:color w:val="auto"/>
                <w:w w:val="84"/>
              </w:rPr>
              <w:t>0</w:t>
            </w:r>
          </w:p>
        </w:tc>
        <w:tc>
          <w:tcPr>
            <w:tcW w:w="5180" w:type="dxa"/>
            <w:vAlign w:val="bottom"/>
            <w:shd w:val="clear" w:color="auto" w:fill="EBF3F3"/>
          </w:tcPr>
          <w:p>
            <w:pPr>
              <w:ind w:left="300"/>
              <w:spacing w:after="0" w:line="193" w:lineRule="exact"/>
              <w:rPr>
                <w:sz w:val="20"/>
                <w:szCs w:val="20"/>
                <w:color w:val="auto"/>
              </w:rPr>
            </w:pPr>
            <w:r>
              <w:rPr>
                <w:rFonts w:ascii="Arial" w:cs="Arial" w:eastAsia="Arial" w:hAnsi="Arial"/>
                <w:sz w:val="17"/>
                <w:szCs w:val="17"/>
                <w:color w:val="auto"/>
              </w:rPr>
              <w:t>–</w:t>
            </w:r>
          </w:p>
        </w:tc>
      </w:tr>
      <w:tr>
        <w:trPr>
          <w:trHeight w:val="193"/>
        </w:trPr>
        <w:tc>
          <w:tcPr>
            <w:tcW w:w="164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w w:val="98"/>
              </w:rPr>
              <w:t>800 mg</w:t>
            </w:r>
          </w:p>
        </w:tc>
        <w:tc>
          <w:tcPr>
            <w:tcW w:w="1800" w:type="dxa"/>
            <w:vAlign w:val="bottom"/>
            <w:shd w:val="clear" w:color="auto" w:fill="D5E6E4"/>
          </w:tcPr>
          <w:p>
            <w:pPr>
              <w:jc w:val="center"/>
              <w:spacing w:after="0" w:line="193" w:lineRule="exact"/>
              <w:rPr>
                <w:sz w:val="20"/>
                <w:szCs w:val="20"/>
                <w:color w:val="auto"/>
              </w:rPr>
            </w:pPr>
            <w:r>
              <w:rPr>
                <w:rFonts w:ascii="Arial" w:cs="Arial" w:eastAsia="Arial" w:hAnsi="Arial"/>
                <w:sz w:val="17"/>
                <w:szCs w:val="17"/>
                <w:color w:val="auto"/>
              </w:rPr>
              <w:t>9</w:t>
            </w:r>
            <w:r>
              <w:rPr>
                <w:rFonts w:ascii="Arial" w:cs="Arial" w:eastAsia="Arial" w:hAnsi="Arial"/>
                <w:sz w:val="14"/>
                <w:szCs w:val="14"/>
                <w:color w:val="auto"/>
              </w:rPr>
              <w:t>b</w:t>
            </w:r>
          </w:p>
        </w:tc>
        <w:tc>
          <w:tcPr>
            <w:tcW w:w="2220" w:type="dxa"/>
            <w:vAlign w:val="bottom"/>
            <w:shd w:val="clear" w:color="auto" w:fill="D5E6E4"/>
          </w:tcPr>
          <w:p>
            <w:pPr>
              <w:jc w:val="center"/>
              <w:ind w:left="176"/>
              <w:spacing w:after="0" w:line="193" w:lineRule="exact"/>
              <w:rPr>
                <w:sz w:val="20"/>
                <w:szCs w:val="20"/>
                <w:color w:val="auto"/>
              </w:rPr>
            </w:pPr>
            <w:r>
              <w:rPr>
                <w:rFonts w:ascii="Arial" w:cs="Arial" w:eastAsia="Arial" w:hAnsi="Arial"/>
                <w:sz w:val="17"/>
                <w:szCs w:val="17"/>
                <w:color w:val="auto"/>
                <w:w w:val="84"/>
              </w:rPr>
              <w:t>1</w:t>
            </w:r>
          </w:p>
        </w:tc>
        <w:tc>
          <w:tcPr>
            <w:tcW w:w="5180" w:type="dxa"/>
            <w:vAlign w:val="bottom"/>
            <w:shd w:val="clear" w:color="auto" w:fill="D5E6E4"/>
          </w:tcPr>
          <w:p>
            <w:pPr>
              <w:ind w:left="300"/>
              <w:spacing w:after="0" w:line="193" w:lineRule="exact"/>
              <w:rPr>
                <w:sz w:val="20"/>
                <w:szCs w:val="20"/>
                <w:color w:val="auto"/>
              </w:rPr>
            </w:pPr>
            <w:r>
              <w:rPr>
                <w:rFonts w:ascii="Arial" w:cs="Arial" w:eastAsia="Arial" w:hAnsi="Arial"/>
                <w:sz w:val="17"/>
                <w:szCs w:val="17"/>
                <w:color w:val="auto"/>
              </w:rPr>
              <w:t>Grade 3 transaminases increased</w:t>
            </w:r>
          </w:p>
        </w:tc>
      </w:tr>
      <w:tr>
        <w:trPr>
          <w:trHeight w:val="193"/>
        </w:trPr>
        <w:tc>
          <w:tcPr>
            <w:tcW w:w="164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w w:val="99"/>
              </w:rPr>
              <w:t>1200 mg</w:t>
            </w:r>
          </w:p>
        </w:tc>
        <w:tc>
          <w:tcPr>
            <w:tcW w:w="1800" w:type="dxa"/>
            <w:vAlign w:val="bottom"/>
            <w:shd w:val="clear" w:color="auto" w:fill="EBF3F3"/>
          </w:tcPr>
          <w:p>
            <w:pPr>
              <w:jc w:val="center"/>
              <w:spacing w:after="0" w:line="193" w:lineRule="exact"/>
              <w:rPr>
                <w:sz w:val="20"/>
                <w:szCs w:val="20"/>
                <w:color w:val="auto"/>
              </w:rPr>
            </w:pPr>
            <w:r>
              <w:rPr>
                <w:rFonts w:ascii="Arial" w:cs="Arial" w:eastAsia="Arial" w:hAnsi="Arial"/>
                <w:sz w:val="17"/>
                <w:szCs w:val="17"/>
                <w:color w:val="auto"/>
              </w:rPr>
              <w:t>4</w:t>
            </w:r>
          </w:p>
        </w:tc>
        <w:tc>
          <w:tcPr>
            <w:tcW w:w="2220" w:type="dxa"/>
            <w:vAlign w:val="bottom"/>
            <w:shd w:val="clear" w:color="auto" w:fill="EBF3F3"/>
          </w:tcPr>
          <w:p>
            <w:pPr>
              <w:jc w:val="center"/>
              <w:ind w:left="176"/>
              <w:spacing w:after="0" w:line="193" w:lineRule="exact"/>
              <w:rPr>
                <w:sz w:val="20"/>
                <w:szCs w:val="20"/>
                <w:color w:val="auto"/>
              </w:rPr>
            </w:pPr>
            <w:r>
              <w:rPr>
                <w:rFonts w:ascii="Arial" w:cs="Arial" w:eastAsia="Arial" w:hAnsi="Arial"/>
                <w:sz w:val="17"/>
                <w:szCs w:val="17"/>
                <w:color w:val="auto"/>
                <w:w w:val="84"/>
              </w:rPr>
              <w:t>0</w:t>
            </w:r>
          </w:p>
        </w:tc>
        <w:tc>
          <w:tcPr>
            <w:tcW w:w="5180" w:type="dxa"/>
            <w:vAlign w:val="bottom"/>
            <w:shd w:val="clear" w:color="auto" w:fill="EBF3F3"/>
          </w:tcPr>
          <w:p>
            <w:pPr>
              <w:ind w:left="300"/>
              <w:spacing w:after="0" w:line="193" w:lineRule="exact"/>
              <w:rPr>
                <w:sz w:val="20"/>
                <w:szCs w:val="20"/>
                <w:color w:val="auto"/>
              </w:rPr>
            </w:pPr>
            <w:r>
              <w:rPr>
                <w:rFonts w:ascii="Arial" w:cs="Arial" w:eastAsia="Arial" w:hAnsi="Arial"/>
                <w:sz w:val="17"/>
                <w:szCs w:val="17"/>
                <w:color w:val="auto"/>
              </w:rPr>
              <w:t>–</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Data cut-off: August 31, 2020.</w:t>
      </w:r>
    </w:p>
    <w:p>
      <w:pPr>
        <w:spacing w:after="0" w:line="183"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One patient in the 100-mg cohort died due to disease progression on study Day 8.</w:t>
      </w:r>
    </w:p>
    <w:p>
      <w:pPr>
        <w:spacing w:after="0" w:line="187" w:lineRule="auto"/>
        <w:rPr>
          <w:sz w:val="20"/>
          <w:szCs w:val="20"/>
          <w:color w:val="auto"/>
        </w:rPr>
      </w:pPr>
      <w:r>
        <w:rPr>
          <w:rFonts w:ascii="Arial" w:cs="Arial" w:eastAsia="Arial" w:hAnsi="Arial"/>
          <w:sz w:val="18"/>
          <w:szCs w:val="18"/>
          <w:color w:val="auto"/>
          <w:vertAlign w:val="superscript"/>
        </w:rPr>
        <w:t>b</w:t>
      </w:r>
      <w:r>
        <w:rPr>
          <w:rFonts w:ascii="Arial" w:cs="Arial" w:eastAsia="Arial" w:hAnsi="Arial"/>
          <w:sz w:val="11"/>
          <w:szCs w:val="11"/>
          <w:color w:val="auto"/>
        </w:rPr>
        <w:t>One backfill patient in the 800-mg cohort did not complete the C1D8 and C1D15 assessments. The patient elected not to attend follow-up visits to avoid contracting COVID-19.</w:t>
      </w:r>
    </w:p>
    <w:p>
      <w:pPr>
        <w:spacing w:after="0"/>
        <w:rPr>
          <w:sz w:val="20"/>
          <w:szCs w:val="20"/>
          <w:color w:val="auto"/>
        </w:rPr>
      </w:pPr>
      <w:r>
        <w:rPr>
          <w:rFonts w:ascii="Arial" w:cs="Arial" w:eastAsia="Arial" w:hAnsi="Arial"/>
          <w:sz w:val="14"/>
          <w:szCs w:val="14"/>
          <w:color w:val="auto"/>
        </w:rPr>
        <w:t>ALT, alanine aminotransferase; AST, aspartate aminotransferase; DLT, dose-limiting toxicity.</w:t>
      </w:r>
    </w:p>
    <w:p>
      <w:pPr>
        <w:sectPr>
          <w:pgSz w:w="11900" w:h="16838" w:orient="portrait"/>
          <w:cols w:equalWidth="0" w:num="1">
            <w:col w:w="10840"/>
          </w:cols>
          <w:pgMar w:left="520" w:top="452" w:right="539" w:bottom="1440" w:gutter="0" w:footer="0" w:header="0"/>
        </w:sectPr>
      </w:pPr>
    </w:p>
    <w:bookmarkStart w:id="19" w:name="page20"/>
    <w:bookmarkEnd w:id="19"/>
    <w:p>
      <w:pPr>
        <w:ind w:left="3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6257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6257925"/>
                    </a:xfrm>
                    <a:prstGeom prst="rect">
                      <a:avLst/>
                    </a:prstGeom>
                    <a:noFill/>
                  </pic:spPr>
                </pic:pic>
              </a:graphicData>
            </a:graphic>
          </wp:anchor>
        </w:drawing>
        <w:t>Efficacy</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Dose escalation</w:t>
      </w:r>
    </w:p>
    <w:p>
      <w:pPr>
        <w:spacing w:after="0" w:line="25" w:lineRule="exact"/>
        <w:rPr>
          <w:sz w:val="20"/>
          <w:szCs w:val="20"/>
          <w:color w:val="auto"/>
        </w:rPr>
      </w:pPr>
    </w:p>
    <w:p>
      <w:pPr>
        <w:ind w:left="600" w:hanging="235"/>
        <w:spacing w:after="0"/>
        <w:tabs>
          <w:tab w:leader="none" w:pos="600" w:val="left"/>
        </w:tabs>
        <w:numPr>
          <w:ilvl w:val="0"/>
          <w:numId w:val="22"/>
        </w:numPr>
        <w:rPr>
          <w:rFonts w:ascii="Times New Roman" w:cs="Times New Roman" w:eastAsia="Times New Roman" w:hAnsi="Times New Roman"/>
          <w:sz w:val="15"/>
          <w:szCs w:val="15"/>
          <w:color w:val="auto"/>
        </w:rPr>
      </w:pPr>
      <w:r>
        <w:rPr>
          <w:rFonts w:ascii="Arial" w:cs="Arial" w:eastAsia="Arial" w:hAnsi="Arial"/>
          <w:sz w:val="15"/>
          <w:szCs w:val="15"/>
          <w:color w:val="auto"/>
        </w:rPr>
        <w:t>Of 61 patients, 56 were evaluable.</w:t>
      </w:r>
    </w:p>
    <w:p>
      <w:pPr>
        <w:spacing w:after="0" w:line="14" w:lineRule="exact"/>
        <w:rPr>
          <w:rFonts w:ascii="Times New Roman" w:cs="Times New Roman" w:eastAsia="Times New Roman" w:hAnsi="Times New Roman"/>
          <w:sz w:val="15"/>
          <w:szCs w:val="15"/>
          <w:color w:val="auto"/>
        </w:rPr>
      </w:pPr>
    </w:p>
    <w:p>
      <w:pPr>
        <w:ind w:left="600" w:hanging="235"/>
        <w:spacing w:after="0"/>
        <w:tabs>
          <w:tab w:leader="none" w:pos="600" w:val="left"/>
        </w:tabs>
        <w:numPr>
          <w:ilvl w:val="0"/>
          <w:numId w:val="22"/>
        </w:numPr>
        <w:rPr>
          <w:rFonts w:ascii="Times New Roman" w:cs="Times New Roman" w:eastAsia="Times New Roman" w:hAnsi="Times New Roman"/>
          <w:sz w:val="15"/>
          <w:szCs w:val="15"/>
          <w:color w:val="auto"/>
        </w:rPr>
      </w:pPr>
      <w:r>
        <w:rPr>
          <w:rFonts w:ascii="Arial" w:cs="Arial" w:eastAsia="Arial" w:hAnsi="Arial"/>
          <w:sz w:val="15"/>
          <w:szCs w:val="15"/>
          <w:color w:val="auto"/>
        </w:rPr>
        <w:t>Disease control occurred in 40/61 (65.6%) patients in the dose escalation phase (</w:t>
      </w:r>
      <w:r>
        <w:rPr>
          <w:rFonts w:ascii="Arial" w:cs="Arial" w:eastAsia="Arial" w:hAnsi="Arial"/>
          <w:sz w:val="15"/>
          <w:szCs w:val="15"/>
          <w:b w:val="1"/>
          <w:bCs w:val="1"/>
          <w:color w:val="auto"/>
        </w:rPr>
        <w:t>Figure 6</w:t>
      </w:r>
      <w:r>
        <w:rPr>
          <w:rFonts w:ascii="Arial" w:cs="Arial" w:eastAsia="Arial" w:hAnsi="Arial"/>
          <w:sz w:val="15"/>
          <w:szCs w:val="15"/>
          <w:color w:val="auto"/>
        </w:rPr>
        <w:t>).</w:t>
      </w:r>
    </w:p>
    <w:p>
      <w:pPr>
        <w:spacing w:after="0" w:line="24" w:lineRule="exact"/>
        <w:rPr>
          <w:rFonts w:ascii="Times New Roman" w:cs="Times New Roman" w:eastAsia="Times New Roman" w:hAnsi="Times New Roman"/>
          <w:sz w:val="15"/>
          <w:szCs w:val="15"/>
          <w:color w:val="auto"/>
        </w:rPr>
      </w:pPr>
    </w:p>
    <w:p>
      <w:pPr>
        <w:ind w:left="900" w:right="340" w:hanging="308"/>
        <w:spacing w:after="0" w:line="271" w:lineRule="auto"/>
        <w:rPr>
          <w:rFonts w:ascii="Times New Roman" w:cs="Times New Roman" w:eastAsia="Times New Roman" w:hAnsi="Times New Roman"/>
          <w:sz w:val="15"/>
          <w:szCs w:val="15"/>
          <w:color w:val="auto"/>
        </w:rPr>
      </w:pPr>
      <w:r>
        <w:rPr>
          <w:rFonts w:ascii="Arial" w:cs="Arial" w:eastAsia="Arial" w:hAnsi="Arial"/>
          <w:sz w:val="15"/>
          <w:szCs w:val="15"/>
          <w:color w:val="auto"/>
        </w:rPr>
        <w:t>– Partial response (PR) was achieved in four patients with triple-negative breast cancer (n=1), ovarian cancer (n=1), or non-small cell lung cancer (NSCLC) (n=2); 36 patients maintained stable disease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Data cut-off: September 29, 2020. Post-baseline scans were not conducted for five patients.</w:t>
      </w:r>
    </w:p>
    <w:p>
      <w:pPr>
        <w:ind w:left="360"/>
        <w:spacing w:after="0" w:line="183"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Minimum duration of response (5 weeks) per RECIST v1.1 not reached.</w:t>
      </w:r>
    </w:p>
    <w:p>
      <w:pPr>
        <w:ind w:left="360"/>
        <w:spacing w:after="0" w:line="187" w:lineRule="auto"/>
        <w:rPr>
          <w:sz w:val="20"/>
          <w:szCs w:val="20"/>
          <w:color w:val="auto"/>
        </w:rPr>
      </w:pPr>
      <w:r>
        <w:rPr>
          <w:rFonts w:ascii="Arial" w:cs="Arial" w:eastAsia="Arial" w:hAnsi="Arial"/>
          <w:sz w:val="18"/>
          <w:szCs w:val="18"/>
          <w:color w:val="auto"/>
          <w:vertAlign w:val="superscript"/>
        </w:rPr>
        <w:t>b</w:t>
      </w:r>
      <w:r>
        <w:rPr>
          <w:rFonts w:ascii="Arial" w:cs="Arial" w:eastAsia="Arial" w:hAnsi="Arial"/>
          <w:sz w:val="11"/>
          <w:szCs w:val="11"/>
          <w:color w:val="auto"/>
        </w:rPr>
        <w:t>PR was not confirmed on a subsequent scan.</w:t>
      </w:r>
    </w:p>
    <w:p>
      <w:pPr>
        <w:ind w:left="360" w:right="360"/>
        <w:spacing w:after="0" w:line="235" w:lineRule="auto"/>
        <w:rPr>
          <w:sz w:val="20"/>
          <w:szCs w:val="20"/>
          <w:color w:val="auto"/>
        </w:rPr>
      </w:pPr>
      <w:r>
        <w:rPr>
          <w:rFonts w:ascii="Arial" w:cs="Arial" w:eastAsia="Arial" w:hAnsi="Arial"/>
          <w:sz w:val="14"/>
          <w:szCs w:val="14"/>
          <w:color w:val="auto"/>
        </w:rPr>
        <w:t>NE, non-evaluable; NSCLC, non-small cell lung cancer; PD, progressive disease; PD-(L)1, programmed death (ligand) 1; PR, partial response; SD, stable disease; SoD, sum of diameters; uPR, unconfirmed partial response.</w:t>
      </w:r>
    </w:p>
    <w:p>
      <w:pPr>
        <w:sectPr>
          <w:pgSz w:w="11900" w:h="16838" w:orient="portrait"/>
          <w:cols w:equalWidth="0" w:num="1">
            <w:col w:w="11360"/>
          </w:cols>
          <w:pgMar w:left="300" w:top="286" w:right="239" w:bottom="1440" w:gutter="0" w:footer="0" w:header="0"/>
        </w:sectPr>
      </w:pPr>
    </w:p>
    <w:p>
      <w:pPr>
        <w:spacing w:after="0" w:line="1" w:lineRule="exact"/>
        <w:rPr>
          <w:sz w:val="20"/>
          <w:szCs w:val="20"/>
          <w:color w:val="auto"/>
        </w:rPr>
      </w:pPr>
    </w:p>
    <w:p>
      <w:pPr>
        <w:ind w:left="600" w:right="80" w:hanging="235"/>
        <w:spacing w:after="0" w:line="260" w:lineRule="auto"/>
        <w:tabs>
          <w:tab w:leader="none" w:pos="6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Of six patients with NSCLC, all of whom had received prior immune checkpoint inhibitor (ICI) therapy, two achieved unconfirmed PR, two maintained SD, and two experienced progressive disease (</w:t>
      </w:r>
      <w:r>
        <w:rPr>
          <w:rFonts w:ascii="Arial" w:cs="Arial" w:eastAsia="Arial" w:hAnsi="Arial"/>
          <w:sz w:val="15"/>
          <w:szCs w:val="15"/>
          <w:b w:val="1"/>
          <w:bCs w:val="1"/>
          <w:color w:val="auto"/>
        </w:rPr>
        <w:t>Figure 7</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Data cut-off: September 29, 2020.</w:t>
      </w:r>
    </w:p>
    <w:p>
      <w:pPr>
        <w:ind w:left="280"/>
        <w:spacing w:after="0" w:line="183"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PR was not confirmed by a subsequent scan.</w:t>
      </w:r>
    </w:p>
    <w:p>
      <w:pPr>
        <w:ind w:left="280" w:right="120"/>
        <w:spacing w:after="0" w:line="188" w:lineRule="auto"/>
        <w:rPr>
          <w:sz w:val="20"/>
          <w:szCs w:val="20"/>
          <w:color w:val="auto"/>
        </w:rPr>
      </w:pPr>
      <w:r>
        <w:rPr>
          <w:rFonts w:ascii="Arial" w:cs="Arial" w:eastAsia="Arial" w:hAnsi="Arial"/>
          <w:sz w:val="22"/>
          <w:szCs w:val="22"/>
          <w:color w:val="auto"/>
          <w:vertAlign w:val="superscript"/>
        </w:rPr>
        <w:t>b</w:t>
      </w:r>
      <w:r>
        <w:rPr>
          <w:rFonts w:ascii="Arial" w:cs="Arial" w:eastAsia="Arial" w:hAnsi="Arial"/>
          <w:sz w:val="13"/>
          <w:szCs w:val="13"/>
          <w:color w:val="auto"/>
        </w:rPr>
        <w:t>PD-L1 expression was assessed in archival tumor specimens.</w:t>
      </w:r>
    </w:p>
    <w:p>
      <w:pPr>
        <w:ind w:left="280" w:right="100"/>
        <w:spacing w:after="0" w:line="229" w:lineRule="auto"/>
        <w:rPr>
          <w:sz w:val="20"/>
          <w:szCs w:val="20"/>
          <w:color w:val="auto"/>
        </w:rPr>
      </w:pPr>
      <w:r>
        <w:rPr>
          <w:rFonts w:ascii="Arial" w:cs="Arial" w:eastAsia="Arial" w:hAnsi="Arial"/>
          <w:sz w:val="14"/>
          <w:szCs w:val="14"/>
          <w:color w:val="auto"/>
        </w:rPr>
        <w:t>BOR, best overall response; CR, complete response; ICI, immune checkpoint inhibitor; NA, not available;</w:t>
      </w:r>
    </w:p>
    <w:p>
      <w:pPr>
        <w:spacing w:after="0" w:line="2" w:lineRule="exact"/>
        <w:rPr>
          <w:sz w:val="20"/>
          <w:szCs w:val="20"/>
          <w:color w:val="auto"/>
        </w:rPr>
      </w:pPr>
    </w:p>
    <w:p>
      <w:pPr>
        <w:ind w:left="280"/>
        <w:spacing w:after="0" w:line="254" w:lineRule="auto"/>
        <w:rPr>
          <w:sz w:val="20"/>
          <w:szCs w:val="20"/>
          <w:color w:val="auto"/>
        </w:rPr>
      </w:pPr>
      <w:r>
        <w:rPr>
          <w:rFonts w:ascii="Arial" w:cs="Arial" w:eastAsia="Arial" w:hAnsi="Arial"/>
          <w:sz w:val="13"/>
          <w:szCs w:val="13"/>
          <w:color w:val="auto"/>
        </w:rPr>
        <w:t>PD, progressive disease; PD-(L)1, programmed death (ligand) 1; PR, partial response; RECIST, Response Evaluation Criteria in Solid Tumors; SD, stable disease; SoD, sum of diameters; TPS, tumor proportion score; uPR, unconfirmed partial response.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b w:val="1"/>
          <w:bCs w:val="1"/>
          <w:i w:val="1"/>
          <w:iCs w:val="1"/>
          <w:color w:val="auto"/>
        </w:rPr>
        <w:t>Expansion cohort</w:t>
      </w:r>
    </w:p>
    <w:p>
      <w:pPr>
        <w:ind w:left="300" w:right="580" w:hanging="228"/>
        <w:spacing w:after="0" w:line="258" w:lineRule="auto"/>
        <w:tabs>
          <w:tab w:leader="none" w:pos="292"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As of October 12, 2020, 24 patients were enrolled in expansion cohort 1, which includes patients with NSCLC with progression on or after ICI therapy (</w:t>
      </w:r>
      <w:r>
        <w:rPr>
          <w:rFonts w:ascii="Arial" w:cs="Arial" w:eastAsia="Arial" w:hAnsi="Arial"/>
          <w:sz w:val="15"/>
          <w:szCs w:val="15"/>
          <w:b w:val="1"/>
          <w:bCs w:val="1"/>
          <w:color w:val="auto"/>
        </w:rPr>
        <w:t>Figure 8</w:t>
      </w:r>
      <w:r>
        <w:rPr>
          <w:rFonts w:ascii="Arial" w:cs="Arial" w:eastAsia="Arial" w:hAnsi="Arial"/>
          <w:sz w:val="15"/>
          <w:szCs w:val="15"/>
          <w:color w:val="auto"/>
        </w:rPr>
        <w:t>).</w:t>
      </w:r>
    </w:p>
    <w:p>
      <w:pPr>
        <w:spacing w:after="0" w:line="1" w:lineRule="exact"/>
        <w:rPr>
          <w:rFonts w:ascii="Times New Roman" w:cs="Times New Roman" w:eastAsia="Times New Roman" w:hAnsi="Times New Roman"/>
          <w:sz w:val="15"/>
          <w:szCs w:val="15"/>
          <w:color w:val="auto"/>
        </w:rPr>
      </w:pPr>
    </w:p>
    <w:p>
      <w:pPr>
        <w:ind w:left="620" w:right="540" w:hanging="308"/>
        <w:spacing w:after="0" w:line="250" w:lineRule="auto"/>
        <w:rPr>
          <w:rFonts w:ascii="Times New Roman" w:cs="Times New Roman" w:eastAsia="Times New Roman" w:hAnsi="Times New Roman"/>
          <w:sz w:val="15"/>
          <w:szCs w:val="15"/>
          <w:color w:val="auto"/>
        </w:rPr>
      </w:pPr>
      <w:r>
        <w:rPr>
          <w:rFonts w:ascii="Arial" w:cs="Arial" w:eastAsia="Arial" w:hAnsi="Arial"/>
          <w:sz w:val="15"/>
          <w:szCs w:val="15"/>
          <w:color w:val="auto"/>
        </w:rPr>
        <w:t>– 12 patients had post-baseline scans; six patients continued treatment with GEN1046, six patients discontinued.</w:t>
      </w:r>
    </w:p>
    <w:p>
      <w:pPr>
        <w:ind w:left="620" w:right="680" w:hanging="308"/>
        <w:spacing w:after="0" w:line="271" w:lineRule="auto"/>
        <w:rPr>
          <w:rFonts w:ascii="Times New Roman" w:cs="Times New Roman" w:eastAsia="Times New Roman" w:hAnsi="Times New Roman"/>
          <w:sz w:val="15"/>
          <w:szCs w:val="15"/>
          <w:color w:val="auto"/>
        </w:rPr>
      </w:pPr>
      <w:r>
        <w:rPr>
          <w:rFonts w:ascii="Arial" w:cs="Arial" w:eastAsia="Arial" w:hAnsi="Arial"/>
          <w:sz w:val="15"/>
          <w:szCs w:val="15"/>
          <w:color w:val="auto"/>
        </w:rPr>
        <w:t>– Preliminary efficacy in 12 patients who could be objectively assessed showed two patients who achieved confirmed PR, one with unconfirmed PR, and four patients with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Data cut-off: October 12, 2020.</w:t>
      </w:r>
    </w:p>
    <w:p>
      <w:pPr>
        <w:spacing w:after="0" w:line="235" w:lineRule="auto"/>
        <w:rPr>
          <w:sz w:val="20"/>
          <w:szCs w:val="20"/>
          <w:color w:val="auto"/>
        </w:rPr>
      </w:pPr>
      <w:r>
        <w:rPr>
          <w:rFonts w:ascii="Arial" w:cs="Arial" w:eastAsia="Arial" w:hAnsi="Arial"/>
          <w:sz w:val="14"/>
          <w:szCs w:val="14"/>
          <w:color w:val="auto"/>
        </w:rPr>
        <w:t>*Denotes patients with ongoing treatment.</w:t>
      </w:r>
    </w:p>
    <w:p>
      <w:pPr>
        <w:spacing w:after="0" w:line="190" w:lineRule="auto"/>
        <w:rPr>
          <w:sz w:val="20"/>
          <w:szCs w:val="20"/>
          <w:color w:val="auto"/>
        </w:rPr>
      </w:pPr>
      <w:r>
        <w:rPr>
          <w:rFonts w:ascii="Arial" w:cs="Arial" w:eastAsia="Arial" w:hAnsi="Arial"/>
          <w:sz w:val="17"/>
          <w:szCs w:val="17"/>
          <w:color w:val="auto"/>
          <w:vertAlign w:val="superscript"/>
        </w:rPr>
        <w:t>a</w:t>
      </w:r>
      <w:r>
        <w:rPr>
          <w:rFonts w:ascii="Arial" w:cs="Arial" w:eastAsia="Arial" w:hAnsi="Arial"/>
          <w:sz w:val="11"/>
          <w:szCs w:val="11"/>
          <w:color w:val="auto"/>
        </w:rPr>
        <w:t>PR was not confirmed by a subsequent scan.</w:t>
      </w:r>
    </w:p>
    <w:p>
      <w:pPr>
        <w:spacing w:after="0" w:line="187" w:lineRule="auto"/>
        <w:rPr>
          <w:sz w:val="20"/>
          <w:szCs w:val="20"/>
          <w:color w:val="auto"/>
        </w:rPr>
      </w:pPr>
      <w:r>
        <w:rPr>
          <w:rFonts w:ascii="Arial" w:cs="Arial" w:eastAsia="Arial" w:hAnsi="Arial"/>
          <w:sz w:val="18"/>
          <w:szCs w:val="18"/>
          <w:color w:val="auto"/>
          <w:vertAlign w:val="superscript"/>
        </w:rPr>
        <w:t>b</w:t>
      </w:r>
      <w:r>
        <w:rPr>
          <w:rFonts w:ascii="Arial" w:cs="Arial" w:eastAsia="Arial" w:hAnsi="Arial"/>
          <w:sz w:val="11"/>
          <w:szCs w:val="11"/>
          <w:color w:val="auto"/>
        </w:rPr>
        <w:t>PD-L1 expression was assessed in tumor biopsies obtained prior to initiation of GEN1046 treatment.</w:t>
      </w:r>
    </w:p>
    <w:p>
      <w:pPr>
        <w:ind w:right="360"/>
        <w:spacing w:after="0" w:line="229" w:lineRule="auto"/>
        <w:rPr>
          <w:sz w:val="20"/>
          <w:szCs w:val="20"/>
          <w:color w:val="auto"/>
        </w:rPr>
      </w:pPr>
      <w:r>
        <w:rPr>
          <w:rFonts w:ascii="Arial" w:cs="Arial" w:eastAsia="Arial" w:hAnsi="Arial"/>
          <w:sz w:val="14"/>
          <w:szCs w:val="14"/>
          <w:color w:val="auto"/>
        </w:rPr>
        <w:t>Includes all patients who had at least one post-baseline tumor assessment (schedule is every 6 weeks), and thus could be assessed for clinical benefit; 6 of 12 patients are still on treatment.</w:t>
      </w:r>
    </w:p>
    <w:p>
      <w:pPr>
        <w:spacing w:after="0" w:line="1" w:lineRule="exact"/>
        <w:rPr>
          <w:sz w:val="20"/>
          <w:szCs w:val="20"/>
          <w:color w:val="auto"/>
        </w:rPr>
      </w:pPr>
    </w:p>
    <w:p>
      <w:pPr>
        <w:ind w:right="320"/>
        <w:spacing w:after="0" w:line="229" w:lineRule="auto"/>
        <w:rPr>
          <w:sz w:val="20"/>
          <w:szCs w:val="20"/>
          <w:color w:val="auto"/>
        </w:rPr>
      </w:pPr>
      <w:r>
        <w:rPr>
          <w:rFonts w:ascii="Arial" w:cs="Arial" w:eastAsia="Arial" w:hAnsi="Arial"/>
          <w:sz w:val="14"/>
          <w:szCs w:val="14"/>
          <w:color w:val="auto"/>
        </w:rPr>
        <w:t>Of the remaining 12 patients not shown, three patients had clinical progression prior to first response assessment, and nine patients are still receiving treatment and have not had a first response assessment.</w:t>
      </w:r>
    </w:p>
    <w:p>
      <w:pPr>
        <w:spacing w:after="0" w:line="231" w:lineRule="auto"/>
        <w:rPr>
          <w:sz w:val="20"/>
          <w:szCs w:val="20"/>
          <w:color w:val="auto"/>
        </w:rPr>
      </w:pPr>
      <w:r>
        <w:rPr>
          <w:rFonts w:ascii="Arial" w:cs="Arial" w:eastAsia="Arial" w:hAnsi="Arial"/>
          <w:sz w:val="14"/>
          <w:szCs w:val="14"/>
          <w:color w:val="auto"/>
        </w:rPr>
        <w:t>BOR and time point response assessed using RECIST 1.1; NA: Assessment succeeding first PD.</w:t>
      </w:r>
    </w:p>
    <w:p>
      <w:pPr>
        <w:ind w:right="300"/>
        <w:spacing w:after="0" w:line="234" w:lineRule="auto"/>
        <w:rPr>
          <w:sz w:val="20"/>
          <w:szCs w:val="20"/>
          <w:color w:val="auto"/>
        </w:rPr>
      </w:pPr>
      <w:r>
        <w:rPr>
          <w:rFonts w:ascii="Arial" w:cs="Arial" w:eastAsia="Arial" w:hAnsi="Arial"/>
          <w:sz w:val="14"/>
          <w:szCs w:val="14"/>
          <w:color w:val="auto"/>
        </w:rPr>
        <w:t>BOR, best overall response; ICI, immune checkpoint inhibitor; NA, not available, NE, non-evaluable; NSCLC, non-small cell lung cancer; PD, progressive disease; PD-(L)1, programmed death (ligand) 1; PR, partial response; RECIST, Response Evaluation Criteria in Solid Tumors; SD, stable disease; SoD, sum of diameters; TPS, tumor proportion score; uPR, unconfirmed partial response.</w:t>
      </w:r>
    </w:p>
    <w:p>
      <w:pPr>
        <w:spacing w:after="0" w:line="200" w:lineRule="exact"/>
        <w:rPr>
          <w:sz w:val="20"/>
          <w:szCs w:val="20"/>
          <w:color w:val="auto"/>
        </w:rPr>
      </w:pPr>
    </w:p>
    <w:p>
      <w:pPr>
        <w:sectPr>
          <w:pgSz w:w="11900" w:h="16838" w:orient="portrait"/>
          <w:cols w:equalWidth="0" w:num="2">
            <w:col w:w="3500" w:space="100"/>
            <w:col w:w="7760"/>
          </w:cols>
          <w:pgMar w:left="300" w:top="286" w:right="239" w:bottom="1440" w:gutter="0" w:footer="0" w:header="0"/>
          <w:type w:val="continuous"/>
        </w:sectPr>
      </w:pP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5680" w:type="dxa"/>
            <w:vAlign w:val="bottom"/>
            <w:shd w:val="clear" w:color="auto" w:fill="EBF3F3"/>
          </w:tcPr>
          <w:p>
            <w:pPr>
              <w:ind w:left="100"/>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ONCLUSIONS</w:t>
            </w:r>
          </w:p>
        </w:tc>
        <w:tc>
          <w:tcPr>
            <w:tcW w:w="5560" w:type="dxa"/>
            <w:vAlign w:val="bottom"/>
            <w:gridSpan w:val="3"/>
            <w:shd w:val="clear" w:color="auto" w:fill="EBF3F3"/>
          </w:tcPr>
          <w:p>
            <w:pPr>
              <w:ind w:left="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Clinical benefit across different dose levels was observed in patients,</w:t>
            </w:r>
          </w:p>
        </w:tc>
        <w:tc>
          <w:tcPr>
            <w:tcW w:w="1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BF3F3"/>
          </w:tcPr>
          <w:p>
            <w:pPr>
              <w:ind w:left="14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GEN1046 is a first-in-class, next-generation, PD-L1×4-1BB bispecific</w:t>
            </w:r>
          </w:p>
        </w:tc>
        <w:tc>
          <w:tcPr>
            <w:tcW w:w="240" w:type="dxa"/>
            <w:vAlign w:val="bottom"/>
            <w:shd w:val="clear" w:color="auto" w:fill="EBF3F3"/>
          </w:tcPr>
          <w:p>
            <w:pPr>
              <w:spacing w:after="0"/>
              <w:rPr>
                <w:sz w:val="17"/>
                <w:szCs w:val="17"/>
                <w:color w:val="auto"/>
              </w:rPr>
            </w:pPr>
          </w:p>
        </w:tc>
        <w:tc>
          <w:tcPr>
            <w:tcW w:w="5320" w:type="dxa"/>
            <w:vAlign w:val="bottom"/>
            <w:gridSpan w:val="2"/>
            <w:shd w:val="clear" w:color="auto" w:fill="EBF3F3"/>
          </w:tcPr>
          <w:p>
            <w:pPr>
              <w:spacing w:after="0"/>
              <w:rPr>
                <w:sz w:val="20"/>
                <w:szCs w:val="20"/>
                <w:color w:val="auto"/>
              </w:rPr>
            </w:pPr>
            <w:r>
              <w:rPr>
                <w:rFonts w:ascii="Arial" w:cs="Arial" w:eastAsia="Arial" w:hAnsi="Arial"/>
                <w:sz w:val="17"/>
                <w:szCs w:val="17"/>
                <w:color w:val="auto"/>
              </w:rPr>
              <w:t>including those resistant to prior immunotherapy and those with</w:t>
            </w: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680" w:type="dxa"/>
            <w:vAlign w:val="bottom"/>
            <w:shd w:val="clear" w:color="auto" w:fill="EBF3F3"/>
          </w:tcPr>
          <w:p>
            <w:pPr>
              <w:ind w:left="380"/>
              <w:spacing w:after="0"/>
              <w:rPr>
                <w:sz w:val="20"/>
                <w:szCs w:val="20"/>
                <w:color w:val="auto"/>
              </w:rPr>
            </w:pPr>
            <w:r>
              <w:rPr>
                <w:rFonts w:ascii="Arial" w:cs="Arial" w:eastAsia="Arial" w:hAnsi="Arial"/>
                <w:sz w:val="17"/>
                <w:szCs w:val="17"/>
                <w:color w:val="auto"/>
              </w:rPr>
              <w:t>antibody with an acceptable safety profile and encouraging early</w:t>
            </w:r>
          </w:p>
        </w:tc>
        <w:tc>
          <w:tcPr>
            <w:tcW w:w="240" w:type="dxa"/>
            <w:vAlign w:val="bottom"/>
            <w:shd w:val="clear" w:color="auto" w:fill="EBF3F3"/>
          </w:tcPr>
          <w:p>
            <w:pPr>
              <w:spacing w:after="0"/>
              <w:rPr>
                <w:sz w:val="17"/>
                <w:szCs w:val="17"/>
                <w:color w:val="auto"/>
              </w:rPr>
            </w:pPr>
          </w:p>
        </w:tc>
        <w:tc>
          <w:tcPr>
            <w:tcW w:w="5320" w:type="dxa"/>
            <w:vAlign w:val="bottom"/>
            <w:gridSpan w:val="2"/>
            <w:shd w:val="clear" w:color="auto" w:fill="EBF3F3"/>
          </w:tcPr>
          <w:p>
            <w:pPr>
              <w:spacing w:after="0"/>
              <w:rPr>
                <w:sz w:val="20"/>
                <w:szCs w:val="20"/>
                <w:color w:val="auto"/>
              </w:rPr>
            </w:pPr>
            <w:r>
              <w:rPr>
                <w:rFonts w:ascii="Arial" w:cs="Arial" w:eastAsia="Arial" w:hAnsi="Arial"/>
                <w:sz w:val="17"/>
                <w:szCs w:val="17"/>
                <w:color w:val="auto"/>
              </w:rPr>
              <w:t>tumors typically less sensitive to ICIs.</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380"/>
              <w:spacing w:after="0" w:line="193" w:lineRule="exact"/>
              <w:rPr>
                <w:sz w:val="20"/>
                <w:szCs w:val="20"/>
                <w:color w:val="auto"/>
              </w:rPr>
            </w:pPr>
            <w:r>
              <w:rPr>
                <w:rFonts w:ascii="Arial" w:cs="Arial" w:eastAsia="Arial" w:hAnsi="Arial"/>
                <w:sz w:val="17"/>
                <w:szCs w:val="17"/>
                <w:color w:val="auto"/>
              </w:rPr>
              <w:t>clinical activity, potentially addressing key limitations of the existing</w:t>
            </w:r>
          </w:p>
        </w:tc>
        <w:tc>
          <w:tcPr>
            <w:tcW w:w="240" w:type="dxa"/>
            <w:vAlign w:val="bottom"/>
            <w:shd w:val="clear" w:color="auto" w:fill="EBF3F3"/>
          </w:tcPr>
          <w:p>
            <w:pPr>
              <w:spacing w:after="0"/>
              <w:rPr>
                <w:sz w:val="16"/>
                <w:szCs w:val="16"/>
                <w:color w:val="auto"/>
              </w:rPr>
            </w:pPr>
          </w:p>
        </w:tc>
        <w:tc>
          <w:tcPr>
            <w:tcW w:w="5320" w:type="dxa"/>
            <w:vAlign w:val="bottom"/>
            <w:gridSpan w:val="2"/>
            <w:shd w:val="clear" w:color="auto" w:fill="EBF3F3"/>
          </w:tcPr>
          <w:p>
            <w:pPr>
              <w:spacing w:after="0" w:line="193" w:lineRule="exact"/>
              <w:rPr>
                <w:sz w:val="20"/>
                <w:szCs w:val="20"/>
                <w:color w:val="auto"/>
              </w:rPr>
            </w:pPr>
            <w:r>
              <w:rPr>
                <w:rFonts w:ascii="Arial" w:cs="Arial" w:eastAsia="Arial" w:hAnsi="Arial"/>
                <w:sz w:val="17"/>
                <w:szCs w:val="17"/>
                <w:color w:val="auto"/>
              </w:rPr>
              <w:t>–   Disease control was achieved in 65.6% of patients, including</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380"/>
              <w:spacing w:after="0" w:line="193" w:lineRule="exact"/>
              <w:rPr>
                <w:sz w:val="20"/>
                <w:szCs w:val="20"/>
                <w:color w:val="auto"/>
              </w:rPr>
            </w:pPr>
            <w:r>
              <w:rPr>
                <w:rFonts w:ascii="Arial" w:cs="Arial" w:eastAsia="Arial" w:hAnsi="Arial"/>
                <w:sz w:val="17"/>
                <w:szCs w:val="17"/>
                <w:color w:val="auto"/>
              </w:rPr>
              <w:t>4-1BB agonists.</w:t>
            </w:r>
          </w:p>
        </w:tc>
        <w:tc>
          <w:tcPr>
            <w:tcW w:w="240" w:type="dxa"/>
            <w:vAlign w:val="bottom"/>
            <w:shd w:val="clear" w:color="auto" w:fill="EBF3F3"/>
          </w:tcPr>
          <w:p>
            <w:pPr>
              <w:spacing w:after="0"/>
              <w:rPr>
                <w:sz w:val="16"/>
                <w:szCs w:val="16"/>
                <w:color w:val="auto"/>
              </w:rPr>
            </w:pPr>
          </w:p>
        </w:tc>
        <w:tc>
          <w:tcPr>
            <w:tcW w:w="5320" w:type="dxa"/>
            <w:vAlign w:val="bottom"/>
            <w:gridSpan w:val="2"/>
            <w:shd w:val="clear" w:color="auto" w:fill="EBF3F3"/>
          </w:tcPr>
          <w:p>
            <w:pPr>
              <w:ind w:left="340"/>
              <w:spacing w:after="0" w:line="193" w:lineRule="exact"/>
              <w:rPr>
                <w:sz w:val="20"/>
                <w:szCs w:val="20"/>
                <w:color w:val="auto"/>
              </w:rPr>
            </w:pPr>
            <w:r>
              <w:rPr>
                <w:rFonts w:ascii="Arial" w:cs="Arial" w:eastAsia="Arial" w:hAnsi="Arial"/>
                <w:sz w:val="17"/>
                <w:szCs w:val="17"/>
                <w:color w:val="auto"/>
              </w:rPr>
              <w:t>partial responses in triple-negative breast cancer (n=1), ovarian</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440"/>
              <w:spacing w:after="0" w:line="193" w:lineRule="exact"/>
              <w:rPr>
                <w:sz w:val="20"/>
                <w:szCs w:val="20"/>
                <w:color w:val="auto"/>
              </w:rPr>
            </w:pPr>
            <w:r>
              <w:rPr>
                <w:rFonts w:ascii="Arial" w:cs="Arial" w:eastAsia="Arial" w:hAnsi="Arial"/>
                <w:sz w:val="17"/>
                <w:szCs w:val="17"/>
                <w:color w:val="auto"/>
              </w:rPr>
              <w:t>–   In the dose escalation phase of this phase I/IIa study, GEN1046</w:t>
            </w:r>
          </w:p>
        </w:tc>
        <w:tc>
          <w:tcPr>
            <w:tcW w:w="240" w:type="dxa"/>
            <w:vAlign w:val="bottom"/>
            <w:shd w:val="clear" w:color="auto" w:fill="EBF3F3"/>
          </w:tcPr>
          <w:p>
            <w:pPr>
              <w:spacing w:after="0"/>
              <w:rPr>
                <w:sz w:val="16"/>
                <w:szCs w:val="16"/>
                <w:color w:val="auto"/>
              </w:rPr>
            </w:pPr>
          </w:p>
        </w:tc>
        <w:tc>
          <w:tcPr>
            <w:tcW w:w="5320" w:type="dxa"/>
            <w:vAlign w:val="bottom"/>
            <w:gridSpan w:val="2"/>
            <w:shd w:val="clear" w:color="auto" w:fill="EBF3F3"/>
          </w:tcPr>
          <w:p>
            <w:pPr>
              <w:ind w:left="340"/>
              <w:spacing w:after="0" w:line="193" w:lineRule="exact"/>
              <w:rPr>
                <w:sz w:val="20"/>
                <w:szCs w:val="20"/>
                <w:color w:val="auto"/>
              </w:rPr>
            </w:pPr>
            <w:r>
              <w:rPr>
                <w:rFonts w:ascii="Arial" w:cs="Arial" w:eastAsia="Arial" w:hAnsi="Arial"/>
                <w:sz w:val="17"/>
                <w:szCs w:val="17"/>
                <w:color w:val="auto"/>
              </w:rPr>
              <w:t>cancer (n=1), and ICI-pretreated NSCLC (n=2).</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780"/>
              <w:spacing w:after="0" w:line="193" w:lineRule="exact"/>
              <w:rPr>
                <w:sz w:val="20"/>
                <w:szCs w:val="20"/>
                <w:color w:val="auto"/>
              </w:rPr>
            </w:pPr>
            <w:r>
              <w:rPr>
                <w:rFonts w:ascii="Arial" w:cs="Arial" w:eastAsia="Arial" w:hAnsi="Arial"/>
                <w:sz w:val="17"/>
                <w:szCs w:val="17"/>
                <w:color w:val="auto"/>
              </w:rPr>
              <w:t>demonstrated a manageable safety profile and preliminary</w:t>
            </w:r>
          </w:p>
        </w:tc>
        <w:tc>
          <w:tcPr>
            <w:tcW w:w="5560" w:type="dxa"/>
            <w:vAlign w:val="bottom"/>
            <w:gridSpan w:val="3"/>
            <w:shd w:val="clear" w:color="auto" w:fill="EBF3F3"/>
          </w:tcPr>
          <w:p>
            <w:pPr>
              <w:ind w:left="60"/>
              <w:spacing w:after="0" w:line="19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Modulation of pharmacodynamic endpoints was observed across a</w:t>
            </w:r>
          </w:p>
        </w:tc>
        <w:tc>
          <w:tcPr>
            <w:tcW w:w="10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780"/>
              <w:spacing w:after="0" w:line="193" w:lineRule="exact"/>
              <w:rPr>
                <w:sz w:val="20"/>
                <w:szCs w:val="20"/>
                <w:color w:val="auto"/>
              </w:rPr>
            </w:pPr>
            <w:r>
              <w:rPr>
                <w:rFonts w:ascii="Arial" w:cs="Arial" w:eastAsia="Arial" w:hAnsi="Arial"/>
                <w:sz w:val="17"/>
                <w:szCs w:val="17"/>
                <w:color w:val="auto"/>
              </w:rPr>
              <w:t>clinical activity in a heavily pretreated population with advanced</w:t>
            </w:r>
          </w:p>
        </w:tc>
        <w:tc>
          <w:tcPr>
            <w:tcW w:w="240" w:type="dxa"/>
            <w:vAlign w:val="bottom"/>
            <w:shd w:val="clear" w:color="auto" w:fill="EBF3F3"/>
          </w:tcPr>
          <w:p>
            <w:pPr>
              <w:spacing w:after="0"/>
              <w:rPr>
                <w:sz w:val="16"/>
                <w:szCs w:val="16"/>
                <w:color w:val="auto"/>
              </w:rPr>
            </w:pPr>
          </w:p>
        </w:tc>
        <w:tc>
          <w:tcPr>
            <w:tcW w:w="5320" w:type="dxa"/>
            <w:vAlign w:val="bottom"/>
            <w:gridSpan w:val="2"/>
            <w:shd w:val="clear" w:color="auto" w:fill="EBF3F3"/>
          </w:tcPr>
          <w:p>
            <w:pPr>
              <w:spacing w:after="0" w:line="193" w:lineRule="exact"/>
              <w:rPr>
                <w:sz w:val="20"/>
                <w:szCs w:val="20"/>
                <w:color w:val="auto"/>
              </w:rPr>
            </w:pPr>
            <w:r>
              <w:rPr>
                <w:rFonts w:ascii="Arial" w:cs="Arial" w:eastAsia="Arial" w:hAnsi="Arial"/>
                <w:sz w:val="17"/>
                <w:szCs w:val="17"/>
                <w:color w:val="auto"/>
              </w:rPr>
              <w:t>broad range of dose levels demonstrating biological activity.</w:t>
            </w: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EBF3F3"/>
          </w:tcPr>
          <w:p>
            <w:pPr>
              <w:ind w:left="780"/>
              <w:spacing w:after="0"/>
              <w:rPr>
                <w:sz w:val="20"/>
                <w:szCs w:val="20"/>
                <w:color w:val="auto"/>
              </w:rPr>
            </w:pPr>
            <w:r>
              <w:rPr>
                <w:rFonts w:ascii="Arial" w:cs="Arial" w:eastAsia="Arial" w:hAnsi="Arial"/>
                <w:sz w:val="17"/>
                <w:szCs w:val="17"/>
                <w:color w:val="auto"/>
              </w:rPr>
              <w:t>solid tumors.</w:t>
            </w:r>
          </w:p>
        </w:tc>
        <w:tc>
          <w:tcPr>
            <w:tcW w:w="5560" w:type="dxa"/>
            <w:vAlign w:val="bottom"/>
            <w:gridSpan w:val="3"/>
            <w:shd w:val="clear" w:color="auto" w:fill="EBF3F3"/>
          </w:tcPr>
          <w:p>
            <w:pPr>
              <w:ind w:left="60"/>
              <w:spacing w:after="0"/>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Encouraging preliminary responses have been observed in the</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680" w:type="dxa"/>
            <w:vAlign w:val="bottom"/>
            <w:shd w:val="clear" w:color="auto" w:fill="EBF3F3"/>
          </w:tcPr>
          <w:p>
            <w:pPr>
              <w:ind w:left="140"/>
              <w:spacing w:after="0" w:line="19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Most AEs were mild to moderate; treatment-related Grade 3</w:t>
            </w:r>
          </w:p>
        </w:tc>
        <w:tc>
          <w:tcPr>
            <w:tcW w:w="240" w:type="dxa"/>
            <w:vAlign w:val="bottom"/>
            <w:shd w:val="clear" w:color="auto" w:fill="EBF3F3"/>
          </w:tcPr>
          <w:p>
            <w:pPr>
              <w:spacing w:after="0"/>
              <w:rPr>
                <w:sz w:val="16"/>
                <w:szCs w:val="16"/>
                <w:color w:val="auto"/>
              </w:rPr>
            </w:pPr>
          </w:p>
        </w:tc>
        <w:tc>
          <w:tcPr>
            <w:tcW w:w="5320" w:type="dxa"/>
            <w:vAlign w:val="bottom"/>
            <w:gridSpan w:val="2"/>
            <w:shd w:val="clear" w:color="auto" w:fill="EBF3F3"/>
          </w:tcPr>
          <w:p>
            <w:pPr>
              <w:spacing w:after="0" w:line="193" w:lineRule="exact"/>
              <w:rPr>
                <w:sz w:val="20"/>
                <w:szCs w:val="20"/>
                <w:color w:val="auto"/>
              </w:rPr>
            </w:pPr>
            <w:r>
              <w:rPr>
                <w:rFonts w:ascii="Arial" w:cs="Arial" w:eastAsia="Arial" w:hAnsi="Arial"/>
                <w:sz w:val="17"/>
                <w:szCs w:val="17"/>
                <w:color w:val="auto"/>
              </w:rPr>
              <w:t>expansion cohort currently enrolling patients with NSCLC who have</w:t>
            </w: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BF3F3"/>
          </w:tcPr>
          <w:p>
            <w:pPr>
              <w:ind w:left="380"/>
              <w:spacing w:after="0"/>
              <w:rPr>
                <w:sz w:val="20"/>
                <w:szCs w:val="20"/>
                <w:color w:val="auto"/>
              </w:rPr>
            </w:pPr>
            <w:r>
              <w:rPr>
                <w:rFonts w:ascii="Arial" w:cs="Arial" w:eastAsia="Arial" w:hAnsi="Arial"/>
                <w:sz w:val="17"/>
                <w:szCs w:val="17"/>
                <w:color w:val="auto"/>
              </w:rPr>
              <w:t>transaminase elevations resolved with corticosteroids.</w:t>
            </w:r>
          </w:p>
        </w:tc>
        <w:tc>
          <w:tcPr>
            <w:tcW w:w="240" w:type="dxa"/>
            <w:vAlign w:val="bottom"/>
            <w:shd w:val="clear" w:color="auto" w:fill="EBF3F3"/>
          </w:tcPr>
          <w:p>
            <w:pPr>
              <w:spacing w:after="0"/>
              <w:rPr>
                <w:sz w:val="17"/>
                <w:szCs w:val="17"/>
                <w:color w:val="auto"/>
              </w:rPr>
            </w:pPr>
          </w:p>
        </w:tc>
        <w:tc>
          <w:tcPr>
            <w:tcW w:w="5320" w:type="dxa"/>
            <w:vAlign w:val="bottom"/>
            <w:gridSpan w:val="2"/>
            <w:shd w:val="clear" w:color="auto" w:fill="EBF3F3"/>
          </w:tcPr>
          <w:p>
            <w:pPr>
              <w:spacing w:after="0"/>
              <w:rPr>
                <w:sz w:val="20"/>
                <w:szCs w:val="20"/>
                <w:color w:val="auto"/>
              </w:rPr>
            </w:pPr>
            <w:r>
              <w:rPr>
                <w:rFonts w:ascii="Arial" w:cs="Arial" w:eastAsia="Arial" w:hAnsi="Arial"/>
                <w:sz w:val="17"/>
                <w:szCs w:val="17"/>
                <w:color w:val="auto"/>
              </w:rPr>
              <w:t>received prior ICI therapy.</w:t>
            </w:r>
          </w:p>
        </w:tc>
        <w:tc>
          <w:tcPr>
            <w:tcW w:w="10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5680" w:type="dxa"/>
            <w:vAlign w:val="bottom"/>
            <w:tcBorders>
              <w:bottom w:val="single" w:sz="8" w:color="EBF3F3"/>
            </w:tcBorders>
            <w:shd w:val="clear" w:color="auto" w:fill="EBF3F3"/>
          </w:tcPr>
          <w:p>
            <w:pPr>
              <w:ind w:left="440"/>
              <w:spacing w:after="0" w:line="173" w:lineRule="exact"/>
              <w:rPr>
                <w:sz w:val="20"/>
                <w:szCs w:val="20"/>
                <w:color w:val="auto"/>
              </w:rPr>
            </w:pPr>
            <w:r>
              <w:rPr>
                <w:rFonts w:ascii="Arial" w:cs="Arial" w:eastAsia="Arial" w:hAnsi="Arial"/>
                <w:sz w:val="17"/>
                <w:szCs w:val="17"/>
                <w:color w:val="auto"/>
              </w:rPr>
              <w:t>–   No treatment-related bilirubin increases or Grade 4</w:t>
            </w:r>
          </w:p>
        </w:tc>
        <w:tc>
          <w:tcPr>
            <w:tcW w:w="240" w:type="dxa"/>
            <w:vAlign w:val="bottom"/>
            <w:tcBorders>
              <w:bottom w:val="single" w:sz="8" w:color="EBF3F3"/>
            </w:tcBorders>
            <w:shd w:val="clear" w:color="auto" w:fill="EBF3F3"/>
          </w:tcPr>
          <w:p>
            <w:pPr>
              <w:spacing w:after="0"/>
              <w:rPr>
                <w:sz w:val="15"/>
                <w:szCs w:val="15"/>
                <w:color w:val="auto"/>
              </w:rPr>
            </w:pPr>
          </w:p>
        </w:tc>
        <w:tc>
          <w:tcPr>
            <w:tcW w:w="3600" w:type="dxa"/>
            <w:vAlign w:val="bottom"/>
            <w:tcBorders>
              <w:bottom w:val="single" w:sz="8" w:color="auto"/>
            </w:tcBorders>
            <w:shd w:val="clear" w:color="auto" w:fill="EBF3F3"/>
          </w:tcPr>
          <w:p>
            <w:pPr>
              <w:spacing w:after="0" w:line="160" w:lineRule="exact"/>
              <w:rPr>
                <w:sz w:val="20"/>
                <w:szCs w:val="20"/>
                <w:color w:val="auto"/>
              </w:rPr>
            </w:pPr>
            <w:r>
              <w:rPr>
                <w:rFonts w:ascii="Arial" w:cs="Arial" w:eastAsia="Arial" w:hAnsi="Arial"/>
                <w:sz w:val="17"/>
                <w:szCs w:val="17"/>
                <w:color w:val="auto"/>
              </w:rPr>
              <w:t>https://clinicaltrials.gov/ct2/show/NCT03917381</w:t>
            </w:r>
          </w:p>
        </w:tc>
        <w:tc>
          <w:tcPr>
            <w:tcW w:w="1720" w:type="dxa"/>
            <w:vAlign w:val="bottom"/>
            <w:tcBorders>
              <w:bottom w:val="single" w:sz="8" w:color="EBF3F3"/>
            </w:tcBorders>
            <w:shd w:val="clear" w:color="auto" w:fill="EBF3F3"/>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5680" w:type="dxa"/>
            <w:vAlign w:val="bottom"/>
            <w:shd w:val="clear" w:color="auto" w:fill="EBF3F3"/>
          </w:tcPr>
          <w:p>
            <w:pPr>
              <w:ind w:left="780"/>
              <w:spacing w:after="0"/>
              <w:rPr>
                <w:sz w:val="20"/>
                <w:szCs w:val="20"/>
                <w:color w:val="auto"/>
              </w:rPr>
            </w:pPr>
            <w:r>
              <w:rPr>
                <w:rFonts w:ascii="Arial" w:cs="Arial" w:eastAsia="Arial" w:hAnsi="Arial"/>
                <w:sz w:val="17"/>
                <w:szCs w:val="17"/>
                <w:color w:val="auto"/>
              </w:rPr>
              <w:t>transaminase elevations were observed.</w:t>
            </w:r>
          </w:p>
        </w:tc>
        <w:tc>
          <w:tcPr>
            <w:tcW w:w="240" w:type="dxa"/>
            <w:vAlign w:val="bottom"/>
            <w:shd w:val="clear" w:color="auto" w:fill="EBF3F3"/>
          </w:tcPr>
          <w:p>
            <w:pPr>
              <w:spacing w:after="0"/>
              <w:rPr>
                <w:sz w:val="17"/>
                <w:szCs w:val="17"/>
                <w:color w:val="auto"/>
              </w:rPr>
            </w:pPr>
          </w:p>
        </w:tc>
        <w:tc>
          <w:tcPr>
            <w:tcW w:w="3600" w:type="dxa"/>
            <w:vAlign w:val="bottom"/>
            <w:shd w:val="clear" w:color="auto" w:fill="EBF3F3"/>
          </w:tcPr>
          <w:p>
            <w:pPr>
              <w:spacing w:after="0"/>
              <w:rPr>
                <w:sz w:val="17"/>
                <w:szCs w:val="17"/>
                <w:color w:val="auto"/>
              </w:rPr>
            </w:pPr>
          </w:p>
        </w:tc>
        <w:tc>
          <w:tcPr>
            <w:tcW w:w="1720" w:type="dxa"/>
            <w:vAlign w:val="bottom"/>
            <w:shd w:val="clear" w:color="auto" w:fill="EBF3F3"/>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5680" w:type="dxa"/>
            <w:vAlign w:val="bottom"/>
            <w:shd w:val="clear" w:color="auto" w:fill="EBF3F3"/>
          </w:tcPr>
          <w:p>
            <w:pPr>
              <w:ind w:left="440"/>
              <w:spacing w:after="0"/>
              <w:rPr>
                <w:sz w:val="20"/>
                <w:szCs w:val="20"/>
                <w:color w:val="auto"/>
              </w:rPr>
            </w:pPr>
            <w:r>
              <w:rPr>
                <w:rFonts w:ascii="Arial" w:cs="Arial" w:eastAsia="Arial" w:hAnsi="Arial"/>
                <w:sz w:val="17"/>
                <w:szCs w:val="17"/>
                <w:color w:val="auto"/>
              </w:rPr>
              <w:t>–   Six patients had DLTs; MTD was not reached.</w:t>
            </w:r>
          </w:p>
        </w:tc>
        <w:tc>
          <w:tcPr>
            <w:tcW w:w="240" w:type="dxa"/>
            <w:vAlign w:val="bottom"/>
            <w:shd w:val="clear" w:color="auto" w:fill="EBF3F3"/>
          </w:tcPr>
          <w:p>
            <w:pPr>
              <w:spacing w:after="0"/>
              <w:rPr>
                <w:sz w:val="20"/>
                <w:szCs w:val="20"/>
                <w:color w:val="auto"/>
              </w:rPr>
            </w:pPr>
          </w:p>
        </w:tc>
        <w:tc>
          <w:tcPr>
            <w:tcW w:w="3600" w:type="dxa"/>
            <w:vAlign w:val="bottom"/>
            <w:shd w:val="clear" w:color="auto" w:fill="EBF3F3"/>
          </w:tcPr>
          <w:p>
            <w:pPr>
              <w:spacing w:after="0"/>
              <w:rPr>
                <w:sz w:val="20"/>
                <w:szCs w:val="20"/>
                <w:color w:val="auto"/>
              </w:rPr>
            </w:pPr>
          </w:p>
        </w:tc>
        <w:tc>
          <w:tcPr>
            <w:tcW w:w="1720" w:type="dxa"/>
            <w:vAlign w:val="bottom"/>
            <w:shd w:val="clear" w:color="auto" w:fill="EBF3F3"/>
          </w:tcPr>
          <w:p>
            <w:pPr>
              <w:spacing w:after="0"/>
              <w:rPr>
                <w:sz w:val="20"/>
                <w:szCs w:val="20"/>
                <w:color w:val="auto"/>
              </w:rPr>
            </w:pPr>
          </w:p>
        </w:tc>
        <w:tc>
          <w:tcPr>
            <w:tcW w:w="100" w:type="dxa"/>
            <w:vAlign w:val="bottom"/>
          </w:tcPr>
          <w:p>
            <w:pPr>
              <w:spacing w:after="0"/>
              <w:rPr>
                <w:sz w:val="20"/>
                <w:szCs w:val="20"/>
                <w:color w:val="auto"/>
              </w:rPr>
            </w:pPr>
          </w:p>
        </w:tc>
      </w:tr>
      <w:tr>
        <w:trPr>
          <w:trHeight w:val="113"/>
        </w:trPr>
        <w:tc>
          <w:tcPr>
            <w:tcW w:w="20" w:type="dxa"/>
            <w:vAlign w:val="bottom"/>
          </w:tcPr>
          <w:p>
            <w:pPr>
              <w:spacing w:after="0"/>
              <w:rPr>
                <w:sz w:val="9"/>
                <w:szCs w:val="9"/>
                <w:color w:val="auto"/>
              </w:rPr>
            </w:pPr>
          </w:p>
        </w:tc>
        <w:tc>
          <w:tcPr>
            <w:tcW w:w="5680" w:type="dxa"/>
            <w:vAlign w:val="bottom"/>
            <w:shd w:val="clear" w:color="auto" w:fill="EBF3F3"/>
          </w:tcPr>
          <w:p>
            <w:pPr>
              <w:spacing w:after="0"/>
              <w:rPr>
                <w:sz w:val="9"/>
                <w:szCs w:val="9"/>
                <w:color w:val="auto"/>
              </w:rPr>
            </w:pPr>
          </w:p>
        </w:tc>
        <w:tc>
          <w:tcPr>
            <w:tcW w:w="240" w:type="dxa"/>
            <w:vAlign w:val="bottom"/>
            <w:shd w:val="clear" w:color="auto" w:fill="EBF3F3"/>
          </w:tcPr>
          <w:p>
            <w:pPr>
              <w:spacing w:after="0"/>
              <w:rPr>
                <w:sz w:val="9"/>
                <w:szCs w:val="9"/>
                <w:color w:val="auto"/>
              </w:rPr>
            </w:pPr>
          </w:p>
        </w:tc>
        <w:tc>
          <w:tcPr>
            <w:tcW w:w="3600" w:type="dxa"/>
            <w:vAlign w:val="bottom"/>
            <w:shd w:val="clear" w:color="auto" w:fill="EBF3F3"/>
          </w:tcPr>
          <w:p>
            <w:pPr>
              <w:spacing w:after="0"/>
              <w:rPr>
                <w:sz w:val="9"/>
                <w:szCs w:val="9"/>
                <w:color w:val="auto"/>
              </w:rPr>
            </w:pPr>
          </w:p>
        </w:tc>
        <w:tc>
          <w:tcPr>
            <w:tcW w:w="1720" w:type="dxa"/>
            <w:vAlign w:val="bottom"/>
            <w:shd w:val="clear" w:color="auto" w:fill="EBF3F3"/>
          </w:tcPr>
          <w:p>
            <w:pPr>
              <w:spacing w:after="0"/>
              <w:rPr>
                <w:sz w:val="9"/>
                <w:szCs w:val="9"/>
                <w:color w:val="auto"/>
              </w:rPr>
            </w:pPr>
          </w:p>
        </w:tc>
        <w:tc>
          <w:tcPr>
            <w:tcW w:w="100" w:type="dxa"/>
            <w:vAlign w:val="bottom"/>
          </w:tcPr>
          <w:p>
            <w:pPr>
              <w:spacing w:after="0"/>
              <w:rPr>
                <w:sz w:val="9"/>
                <w:szCs w:val="9"/>
                <w:color w:val="auto"/>
              </w:rPr>
            </w:pPr>
          </w:p>
        </w:tc>
      </w:tr>
      <w:tr>
        <w:trPr>
          <w:trHeight w:val="237"/>
        </w:trPr>
        <w:tc>
          <w:tcPr>
            <w:tcW w:w="20" w:type="dxa"/>
            <w:vAlign w:val="bottom"/>
            <w:tcBorders>
              <w:bottom w:val="single" w:sz="8" w:color="009D93"/>
            </w:tcBorders>
          </w:tcPr>
          <w:p>
            <w:pPr>
              <w:spacing w:after="0"/>
              <w:rPr>
                <w:sz w:val="20"/>
                <w:szCs w:val="20"/>
                <w:color w:val="auto"/>
              </w:rPr>
            </w:pPr>
          </w:p>
        </w:tc>
        <w:tc>
          <w:tcPr>
            <w:tcW w:w="5680" w:type="dxa"/>
            <w:vAlign w:val="bottom"/>
            <w:tcBorders>
              <w:bottom w:val="single" w:sz="8" w:color="009D93"/>
            </w:tcBorders>
          </w:tcPr>
          <w:p>
            <w:pPr>
              <w:spacing w:after="0"/>
              <w:rPr>
                <w:sz w:val="20"/>
                <w:szCs w:val="20"/>
                <w:color w:val="auto"/>
              </w:rPr>
            </w:pPr>
          </w:p>
        </w:tc>
        <w:tc>
          <w:tcPr>
            <w:tcW w:w="240" w:type="dxa"/>
            <w:vAlign w:val="bottom"/>
            <w:tcBorders>
              <w:bottom w:val="single" w:sz="8" w:color="009D93"/>
            </w:tcBorders>
          </w:tcPr>
          <w:p>
            <w:pPr>
              <w:spacing w:after="0"/>
              <w:rPr>
                <w:sz w:val="20"/>
                <w:szCs w:val="20"/>
                <w:color w:val="auto"/>
              </w:rPr>
            </w:pPr>
          </w:p>
        </w:tc>
        <w:tc>
          <w:tcPr>
            <w:tcW w:w="3600" w:type="dxa"/>
            <w:vAlign w:val="bottom"/>
            <w:tcBorders>
              <w:bottom w:val="single" w:sz="8" w:color="009D93"/>
            </w:tcBorders>
          </w:tcPr>
          <w:p>
            <w:pPr>
              <w:spacing w:after="0"/>
              <w:rPr>
                <w:sz w:val="20"/>
                <w:szCs w:val="20"/>
                <w:color w:val="auto"/>
              </w:rPr>
            </w:pPr>
          </w:p>
        </w:tc>
        <w:tc>
          <w:tcPr>
            <w:tcW w:w="1720" w:type="dxa"/>
            <w:vAlign w:val="bottom"/>
            <w:tcBorders>
              <w:bottom w:val="single" w:sz="8" w:color="009D93"/>
            </w:tcBorders>
          </w:tcPr>
          <w:p>
            <w:pPr>
              <w:spacing w:after="0"/>
              <w:rPr>
                <w:sz w:val="20"/>
                <w:szCs w:val="20"/>
                <w:color w:val="auto"/>
              </w:rPr>
            </w:pPr>
          </w:p>
        </w:tc>
        <w:tc>
          <w:tcPr>
            <w:tcW w:w="100" w:type="dxa"/>
            <w:vAlign w:val="bottom"/>
            <w:tcBorders>
              <w:bottom w:val="single" w:sz="8" w:color="009D93"/>
            </w:tcBorders>
          </w:tcPr>
          <w:p>
            <w:pPr>
              <w:spacing w:after="0"/>
              <w:rPr>
                <w:sz w:val="20"/>
                <w:szCs w:val="20"/>
                <w:color w:val="auto"/>
              </w:rPr>
            </w:pPr>
          </w:p>
        </w:tc>
      </w:tr>
    </w:tbl>
    <w:p>
      <w:pPr>
        <w:sectPr>
          <w:pgSz w:w="11900" w:h="16838" w:orient="portrait"/>
          <w:cols w:equalWidth="0" w:num="1">
            <w:col w:w="11360"/>
          </w:cols>
          <w:pgMar w:left="300" w:top="286" w:right="239" w:bottom="1440" w:gutter="0" w:footer="0" w:header="0"/>
          <w:type w:val="continuous"/>
        </w:sectPr>
      </w:pPr>
    </w:p>
    <w:bookmarkStart w:id="20" w:name="page21"/>
    <w:bookmarkEnd w:id="20"/>
    <w:p>
      <w:pPr>
        <w:ind w:left="160"/>
        <w:spacing w:after="0"/>
        <w:rPr>
          <w:sz w:val="20"/>
          <w:szCs w:val="20"/>
          <w:color w:val="auto"/>
        </w:rPr>
      </w:pPr>
      <w:r>
        <w:rPr>
          <w:rFonts w:ascii="Arial" w:cs="Arial" w:eastAsia="Arial" w:hAnsi="Arial"/>
          <w:sz w:val="15"/>
          <w:szCs w:val="15"/>
          <w:b w:val="1"/>
          <w:bCs w:val="1"/>
          <w:color w:val="auto"/>
        </w:rPr>
        <w:t>Pharmacokinetics</w:t>
      </w:r>
    </w:p>
    <w:p>
      <w:pPr>
        <w:spacing w:after="0" w:line="29" w:lineRule="exact"/>
        <w:rPr>
          <w:sz w:val="20"/>
          <w:szCs w:val="20"/>
          <w:color w:val="auto"/>
        </w:rPr>
      </w:pPr>
    </w:p>
    <w:p>
      <w:pPr>
        <w:ind w:left="300" w:right="2780" w:hanging="147"/>
        <w:spacing w:after="0" w:line="253"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Peak concentrations were observed shortly after the end of infusion (</w:t>
      </w:r>
      <w:r>
        <w:rPr>
          <w:rFonts w:ascii="Arial" w:cs="Arial" w:eastAsia="Arial" w:hAnsi="Arial"/>
          <w:sz w:val="15"/>
          <w:szCs w:val="15"/>
          <w:b w:val="1"/>
          <w:bCs w:val="1"/>
          <w:color w:val="auto"/>
        </w:rPr>
        <w:t>Figure 4</w:t>
      </w:r>
      <w:r>
        <w:rPr>
          <w:rFonts w:ascii="Arial" w:cs="Arial" w:eastAsia="Arial" w:hAnsi="Arial"/>
          <w:sz w:val="15"/>
          <w:szCs w:val="15"/>
          <w:color w:val="auto"/>
        </w:rPr>
        <w:t>).</w:t>
      </w:r>
    </w:p>
    <w:p>
      <w:pPr>
        <w:ind w:left="300" w:right="2640" w:hanging="147"/>
        <w:spacing w:after="0" w:line="256"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Mean terminal half-life after first dose appeared to be in the range of 2.3 to 10.3 days (across doses of 25 to 1200 mg).</w:t>
      </w:r>
    </w:p>
    <w:p>
      <w:pPr>
        <w:spacing w:after="0" w:line="77" w:lineRule="exact"/>
        <w:rPr>
          <w:sz w:val="20"/>
          <w:szCs w:val="20"/>
          <w:color w:val="auto"/>
        </w:rPr>
      </w:pPr>
    </w:p>
    <w:p>
      <w:pPr>
        <w:ind w:left="160" w:right="2540"/>
        <w:spacing w:after="0" w:line="249" w:lineRule="auto"/>
        <w:rPr>
          <w:sz w:val="20"/>
          <w:szCs w:val="20"/>
          <w:color w:val="auto"/>
        </w:rPr>
      </w:pPr>
      <w:r>
        <w:rPr>
          <w:rFonts w:ascii="Arial" w:cs="Arial" w:eastAsia="Arial" w:hAnsi="Arial"/>
          <w:sz w:val="15"/>
          <w:szCs w:val="15"/>
          <w:b w:val="1"/>
          <w:bCs w:val="1"/>
          <w:color w:val="auto"/>
        </w:rPr>
        <w:t xml:space="preserve">Pharmacodynamics </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Pharmacological</w:t>
      </w:r>
    </w:p>
    <w:tbl>
      <w:tblPr>
        <w:tblLayout w:type="fixed"/>
        <w:tblInd w:w="300" w:type="dxa"/>
        <w:tblCellMar>
          <w:top w:w="0" w:type="dxa"/>
          <w:left w:w="0" w:type="dxa"/>
          <w:bottom w:w="0" w:type="dxa"/>
          <w:right w:w="0" w:type="dxa"/>
        </w:tblCellMar>
      </w:tblPr>
      <w:tr>
        <w:trPr>
          <w:trHeight w:val="196"/>
        </w:trPr>
        <w:tc>
          <w:tcPr>
            <w:tcW w:w="1320" w:type="dxa"/>
            <w:vAlign w:val="bottom"/>
          </w:tcPr>
          <w:p>
            <w:pPr>
              <w:spacing w:after="0"/>
              <w:rPr>
                <w:sz w:val="20"/>
                <w:szCs w:val="20"/>
                <w:color w:val="auto"/>
              </w:rPr>
            </w:pPr>
            <w:r>
              <w:rPr>
                <w:rFonts w:ascii="Arial" w:cs="Arial" w:eastAsia="Arial" w:hAnsi="Arial"/>
                <w:sz w:val="15"/>
                <w:szCs w:val="15"/>
                <w:color w:val="auto"/>
              </w:rPr>
              <w:t>activity was</w:t>
            </w:r>
          </w:p>
        </w:tc>
        <w:tc>
          <w:tcPr>
            <w:tcW w:w="1680" w:type="dxa"/>
            <w:vAlign w:val="bottom"/>
          </w:tcPr>
          <w:p>
            <w:pPr>
              <w:ind w:left="40"/>
              <w:spacing w:after="0"/>
              <w:rPr>
                <w:sz w:val="20"/>
                <w:szCs w:val="20"/>
                <w:color w:val="auto"/>
              </w:rPr>
            </w:pPr>
            <w:r>
              <w:rPr>
                <w:rFonts w:ascii="Arial" w:cs="Arial" w:eastAsia="Arial" w:hAnsi="Arial"/>
                <w:sz w:val="14"/>
                <w:szCs w:val="14"/>
                <w:color w:val="auto"/>
                <w:w w:val="95"/>
              </w:rPr>
              <w:t>Data cut-off June 26, 2020.</w:t>
            </w:r>
          </w:p>
        </w:tc>
      </w:tr>
      <w:tr>
        <w:trPr>
          <w:trHeight w:val="180"/>
        </w:trPr>
        <w:tc>
          <w:tcPr>
            <w:tcW w:w="1320" w:type="dxa"/>
            <w:vAlign w:val="bottom"/>
          </w:tcPr>
          <w:p>
            <w:pPr>
              <w:spacing w:after="0"/>
              <w:rPr>
                <w:sz w:val="20"/>
                <w:szCs w:val="20"/>
                <w:color w:val="auto"/>
              </w:rPr>
            </w:pPr>
            <w:r>
              <w:rPr>
                <w:rFonts w:ascii="Arial" w:cs="Arial" w:eastAsia="Arial" w:hAnsi="Arial"/>
                <w:sz w:val="15"/>
                <w:szCs w:val="15"/>
                <w:color w:val="auto"/>
              </w:rPr>
              <w:t>observed across a</w:t>
            </w:r>
          </w:p>
        </w:tc>
        <w:tc>
          <w:tcPr>
            <w:tcW w:w="1680" w:type="dxa"/>
            <w:vAlign w:val="bottom"/>
          </w:tcPr>
          <w:p>
            <w:pPr>
              <w:spacing w:after="0"/>
              <w:rPr>
                <w:sz w:val="15"/>
                <w:szCs w:val="15"/>
                <w:color w:val="auto"/>
              </w:rPr>
            </w:pPr>
          </w:p>
        </w:tc>
      </w:tr>
      <w:tr>
        <w:trPr>
          <w:trHeight w:val="180"/>
        </w:trPr>
        <w:tc>
          <w:tcPr>
            <w:tcW w:w="1320" w:type="dxa"/>
            <w:vAlign w:val="bottom"/>
          </w:tcPr>
          <w:p>
            <w:pPr>
              <w:spacing w:after="0"/>
              <w:rPr>
                <w:sz w:val="20"/>
                <w:szCs w:val="20"/>
                <w:color w:val="auto"/>
              </w:rPr>
            </w:pPr>
            <w:r>
              <w:rPr>
                <w:rFonts w:ascii="Arial" w:cs="Arial" w:eastAsia="Arial" w:hAnsi="Arial"/>
                <w:sz w:val="15"/>
                <w:szCs w:val="15"/>
                <w:color w:val="auto"/>
              </w:rPr>
              <w:t>broad range of</w:t>
            </w:r>
          </w:p>
        </w:tc>
        <w:tc>
          <w:tcPr>
            <w:tcW w:w="1680" w:type="dxa"/>
            <w:vAlign w:val="bottom"/>
          </w:tcPr>
          <w:p>
            <w:pPr>
              <w:spacing w:after="0"/>
              <w:rPr>
                <w:sz w:val="15"/>
                <w:szCs w:val="15"/>
                <w:color w:val="auto"/>
              </w:rPr>
            </w:pPr>
          </w:p>
        </w:tc>
      </w:tr>
      <w:tr>
        <w:trPr>
          <w:trHeight w:val="200"/>
        </w:trPr>
        <w:tc>
          <w:tcPr>
            <w:tcW w:w="1320" w:type="dxa"/>
            <w:vAlign w:val="bottom"/>
          </w:tcPr>
          <w:p>
            <w:pPr>
              <w:spacing w:after="0"/>
              <w:rPr>
                <w:sz w:val="20"/>
                <w:szCs w:val="20"/>
                <w:color w:val="auto"/>
              </w:rPr>
            </w:pPr>
            <w:r>
              <w:rPr>
                <w:rFonts w:ascii="Arial" w:cs="Arial" w:eastAsia="Arial" w:hAnsi="Arial"/>
                <w:sz w:val="15"/>
                <w:szCs w:val="15"/>
                <w:color w:val="auto"/>
              </w:rPr>
              <w:t>dose levels.</w:t>
            </w:r>
          </w:p>
        </w:tc>
        <w:tc>
          <w:tcPr>
            <w:tcW w:w="1680" w:type="dxa"/>
            <w:vAlign w:val="bottom"/>
          </w:tcPr>
          <w:p>
            <w:pPr>
              <w:spacing w:after="0"/>
              <w:rPr>
                <w:sz w:val="17"/>
                <w:szCs w:val="17"/>
                <w:color w:val="auto"/>
              </w:rPr>
            </w:pPr>
          </w:p>
        </w:tc>
      </w:tr>
    </w:tbl>
    <w:p>
      <w:pPr>
        <w:ind w:left="300" w:right="2540" w:hanging="147"/>
        <w:spacing w:after="0" w:line="251" w:lineRule="auto"/>
        <w:tabs>
          <w:tab w:leader="none" w:pos="30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Increased levels of peripheral interferon gamma and IP-10, and frequency of proliferating (Ki67+) total CD8 and effector memory CD8+ T cells were observed (</w:t>
      </w:r>
      <w:r>
        <w:rPr>
          <w:rFonts w:ascii="Arial" w:cs="Arial" w:eastAsia="Arial" w:hAnsi="Arial"/>
          <w:sz w:val="15"/>
          <w:szCs w:val="15"/>
          <w:b w:val="1"/>
          <w:bCs w:val="1"/>
          <w:color w:val="auto"/>
        </w:rPr>
        <w:t>Figure 5</w:t>
      </w:r>
      <w:r>
        <w:rPr>
          <w:rFonts w:ascii="Arial" w:cs="Arial" w:eastAsia="Arial" w:hAnsi="Arial"/>
          <w:sz w:val="15"/>
          <w:szCs w:val="15"/>
          <w:color w:val="auto"/>
        </w:rPr>
        <w:t>).</w:t>
      </w:r>
    </w:p>
    <w:p>
      <w:pPr>
        <w:spacing w:after="0" w:line="6" w:lineRule="exact"/>
        <w:rPr>
          <w:rFonts w:ascii="Times New Roman" w:cs="Times New Roman" w:eastAsia="Times New Roman" w:hAnsi="Times New Roman"/>
          <w:sz w:val="15"/>
          <w:szCs w:val="15"/>
          <w:color w:val="auto"/>
        </w:rPr>
      </w:pPr>
    </w:p>
    <w:p>
      <w:pPr>
        <w:ind w:left="300" w:right="2560" w:hanging="147"/>
        <w:spacing w:after="0" w:line="259" w:lineRule="auto"/>
        <w:tabs>
          <w:tab w:leader="none" w:pos="30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Reduced peripheral immune modulation was observed at higher dose levels.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Data extraction: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-1765300</wp:posOffset>
            </wp:positionV>
            <wp:extent cx="7207250" cy="4381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7250" cy="4381500"/>
                    </a:xfrm>
                    <a:prstGeom prst="rect">
                      <a:avLst/>
                    </a:prstGeom>
                    <a:noFill/>
                  </pic:spPr>
                </pic:pic>
              </a:graphicData>
            </a:graphic>
          </wp:anchor>
        </w:drawing>
      </w:r>
    </w:p>
    <w:p>
      <w:pPr>
        <w:ind w:right="280"/>
        <w:spacing w:after="0" w:line="236" w:lineRule="auto"/>
        <w:rPr>
          <w:sz w:val="20"/>
          <w:szCs w:val="20"/>
          <w:color w:val="auto"/>
        </w:rPr>
      </w:pPr>
      <w:r>
        <w:rPr>
          <w:rFonts w:ascii="Arial" w:cs="Arial" w:eastAsia="Arial" w:hAnsi="Arial"/>
          <w:sz w:val="14"/>
          <w:szCs w:val="14"/>
          <w:color w:val="auto"/>
        </w:rPr>
        <w:t xml:space="preserve">Maximal fold-change from baseline measured during cycle 1. Lower doses correspond to dose levels </w:t>
      </w:r>
      <w:r>
        <w:rPr>
          <w:rFonts w:ascii="Times New Roman" w:cs="Times New Roman" w:eastAsia="Times New Roman" w:hAnsi="Times New Roman"/>
          <w:sz w:val="14"/>
          <w:szCs w:val="14"/>
          <w:color w:val="auto"/>
        </w:rPr>
        <w:t>£</w:t>
      </w:r>
      <w:r>
        <w:rPr>
          <w:rFonts w:ascii="Arial" w:cs="Arial" w:eastAsia="Arial" w:hAnsi="Arial"/>
          <w:sz w:val="14"/>
          <w:szCs w:val="14"/>
          <w:color w:val="auto"/>
        </w:rPr>
        <w:t>200 mg and higher doses correspond to dose levels</w:t>
      </w:r>
      <w:r>
        <w:rPr>
          <w:rFonts w:ascii="Times New Roman" w:cs="Times New Roman" w:eastAsia="Times New Roman" w:hAnsi="Times New Roman"/>
          <w:sz w:val="14"/>
          <w:szCs w:val="14"/>
          <w:color w:val="auto"/>
        </w:rPr>
        <w:t xml:space="preserve"> ³</w:t>
      </w:r>
      <w:r>
        <w:rPr>
          <w:rFonts w:ascii="Arial" w:cs="Arial" w:eastAsia="Arial" w:hAnsi="Arial"/>
          <w:sz w:val="14"/>
          <w:szCs w:val="14"/>
          <w:color w:val="auto"/>
        </w:rPr>
        <w:t>400mg. Wilcoxon-Mann-Whitney test.</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IFN, interferon; IP-10, interferon-gamma-inducible protein 10.</w:t>
      </w:r>
    </w:p>
    <w:p>
      <w:pPr>
        <w:spacing w:after="0" w:line="3813" w:lineRule="exact"/>
        <w:rPr>
          <w:sz w:val="20"/>
          <w:szCs w:val="20"/>
          <w:color w:val="auto"/>
        </w:rPr>
      </w:pPr>
    </w:p>
    <w:p>
      <w:pPr>
        <w:sectPr>
          <w:pgSz w:w="11900" w:h="16838" w:orient="portrait"/>
          <w:cols w:equalWidth="0" w:num="2">
            <w:col w:w="4140" w:space="720"/>
            <w:col w:w="6380"/>
          </w:cols>
          <w:pgMar w:left="320" w:top="145" w:right="339" w:bottom="1440" w:gutter="0" w:footer="0" w:header="0"/>
        </w:sectPr>
      </w:pP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5260" w:type="dxa"/>
            <w:vAlign w:val="bottom"/>
            <w:tcBorders>
              <w:top w:val="single" w:sz="8" w:color="009D93"/>
              <w:left w:val="single" w:sz="8" w:color="009D93"/>
            </w:tcBorders>
            <w:gridSpan w:val="2"/>
          </w:tcPr>
          <w:p>
            <w:pPr>
              <w:ind w:left="140"/>
              <w:spacing w:after="0"/>
              <w:rPr>
                <w:sz w:val="20"/>
                <w:szCs w:val="20"/>
                <w:color w:val="auto"/>
              </w:rPr>
            </w:pPr>
            <w:r>
              <w:rPr>
                <w:rFonts w:ascii="Arial" w:cs="Arial" w:eastAsia="Arial" w:hAnsi="Arial"/>
                <w:sz w:val="21"/>
                <w:szCs w:val="21"/>
                <w:b w:val="1"/>
                <w:bCs w:val="1"/>
                <w:color w:val="auto"/>
              </w:rPr>
              <w:t>References</w:t>
            </w:r>
          </w:p>
        </w:tc>
        <w:tc>
          <w:tcPr>
            <w:tcW w:w="5980" w:type="dxa"/>
            <w:vAlign w:val="bottom"/>
            <w:tcBorders>
              <w:top w:val="single" w:sz="8" w:color="009D93"/>
              <w:right w:val="single" w:sz="8" w:color="009D93"/>
            </w:tcBorders>
            <w:gridSpan w:val="3"/>
          </w:tcPr>
          <w:p>
            <w:pPr>
              <w:ind w:left="580"/>
              <w:spacing w:after="0"/>
              <w:rPr>
                <w:sz w:val="20"/>
                <w:szCs w:val="20"/>
                <w:color w:val="auto"/>
              </w:rPr>
            </w:pPr>
            <w:r>
              <w:rPr>
                <w:rFonts w:ascii="Arial" w:cs="Arial" w:eastAsia="Arial" w:hAnsi="Arial"/>
                <w:sz w:val="17"/>
                <w:szCs w:val="17"/>
                <w:color w:val="auto"/>
              </w:rPr>
              <w:t>8. Segal NH, et al. Clin Cancer Res 2017;23:1929–1936.</w:t>
            </w:r>
          </w:p>
        </w:tc>
        <w:tc>
          <w:tcPr>
            <w:tcW w:w="0" w:type="dxa"/>
            <w:vAlign w:val="bottom"/>
          </w:tcPr>
          <w:p>
            <w:pPr>
              <w:spacing w:after="0"/>
              <w:rPr>
                <w:sz w:val="1"/>
                <w:szCs w:val="1"/>
                <w:color w:val="auto"/>
              </w:rPr>
            </w:pPr>
          </w:p>
        </w:tc>
      </w:tr>
      <w:tr>
        <w:trPr>
          <w:trHeight w:val="206"/>
        </w:trPr>
        <w:tc>
          <w:tcPr>
            <w:tcW w:w="280" w:type="dxa"/>
            <w:vAlign w:val="bottom"/>
            <w:tcBorders>
              <w:left w:val="single" w:sz="8" w:color="009D93"/>
            </w:tcBorders>
          </w:tcPr>
          <w:p>
            <w:pPr>
              <w:ind w:left="120"/>
              <w:spacing w:after="0"/>
              <w:rPr>
                <w:sz w:val="20"/>
                <w:szCs w:val="20"/>
                <w:color w:val="auto"/>
              </w:rPr>
            </w:pPr>
            <w:r>
              <w:rPr>
                <w:rFonts w:ascii="Arial" w:cs="Arial" w:eastAsia="Arial" w:hAnsi="Arial"/>
                <w:sz w:val="17"/>
                <w:szCs w:val="17"/>
                <w:color w:val="auto"/>
                <w:w w:val="98"/>
              </w:rPr>
              <w:t>1.</w:t>
            </w:r>
          </w:p>
        </w:tc>
        <w:tc>
          <w:tcPr>
            <w:tcW w:w="4980" w:type="dxa"/>
            <w:vAlign w:val="bottom"/>
          </w:tcPr>
          <w:p>
            <w:pPr>
              <w:ind w:left="20"/>
              <w:spacing w:after="0"/>
              <w:rPr>
                <w:sz w:val="20"/>
                <w:szCs w:val="20"/>
                <w:color w:val="auto"/>
              </w:rPr>
            </w:pPr>
            <w:r>
              <w:rPr>
                <w:rFonts w:ascii="Arial" w:cs="Arial" w:eastAsia="Arial" w:hAnsi="Arial"/>
                <w:sz w:val="17"/>
                <w:szCs w:val="17"/>
                <w:color w:val="auto"/>
              </w:rPr>
              <w:t>Jenkins R, et al. Br J Cancer 2018;118:9–16.</w:t>
            </w:r>
          </w:p>
        </w:tc>
        <w:tc>
          <w:tcPr>
            <w:tcW w:w="5980" w:type="dxa"/>
            <w:vAlign w:val="bottom"/>
            <w:tcBorders>
              <w:right w:val="single" w:sz="8" w:color="009D93"/>
            </w:tcBorders>
            <w:gridSpan w:val="3"/>
          </w:tcPr>
          <w:p>
            <w:pPr>
              <w:ind w:left="580"/>
              <w:spacing w:after="0"/>
              <w:rPr>
                <w:sz w:val="20"/>
                <w:szCs w:val="20"/>
                <w:color w:val="auto"/>
              </w:rPr>
            </w:pPr>
            <w:r>
              <w:rPr>
                <w:rFonts w:ascii="Arial" w:cs="Arial" w:eastAsia="Arial" w:hAnsi="Arial"/>
                <w:sz w:val="17"/>
                <w:szCs w:val="17"/>
                <w:color w:val="auto"/>
              </w:rPr>
              <w:t>9. Segal NH, et al. Clin Cancer Res 2018;24:1816–1823.</w:t>
            </w:r>
          </w:p>
        </w:tc>
        <w:tc>
          <w:tcPr>
            <w:tcW w:w="0" w:type="dxa"/>
            <w:vAlign w:val="bottom"/>
          </w:tcPr>
          <w:p>
            <w:pPr>
              <w:spacing w:after="0"/>
              <w:rPr>
                <w:sz w:val="1"/>
                <w:szCs w:val="1"/>
                <w:color w:val="auto"/>
              </w:rPr>
            </w:pPr>
          </w:p>
        </w:tc>
      </w:tr>
      <w:tr>
        <w:trPr>
          <w:trHeight w:val="193"/>
        </w:trPr>
        <w:tc>
          <w:tcPr>
            <w:tcW w:w="280" w:type="dxa"/>
            <w:vAlign w:val="bottom"/>
            <w:tcBorders>
              <w:left w:val="single" w:sz="8" w:color="009D93"/>
            </w:tcBorders>
          </w:tcPr>
          <w:p>
            <w:pPr>
              <w:ind w:left="120"/>
              <w:spacing w:after="0" w:line="193" w:lineRule="exact"/>
              <w:rPr>
                <w:sz w:val="20"/>
                <w:szCs w:val="20"/>
                <w:color w:val="auto"/>
              </w:rPr>
            </w:pPr>
            <w:r>
              <w:rPr>
                <w:rFonts w:ascii="Arial" w:cs="Arial" w:eastAsia="Arial" w:hAnsi="Arial"/>
                <w:sz w:val="17"/>
                <w:szCs w:val="17"/>
                <w:color w:val="auto"/>
                <w:w w:val="98"/>
              </w:rPr>
              <w:t>2.</w:t>
            </w:r>
          </w:p>
        </w:tc>
        <w:tc>
          <w:tcPr>
            <w:tcW w:w="4980" w:type="dxa"/>
            <w:vAlign w:val="bottom"/>
          </w:tcPr>
          <w:p>
            <w:pPr>
              <w:ind w:left="20"/>
              <w:spacing w:after="0" w:line="193" w:lineRule="exact"/>
              <w:rPr>
                <w:sz w:val="20"/>
                <w:szCs w:val="20"/>
                <w:color w:val="auto"/>
              </w:rPr>
            </w:pPr>
            <w:r>
              <w:rPr>
                <w:rFonts w:ascii="Arial" w:cs="Arial" w:eastAsia="Arial" w:hAnsi="Arial"/>
                <w:sz w:val="17"/>
                <w:szCs w:val="17"/>
                <w:color w:val="auto"/>
              </w:rPr>
              <w:t>Galon J, Bruni D. Nat Rev Drug Discov 2019;18:197–218.</w:t>
            </w:r>
          </w:p>
        </w:tc>
        <w:tc>
          <w:tcPr>
            <w:tcW w:w="860" w:type="dxa"/>
            <w:vAlign w:val="bottom"/>
          </w:tcPr>
          <w:p>
            <w:pPr>
              <w:ind w:left="580"/>
              <w:spacing w:after="0" w:line="193" w:lineRule="exact"/>
              <w:rPr>
                <w:sz w:val="20"/>
                <w:szCs w:val="20"/>
                <w:color w:val="auto"/>
              </w:rPr>
            </w:pPr>
            <w:r>
              <w:rPr>
                <w:rFonts w:ascii="Arial" w:cs="Arial" w:eastAsia="Arial" w:hAnsi="Arial"/>
                <w:sz w:val="17"/>
                <w:szCs w:val="17"/>
                <w:color w:val="auto"/>
              </w:rPr>
              <w:t>10.</w:t>
            </w:r>
          </w:p>
        </w:tc>
        <w:tc>
          <w:tcPr>
            <w:tcW w:w="5120" w:type="dxa"/>
            <w:vAlign w:val="bottom"/>
            <w:tcBorders>
              <w:right w:val="single" w:sz="8" w:color="009D93"/>
            </w:tcBorders>
            <w:gridSpan w:val="2"/>
          </w:tcPr>
          <w:p>
            <w:pPr>
              <w:ind w:left="20"/>
              <w:spacing w:after="0" w:line="193" w:lineRule="exact"/>
              <w:rPr>
                <w:sz w:val="20"/>
                <w:szCs w:val="20"/>
                <w:color w:val="auto"/>
              </w:rPr>
            </w:pPr>
            <w:r>
              <w:rPr>
                <w:rFonts w:ascii="Arial" w:cs="Arial" w:eastAsia="Arial" w:hAnsi="Arial"/>
                <w:sz w:val="17"/>
                <w:szCs w:val="17"/>
                <w:color w:val="auto"/>
              </w:rPr>
              <w:t>Shindo Y, et al. Anticancer Res 2015;35:129–136.</w:t>
            </w:r>
          </w:p>
        </w:tc>
        <w:tc>
          <w:tcPr>
            <w:tcW w:w="0" w:type="dxa"/>
            <w:vAlign w:val="bottom"/>
          </w:tcPr>
          <w:p>
            <w:pPr>
              <w:spacing w:after="0"/>
              <w:rPr>
                <w:sz w:val="1"/>
                <w:szCs w:val="1"/>
                <w:color w:val="auto"/>
              </w:rPr>
            </w:pPr>
          </w:p>
        </w:tc>
      </w:tr>
      <w:tr>
        <w:trPr>
          <w:trHeight w:val="193"/>
        </w:trPr>
        <w:tc>
          <w:tcPr>
            <w:tcW w:w="280" w:type="dxa"/>
            <w:vAlign w:val="bottom"/>
            <w:tcBorders>
              <w:left w:val="single" w:sz="8" w:color="009D93"/>
            </w:tcBorders>
          </w:tcPr>
          <w:p>
            <w:pPr>
              <w:ind w:left="120"/>
              <w:spacing w:after="0" w:line="193" w:lineRule="exact"/>
              <w:rPr>
                <w:sz w:val="20"/>
                <w:szCs w:val="20"/>
                <w:color w:val="auto"/>
              </w:rPr>
            </w:pPr>
            <w:r>
              <w:rPr>
                <w:rFonts w:ascii="Arial" w:cs="Arial" w:eastAsia="Arial" w:hAnsi="Arial"/>
                <w:sz w:val="17"/>
                <w:szCs w:val="17"/>
                <w:color w:val="auto"/>
                <w:w w:val="98"/>
              </w:rPr>
              <w:t>3.</w:t>
            </w:r>
          </w:p>
        </w:tc>
        <w:tc>
          <w:tcPr>
            <w:tcW w:w="4980" w:type="dxa"/>
            <w:vAlign w:val="bottom"/>
          </w:tcPr>
          <w:p>
            <w:pPr>
              <w:ind w:left="20"/>
              <w:spacing w:after="0" w:line="193" w:lineRule="exact"/>
              <w:rPr>
                <w:sz w:val="20"/>
                <w:szCs w:val="20"/>
                <w:color w:val="auto"/>
              </w:rPr>
            </w:pPr>
            <w:r>
              <w:rPr>
                <w:rFonts w:ascii="Arial" w:cs="Arial" w:eastAsia="Arial" w:hAnsi="Arial"/>
                <w:sz w:val="17"/>
                <w:szCs w:val="17"/>
                <w:color w:val="auto"/>
              </w:rPr>
              <w:t>Ghandi L, et al. N Engl J Med 2018;378:2078–2092.</w:t>
            </w:r>
          </w:p>
        </w:tc>
        <w:tc>
          <w:tcPr>
            <w:tcW w:w="5980" w:type="dxa"/>
            <w:vAlign w:val="bottom"/>
            <w:tcBorders>
              <w:right w:val="single" w:sz="8" w:color="009D93"/>
            </w:tcBorders>
            <w:gridSpan w:val="3"/>
          </w:tcPr>
          <w:p>
            <w:pPr>
              <w:ind w:left="580"/>
              <w:spacing w:after="0" w:line="193" w:lineRule="exact"/>
              <w:rPr>
                <w:sz w:val="20"/>
                <w:szCs w:val="20"/>
                <w:color w:val="auto"/>
              </w:rPr>
            </w:pPr>
            <w:r>
              <w:rPr>
                <w:rFonts w:ascii="Arial" w:cs="Arial" w:eastAsia="Arial" w:hAnsi="Arial"/>
                <w:sz w:val="17"/>
                <w:szCs w:val="17"/>
                <w:color w:val="auto"/>
              </w:rPr>
              <w:t>11. Wei H, et al. Oncoimmunology 2014;e28246.</w:t>
            </w:r>
          </w:p>
        </w:tc>
        <w:tc>
          <w:tcPr>
            <w:tcW w:w="0" w:type="dxa"/>
            <w:vAlign w:val="bottom"/>
          </w:tcPr>
          <w:p>
            <w:pPr>
              <w:spacing w:after="0"/>
              <w:rPr>
                <w:sz w:val="1"/>
                <w:szCs w:val="1"/>
                <w:color w:val="auto"/>
              </w:rPr>
            </w:pPr>
          </w:p>
        </w:tc>
      </w:tr>
      <w:tr>
        <w:trPr>
          <w:trHeight w:val="193"/>
        </w:trPr>
        <w:tc>
          <w:tcPr>
            <w:tcW w:w="280" w:type="dxa"/>
            <w:vAlign w:val="bottom"/>
            <w:tcBorders>
              <w:left w:val="single" w:sz="8" w:color="009D93"/>
            </w:tcBorders>
          </w:tcPr>
          <w:p>
            <w:pPr>
              <w:ind w:left="120"/>
              <w:spacing w:after="0" w:line="193" w:lineRule="exact"/>
              <w:rPr>
                <w:sz w:val="20"/>
                <w:szCs w:val="20"/>
                <w:color w:val="auto"/>
              </w:rPr>
            </w:pPr>
            <w:r>
              <w:rPr>
                <w:rFonts w:ascii="Arial" w:cs="Arial" w:eastAsia="Arial" w:hAnsi="Arial"/>
                <w:sz w:val="17"/>
                <w:szCs w:val="17"/>
                <w:color w:val="auto"/>
                <w:w w:val="98"/>
              </w:rPr>
              <w:t>4.</w:t>
            </w:r>
          </w:p>
        </w:tc>
        <w:tc>
          <w:tcPr>
            <w:tcW w:w="4980" w:type="dxa"/>
            <w:vAlign w:val="bottom"/>
          </w:tcPr>
          <w:p>
            <w:pPr>
              <w:ind w:left="20"/>
              <w:spacing w:after="0" w:line="193" w:lineRule="exact"/>
              <w:rPr>
                <w:sz w:val="20"/>
                <w:szCs w:val="20"/>
                <w:color w:val="auto"/>
              </w:rPr>
            </w:pPr>
            <w:r>
              <w:rPr>
                <w:rFonts w:ascii="Arial" w:cs="Arial" w:eastAsia="Arial" w:hAnsi="Arial"/>
                <w:sz w:val="17"/>
                <w:szCs w:val="17"/>
                <w:color w:val="auto"/>
              </w:rPr>
              <w:t>Chester C, et al. Blood 2018;131:49–57.</w:t>
            </w:r>
          </w:p>
        </w:tc>
        <w:tc>
          <w:tcPr>
            <w:tcW w:w="860" w:type="dxa"/>
            <w:vAlign w:val="bottom"/>
          </w:tcPr>
          <w:p>
            <w:pPr>
              <w:ind w:left="580"/>
              <w:spacing w:after="0" w:line="193" w:lineRule="exact"/>
              <w:rPr>
                <w:sz w:val="20"/>
                <w:szCs w:val="20"/>
                <w:color w:val="auto"/>
              </w:rPr>
            </w:pPr>
            <w:r>
              <w:rPr>
                <w:rFonts w:ascii="Arial" w:cs="Arial" w:eastAsia="Arial" w:hAnsi="Arial"/>
                <w:sz w:val="17"/>
                <w:szCs w:val="17"/>
                <w:color w:val="auto"/>
              </w:rPr>
              <w:t>12.</w:t>
            </w:r>
          </w:p>
        </w:tc>
        <w:tc>
          <w:tcPr>
            <w:tcW w:w="5120" w:type="dxa"/>
            <w:vAlign w:val="bottom"/>
            <w:tcBorders>
              <w:right w:val="single" w:sz="8" w:color="009D93"/>
            </w:tcBorders>
            <w:gridSpan w:val="2"/>
          </w:tcPr>
          <w:p>
            <w:pPr>
              <w:ind w:left="20"/>
              <w:spacing w:after="0" w:line="193" w:lineRule="exact"/>
              <w:rPr>
                <w:sz w:val="20"/>
                <w:szCs w:val="20"/>
                <w:color w:val="auto"/>
              </w:rPr>
            </w:pPr>
            <w:r>
              <w:rPr>
                <w:rFonts w:ascii="Arial" w:cs="Arial" w:eastAsia="Arial" w:hAnsi="Arial"/>
                <w:sz w:val="17"/>
                <w:szCs w:val="17"/>
                <w:color w:val="auto"/>
              </w:rPr>
              <w:t>Labrijn AF, et al. Proc Natl Acad Sci USA 2013;110:5145–5150.</w:t>
            </w:r>
          </w:p>
        </w:tc>
        <w:tc>
          <w:tcPr>
            <w:tcW w:w="0" w:type="dxa"/>
            <w:vAlign w:val="bottom"/>
          </w:tcPr>
          <w:p>
            <w:pPr>
              <w:spacing w:after="0"/>
              <w:rPr>
                <w:sz w:val="1"/>
                <w:szCs w:val="1"/>
                <w:color w:val="auto"/>
              </w:rPr>
            </w:pPr>
          </w:p>
        </w:tc>
      </w:tr>
      <w:tr>
        <w:trPr>
          <w:trHeight w:val="193"/>
        </w:trPr>
        <w:tc>
          <w:tcPr>
            <w:tcW w:w="280" w:type="dxa"/>
            <w:vAlign w:val="bottom"/>
            <w:tcBorders>
              <w:left w:val="single" w:sz="8" w:color="009D93"/>
            </w:tcBorders>
          </w:tcPr>
          <w:p>
            <w:pPr>
              <w:ind w:left="120"/>
              <w:spacing w:after="0" w:line="193" w:lineRule="exact"/>
              <w:rPr>
                <w:sz w:val="20"/>
                <w:szCs w:val="20"/>
                <w:color w:val="auto"/>
              </w:rPr>
            </w:pPr>
            <w:r>
              <w:rPr>
                <w:rFonts w:ascii="Arial" w:cs="Arial" w:eastAsia="Arial" w:hAnsi="Arial"/>
                <w:sz w:val="17"/>
                <w:szCs w:val="17"/>
                <w:color w:val="auto"/>
                <w:w w:val="98"/>
              </w:rPr>
              <w:t>5.</w:t>
            </w:r>
          </w:p>
        </w:tc>
        <w:tc>
          <w:tcPr>
            <w:tcW w:w="4980" w:type="dxa"/>
            <w:vAlign w:val="bottom"/>
          </w:tcPr>
          <w:p>
            <w:pPr>
              <w:ind w:left="20"/>
              <w:spacing w:after="0" w:line="193" w:lineRule="exact"/>
              <w:rPr>
                <w:sz w:val="20"/>
                <w:szCs w:val="20"/>
                <w:color w:val="auto"/>
              </w:rPr>
            </w:pPr>
            <w:r>
              <w:rPr>
                <w:rFonts w:ascii="Arial" w:cs="Arial" w:eastAsia="Arial" w:hAnsi="Arial"/>
                <w:sz w:val="17"/>
                <w:szCs w:val="17"/>
                <w:color w:val="auto"/>
              </w:rPr>
              <w:t>Shuford WW, et al. J Exp Med 1997;186:47–55.</w:t>
            </w:r>
          </w:p>
        </w:tc>
        <w:tc>
          <w:tcPr>
            <w:tcW w:w="860" w:type="dxa"/>
            <w:vAlign w:val="bottom"/>
          </w:tcPr>
          <w:p>
            <w:pPr>
              <w:ind w:left="580"/>
              <w:spacing w:after="0" w:line="193" w:lineRule="exact"/>
              <w:rPr>
                <w:sz w:val="20"/>
                <w:szCs w:val="20"/>
                <w:color w:val="auto"/>
              </w:rPr>
            </w:pPr>
            <w:r>
              <w:rPr>
                <w:rFonts w:ascii="Arial" w:cs="Arial" w:eastAsia="Arial" w:hAnsi="Arial"/>
                <w:sz w:val="17"/>
                <w:szCs w:val="17"/>
                <w:color w:val="auto"/>
              </w:rPr>
              <w:t>13.</w:t>
            </w:r>
          </w:p>
        </w:tc>
        <w:tc>
          <w:tcPr>
            <w:tcW w:w="5120" w:type="dxa"/>
            <w:vAlign w:val="bottom"/>
            <w:tcBorders>
              <w:right w:val="single" w:sz="8" w:color="009D93"/>
            </w:tcBorders>
            <w:gridSpan w:val="2"/>
          </w:tcPr>
          <w:p>
            <w:pPr>
              <w:ind w:left="20"/>
              <w:spacing w:after="0" w:line="193" w:lineRule="exact"/>
              <w:rPr>
                <w:sz w:val="20"/>
                <w:szCs w:val="20"/>
                <w:color w:val="auto"/>
              </w:rPr>
            </w:pPr>
            <w:r>
              <w:rPr>
                <w:rFonts w:ascii="Arial" w:cs="Arial" w:eastAsia="Arial" w:hAnsi="Arial"/>
                <w:sz w:val="17"/>
                <w:szCs w:val="17"/>
                <w:color w:val="auto"/>
              </w:rPr>
              <w:t>Labrijn AF, et al. Nat Protoc 2014;9:2450–2463.</w:t>
            </w:r>
          </w:p>
        </w:tc>
        <w:tc>
          <w:tcPr>
            <w:tcW w:w="0" w:type="dxa"/>
            <w:vAlign w:val="bottom"/>
          </w:tcPr>
          <w:p>
            <w:pPr>
              <w:spacing w:after="0"/>
              <w:rPr>
                <w:sz w:val="1"/>
                <w:szCs w:val="1"/>
                <w:color w:val="auto"/>
              </w:rPr>
            </w:pPr>
          </w:p>
        </w:tc>
      </w:tr>
      <w:tr>
        <w:trPr>
          <w:trHeight w:val="208"/>
        </w:trPr>
        <w:tc>
          <w:tcPr>
            <w:tcW w:w="280" w:type="dxa"/>
            <w:vAlign w:val="bottom"/>
            <w:tcBorders>
              <w:left w:val="single" w:sz="8" w:color="009D93"/>
            </w:tcBorders>
          </w:tcPr>
          <w:p>
            <w:pPr>
              <w:ind w:left="120"/>
              <w:spacing w:after="0"/>
              <w:rPr>
                <w:sz w:val="20"/>
                <w:szCs w:val="20"/>
                <w:color w:val="auto"/>
              </w:rPr>
            </w:pPr>
            <w:r>
              <w:rPr>
                <w:rFonts w:ascii="Arial" w:cs="Arial" w:eastAsia="Arial" w:hAnsi="Arial"/>
                <w:sz w:val="17"/>
                <w:szCs w:val="17"/>
                <w:color w:val="auto"/>
                <w:w w:val="98"/>
              </w:rPr>
              <w:t>6.</w:t>
            </w:r>
          </w:p>
        </w:tc>
        <w:tc>
          <w:tcPr>
            <w:tcW w:w="4980" w:type="dxa"/>
            <w:vAlign w:val="bottom"/>
          </w:tcPr>
          <w:p>
            <w:pPr>
              <w:ind w:left="20"/>
              <w:spacing w:after="0"/>
              <w:rPr>
                <w:sz w:val="20"/>
                <w:szCs w:val="20"/>
                <w:color w:val="auto"/>
              </w:rPr>
            </w:pPr>
            <w:r>
              <w:rPr>
                <w:rFonts w:ascii="Arial" w:cs="Arial" w:eastAsia="Arial" w:hAnsi="Arial"/>
                <w:sz w:val="17"/>
                <w:szCs w:val="17"/>
                <w:color w:val="auto"/>
              </w:rPr>
              <w:t>Williams JB, et al. J Exp Med 2017;214:381–400.</w:t>
            </w:r>
          </w:p>
        </w:tc>
        <w:tc>
          <w:tcPr>
            <w:tcW w:w="860" w:type="dxa"/>
            <w:vAlign w:val="bottom"/>
          </w:tcPr>
          <w:p>
            <w:pPr>
              <w:ind w:left="580"/>
              <w:spacing w:after="0"/>
              <w:rPr>
                <w:sz w:val="20"/>
                <w:szCs w:val="20"/>
                <w:color w:val="auto"/>
              </w:rPr>
            </w:pPr>
            <w:r>
              <w:rPr>
                <w:rFonts w:ascii="Arial" w:cs="Arial" w:eastAsia="Arial" w:hAnsi="Arial"/>
                <w:sz w:val="17"/>
                <w:szCs w:val="17"/>
                <w:color w:val="auto"/>
              </w:rPr>
              <w:t>14.</w:t>
            </w:r>
          </w:p>
        </w:tc>
        <w:tc>
          <w:tcPr>
            <w:tcW w:w="5120" w:type="dxa"/>
            <w:vAlign w:val="bottom"/>
            <w:tcBorders>
              <w:right w:val="single" w:sz="8" w:color="009D93"/>
            </w:tcBorders>
            <w:gridSpan w:val="2"/>
          </w:tcPr>
          <w:p>
            <w:pPr>
              <w:ind w:left="20"/>
              <w:spacing w:after="0"/>
              <w:rPr>
                <w:sz w:val="20"/>
                <w:szCs w:val="20"/>
                <w:color w:val="auto"/>
              </w:rPr>
            </w:pPr>
            <w:r>
              <w:rPr>
                <w:rFonts w:ascii="Arial" w:cs="Arial" w:eastAsia="Arial" w:hAnsi="Arial"/>
                <w:sz w:val="17"/>
                <w:szCs w:val="17"/>
                <w:color w:val="auto"/>
              </w:rPr>
              <w:t>Muik A, et al. Presented at SITC 2020;P561.</w:t>
            </w:r>
          </w:p>
        </w:tc>
        <w:tc>
          <w:tcPr>
            <w:tcW w:w="0" w:type="dxa"/>
            <w:vAlign w:val="bottom"/>
          </w:tcPr>
          <w:p>
            <w:pPr>
              <w:spacing w:after="0"/>
              <w:rPr>
                <w:sz w:val="1"/>
                <w:szCs w:val="1"/>
                <w:color w:val="auto"/>
              </w:rPr>
            </w:pPr>
          </w:p>
        </w:tc>
      </w:tr>
      <w:tr>
        <w:trPr>
          <w:trHeight w:val="231"/>
        </w:trPr>
        <w:tc>
          <w:tcPr>
            <w:tcW w:w="280" w:type="dxa"/>
            <w:vAlign w:val="bottom"/>
            <w:tcBorders>
              <w:left w:val="single" w:sz="8" w:color="009D93"/>
            </w:tcBorders>
          </w:tcPr>
          <w:p>
            <w:pPr>
              <w:ind w:left="120"/>
              <w:spacing w:after="0"/>
              <w:rPr>
                <w:sz w:val="20"/>
                <w:szCs w:val="20"/>
                <w:color w:val="auto"/>
              </w:rPr>
            </w:pPr>
            <w:r>
              <w:rPr>
                <w:rFonts w:ascii="Arial" w:cs="Arial" w:eastAsia="Arial" w:hAnsi="Arial"/>
                <w:sz w:val="17"/>
                <w:szCs w:val="17"/>
                <w:color w:val="auto"/>
                <w:w w:val="98"/>
              </w:rPr>
              <w:t>7.</w:t>
            </w:r>
          </w:p>
        </w:tc>
        <w:tc>
          <w:tcPr>
            <w:tcW w:w="4980" w:type="dxa"/>
            <w:vAlign w:val="bottom"/>
          </w:tcPr>
          <w:p>
            <w:pPr>
              <w:ind w:left="20"/>
              <w:spacing w:after="0"/>
              <w:rPr>
                <w:sz w:val="20"/>
                <w:szCs w:val="20"/>
                <w:color w:val="auto"/>
              </w:rPr>
            </w:pPr>
            <w:r>
              <w:rPr>
                <w:rFonts w:ascii="Arial" w:cs="Arial" w:eastAsia="Arial" w:hAnsi="Arial"/>
                <w:sz w:val="17"/>
                <w:szCs w:val="17"/>
                <w:color w:val="auto"/>
              </w:rPr>
              <w:t>Melero I, et al. Clin Cancer Res 2013; 19:1044–1053.</w:t>
            </w:r>
          </w:p>
        </w:tc>
        <w:tc>
          <w:tcPr>
            <w:tcW w:w="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40" w:type="dxa"/>
            <w:vAlign w:val="bottom"/>
            <w:tcBorders>
              <w:right w:val="single" w:sz="8" w:color="009D93"/>
            </w:tcBorders>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260" w:type="dxa"/>
            <w:vAlign w:val="bottom"/>
            <w:tcBorders>
              <w:left w:val="single" w:sz="8" w:color="009D93"/>
            </w:tcBorders>
            <w:gridSpan w:val="2"/>
          </w:tcPr>
          <w:p>
            <w:pPr>
              <w:ind w:left="140"/>
              <w:spacing w:after="0"/>
              <w:rPr>
                <w:sz w:val="20"/>
                <w:szCs w:val="20"/>
                <w:color w:val="auto"/>
              </w:rPr>
            </w:pPr>
            <w:r>
              <w:rPr>
                <w:rFonts w:ascii="Arial" w:cs="Arial" w:eastAsia="Arial" w:hAnsi="Arial"/>
                <w:sz w:val="21"/>
                <w:szCs w:val="21"/>
                <w:b w:val="1"/>
                <w:bCs w:val="1"/>
                <w:color w:val="auto"/>
              </w:rPr>
              <w:t>Acknowledgments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tcBorders>
              <w:right w:val="single" w:sz="8" w:color="009D93"/>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00" w:type="dxa"/>
            <w:vAlign w:val="bottom"/>
            <w:tcBorders>
              <w:left w:val="single" w:sz="8" w:color="009D93"/>
            </w:tcBorders>
            <w:gridSpan w:val="4"/>
          </w:tcPr>
          <w:p>
            <w:pPr>
              <w:ind w:left="120"/>
              <w:spacing w:after="0"/>
              <w:rPr>
                <w:sz w:val="20"/>
                <w:szCs w:val="20"/>
                <w:color w:val="auto"/>
              </w:rPr>
            </w:pPr>
            <w:r>
              <w:rPr>
                <w:rFonts w:ascii="Arial" w:cs="Arial" w:eastAsia="Arial" w:hAnsi="Arial"/>
                <w:sz w:val="17"/>
                <w:szCs w:val="17"/>
                <w:color w:val="auto"/>
              </w:rPr>
              <w:t>The authors thank Manish Gupta, Gaurav Bajaj, Lei Pang, Brandon Higgs, and Thomas Breuer at</w:t>
            </w:r>
          </w:p>
        </w:tc>
        <w:tc>
          <w:tcPr>
            <w:tcW w:w="3040" w:type="dxa"/>
            <w:vAlign w:val="bottom"/>
            <w:tcBorders>
              <w:right w:val="single" w:sz="8" w:color="009D93"/>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200" w:type="dxa"/>
            <w:vAlign w:val="bottom"/>
            <w:tcBorders>
              <w:left w:val="single" w:sz="8" w:color="009D93"/>
            </w:tcBorders>
            <w:gridSpan w:val="4"/>
          </w:tcPr>
          <w:p>
            <w:pPr>
              <w:ind w:left="120"/>
              <w:spacing w:after="0" w:line="193" w:lineRule="exact"/>
              <w:rPr>
                <w:sz w:val="20"/>
                <w:szCs w:val="20"/>
                <w:color w:val="auto"/>
              </w:rPr>
            </w:pPr>
            <w:r>
              <w:rPr>
                <w:rFonts w:ascii="Arial" w:cs="Arial" w:eastAsia="Arial" w:hAnsi="Arial"/>
                <w:sz w:val="17"/>
                <w:szCs w:val="17"/>
                <w:color w:val="auto"/>
              </w:rPr>
              <w:t>Genmab A/S; Alice Bexon, Alexander Muik, and Friederike Gieseke at BioNTech SE; and Zuzana</w:t>
            </w:r>
          </w:p>
        </w:tc>
        <w:tc>
          <w:tcPr>
            <w:tcW w:w="3040" w:type="dxa"/>
            <w:vAlign w:val="bottom"/>
            <w:tcBorders>
              <w:right w:val="single" w:sz="8" w:color="009D93"/>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Borders>
              <w:left w:val="single" w:sz="8" w:color="009D93"/>
            </w:tcBorders>
            <w:gridSpan w:val="4"/>
          </w:tcPr>
          <w:p>
            <w:pPr>
              <w:ind w:left="120"/>
              <w:spacing w:after="0" w:line="193" w:lineRule="exact"/>
              <w:rPr>
                <w:sz w:val="20"/>
                <w:szCs w:val="20"/>
                <w:color w:val="auto"/>
              </w:rPr>
            </w:pPr>
            <w:r>
              <w:rPr>
                <w:rFonts w:ascii="Arial" w:cs="Arial" w:eastAsia="Arial" w:hAnsi="Arial"/>
                <w:sz w:val="17"/>
                <w:szCs w:val="17"/>
                <w:color w:val="auto"/>
              </w:rPr>
              <w:t>Jirakova (formerly at BioNTech SE) for their valuable contributions. This trial was funded by Genmab A/S</w:t>
            </w:r>
          </w:p>
        </w:tc>
        <w:tc>
          <w:tcPr>
            <w:tcW w:w="3040" w:type="dxa"/>
            <w:vAlign w:val="bottom"/>
            <w:tcBorders>
              <w:right w:val="single" w:sz="8" w:color="009D93"/>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00" w:type="dxa"/>
            <w:vAlign w:val="bottom"/>
            <w:tcBorders>
              <w:left w:val="single" w:sz="8" w:color="009D93"/>
            </w:tcBorders>
            <w:gridSpan w:val="4"/>
          </w:tcPr>
          <w:p>
            <w:pPr>
              <w:ind w:left="120"/>
              <w:spacing w:after="0" w:line="193" w:lineRule="exact"/>
              <w:rPr>
                <w:sz w:val="20"/>
                <w:szCs w:val="20"/>
                <w:color w:val="auto"/>
              </w:rPr>
            </w:pPr>
            <w:r>
              <w:rPr>
                <w:rFonts w:ascii="Arial" w:cs="Arial" w:eastAsia="Arial" w:hAnsi="Arial"/>
                <w:sz w:val="17"/>
                <w:szCs w:val="17"/>
                <w:color w:val="auto"/>
              </w:rPr>
              <w:t>and BioNTech SE. Professional medical writing support was provided by Lindsay Craik, at Caudex, and</w:t>
            </w:r>
          </w:p>
        </w:tc>
        <w:tc>
          <w:tcPr>
            <w:tcW w:w="3040" w:type="dxa"/>
            <w:vAlign w:val="bottom"/>
            <w:tcBorders>
              <w:right w:val="single" w:sz="8" w:color="009D93"/>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tcBorders>
              <w:left w:val="single" w:sz="8" w:color="009D93"/>
            </w:tcBorders>
            <w:gridSpan w:val="2"/>
          </w:tcPr>
          <w:p>
            <w:pPr>
              <w:ind w:left="120"/>
              <w:spacing w:after="0"/>
              <w:rPr>
                <w:sz w:val="20"/>
                <w:szCs w:val="20"/>
                <w:color w:val="auto"/>
              </w:rPr>
            </w:pPr>
            <w:r>
              <w:rPr>
                <w:rFonts w:ascii="Arial" w:cs="Arial" w:eastAsia="Arial" w:hAnsi="Arial"/>
                <w:sz w:val="17"/>
                <w:szCs w:val="17"/>
                <w:color w:val="auto"/>
              </w:rPr>
              <w:t>was funded by Genmab A/S.</w:t>
            </w:r>
          </w:p>
        </w:tc>
        <w:tc>
          <w:tcPr>
            <w:tcW w:w="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40" w:type="dxa"/>
            <w:vAlign w:val="bottom"/>
            <w:tcBorders>
              <w:right w:val="single" w:sz="8" w:color="009D93"/>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60" w:type="dxa"/>
            <w:vAlign w:val="bottom"/>
            <w:tcBorders>
              <w:left w:val="single" w:sz="8" w:color="009D93"/>
            </w:tcBorders>
            <w:gridSpan w:val="2"/>
          </w:tcPr>
          <w:p>
            <w:pPr>
              <w:ind w:left="120"/>
              <w:spacing w:after="0"/>
              <w:rPr>
                <w:sz w:val="20"/>
                <w:szCs w:val="20"/>
                <w:color w:val="auto"/>
              </w:rPr>
            </w:pPr>
            <w:r>
              <w:rPr>
                <w:rFonts w:ascii="Arial" w:cs="Arial" w:eastAsia="Arial" w:hAnsi="Arial"/>
                <w:sz w:val="17"/>
                <w:szCs w:val="17"/>
                <w:b w:val="1"/>
                <w:bCs w:val="1"/>
                <w:color w:val="auto"/>
              </w:rPr>
              <w:t>Disclosures</w:t>
            </w: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tcBorders>
              <w:right w:val="single" w:sz="8" w:color="009D93"/>
            </w:tcBorders>
          </w:tcPr>
          <w:p>
            <w:pPr>
              <w:jc w:val="center"/>
              <w:spacing w:after="0"/>
              <w:rPr>
                <w:sz w:val="20"/>
                <w:szCs w:val="20"/>
                <w:color w:val="auto"/>
              </w:rPr>
            </w:pPr>
            <w:r>
              <w:rPr>
                <w:rFonts w:ascii="Arial" w:cs="Arial" w:eastAsia="Arial" w:hAnsi="Arial"/>
                <w:sz w:val="17"/>
                <w:szCs w:val="17"/>
                <w:color w:val="auto"/>
              </w:rPr>
              <w:t>Copies of this poster obtained though</w:t>
            </w:r>
          </w:p>
        </w:tc>
        <w:tc>
          <w:tcPr>
            <w:tcW w:w="0" w:type="dxa"/>
            <w:vAlign w:val="bottom"/>
          </w:tcPr>
          <w:p>
            <w:pPr>
              <w:spacing w:after="0"/>
              <w:rPr>
                <w:sz w:val="1"/>
                <w:szCs w:val="1"/>
                <w:color w:val="auto"/>
              </w:rPr>
            </w:pPr>
          </w:p>
        </w:tc>
      </w:tr>
      <w:tr>
        <w:trPr>
          <w:trHeight w:val="193"/>
        </w:trPr>
        <w:tc>
          <w:tcPr>
            <w:tcW w:w="8200" w:type="dxa"/>
            <w:vAlign w:val="bottom"/>
            <w:tcBorders>
              <w:left w:val="single" w:sz="8" w:color="009D93"/>
            </w:tcBorders>
            <w:gridSpan w:val="4"/>
            <w:vMerge w:val="restart"/>
          </w:tcPr>
          <w:p>
            <w:pPr>
              <w:ind w:left="120"/>
              <w:spacing w:after="0"/>
              <w:rPr>
                <w:sz w:val="20"/>
                <w:szCs w:val="20"/>
                <w:color w:val="auto"/>
              </w:rPr>
            </w:pPr>
            <w:r>
              <w:rPr>
                <w:rFonts w:ascii="Arial" w:cs="Arial" w:eastAsia="Arial" w:hAnsi="Arial"/>
                <w:sz w:val="17"/>
                <w:szCs w:val="17"/>
                <w:color w:val="auto"/>
              </w:rPr>
              <w:t>IM reports receiving commercial research grants from Alligator, AstraZeneca, BMS, and Roche and</w:t>
            </w:r>
          </w:p>
        </w:tc>
        <w:tc>
          <w:tcPr>
            <w:tcW w:w="3040" w:type="dxa"/>
            <w:vAlign w:val="bottom"/>
            <w:tcBorders>
              <w:right w:val="single" w:sz="8" w:color="009D93"/>
            </w:tcBorders>
          </w:tcPr>
          <w:p>
            <w:pPr>
              <w:jc w:val="center"/>
              <w:ind w:left="14"/>
              <w:spacing w:after="0" w:line="193" w:lineRule="exact"/>
              <w:rPr>
                <w:sz w:val="20"/>
                <w:szCs w:val="20"/>
                <w:color w:val="auto"/>
              </w:rPr>
            </w:pPr>
            <w:r>
              <w:rPr>
                <w:rFonts w:ascii="Arial" w:cs="Arial" w:eastAsia="Arial" w:hAnsi="Arial"/>
                <w:sz w:val="17"/>
                <w:szCs w:val="17"/>
                <w:color w:val="auto"/>
              </w:rPr>
              <w:t>Quick Response (QR) Code are for</w:t>
            </w:r>
          </w:p>
        </w:tc>
        <w:tc>
          <w:tcPr>
            <w:tcW w:w="0" w:type="dxa"/>
            <w:vAlign w:val="bottom"/>
          </w:tcPr>
          <w:p>
            <w:pPr>
              <w:spacing w:after="0"/>
              <w:rPr>
                <w:sz w:val="1"/>
                <w:szCs w:val="1"/>
                <w:color w:val="auto"/>
              </w:rPr>
            </w:pPr>
          </w:p>
        </w:tc>
      </w:tr>
      <w:tr>
        <w:trPr>
          <w:trHeight w:val="177"/>
        </w:trPr>
        <w:tc>
          <w:tcPr>
            <w:tcW w:w="8200" w:type="dxa"/>
            <w:vAlign w:val="bottom"/>
            <w:tcBorders>
              <w:left w:val="single" w:sz="8" w:color="009D93"/>
            </w:tcBorders>
            <w:gridSpan w:val="4"/>
            <w:vMerge w:val="continue"/>
          </w:tcPr>
          <w:p>
            <w:pPr>
              <w:spacing w:after="0"/>
              <w:rPr>
                <w:sz w:val="15"/>
                <w:szCs w:val="15"/>
                <w:color w:val="auto"/>
              </w:rPr>
            </w:pPr>
          </w:p>
        </w:tc>
        <w:tc>
          <w:tcPr>
            <w:tcW w:w="3040" w:type="dxa"/>
            <w:vAlign w:val="bottom"/>
            <w:tcBorders>
              <w:right w:val="single" w:sz="8" w:color="009D93"/>
            </w:tcBorders>
          </w:tcPr>
          <w:p>
            <w:pPr>
              <w:jc w:val="center"/>
              <w:ind w:left="14"/>
              <w:spacing w:after="0" w:line="177" w:lineRule="exact"/>
              <w:rPr>
                <w:sz w:val="20"/>
                <w:szCs w:val="20"/>
                <w:color w:val="auto"/>
              </w:rPr>
            </w:pPr>
            <w:r>
              <w:rPr>
                <w:rFonts w:ascii="Arial" w:cs="Arial" w:eastAsia="Arial" w:hAnsi="Arial"/>
                <w:sz w:val="17"/>
                <w:szCs w:val="17"/>
                <w:color w:val="auto"/>
              </w:rPr>
              <w:t>personal use only and may not be</w:t>
            </w:r>
          </w:p>
        </w:tc>
        <w:tc>
          <w:tcPr>
            <w:tcW w:w="0" w:type="dxa"/>
            <w:vAlign w:val="bottom"/>
          </w:tcPr>
          <w:p>
            <w:pPr>
              <w:spacing w:after="0"/>
              <w:rPr>
                <w:sz w:val="1"/>
                <w:szCs w:val="1"/>
                <w:color w:val="auto"/>
              </w:rPr>
            </w:pPr>
          </w:p>
        </w:tc>
      </w:tr>
      <w:tr>
        <w:trPr>
          <w:trHeight w:val="193"/>
        </w:trPr>
        <w:tc>
          <w:tcPr>
            <w:tcW w:w="8200" w:type="dxa"/>
            <w:vAlign w:val="bottom"/>
            <w:tcBorders>
              <w:left w:val="single" w:sz="8" w:color="009D93"/>
            </w:tcBorders>
            <w:gridSpan w:val="4"/>
          </w:tcPr>
          <w:p>
            <w:pPr>
              <w:ind w:left="120"/>
              <w:spacing w:after="0" w:line="193" w:lineRule="exact"/>
              <w:rPr>
                <w:sz w:val="20"/>
                <w:szCs w:val="20"/>
                <w:color w:val="auto"/>
              </w:rPr>
            </w:pPr>
            <w:r>
              <w:rPr>
                <w:rFonts w:ascii="Arial" w:cs="Arial" w:eastAsia="Arial" w:hAnsi="Arial"/>
                <w:sz w:val="17"/>
                <w:szCs w:val="17"/>
                <w:color w:val="auto"/>
              </w:rPr>
              <w:t>serves as a consultant/advisory board member for Alligator, AstraZeneca, Bayer, Bioncotech, BMS,</w:t>
            </w:r>
          </w:p>
        </w:tc>
        <w:tc>
          <w:tcPr>
            <w:tcW w:w="3040" w:type="dxa"/>
            <w:vAlign w:val="bottom"/>
            <w:tcBorders>
              <w:right w:val="single" w:sz="8" w:color="009D93"/>
            </w:tcBorders>
          </w:tcPr>
          <w:p>
            <w:pPr>
              <w:jc w:val="center"/>
              <w:spacing w:after="0" w:line="193" w:lineRule="exact"/>
              <w:rPr>
                <w:sz w:val="20"/>
                <w:szCs w:val="20"/>
                <w:color w:val="auto"/>
              </w:rPr>
            </w:pPr>
            <w:r>
              <w:rPr>
                <w:rFonts w:ascii="Arial" w:cs="Arial" w:eastAsia="Arial" w:hAnsi="Arial"/>
                <w:sz w:val="17"/>
                <w:szCs w:val="17"/>
                <w:color w:val="auto"/>
              </w:rPr>
              <w:t>reproduced without permission from</w:t>
            </w:r>
          </w:p>
        </w:tc>
        <w:tc>
          <w:tcPr>
            <w:tcW w:w="0" w:type="dxa"/>
            <w:vAlign w:val="bottom"/>
          </w:tcPr>
          <w:p>
            <w:pPr>
              <w:spacing w:after="0"/>
              <w:rPr>
                <w:sz w:val="1"/>
                <w:szCs w:val="1"/>
                <w:color w:val="auto"/>
              </w:rPr>
            </w:pPr>
          </w:p>
        </w:tc>
      </w:tr>
      <w:tr>
        <w:trPr>
          <w:trHeight w:val="247"/>
        </w:trPr>
        <w:tc>
          <w:tcPr>
            <w:tcW w:w="8200" w:type="dxa"/>
            <w:vAlign w:val="bottom"/>
            <w:tcBorders>
              <w:left w:val="single" w:sz="8" w:color="009D93"/>
            </w:tcBorders>
            <w:gridSpan w:val="4"/>
          </w:tcPr>
          <w:p>
            <w:pPr>
              <w:ind w:left="120"/>
              <w:spacing w:after="0"/>
              <w:rPr>
                <w:sz w:val="20"/>
                <w:szCs w:val="20"/>
                <w:color w:val="auto"/>
              </w:rPr>
            </w:pPr>
            <w:r>
              <w:rPr>
                <w:rFonts w:ascii="Arial" w:cs="Arial" w:eastAsia="Arial" w:hAnsi="Arial"/>
                <w:sz w:val="17"/>
                <w:szCs w:val="17"/>
                <w:color w:val="auto"/>
              </w:rPr>
              <w:t>F-star, Genentech, Genmab, Merck Serono, Molecular Partners, Numab, Roche-Incyte, and Tusk.</w:t>
            </w:r>
          </w:p>
        </w:tc>
        <w:tc>
          <w:tcPr>
            <w:tcW w:w="3040" w:type="dxa"/>
            <w:vAlign w:val="bottom"/>
            <w:tcBorders>
              <w:right w:val="single" w:sz="8" w:color="009D93"/>
            </w:tcBorders>
          </w:tcPr>
          <w:p>
            <w:pPr>
              <w:jc w:val="center"/>
              <w:spacing w:after="0"/>
              <w:rPr>
                <w:sz w:val="20"/>
                <w:szCs w:val="20"/>
                <w:color w:val="auto"/>
              </w:rPr>
            </w:pPr>
            <w:r>
              <w:rPr>
                <w:rFonts w:ascii="Arial" w:cs="Arial" w:eastAsia="Arial" w:hAnsi="Arial"/>
                <w:sz w:val="17"/>
                <w:szCs w:val="17"/>
                <w:color w:val="auto"/>
              </w:rPr>
              <w:t>the authors of this poster.</w:t>
            </w:r>
          </w:p>
        </w:tc>
        <w:tc>
          <w:tcPr>
            <w:tcW w:w="0" w:type="dxa"/>
            <w:vAlign w:val="bottom"/>
          </w:tcPr>
          <w:p>
            <w:pPr>
              <w:spacing w:after="0"/>
              <w:rPr>
                <w:sz w:val="1"/>
                <w:szCs w:val="1"/>
                <w:color w:val="auto"/>
              </w:rPr>
            </w:pPr>
          </w:p>
        </w:tc>
      </w:tr>
      <w:tr>
        <w:trPr>
          <w:trHeight w:val="39"/>
        </w:trPr>
        <w:tc>
          <w:tcPr>
            <w:tcW w:w="280" w:type="dxa"/>
            <w:vAlign w:val="bottom"/>
            <w:tcBorders>
              <w:left w:val="single" w:sz="8" w:color="009D93"/>
              <w:bottom w:val="single" w:sz="8" w:color="009D93"/>
            </w:tcBorders>
          </w:tcPr>
          <w:p>
            <w:pPr>
              <w:spacing w:after="0"/>
              <w:rPr>
                <w:sz w:val="3"/>
                <w:szCs w:val="3"/>
                <w:color w:val="auto"/>
              </w:rPr>
            </w:pPr>
          </w:p>
        </w:tc>
        <w:tc>
          <w:tcPr>
            <w:tcW w:w="4980" w:type="dxa"/>
            <w:vAlign w:val="bottom"/>
            <w:tcBorders>
              <w:bottom w:val="single" w:sz="8" w:color="009D93"/>
            </w:tcBorders>
          </w:tcPr>
          <w:p>
            <w:pPr>
              <w:spacing w:after="0"/>
              <w:rPr>
                <w:sz w:val="3"/>
                <w:szCs w:val="3"/>
                <w:color w:val="auto"/>
              </w:rPr>
            </w:pPr>
          </w:p>
        </w:tc>
        <w:tc>
          <w:tcPr>
            <w:tcW w:w="860" w:type="dxa"/>
            <w:vAlign w:val="bottom"/>
            <w:tcBorders>
              <w:bottom w:val="single" w:sz="8" w:color="009D93"/>
            </w:tcBorders>
          </w:tcPr>
          <w:p>
            <w:pPr>
              <w:spacing w:after="0"/>
              <w:rPr>
                <w:sz w:val="3"/>
                <w:szCs w:val="3"/>
                <w:color w:val="auto"/>
              </w:rPr>
            </w:pPr>
          </w:p>
        </w:tc>
        <w:tc>
          <w:tcPr>
            <w:tcW w:w="2080" w:type="dxa"/>
            <w:vAlign w:val="bottom"/>
            <w:tcBorders>
              <w:bottom w:val="single" w:sz="8" w:color="009D93"/>
            </w:tcBorders>
          </w:tcPr>
          <w:p>
            <w:pPr>
              <w:spacing w:after="0"/>
              <w:rPr>
                <w:sz w:val="3"/>
                <w:szCs w:val="3"/>
                <w:color w:val="auto"/>
              </w:rPr>
            </w:pPr>
          </w:p>
        </w:tc>
        <w:tc>
          <w:tcPr>
            <w:tcW w:w="3040" w:type="dxa"/>
            <w:vAlign w:val="bottom"/>
            <w:tcBorders>
              <w:bottom w:val="single" w:sz="8" w:color="009D93"/>
              <w:right w:val="single" w:sz="8" w:color="009D9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143750" cy="453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453390"/>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-1351915</wp:posOffset>
            </wp:positionV>
            <wp:extent cx="424180" cy="424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4180" cy="4241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Presented at the Society for Immunotherapy of Cancer (SITC), November 11–14, 2020 – Poster #412</w:t>
      </w:r>
    </w:p>
    <w:p>
      <w:pPr>
        <w:sectPr>
          <w:pgSz w:w="11900" w:h="16838" w:orient="portrait"/>
          <w:cols w:equalWidth="0" w:num="1">
            <w:col w:w="11240"/>
          </w:cols>
          <w:pgMar w:left="320" w:top="145" w:right="339" w:bottom="1440" w:gutter="0" w:footer="0" w:header="0"/>
          <w:type w:val="continuous"/>
        </w:sectPr>
      </w:pPr>
    </w:p>
    <w:bookmarkStart w:id="21" w:name="page22"/>
    <w:bookmarkEnd w:id="21"/>
    <w:p>
      <w:pPr>
        <w:ind w:left="1092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2205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2205355"/>
                    </a:xfrm>
                    <a:prstGeom prst="rect">
                      <a:avLst/>
                    </a:prstGeom>
                    <a:noFill/>
                  </pic:spPr>
                </pic:pic>
              </a:graphicData>
            </a:graphic>
          </wp:anchor>
        </w:drawing>
        <w:t>391</w:t>
      </w:r>
    </w:p>
    <w:p>
      <w:pPr>
        <w:spacing w:after="0" w:line="141" w:lineRule="exact"/>
        <w:rPr>
          <w:sz w:val="20"/>
          <w:szCs w:val="20"/>
          <w:color w:val="auto"/>
        </w:rPr>
      </w:pPr>
    </w:p>
    <w:p>
      <w:pPr>
        <w:ind w:left="100" w:right="1160"/>
        <w:spacing w:after="0" w:line="273" w:lineRule="auto"/>
        <w:rPr>
          <w:sz w:val="20"/>
          <w:szCs w:val="20"/>
          <w:color w:val="auto"/>
        </w:rPr>
      </w:pPr>
      <w:r>
        <w:rPr>
          <w:rFonts w:ascii="Arial" w:cs="Arial" w:eastAsia="Arial" w:hAnsi="Arial"/>
          <w:sz w:val="24"/>
          <w:szCs w:val="24"/>
          <w:b w:val="1"/>
          <w:bCs w:val="1"/>
          <w:color w:val="FFFFFF"/>
        </w:rPr>
        <w:t>A first-in-human study of intratumoral SAR441000, an mRNA mixture encoding IL-12sc, interferon alpha2b, GM-CSF and IL-15sushi as monotherapy and in combination with cemiplimab in advanced solid tumors</w:t>
      </w:r>
    </w:p>
    <w:p>
      <w:pPr>
        <w:spacing w:after="0" w:line="30" w:lineRule="exact"/>
        <w:rPr>
          <w:sz w:val="20"/>
          <w:szCs w:val="20"/>
          <w:color w:val="auto"/>
        </w:rPr>
      </w:pPr>
    </w:p>
    <w:p>
      <w:pPr>
        <w:jc w:val="both"/>
        <w:ind w:left="100" w:right="1000"/>
        <w:spacing w:after="0" w:line="265" w:lineRule="auto"/>
        <w:rPr>
          <w:sz w:val="20"/>
          <w:szCs w:val="20"/>
          <w:color w:val="auto"/>
        </w:rPr>
      </w:pPr>
      <w:r>
        <w:rPr>
          <w:rFonts w:ascii="Arial" w:cs="Arial" w:eastAsia="Arial" w:hAnsi="Arial"/>
          <w:sz w:val="17"/>
          <w:szCs w:val="17"/>
          <w:b w:val="1"/>
          <w:bCs w:val="1"/>
          <w:color w:val="FFFFFF"/>
        </w:rPr>
        <w:t>Oliver Bechter, MD</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Jochen Utikal, MD</w:t>
      </w:r>
      <w:r>
        <w:rPr>
          <w:rFonts w:ascii="Arial" w:cs="Arial" w:eastAsia="Arial" w:hAnsi="Arial"/>
          <w:sz w:val="14"/>
          <w:szCs w:val="14"/>
          <w:b w:val="1"/>
          <w:bCs w:val="1"/>
          <w:color w:val="FFFFFF"/>
        </w:rPr>
        <w:t>2</w:t>
      </w:r>
      <w:r>
        <w:rPr>
          <w:rFonts w:ascii="Arial" w:cs="Arial" w:eastAsia="Arial" w:hAnsi="Arial"/>
          <w:sz w:val="17"/>
          <w:szCs w:val="17"/>
          <w:b w:val="1"/>
          <w:bCs w:val="1"/>
          <w:color w:val="FFFFFF"/>
        </w:rPr>
        <w:t>, Jean-Francois Baurain, MD</w:t>
      </w:r>
      <w:r>
        <w:rPr>
          <w:rFonts w:ascii="Arial" w:cs="Arial" w:eastAsia="Arial" w:hAnsi="Arial"/>
          <w:sz w:val="14"/>
          <w:szCs w:val="14"/>
          <w:b w:val="1"/>
          <w:bCs w:val="1"/>
          <w:color w:val="FFFFFF"/>
        </w:rPr>
        <w:t>3</w:t>
      </w:r>
      <w:r>
        <w:rPr>
          <w:rFonts w:ascii="Arial" w:cs="Arial" w:eastAsia="Arial" w:hAnsi="Arial"/>
          <w:sz w:val="17"/>
          <w:szCs w:val="17"/>
          <w:b w:val="1"/>
          <w:bCs w:val="1"/>
          <w:color w:val="FFFFFF"/>
        </w:rPr>
        <w:t>, Christophe Massard, MD</w:t>
      </w:r>
      <w:r>
        <w:rPr>
          <w:rFonts w:ascii="Arial" w:cs="Arial" w:eastAsia="Arial" w:hAnsi="Arial"/>
          <w:sz w:val="14"/>
          <w:szCs w:val="14"/>
          <w:b w:val="1"/>
          <w:bCs w:val="1"/>
          <w:color w:val="FFFFFF"/>
        </w:rPr>
        <w:t>4</w:t>
      </w:r>
      <w:r>
        <w:rPr>
          <w:rFonts w:ascii="Arial" w:cs="Arial" w:eastAsia="Arial" w:hAnsi="Arial"/>
          <w:sz w:val="17"/>
          <w:szCs w:val="17"/>
          <w:b w:val="1"/>
          <w:bCs w:val="1"/>
          <w:color w:val="FFFFFF"/>
        </w:rPr>
        <w:t>, Ugur Sahin, MD</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Evelyna Derhovanessian, PhD</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Marie-Laure Ozoux, PharmD</w:t>
      </w:r>
      <w:r>
        <w:rPr>
          <w:rFonts w:ascii="Arial" w:cs="Arial" w:eastAsia="Arial" w:hAnsi="Arial"/>
          <w:sz w:val="14"/>
          <w:szCs w:val="14"/>
          <w:b w:val="1"/>
          <w:bCs w:val="1"/>
          <w:color w:val="FFFFFF"/>
        </w:rPr>
        <w:t>6</w:t>
      </w:r>
      <w:r>
        <w:rPr>
          <w:rFonts w:ascii="Arial" w:cs="Arial" w:eastAsia="Arial" w:hAnsi="Arial"/>
          <w:sz w:val="17"/>
          <w:szCs w:val="17"/>
          <w:b w:val="1"/>
          <w:bCs w:val="1"/>
          <w:color w:val="FFFFFF"/>
        </w:rPr>
        <w:t>, Rahul Marpadga, MD</w:t>
      </w:r>
      <w:r>
        <w:rPr>
          <w:rFonts w:ascii="Arial" w:cs="Arial" w:eastAsia="Arial" w:hAnsi="Arial"/>
          <w:sz w:val="14"/>
          <w:szCs w:val="14"/>
          <w:b w:val="1"/>
          <w:bCs w:val="1"/>
          <w:color w:val="FFFFFF"/>
        </w:rPr>
        <w:t>6</w:t>
      </w:r>
      <w:r>
        <w:rPr>
          <w:rFonts w:ascii="Arial" w:cs="Arial" w:eastAsia="Arial" w:hAnsi="Arial"/>
          <w:sz w:val="17"/>
          <w:szCs w:val="17"/>
          <w:b w:val="1"/>
          <w:bCs w:val="1"/>
          <w:color w:val="FFFFFF"/>
        </w:rPr>
        <w:t>, Esteban-Rodrigo Imedio, MD</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Carmen Loquai, MD</w:t>
      </w:r>
      <w:r>
        <w:rPr>
          <w:rFonts w:ascii="Arial" w:cs="Arial" w:eastAsia="Arial" w:hAnsi="Arial"/>
          <w:sz w:val="14"/>
          <w:szCs w:val="14"/>
          <w:b w:val="1"/>
          <w:bCs w:val="1"/>
          <w:color w:val="FFFFFF"/>
        </w:rPr>
        <w:t>7</w:t>
      </w:r>
    </w:p>
    <w:p>
      <w:pPr>
        <w:spacing w:after="0" w:line="50" w:lineRule="exact"/>
        <w:rPr>
          <w:sz w:val="20"/>
          <w:szCs w:val="20"/>
          <w:color w:val="auto"/>
        </w:rPr>
      </w:pPr>
    </w:p>
    <w:p>
      <w:pPr>
        <w:ind w:left="100" w:right="980"/>
        <w:spacing w:after="0" w:line="244" w:lineRule="auto"/>
        <w:rPr>
          <w:sz w:val="20"/>
          <w:szCs w:val="20"/>
          <w:color w:val="auto"/>
        </w:rPr>
      </w:pPr>
      <w:r>
        <w:rPr>
          <w:rFonts w:ascii="Arial" w:cs="Arial" w:eastAsia="Arial" w:hAnsi="Arial"/>
          <w:sz w:val="15"/>
          <w:szCs w:val="15"/>
          <w:i w:val="1"/>
          <w:iCs w:val="1"/>
          <w:color w:val="FFFFFF"/>
        </w:rPr>
        <w:t>1</w:t>
      </w:r>
      <w:r>
        <w:rPr>
          <w:rFonts w:ascii="Arial" w:cs="Arial" w:eastAsia="Arial" w:hAnsi="Arial"/>
          <w:sz w:val="17"/>
          <w:szCs w:val="17"/>
          <w:i w:val="1"/>
          <w:iCs w:val="1"/>
          <w:color w:val="FFFFFF"/>
        </w:rPr>
        <w:t>Department of General Medical Oncology, University Hospitals Leuven, Campus Gasthuisberg, Leuven, Belgium;</w:t>
      </w:r>
      <w:r>
        <w:rPr>
          <w:rFonts w:ascii="Arial" w:cs="Arial" w:eastAsia="Arial" w:hAnsi="Arial"/>
          <w:sz w:val="15"/>
          <w:szCs w:val="15"/>
          <w:i w:val="1"/>
          <w:iCs w:val="1"/>
          <w:color w:val="FFFFFF"/>
        </w:rPr>
        <w:t xml:space="preserve"> 2</w:t>
      </w:r>
      <w:r>
        <w:rPr>
          <w:rFonts w:ascii="Arial" w:cs="Arial" w:eastAsia="Arial" w:hAnsi="Arial"/>
          <w:sz w:val="17"/>
          <w:szCs w:val="17"/>
          <w:i w:val="1"/>
          <w:iCs w:val="1"/>
          <w:color w:val="FFFFFF"/>
        </w:rPr>
        <w:t>Skin Cancer Unit,</w:t>
      </w:r>
      <w:r>
        <w:rPr>
          <w:rFonts w:ascii="Arial" w:cs="Arial" w:eastAsia="Arial" w:hAnsi="Arial"/>
          <w:sz w:val="15"/>
          <w:szCs w:val="15"/>
          <w:i w:val="1"/>
          <w:iCs w:val="1"/>
          <w:color w:val="FFFFFF"/>
        </w:rPr>
        <w:t xml:space="preserve"> </w:t>
      </w:r>
      <w:r>
        <w:rPr>
          <w:rFonts w:ascii="Arial" w:cs="Arial" w:eastAsia="Arial" w:hAnsi="Arial"/>
          <w:sz w:val="17"/>
          <w:szCs w:val="17"/>
          <w:i w:val="1"/>
          <w:iCs w:val="1"/>
          <w:color w:val="FFFFFF"/>
        </w:rPr>
        <w:t xml:space="preserve">German Cancer Research Center (DKFZ) and University Medical Center Mannheim, Heidelberg University, Theodor-Kutzer-Ufer 1-3, 68135 Mannheim, Germany; </w:t>
      </w:r>
      <w:r>
        <w:rPr>
          <w:rFonts w:ascii="Arial" w:cs="Arial" w:eastAsia="Arial" w:hAnsi="Arial"/>
          <w:sz w:val="14"/>
          <w:szCs w:val="14"/>
          <w:i w:val="1"/>
          <w:iCs w:val="1"/>
          <w:color w:val="FFFFFF"/>
        </w:rPr>
        <w:t>3</w:t>
      </w:r>
      <w:r>
        <w:rPr>
          <w:rFonts w:ascii="Arial" w:cs="Arial" w:eastAsia="Arial" w:hAnsi="Arial"/>
          <w:sz w:val="17"/>
          <w:szCs w:val="17"/>
          <w:i w:val="1"/>
          <w:iCs w:val="1"/>
          <w:color w:val="FFFFFF"/>
        </w:rPr>
        <w:t xml:space="preserve">Melanoma Clinic at King Albert II Cancer Institute, Cliniques Universitaires Saint-Luc, Université Catholique de Louvain, Bruxelles, Belgium; </w:t>
      </w:r>
      <w:r>
        <w:rPr>
          <w:rFonts w:ascii="Arial" w:cs="Arial" w:eastAsia="Arial" w:hAnsi="Arial"/>
          <w:sz w:val="14"/>
          <w:szCs w:val="14"/>
          <w:i w:val="1"/>
          <w:iCs w:val="1"/>
          <w:color w:val="FFFFFF"/>
        </w:rPr>
        <w:t>4</w:t>
      </w:r>
      <w:r>
        <w:rPr>
          <w:rFonts w:ascii="Arial" w:cs="Arial" w:eastAsia="Arial" w:hAnsi="Arial"/>
          <w:sz w:val="17"/>
          <w:szCs w:val="17"/>
          <w:i w:val="1"/>
          <w:iCs w:val="1"/>
          <w:color w:val="FFFFFF"/>
        </w:rPr>
        <w:t xml:space="preserve">Département d’Innovation Thérapeutique et des Essais Précoces (DITEP), Gustave Roussy, Université Paris Saclay, Villejuif, France; </w:t>
      </w:r>
      <w:r>
        <w:rPr>
          <w:rFonts w:ascii="Arial" w:cs="Arial" w:eastAsia="Arial" w:hAnsi="Arial"/>
          <w:sz w:val="14"/>
          <w:szCs w:val="14"/>
          <w:i w:val="1"/>
          <w:iCs w:val="1"/>
          <w:color w:val="FFFFFF"/>
        </w:rPr>
        <w:t>5</w:t>
      </w:r>
      <w:r>
        <w:rPr>
          <w:rFonts w:ascii="Arial" w:cs="Arial" w:eastAsia="Arial" w:hAnsi="Arial"/>
          <w:sz w:val="17"/>
          <w:szCs w:val="17"/>
          <w:i w:val="1"/>
          <w:iCs w:val="1"/>
          <w:color w:val="FFFFFF"/>
        </w:rPr>
        <w:t xml:space="preserve">BioNTech, Mainz, Germany; </w:t>
      </w:r>
      <w:r>
        <w:rPr>
          <w:rFonts w:ascii="Arial" w:cs="Arial" w:eastAsia="Arial" w:hAnsi="Arial"/>
          <w:sz w:val="14"/>
          <w:szCs w:val="14"/>
          <w:i w:val="1"/>
          <w:iCs w:val="1"/>
          <w:color w:val="FFFFFF"/>
        </w:rPr>
        <w:t>6</w:t>
      </w:r>
      <w:r>
        <w:rPr>
          <w:rFonts w:ascii="Arial" w:cs="Arial" w:eastAsia="Arial" w:hAnsi="Arial"/>
          <w:sz w:val="17"/>
          <w:szCs w:val="17"/>
          <w:i w:val="1"/>
          <w:iCs w:val="1"/>
          <w:color w:val="FFFFFF"/>
        </w:rPr>
        <w:t xml:space="preserve">Sanofi Research and Development, Cambridge, MA, USA; </w:t>
      </w:r>
      <w:r>
        <w:rPr>
          <w:rFonts w:ascii="Arial" w:cs="Arial" w:eastAsia="Arial" w:hAnsi="Arial"/>
          <w:sz w:val="14"/>
          <w:szCs w:val="14"/>
          <w:i w:val="1"/>
          <w:iCs w:val="1"/>
          <w:color w:val="FFFFFF"/>
        </w:rPr>
        <w:t>7</w:t>
      </w:r>
      <w:r>
        <w:rPr>
          <w:rFonts w:ascii="Arial" w:cs="Arial" w:eastAsia="Arial" w:hAnsi="Arial"/>
          <w:sz w:val="17"/>
          <w:szCs w:val="17"/>
          <w:i w:val="1"/>
          <w:iCs w:val="1"/>
          <w:color w:val="FFFFFF"/>
        </w:rPr>
        <w:t>University Medical Center of the Johannes Gutenberg University, Langenbeckstraße 1, 55131 Mainz, Germany</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46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46685"/>
                    </a:xfrm>
                    <a:prstGeom prst="rect">
                      <a:avLst/>
                    </a:prstGeom>
                    <a:noFill/>
                  </pic:spPr>
                </pic:pic>
              </a:graphicData>
            </a:graphic>
          </wp:anchor>
        </w:drawing>
      </w:r>
    </w:p>
    <w:p>
      <w:pPr>
        <w:spacing w:after="0" w:line="97" w:lineRule="exact"/>
        <w:rPr>
          <w:sz w:val="20"/>
          <w:szCs w:val="20"/>
          <w:color w:val="auto"/>
        </w:rPr>
      </w:pPr>
    </w:p>
    <w:p>
      <w:pPr>
        <w:ind w:left="200" w:hanging="197"/>
        <w:spacing w:after="0"/>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Messenger RNA (mRNA)-based-drugs can be employed for cancer immunotherapy</w:t>
      </w:r>
      <w:r>
        <w:rPr>
          <w:rFonts w:ascii="Arial" w:cs="Arial" w:eastAsia="Arial" w:hAnsi="Arial"/>
          <w:sz w:val="14"/>
          <w:szCs w:val="14"/>
          <w:color w:val="auto"/>
        </w:rPr>
        <w:t>1</w:t>
      </w:r>
    </w:p>
    <w:p>
      <w:pPr>
        <w:spacing w:after="0" w:line="112" w:lineRule="exact"/>
        <w:rPr>
          <w:rFonts w:ascii="Arial" w:cs="Arial" w:eastAsia="Arial" w:hAnsi="Arial"/>
          <w:sz w:val="17"/>
          <w:szCs w:val="17"/>
          <w:color w:val="99CCCC"/>
        </w:rPr>
      </w:pPr>
    </w:p>
    <w:p>
      <w:pPr>
        <w:jc w:val="both"/>
        <w:ind w:left="200" w:right="40" w:hanging="197"/>
        <w:spacing w:after="0" w:line="280" w:lineRule="auto"/>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SAR441000 is a novel saline-formulated mixture of 4 mRNAs encoding interleukin-12 single chain, interferon alpha-2b, granulocyte-macrophage colony-stimulating factor, and interleukin-15 sushi that we have identified as mediators of tumor regression across different murine tumor models</w:t>
      </w:r>
    </w:p>
    <w:p>
      <w:pPr>
        <w:spacing w:after="0" w:line="44" w:lineRule="exact"/>
        <w:rPr>
          <w:rFonts w:ascii="Arial" w:cs="Arial" w:eastAsia="Arial" w:hAnsi="Arial"/>
          <w:sz w:val="17"/>
          <w:szCs w:val="17"/>
          <w:color w:val="99CCCC"/>
        </w:rPr>
      </w:pPr>
    </w:p>
    <w:p>
      <w:pPr>
        <w:ind w:left="200" w:right="60" w:hanging="197"/>
        <w:spacing w:after="0" w:line="280" w:lineRule="auto"/>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Once SAR441000 is delivered into the tumor, it is anticipated that the cytokine mRNAs will be taken up by the tumor and other resident cells and translated into functional cytokine proteins</w:t>
      </w:r>
    </w:p>
    <w:p>
      <w:pPr>
        <w:spacing w:after="0" w:line="44" w:lineRule="exact"/>
        <w:rPr>
          <w:rFonts w:ascii="Arial" w:cs="Arial" w:eastAsia="Arial" w:hAnsi="Arial"/>
          <w:sz w:val="17"/>
          <w:szCs w:val="17"/>
          <w:color w:val="99CCCC"/>
        </w:rPr>
      </w:pPr>
    </w:p>
    <w:p>
      <w:pPr>
        <w:ind w:left="200" w:hanging="197"/>
        <w:spacing w:after="0"/>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Local intratumoral administration of SAR441000 in immunocompetent mice mediates successful antitumor immunity leading to tumor eradication</w:t>
      </w:r>
    </w:p>
    <w:p>
      <w:pPr>
        <w:spacing w:after="0" w:line="112" w:lineRule="exact"/>
        <w:rPr>
          <w:rFonts w:ascii="Arial" w:cs="Arial" w:eastAsia="Arial" w:hAnsi="Arial"/>
          <w:sz w:val="17"/>
          <w:szCs w:val="17"/>
          <w:color w:val="99CCCC"/>
        </w:rPr>
      </w:pPr>
    </w:p>
    <w:p>
      <w:pPr>
        <w:ind w:left="200" w:right="200" w:hanging="197"/>
        <w:spacing w:after="0" w:line="258" w:lineRule="auto"/>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In these mice, effective antitumor activity of these cytokines was mediated by multiple immune cell populations and was accompanied by intratumoral interferon gamma induction, systemic antigen-specific T cell expansion, increased granzyme B</w:t>
      </w:r>
      <w:r>
        <w:rPr>
          <w:rFonts w:ascii="Arial" w:cs="Arial" w:eastAsia="Arial" w:hAnsi="Arial"/>
          <w:sz w:val="14"/>
          <w:szCs w:val="14"/>
          <w:color w:val="auto"/>
        </w:rPr>
        <w:t>+</w:t>
      </w:r>
      <w:r>
        <w:rPr>
          <w:rFonts w:ascii="Arial" w:cs="Arial" w:eastAsia="Arial" w:hAnsi="Arial"/>
          <w:sz w:val="17"/>
          <w:szCs w:val="17"/>
          <w:color w:val="auto"/>
        </w:rPr>
        <w:t xml:space="preserve"> T cell infiltration, and formation of immune memory</w:t>
      </w:r>
    </w:p>
    <w:p>
      <w:pPr>
        <w:spacing w:after="0" w:line="63" w:lineRule="exact"/>
        <w:rPr>
          <w:rFonts w:ascii="Arial" w:cs="Arial" w:eastAsia="Arial" w:hAnsi="Arial"/>
          <w:sz w:val="17"/>
          <w:szCs w:val="17"/>
          <w:color w:val="99CCCC"/>
        </w:rPr>
      </w:pPr>
    </w:p>
    <w:p>
      <w:pPr>
        <w:ind w:left="200" w:hanging="197"/>
        <w:spacing w:after="0"/>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Antitumor activity in animal studies extended beyond the treated lesions and inhibited growth of non-injected distant tumors</w:t>
      </w:r>
    </w:p>
    <w:p>
      <w:pPr>
        <w:spacing w:after="0" w:line="112" w:lineRule="exact"/>
        <w:rPr>
          <w:rFonts w:ascii="Arial" w:cs="Arial" w:eastAsia="Arial" w:hAnsi="Arial"/>
          <w:sz w:val="17"/>
          <w:szCs w:val="17"/>
          <w:color w:val="99CCCC"/>
        </w:rPr>
      </w:pPr>
    </w:p>
    <w:p>
      <w:pPr>
        <w:ind w:left="200" w:hanging="197"/>
        <w:spacing w:after="0" w:line="280" w:lineRule="auto"/>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Combining the mRNAs with checkpoint inhibitors enhanced antitumor responses in both injected and non-injected tumors, improving survival and tumor regression in mice</w:t>
      </w:r>
    </w:p>
    <w:p>
      <w:pPr>
        <w:spacing w:after="0" w:line="44" w:lineRule="exact"/>
        <w:rPr>
          <w:rFonts w:ascii="Arial" w:cs="Arial" w:eastAsia="Arial" w:hAnsi="Arial"/>
          <w:sz w:val="17"/>
          <w:szCs w:val="17"/>
          <w:color w:val="99CCCC"/>
        </w:rPr>
      </w:pPr>
    </w:p>
    <w:p>
      <w:pPr>
        <w:ind w:left="200" w:hanging="197"/>
        <w:spacing w:after="0"/>
        <w:tabs>
          <w:tab w:leader="none" w:pos="200" w:val="left"/>
        </w:tabs>
        <w:numPr>
          <w:ilvl w:val="0"/>
          <w:numId w:val="27"/>
        </w:numPr>
        <w:rPr>
          <w:rFonts w:ascii="Arial" w:cs="Arial" w:eastAsia="Arial" w:hAnsi="Arial"/>
          <w:sz w:val="17"/>
          <w:szCs w:val="17"/>
          <w:color w:val="99CCCC"/>
        </w:rPr>
      </w:pPr>
      <w:r>
        <w:rPr>
          <w:rFonts w:ascii="Arial" w:cs="Arial" w:eastAsia="Arial" w:hAnsi="Arial"/>
          <w:sz w:val="17"/>
          <w:szCs w:val="17"/>
          <w:color w:val="auto"/>
        </w:rPr>
        <w:t>Based on these preclinical observations a clinical study was initiated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336699"/>
        </w:rPr>
        <w:t xml:space="preserve">Figure 1. </w:t>
      </w:r>
      <w:r>
        <w:rPr>
          <w:rFonts w:ascii="Arial" w:cs="Arial" w:eastAsia="Arial" w:hAnsi="Arial"/>
          <w:sz w:val="17"/>
          <w:szCs w:val="17"/>
          <w:color w:val="336699"/>
        </w:rPr>
        <w:t>Intratumoral mRNA-based cancer immunotherapy: Local approach with systemic antitumor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2921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292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46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46685"/>
                    </a:xfrm>
                    <a:prstGeom prst="rect">
                      <a:avLst/>
                    </a:prstGeom>
                    <a:noFill/>
                  </pic:spPr>
                </pic:pic>
              </a:graphicData>
            </a:graphic>
          </wp:anchor>
        </w:drawing>
      </w:r>
    </w:p>
    <w:p>
      <w:pPr>
        <w:spacing w:after="0" w:line="187"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7"/>
          <w:szCs w:val="17"/>
          <w:color w:val="99CCCC"/>
        </w:rPr>
      </w:pPr>
      <w:r>
        <w:rPr>
          <w:rFonts w:ascii="Arial" w:cs="Arial" w:eastAsia="Arial" w:hAnsi="Arial"/>
          <w:sz w:val="17"/>
          <w:szCs w:val="17"/>
          <w:color w:val="auto"/>
        </w:rPr>
        <w:t>This is an ongoing, multicenter, phase 1 dose escalation study (NCT03871348) that enrolled patients with advanced solid tumors</w:t>
      </w:r>
    </w:p>
    <w:p>
      <w:pPr>
        <w:spacing w:after="0" w:line="61" w:lineRule="exact"/>
        <w:rPr>
          <w:rFonts w:ascii="Arial" w:cs="Arial" w:eastAsia="Arial" w:hAnsi="Arial"/>
          <w:sz w:val="17"/>
          <w:szCs w:val="17"/>
          <w:color w:val="99CCCC"/>
        </w:rPr>
      </w:pPr>
    </w:p>
    <w:p>
      <w:pPr>
        <w:ind w:left="220"/>
        <w:spacing w:after="0"/>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Key Inclusion criteria:</w:t>
      </w:r>
    </w:p>
    <w:p>
      <w:pPr>
        <w:spacing w:after="0" w:line="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³</w:t>
      </w:r>
      <w:r>
        <w:rPr>
          <w:rFonts w:ascii="Arial" w:cs="Arial" w:eastAsia="Arial" w:hAnsi="Arial"/>
          <w:sz w:val="17"/>
          <w:szCs w:val="17"/>
          <w:color w:val="auto"/>
        </w:rPr>
        <w:t>18 years of age</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Advanced solid tumors (including lymphomas) for which no standard alternative therapy is available</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Minimum of 3 lesions at enrollment that were suitable for direct intratumoral injection and amenable for additional tumor biopsy</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Measurable disease according to the Response Evaluation Criteria in Solid Tumors 1.1 criteria</w:t>
      </w:r>
    </w:p>
    <w:p>
      <w:pPr>
        <w:sectPr>
          <w:pgSz w:w="11900" w:h="16838" w:orient="portrait"/>
          <w:cols w:equalWidth="0" w:num="1">
            <w:col w:w="11180"/>
          </w:cols>
          <w:pgMar w:left="320" w:top="319" w:right="399" w:bottom="1440" w:gutter="0" w:footer="0" w:header="0"/>
        </w:sectPr>
      </w:pPr>
    </w:p>
    <w:bookmarkStart w:id="22" w:name="page23"/>
    <w:bookmarkEnd w:id="22"/>
    <w:p>
      <w:pPr>
        <w:ind w:left="220"/>
        <w:spacing w:after="0"/>
        <w:rPr>
          <w:sz w:val="20"/>
          <w:szCs w:val="20"/>
          <w:color w:val="auto"/>
        </w:rPr>
      </w:pPr>
      <w:r>
        <w:rPr>
          <w:rFonts w:ascii="Arial" w:cs="Arial" w:eastAsia="Arial" w:hAnsi="Arial"/>
          <w:sz w:val="17"/>
          <w:szCs w:val="17"/>
          <w:color w:val="99CCCC"/>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  </w:t>
      </w:r>
      <w:r>
        <w:rPr>
          <w:rFonts w:ascii="Arial" w:cs="Arial" w:eastAsia="Arial" w:hAnsi="Arial"/>
          <w:sz w:val="17"/>
          <w:szCs w:val="17"/>
          <w:color w:val="000000"/>
        </w:rPr>
        <w:t>Key Exclusion criteria:</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Eastern Cooperative Oncology Group (ECOG) Performance Status &gt;1</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Central nervous system lymphoma or any new and progressive brain lesions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Significant active or recent (within 5 years) autoimmune disease requiring treatment with systemic immunosuppressive treatments</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History of an invasive malignancy other than the one treated in this study within the last 5 years</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Poor liver and kidney functions, poor bone marrow function resulting in low blood cell counts, abnormal coagulation tests</w:t>
      </w:r>
    </w:p>
    <w:p>
      <w:pPr>
        <w:spacing w:after="0" w:line="84" w:lineRule="exact"/>
        <w:rPr>
          <w:sz w:val="20"/>
          <w:szCs w:val="20"/>
          <w:color w:val="auto"/>
        </w:rPr>
      </w:pPr>
    </w:p>
    <w:p>
      <w:pPr>
        <w:ind w:left="680" w:right="240"/>
        <w:spacing w:after="0" w:line="280" w:lineRule="auto"/>
        <w:rPr>
          <w:sz w:val="20"/>
          <w:szCs w:val="20"/>
          <w:color w:val="auto"/>
        </w:rPr>
      </w:pPr>
      <w:r>
        <w:rPr>
          <w:rFonts w:ascii="Arial" w:cs="Arial" w:eastAsia="Arial" w:hAnsi="Arial"/>
          <w:sz w:val="17"/>
          <w:szCs w:val="17"/>
          <w:color w:val="auto"/>
        </w:rPr>
        <w:t>Moderate to severe immune related adverse event to prior immune-modulating agents within 90 days prior to the first study treatment or lack of any prior TRAE to &lt; grade 2</w:t>
      </w:r>
    </w:p>
    <w:p>
      <w:pPr>
        <w:spacing w:after="0" w:line="3" w:lineRule="exact"/>
        <w:rPr>
          <w:sz w:val="20"/>
          <w:szCs w:val="20"/>
          <w:color w:val="auto"/>
        </w:rPr>
      </w:pPr>
    </w:p>
    <w:p>
      <w:pPr>
        <w:ind w:left="200" w:right="120" w:hanging="197"/>
        <w:spacing w:after="0" w:line="276" w:lineRule="auto"/>
        <w:tabs>
          <w:tab w:leader="none" w:pos="200" w:val="left"/>
        </w:tabs>
        <w:numPr>
          <w:ilvl w:val="0"/>
          <w:numId w:val="30"/>
        </w:numPr>
        <w:rPr>
          <w:rFonts w:ascii="Arial" w:cs="Arial" w:eastAsia="Arial" w:hAnsi="Arial"/>
          <w:sz w:val="17"/>
          <w:szCs w:val="17"/>
          <w:color w:val="99CCCC"/>
        </w:rPr>
      </w:pPr>
      <w:r>
        <w:rPr>
          <w:rFonts w:ascii="Arial" w:cs="Arial" w:eastAsia="Arial" w:hAnsi="Arial"/>
          <w:sz w:val="17"/>
          <w:szCs w:val="17"/>
          <w:color w:val="auto"/>
        </w:rPr>
        <w:t>Eligible patients were treated with either weekly intratumoral administration of SAR441000 (monotherapy arm) or in combination with fixed dose of cemiplimab 350 mg (combination arm)</w:t>
      </w:r>
    </w:p>
    <w:p>
      <w:pPr>
        <w:ind w:left="200" w:right="620" w:hanging="197"/>
        <w:spacing w:after="0" w:line="258" w:lineRule="auto"/>
        <w:tabs>
          <w:tab w:leader="none" w:pos="200" w:val="left"/>
        </w:tabs>
        <w:numPr>
          <w:ilvl w:val="0"/>
          <w:numId w:val="30"/>
        </w:numPr>
        <w:rPr>
          <w:rFonts w:ascii="Arial" w:cs="Arial" w:eastAsia="Arial" w:hAnsi="Arial"/>
          <w:sz w:val="17"/>
          <w:szCs w:val="17"/>
          <w:color w:val="99CCCC"/>
        </w:rPr>
      </w:pPr>
      <w:r>
        <w:rPr>
          <w:rFonts w:ascii="Arial" w:cs="Arial" w:eastAsia="Arial" w:hAnsi="Arial"/>
          <w:sz w:val="17"/>
          <w:szCs w:val="17"/>
          <w:color w:val="auto"/>
        </w:rPr>
        <w:t>Plasma samples for cytokine analysis and tumor biopsies were collected at baseline and throughout the study to characterize the pharmacokinetics/pharmacodynamics profile of SAR441000, immune cell tumor infiltration by immunohistochemistry and the presence of corresponding tumor proinflammatory signatures by RNA sequencing</w:t>
      </w:r>
    </w:p>
    <w:p>
      <w:pPr>
        <w:spacing w:after="0" w:line="12" w:lineRule="exact"/>
        <w:rPr>
          <w:rFonts w:ascii="Arial" w:cs="Arial" w:eastAsia="Arial" w:hAnsi="Arial"/>
          <w:sz w:val="17"/>
          <w:szCs w:val="17"/>
          <w:color w:val="99CCCC"/>
        </w:rPr>
      </w:pPr>
    </w:p>
    <w:p>
      <w:pPr>
        <w:ind w:left="200" w:hanging="197"/>
        <w:spacing w:after="0"/>
        <w:tabs>
          <w:tab w:leader="none" w:pos="200" w:val="left"/>
        </w:tabs>
        <w:numPr>
          <w:ilvl w:val="0"/>
          <w:numId w:val="30"/>
        </w:numPr>
        <w:rPr>
          <w:rFonts w:ascii="Arial" w:cs="Arial" w:eastAsia="Arial" w:hAnsi="Arial"/>
          <w:sz w:val="17"/>
          <w:szCs w:val="17"/>
          <w:color w:val="99CCCC"/>
        </w:rPr>
      </w:pPr>
      <w:r>
        <w:rPr>
          <w:rFonts w:ascii="Arial" w:cs="Arial" w:eastAsia="Arial" w:hAnsi="Arial"/>
          <w:sz w:val="17"/>
          <w:szCs w:val="17"/>
          <w:color w:val="auto"/>
        </w:rPr>
        <w:t>Primary endpoints included:</w:t>
      </w:r>
    </w:p>
    <w:p>
      <w:pPr>
        <w:spacing w:after="0" w:line="61" w:lineRule="exact"/>
        <w:rPr>
          <w:rFonts w:ascii="Arial" w:cs="Arial" w:eastAsia="Arial" w:hAnsi="Arial"/>
          <w:sz w:val="17"/>
          <w:szCs w:val="17"/>
          <w:color w:val="99CCCC"/>
        </w:rPr>
      </w:pPr>
    </w:p>
    <w:p>
      <w:pPr>
        <w:ind w:left="220"/>
        <w:spacing w:after="0"/>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Dose limiting toxicities (DLTs) of SAR441000 monotherapy and in combination</w:t>
      </w:r>
    </w:p>
    <w:p>
      <w:pPr>
        <w:spacing w:after="0" w:line="61" w:lineRule="exact"/>
        <w:rPr>
          <w:rFonts w:ascii="Arial" w:cs="Arial" w:eastAsia="Arial" w:hAnsi="Arial"/>
          <w:sz w:val="17"/>
          <w:szCs w:val="17"/>
          <w:color w:val="99CCCC"/>
        </w:rPr>
      </w:pPr>
    </w:p>
    <w:p>
      <w:pPr>
        <w:ind w:left="220"/>
        <w:spacing w:after="0"/>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Maximum tolerated dose (MTD) of SAR441000 monotherapy and in combination</w:t>
      </w:r>
    </w:p>
    <w:p>
      <w:pPr>
        <w:spacing w:after="0" w:line="61" w:lineRule="exact"/>
        <w:rPr>
          <w:rFonts w:ascii="Arial" w:cs="Arial" w:eastAsia="Arial" w:hAnsi="Arial"/>
          <w:sz w:val="17"/>
          <w:szCs w:val="17"/>
          <w:color w:val="99CCCC"/>
        </w:rPr>
      </w:pPr>
    </w:p>
    <w:p>
      <w:pPr>
        <w:ind w:left="440" w:right="420" w:hanging="218"/>
        <w:spacing w:after="0" w:line="276" w:lineRule="auto"/>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Incidence of treatment-emergent adverse events (TEAEs), defined as all adverse events (related and not related to study treatment) that</w:t>
      </w:r>
      <w:r>
        <w:rPr>
          <w:rFonts w:ascii="Arial" w:cs="Arial" w:eastAsia="Arial" w:hAnsi="Arial"/>
          <w:sz w:val="17"/>
          <w:szCs w:val="17"/>
          <w:color w:val="99CCCC"/>
        </w:rPr>
        <w:t xml:space="preserve"> </w:t>
      </w:r>
      <w:r>
        <w:rPr>
          <w:rFonts w:ascii="Arial" w:cs="Arial" w:eastAsia="Arial" w:hAnsi="Arial"/>
          <w:sz w:val="17"/>
          <w:szCs w:val="17"/>
          <w:color w:val="000000"/>
        </w:rPr>
        <w:t>occurred after receiving the first dose and up to 30 days after the last dose of study treatment</w:t>
      </w:r>
    </w:p>
    <w:p>
      <w:pPr>
        <w:ind w:left="200" w:hanging="197"/>
        <w:spacing w:after="0"/>
        <w:tabs>
          <w:tab w:leader="none" w:pos="200" w:val="left"/>
        </w:tabs>
        <w:numPr>
          <w:ilvl w:val="0"/>
          <w:numId w:val="30"/>
        </w:numPr>
        <w:rPr>
          <w:rFonts w:ascii="Arial" w:cs="Arial" w:eastAsia="Arial" w:hAnsi="Arial"/>
          <w:sz w:val="17"/>
          <w:szCs w:val="17"/>
          <w:color w:val="99CCCC"/>
        </w:rPr>
      </w:pPr>
      <w:r>
        <w:rPr>
          <w:rFonts w:ascii="Arial" w:cs="Arial" w:eastAsia="Arial" w:hAnsi="Arial"/>
          <w:sz w:val="17"/>
          <w:szCs w:val="17"/>
          <w:color w:val="auto"/>
        </w:rPr>
        <w:t>Secondary endpoint:</w:t>
      </w:r>
    </w:p>
    <w:p>
      <w:pPr>
        <w:spacing w:after="0" w:line="61" w:lineRule="exact"/>
        <w:rPr>
          <w:rFonts w:ascii="Arial" w:cs="Arial" w:eastAsia="Arial" w:hAnsi="Arial"/>
          <w:sz w:val="17"/>
          <w:szCs w:val="17"/>
          <w:color w:val="99CCCC"/>
        </w:rPr>
      </w:pPr>
    </w:p>
    <w:p>
      <w:pPr>
        <w:ind w:left="220"/>
        <w:spacing w:after="0"/>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Pharmacokinetics of SAR441000 as monotherapy and in combination</w:t>
      </w:r>
    </w:p>
    <w:p>
      <w:pPr>
        <w:spacing w:after="0" w:line="61" w:lineRule="exact"/>
        <w:rPr>
          <w:rFonts w:ascii="Arial" w:cs="Arial" w:eastAsia="Arial" w:hAnsi="Arial"/>
          <w:sz w:val="17"/>
          <w:szCs w:val="17"/>
          <w:color w:val="99CCCC"/>
        </w:rPr>
      </w:pPr>
    </w:p>
    <w:p>
      <w:pPr>
        <w:ind w:left="200" w:hanging="197"/>
        <w:spacing w:after="0"/>
        <w:tabs>
          <w:tab w:leader="none" w:pos="200" w:val="left"/>
        </w:tabs>
        <w:numPr>
          <w:ilvl w:val="0"/>
          <w:numId w:val="30"/>
        </w:numPr>
        <w:rPr>
          <w:rFonts w:ascii="Arial" w:cs="Arial" w:eastAsia="Arial" w:hAnsi="Arial"/>
          <w:sz w:val="17"/>
          <w:szCs w:val="17"/>
          <w:color w:val="99CCCC"/>
        </w:rPr>
      </w:pPr>
      <w:r>
        <w:rPr>
          <w:rFonts w:ascii="Arial" w:cs="Arial" w:eastAsia="Arial" w:hAnsi="Arial"/>
          <w:sz w:val="17"/>
          <w:szCs w:val="17"/>
          <w:color w:val="auto"/>
        </w:rPr>
        <w:t>Exploratory endpoint:</w:t>
      </w:r>
    </w:p>
    <w:p>
      <w:pPr>
        <w:spacing w:after="0" w:line="61" w:lineRule="exact"/>
        <w:rPr>
          <w:rFonts w:ascii="Arial" w:cs="Arial" w:eastAsia="Arial" w:hAnsi="Arial"/>
          <w:sz w:val="17"/>
          <w:szCs w:val="17"/>
          <w:color w:val="99CCCC"/>
        </w:rPr>
      </w:pPr>
    </w:p>
    <w:p>
      <w:pPr>
        <w:ind w:left="220"/>
        <w:spacing w:after="0"/>
        <w:rPr>
          <w:rFonts w:ascii="Arial" w:cs="Arial" w:eastAsia="Arial" w:hAnsi="Arial"/>
          <w:sz w:val="17"/>
          <w:szCs w:val="17"/>
          <w:color w:val="99CCCC"/>
        </w:rPr>
      </w:pPr>
      <w:r>
        <w:rPr>
          <w:rFonts w:ascii="Arial" w:cs="Arial" w:eastAsia="Arial" w:hAnsi="Arial"/>
          <w:sz w:val="17"/>
          <w:szCs w:val="17"/>
          <w:color w:val="99CCCC"/>
        </w:rPr>
        <w:t xml:space="preserve">–  </w:t>
      </w:r>
      <w:r>
        <w:rPr>
          <w:rFonts w:ascii="Arial" w:cs="Arial" w:eastAsia="Arial" w:hAnsi="Arial"/>
          <w:sz w:val="17"/>
          <w:szCs w:val="17"/>
          <w:color w:val="000000"/>
        </w:rPr>
        <w:t>Preliminary efficacy according to RECIST 1.1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46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6685"/>
                    </a:xfrm>
                    <a:prstGeom prst="rect">
                      <a:avLst/>
                    </a:prstGeom>
                    <a:noFill/>
                  </pic:spPr>
                </pic:pic>
              </a:graphicData>
            </a:graphic>
          </wp:anchor>
        </w:drawing>
      </w:r>
    </w:p>
    <w:p>
      <w:pPr>
        <w:spacing w:after="0" w:line="97" w:lineRule="exact"/>
        <w:rPr>
          <w:sz w:val="20"/>
          <w:szCs w:val="20"/>
          <w:color w:val="auto"/>
        </w:rPr>
      </w:pPr>
    </w:p>
    <w:p>
      <w:pPr>
        <w:ind w:left="200" w:right="700" w:hanging="197"/>
        <w:spacing w:after="0" w:line="276" w:lineRule="auto"/>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As of July 2020, 17 patients received SAR441000 monotherapy (7 patients with melanoma, 4 with breast cancer, 2 with sarcoma, 2 with cutaneous squamous cell carcinoma, 1 basal cell carcinoma, and 1 Merkel cell carcinoma) at dose levels 1 through 7 (</w:t>
      </w:r>
      <w:r>
        <w:rPr>
          <w:rFonts w:ascii="Arial" w:cs="Arial" w:eastAsia="Arial" w:hAnsi="Arial"/>
          <w:sz w:val="17"/>
          <w:szCs w:val="17"/>
          <w:b w:val="1"/>
          <w:bCs w:val="1"/>
          <w:color w:val="auto"/>
        </w:rPr>
        <w:t>Table 1)</w:t>
      </w:r>
    </w:p>
    <w:p>
      <w:pPr>
        <w:ind w:left="200" w:hanging="197"/>
        <w:spacing w:after="0"/>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Six patients received SAR441000 in combination therapy (melanoma 3, breast 3) at dose levels 4 and 5</w:t>
      </w:r>
    </w:p>
    <w:p>
      <w:pPr>
        <w:spacing w:after="0" w:line="61" w:lineRule="exact"/>
        <w:rPr>
          <w:rFonts w:ascii="Arial" w:cs="Arial" w:eastAsia="Arial" w:hAnsi="Arial"/>
          <w:sz w:val="17"/>
          <w:szCs w:val="17"/>
          <w:color w:val="99CCCC"/>
        </w:rPr>
      </w:pPr>
    </w:p>
    <w:p>
      <w:pPr>
        <w:ind w:left="200" w:hanging="197"/>
        <w:spacing w:after="0"/>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No patient experienced a DLT</w:t>
      </w:r>
    </w:p>
    <w:p>
      <w:pPr>
        <w:spacing w:after="0" w:line="59" w:lineRule="exact"/>
        <w:rPr>
          <w:rFonts w:ascii="Arial" w:cs="Arial" w:eastAsia="Arial" w:hAnsi="Arial"/>
          <w:sz w:val="17"/>
          <w:szCs w:val="17"/>
          <w:color w:val="99CCCC"/>
        </w:rPr>
      </w:pPr>
    </w:p>
    <w:p>
      <w:pPr>
        <w:ind w:left="200" w:hanging="197"/>
        <w:spacing w:after="0"/>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No grade 3, 4, or 5 treatment-related adverse events (TRAEs) were reported in either treatment group (</w:t>
      </w:r>
      <w:r>
        <w:rPr>
          <w:rFonts w:ascii="Arial" w:cs="Arial" w:eastAsia="Arial" w:hAnsi="Arial"/>
          <w:sz w:val="17"/>
          <w:szCs w:val="17"/>
          <w:b w:val="1"/>
          <w:bCs w:val="1"/>
          <w:color w:val="auto"/>
        </w:rPr>
        <w:t>Tables 2</w:t>
      </w:r>
      <w:r>
        <w:rPr>
          <w:rFonts w:ascii="Arial" w:cs="Arial" w:eastAsia="Arial" w:hAnsi="Arial"/>
          <w:sz w:val="17"/>
          <w:szCs w:val="17"/>
          <w:color w:val="auto"/>
        </w:rPr>
        <w:t xml:space="preserve"> and </w:t>
      </w:r>
      <w:r>
        <w:rPr>
          <w:rFonts w:ascii="Arial" w:cs="Arial" w:eastAsia="Arial" w:hAnsi="Arial"/>
          <w:sz w:val="17"/>
          <w:szCs w:val="17"/>
          <w:b w:val="1"/>
          <w:bCs w:val="1"/>
          <w:color w:val="auto"/>
        </w:rPr>
        <w:t>3)</w:t>
      </w:r>
    </w:p>
    <w:p>
      <w:pPr>
        <w:spacing w:after="0" w:line="63" w:lineRule="exact"/>
        <w:rPr>
          <w:rFonts w:ascii="Arial" w:cs="Arial" w:eastAsia="Arial" w:hAnsi="Arial"/>
          <w:sz w:val="17"/>
          <w:szCs w:val="17"/>
          <w:color w:val="99CCCC"/>
        </w:rPr>
      </w:pPr>
    </w:p>
    <w:p>
      <w:pPr>
        <w:ind w:left="200" w:right="340" w:hanging="197"/>
        <w:spacing w:after="0" w:line="276" w:lineRule="auto"/>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Of the 17 patients treated with SAR441000 monotherapy and 6 patients treated with combination therapy, 16 patients (94.1%) and 6 patients (100%) experienced at least 1 TEAE, respectively</w:t>
      </w:r>
    </w:p>
    <w:p>
      <w:pPr>
        <w:ind w:left="200" w:right="240" w:hanging="197"/>
        <w:spacing w:after="0" w:line="262" w:lineRule="auto"/>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 xml:space="preserve">TEAEs related to study treatment (TRAEs) in 2 or more subjects in both treatment groups combined, consisting of grade 1 or 2 fatigue (43%; 10/23), vomiting (17%; 4/23), nausea (13%; 3/23); local injection site reaction (8.7%, 2/23); and chills, diarrhea, and rash were reported as 9% (2/23), respectively, are shown in </w:t>
      </w:r>
      <w:r>
        <w:rPr>
          <w:rFonts w:ascii="Arial" w:cs="Arial" w:eastAsia="Arial" w:hAnsi="Arial"/>
          <w:sz w:val="17"/>
          <w:szCs w:val="17"/>
          <w:b w:val="1"/>
          <w:bCs w:val="1"/>
          <w:color w:val="auto"/>
        </w:rPr>
        <w:t>Tables 2</w:t>
      </w:r>
      <w:r>
        <w:rPr>
          <w:rFonts w:ascii="Arial" w:cs="Arial" w:eastAsia="Arial" w:hAnsi="Arial"/>
          <w:sz w:val="17"/>
          <w:szCs w:val="17"/>
          <w:color w:val="auto"/>
        </w:rPr>
        <w:t xml:space="preserve"> and </w:t>
      </w:r>
      <w:r>
        <w:rPr>
          <w:rFonts w:ascii="Arial" w:cs="Arial" w:eastAsia="Arial" w:hAnsi="Arial"/>
          <w:sz w:val="17"/>
          <w:szCs w:val="17"/>
          <w:b w:val="1"/>
          <w:bCs w:val="1"/>
          <w:color w:val="auto"/>
        </w:rPr>
        <w:t>3</w:t>
      </w:r>
    </w:p>
    <w:p>
      <w:pPr>
        <w:spacing w:after="0" w:line="2" w:lineRule="exact"/>
        <w:rPr>
          <w:rFonts w:ascii="Arial" w:cs="Arial" w:eastAsia="Arial" w:hAnsi="Arial"/>
          <w:sz w:val="17"/>
          <w:szCs w:val="17"/>
          <w:color w:val="99CCCC"/>
        </w:rPr>
      </w:pPr>
    </w:p>
    <w:p>
      <w:pPr>
        <w:ind w:left="200" w:hanging="197"/>
        <w:spacing w:after="0" w:line="274" w:lineRule="auto"/>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In some patients in monotherapy, modulation of IL15 levels (from 1.02 to 5.49 fold change) were measured in plasma even though no dose effect was determined (</w:t>
      </w:r>
      <w:r>
        <w:rPr>
          <w:rFonts w:ascii="Arial" w:cs="Arial" w:eastAsia="Arial" w:hAnsi="Arial"/>
          <w:sz w:val="17"/>
          <w:szCs w:val="17"/>
          <w:b w:val="1"/>
          <w:bCs w:val="1"/>
          <w:color w:val="auto"/>
        </w:rPr>
        <w:t>Figure 2)</w:t>
      </w:r>
    </w:p>
    <w:p>
      <w:pPr>
        <w:spacing w:after="0" w:line="1" w:lineRule="exact"/>
        <w:rPr>
          <w:rFonts w:ascii="Arial" w:cs="Arial" w:eastAsia="Arial" w:hAnsi="Arial"/>
          <w:sz w:val="17"/>
          <w:szCs w:val="17"/>
          <w:color w:val="99CCCC"/>
        </w:rPr>
      </w:pPr>
    </w:p>
    <w:p>
      <w:pPr>
        <w:ind w:left="200" w:right="260" w:hanging="197"/>
        <w:spacing w:after="0" w:line="277" w:lineRule="auto"/>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At monotherapy DL6 and DL7, increases in plasma IP10 and IFN gamma were observed (</w:t>
      </w:r>
      <w:r>
        <w:rPr>
          <w:rFonts w:ascii="Arial" w:cs="Arial" w:eastAsia="Arial" w:hAnsi="Arial"/>
          <w:sz w:val="17"/>
          <w:szCs w:val="17"/>
          <w:b w:val="1"/>
          <w:bCs w:val="1"/>
          <w:color w:val="auto"/>
        </w:rPr>
        <w:t>Figure 2)</w:t>
      </w:r>
      <w:r>
        <w:rPr>
          <w:rFonts w:ascii="Arial" w:cs="Arial" w:eastAsia="Arial" w:hAnsi="Arial"/>
          <w:sz w:val="17"/>
          <w:szCs w:val="17"/>
          <w:color w:val="auto"/>
        </w:rPr>
        <w:t xml:space="preserve"> and CD8+ T cell infiltration was observed among few paired tumor biopsy samples analyzed in one patient</w:t>
      </w:r>
    </w:p>
    <w:p>
      <w:pPr>
        <w:ind w:left="200" w:hanging="197"/>
        <w:spacing w:after="0"/>
        <w:tabs>
          <w:tab w:leader="none" w:pos="200" w:val="left"/>
        </w:tabs>
        <w:numPr>
          <w:ilvl w:val="0"/>
          <w:numId w:val="31"/>
        </w:numPr>
        <w:rPr>
          <w:rFonts w:ascii="Arial" w:cs="Arial" w:eastAsia="Arial" w:hAnsi="Arial"/>
          <w:sz w:val="17"/>
          <w:szCs w:val="17"/>
          <w:color w:val="99CCCC"/>
        </w:rPr>
      </w:pPr>
      <w:r>
        <w:rPr>
          <w:rFonts w:ascii="Arial" w:cs="Arial" w:eastAsia="Arial" w:hAnsi="Arial"/>
          <w:sz w:val="17"/>
          <w:szCs w:val="17"/>
          <w:color w:val="auto"/>
        </w:rPr>
        <w:t>Preliminary efficacy data collection is ongoing and will be analyzed at the end of dose escalation study</w:t>
      </w:r>
    </w:p>
    <w:p>
      <w:pPr>
        <w:sectPr>
          <w:pgSz w:w="11900" w:h="16838" w:orient="portrait"/>
          <w:cols w:equalWidth="0" w:num="1">
            <w:col w:w="11180"/>
          </w:cols>
          <w:pgMar w:left="320" w:top="258" w:right="39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336699"/>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Table 1. </w:t>
      </w:r>
      <w:r>
        <w:rPr>
          <w:rFonts w:ascii="Arial" w:cs="Arial" w:eastAsia="Arial" w:hAnsi="Arial"/>
          <w:sz w:val="17"/>
          <w:szCs w:val="17"/>
          <w:color w:val="336699"/>
        </w:rPr>
        <w:t>Baseline characteristics of all treated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336699"/>
              </w:rPr>
              <w:t>Monotherapy</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Arial" w:cs="Arial" w:eastAsia="Arial" w:hAnsi="Arial"/>
                <w:sz w:val="17"/>
                <w:szCs w:val="17"/>
                <w:b w:val="1"/>
                <w:bCs w:val="1"/>
                <w:color w:val="336699"/>
              </w:rPr>
              <w:t>Combination Therapy</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40" w:type="dxa"/>
            <w:vAlign w:val="bottom"/>
            <w:tcBorders>
              <w:bottom w:val="single" w:sz="8" w:color="99CCCC"/>
            </w:tcBorders>
          </w:tcPr>
          <w:p>
            <w:pPr>
              <w:spacing w:after="0"/>
              <w:rPr>
                <w:sz w:val="20"/>
                <w:szCs w:val="20"/>
                <w:color w:val="auto"/>
              </w:rPr>
            </w:pPr>
          </w:p>
        </w:tc>
        <w:tc>
          <w:tcPr>
            <w:tcW w:w="120" w:type="dxa"/>
            <w:vAlign w:val="bottom"/>
            <w:tcBorders>
              <w:bottom w:val="single" w:sz="8" w:color="99CCCC"/>
            </w:tcBorders>
          </w:tcPr>
          <w:p>
            <w:pPr>
              <w:spacing w:after="0"/>
              <w:rPr>
                <w:sz w:val="20"/>
                <w:szCs w:val="20"/>
                <w:color w:val="auto"/>
              </w:rPr>
            </w:pPr>
          </w:p>
        </w:tc>
        <w:tc>
          <w:tcPr>
            <w:tcW w:w="560" w:type="dxa"/>
            <w:vAlign w:val="bottom"/>
            <w:tcBorders>
              <w:bottom w:val="single" w:sz="8" w:color="99CCCC"/>
            </w:tcBorders>
          </w:tcPr>
          <w:p>
            <w:pPr>
              <w:spacing w:after="0"/>
              <w:rPr>
                <w:sz w:val="20"/>
                <w:szCs w:val="20"/>
                <w:color w:val="auto"/>
              </w:rPr>
            </w:pPr>
          </w:p>
        </w:tc>
        <w:tc>
          <w:tcPr>
            <w:tcW w:w="600" w:type="dxa"/>
            <w:vAlign w:val="bottom"/>
            <w:tcBorders>
              <w:bottom w:val="single" w:sz="8" w:color="99CCCC"/>
            </w:tcBorders>
          </w:tcPr>
          <w:p>
            <w:pPr>
              <w:spacing w:after="0"/>
              <w:rPr>
                <w:sz w:val="20"/>
                <w:szCs w:val="20"/>
                <w:color w:val="auto"/>
              </w:rPr>
            </w:pPr>
          </w:p>
        </w:tc>
        <w:tc>
          <w:tcPr>
            <w:tcW w:w="620" w:type="dxa"/>
            <w:vAlign w:val="bottom"/>
            <w:tcBorders>
              <w:bottom w:val="single" w:sz="8" w:color="99CCCC"/>
            </w:tcBorders>
          </w:tcPr>
          <w:p>
            <w:pPr>
              <w:spacing w:after="0"/>
              <w:rPr>
                <w:sz w:val="20"/>
                <w:szCs w:val="20"/>
                <w:color w:val="auto"/>
              </w:rPr>
            </w:pPr>
          </w:p>
        </w:tc>
        <w:tc>
          <w:tcPr>
            <w:tcW w:w="560" w:type="dxa"/>
            <w:vAlign w:val="bottom"/>
            <w:tcBorders>
              <w:bottom w:val="single" w:sz="8" w:color="99CCCC"/>
            </w:tcBorders>
          </w:tcPr>
          <w:p>
            <w:pPr>
              <w:spacing w:after="0"/>
              <w:rPr>
                <w:sz w:val="20"/>
                <w:szCs w:val="20"/>
                <w:color w:val="auto"/>
              </w:rPr>
            </w:pPr>
          </w:p>
        </w:tc>
        <w:tc>
          <w:tcPr>
            <w:tcW w:w="780" w:type="dxa"/>
            <w:vAlign w:val="bottom"/>
            <w:tcBorders>
              <w:bottom w:val="single" w:sz="8" w:color="99CCCC"/>
            </w:tcBorders>
          </w:tcPr>
          <w:p>
            <w:pPr>
              <w:spacing w:after="0"/>
              <w:rPr>
                <w:sz w:val="20"/>
                <w:szCs w:val="20"/>
                <w:color w:val="auto"/>
              </w:rPr>
            </w:pPr>
          </w:p>
        </w:tc>
        <w:tc>
          <w:tcPr>
            <w:tcW w:w="560" w:type="dxa"/>
            <w:vAlign w:val="bottom"/>
            <w:tcBorders>
              <w:bottom w:val="single" w:sz="8" w:color="99CCCC"/>
            </w:tcBorders>
          </w:tcPr>
          <w:p>
            <w:pPr>
              <w:spacing w:after="0"/>
              <w:rPr>
                <w:sz w:val="20"/>
                <w:szCs w:val="20"/>
                <w:color w:val="auto"/>
              </w:rPr>
            </w:pPr>
          </w:p>
        </w:tc>
        <w:tc>
          <w:tcPr>
            <w:tcW w:w="420" w:type="dxa"/>
            <w:vAlign w:val="bottom"/>
            <w:tcBorders>
              <w:bottom w:val="single" w:sz="8" w:color="99CCCC"/>
            </w:tcBorders>
          </w:tcPr>
          <w:p>
            <w:pPr>
              <w:spacing w:after="0"/>
              <w:rPr>
                <w:sz w:val="20"/>
                <w:szCs w:val="20"/>
                <w:color w:val="auto"/>
              </w:rPr>
            </w:pPr>
          </w:p>
        </w:tc>
        <w:tc>
          <w:tcPr>
            <w:tcW w:w="100" w:type="dxa"/>
            <w:vAlign w:val="bottom"/>
            <w:tcBorders>
              <w:bottom w:val="single" w:sz="8" w:color="99CCCC"/>
            </w:tcBorders>
          </w:tcPr>
          <w:p>
            <w:pPr>
              <w:spacing w:after="0"/>
              <w:rPr>
                <w:sz w:val="20"/>
                <w:szCs w:val="20"/>
                <w:color w:val="auto"/>
              </w:rPr>
            </w:pPr>
          </w:p>
        </w:tc>
        <w:tc>
          <w:tcPr>
            <w:tcW w:w="200" w:type="dxa"/>
            <w:vAlign w:val="bottom"/>
            <w:tcBorders>
              <w:bottom w:val="single" w:sz="8" w:color="99CCCC"/>
            </w:tcBorders>
          </w:tcPr>
          <w:p>
            <w:pPr>
              <w:spacing w:after="0"/>
              <w:rPr>
                <w:sz w:val="20"/>
                <w:szCs w:val="20"/>
                <w:color w:val="auto"/>
              </w:rPr>
            </w:pPr>
          </w:p>
        </w:tc>
        <w:tc>
          <w:tcPr>
            <w:tcW w:w="540" w:type="dxa"/>
            <w:vAlign w:val="bottom"/>
            <w:tcBorders>
              <w:bottom w:val="single" w:sz="8" w:color="99CCCC"/>
            </w:tcBorders>
          </w:tcPr>
          <w:p>
            <w:pPr>
              <w:spacing w:after="0"/>
              <w:rPr>
                <w:sz w:val="20"/>
                <w:szCs w:val="20"/>
                <w:color w:val="auto"/>
              </w:rPr>
            </w:pPr>
          </w:p>
        </w:tc>
        <w:tc>
          <w:tcPr>
            <w:tcW w:w="1260" w:type="dxa"/>
            <w:vAlign w:val="bottom"/>
            <w:tcBorders>
              <w:bottom w:val="single" w:sz="8" w:color="99CCCC"/>
            </w:tcBorders>
            <w:gridSpan w:val="2"/>
          </w:tcPr>
          <w:p>
            <w:pPr>
              <w:ind w:left="300"/>
              <w:spacing w:after="0"/>
              <w:rPr>
                <w:sz w:val="20"/>
                <w:szCs w:val="20"/>
                <w:color w:val="auto"/>
              </w:rPr>
            </w:pPr>
            <w:r>
              <w:rPr>
                <w:rFonts w:ascii="Arial" w:cs="Arial" w:eastAsia="Arial" w:hAnsi="Arial"/>
                <w:sz w:val="17"/>
                <w:szCs w:val="17"/>
                <w:b w:val="1"/>
                <w:bCs w:val="1"/>
                <w:color w:val="336699"/>
              </w:rPr>
              <w:t>(N = 17)</w:t>
            </w:r>
          </w:p>
        </w:tc>
        <w:tc>
          <w:tcPr>
            <w:tcW w:w="740" w:type="dxa"/>
            <w:vAlign w:val="bottom"/>
            <w:tcBorders>
              <w:bottom w:val="single" w:sz="8" w:color="99CCCC"/>
            </w:tcBorders>
          </w:tcPr>
          <w:p>
            <w:pPr>
              <w:spacing w:after="0"/>
              <w:rPr>
                <w:sz w:val="20"/>
                <w:szCs w:val="20"/>
                <w:color w:val="auto"/>
              </w:rPr>
            </w:pPr>
          </w:p>
        </w:tc>
        <w:tc>
          <w:tcPr>
            <w:tcW w:w="460" w:type="dxa"/>
            <w:vAlign w:val="bottom"/>
            <w:tcBorders>
              <w:bottom w:val="single" w:sz="8" w:color="99CCCC"/>
            </w:tcBorders>
          </w:tcPr>
          <w:p>
            <w:pPr>
              <w:spacing w:after="0"/>
              <w:rPr>
                <w:sz w:val="20"/>
                <w:szCs w:val="20"/>
                <w:color w:val="auto"/>
              </w:rPr>
            </w:pPr>
          </w:p>
        </w:tc>
        <w:tc>
          <w:tcPr>
            <w:tcW w:w="1280" w:type="dxa"/>
            <w:vAlign w:val="bottom"/>
            <w:tcBorders>
              <w:bottom w:val="single" w:sz="8" w:color="99CCCC"/>
            </w:tcBorders>
            <w:gridSpan w:val="2"/>
          </w:tcPr>
          <w:p>
            <w:pPr>
              <w:jc w:val="center"/>
              <w:ind w:left="451"/>
              <w:spacing w:after="0"/>
              <w:rPr>
                <w:sz w:val="20"/>
                <w:szCs w:val="20"/>
                <w:color w:val="auto"/>
              </w:rPr>
            </w:pPr>
            <w:r>
              <w:rPr>
                <w:rFonts w:ascii="Arial" w:cs="Arial" w:eastAsia="Arial" w:hAnsi="Arial"/>
                <w:sz w:val="17"/>
                <w:szCs w:val="17"/>
                <w:b w:val="1"/>
                <w:bCs w:val="1"/>
                <w:color w:val="336699"/>
              </w:rPr>
              <w:t>(N=6)</w:t>
            </w:r>
          </w:p>
        </w:tc>
        <w:tc>
          <w:tcPr>
            <w:tcW w:w="520" w:type="dxa"/>
            <w:vAlign w:val="bottom"/>
            <w:tcBorders>
              <w:bottom w:val="single" w:sz="8" w:color="99CCCC"/>
            </w:tcBorders>
          </w:tcPr>
          <w:p>
            <w:pPr>
              <w:spacing w:after="0"/>
              <w:rPr>
                <w:sz w:val="20"/>
                <w:szCs w:val="20"/>
                <w:color w:val="auto"/>
              </w:rPr>
            </w:pPr>
          </w:p>
        </w:tc>
        <w:tc>
          <w:tcPr>
            <w:tcW w:w="380" w:type="dxa"/>
            <w:vAlign w:val="bottom"/>
            <w:tcBorders>
              <w:bottom w:val="single" w:sz="8" w:color="99CCC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660" w:type="dxa"/>
            <w:vAlign w:val="bottom"/>
            <w:gridSpan w:val="2"/>
            <w:shd w:val="clear" w:color="auto" w:fill="E9F6F8"/>
          </w:tcPr>
          <w:p>
            <w:pPr>
              <w:spacing w:after="0" w:line="185" w:lineRule="exact"/>
              <w:rPr>
                <w:sz w:val="20"/>
                <w:szCs w:val="20"/>
                <w:color w:val="auto"/>
              </w:rPr>
            </w:pPr>
            <w:r>
              <w:rPr>
                <w:rFonts w:ascii="Arial" w:cs="Arial" w:eastAsia="Arial" w:hAnsi="Arial"/>
                <w:sz w:val="17"/>
                <w:szCs w:val="17"/>
                <w:b w:val="1"/>
                <w:bCs w:val="1"/>
                <w:color w:val="auto"/>
              </w:rPr>
              <w:t>Age (years)</w:t>
            </w: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340" w:type="dxa"/>
            <w:vAlign w:val="bottom"/>
            <w:gridSpan w:val="2"/>
            <w:vMerge w:val="restart"/>
            <w:shd w:val="clear" w:color="auto" w:fill="E9F6F8"/>
          </w:tcPr>
          <w:p>
            <w:pPr>
              <w:jc w:val="center"/>
              <w:ind w:left="293"/>
              <w:spacing w:after="0"/>
              <w:rPr>
                <w:sz w:val="20"/>
                <w:szCs w:val="20"/>
                <w:color w:val="auto"/>
              </w:rPr>
            </w:pPr>
            <w:r>
              <w:rPr>
                <w:rFonts w:ascii="Arial" w:cs="Arial" w:eastAsia="Arial" w:hAnsi="Arial"/>
                <w:sz w:val="17"/>
                <w:szCs w:val="17"/>
                <w:color w:val="auto"/>
                <w:w w:val="99"/>
              </w:rPr>
              <w:t>Mean (SD)</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vMerge w:val="restart"/>
            <w:shd w:val="clear" w:color="auto" w:fill="E9F6F8"/>
          </w:tcPr>
          <w:p>
            <w:pPr>
              <w:jc w:val="center"/>
              <w:spacing w:after="0"/>
              <w:rPr>
                <w:sz w:val="20"/>
                <w:szCs w:val="20"/>
                <w:color w:val="auto"/>
              </w:rPr>
            </w:pPr>
            <w:r>
              <w:rPr>
                <w:rFonts w:ascii="Arial" w:cs="Arial" w:eastAsia="Arial" w:hAnsi="Arial"/>
                <w:sz w:val="17"/>
                <w:szCs w:val="17"/>
                <w:color w:val="auto"/>
                <w:w w:val="99"/>
              </w:rPr>
              <w:t>65.9 (11.5)</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vMerge w:val="restart"/>
            <w:shd w:val="clear" w:color="auto" w:fill="E9F6F8"/>
          </w:tcPr>
          <w:p>
            <w:pPr>
              <w:jc w:val="center"/>
              <w:ind w:left="431"/>
              <w:spacing w:after="0"/>
              <w:rPr>
                <w:sz w:val="20"/>
                <w:szCs w:val="20"/>
                <w:color w:val="auto"/>
              </w:rPr>
            </w:pPr>
            <w:r>
              <w:rPr>
                <w:rFonts w:ascii="Arial" w:cs="Arial" w:eastAsia="Arial" w:hAnsi="Arial"/>
                <w:sz w:val="17"/>
                <w:szCs w:val="17"/>
                <w:color w:val="auto"/>
              </w:rPr>
              <w:t>52.5 (7.7)</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E9F6F8"/>
          </w:tcPr>
          <w:p>
            <w:pPr>
              <w:spacing w:after="0"/>
              <w:rPr>
                <w:sz w:val="14"/>
                <w:szCs w:val="14"/>
                <w:color w:val="auto"/>
              </w:rPr>
            </w:pPr>
          </w:p>
        </w:tc>
        <w:tc>
          <w:tcPr>
            <w:tcW w:w="120" w:type="dxa"/>
            <w:vAlign w:val="bottom"/>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600" w:type="dxa"/>
            <w:vAlign w:val="bottom"/>
            <w:shd w:val="clear" w:color="auto" w:fill="E9F6F8"/>
          </w:tcPr>
          <w:p>
            <w:pPr>
              <w:spacing w:after="0"/>
              <w:rPr>
                <w:sz w:val="14"/>
                <w:szCs w:val="14"/>
                <w:color w:val="auto"/>
              </w:rPr>
            </w:pPr>
          </w:p>
        </w:tc>
        <w:tc>
          <w:tcPr>
            <w:tcW w:w="620" w:type="dxa"/>
            <w:vAlign w:val="bottom"/>
            <w:shd w:val="clear" w:color="auto" w:fill="E9F6F8"/>
          </w:tcPr>
          <w:p>
            <w:pPr>
              <w:spacing w:after="0"/>
              <w:rPr>
                <w:sz w:val="14"/>
                <w:szCs w:val="14"/>
                <w:color w:val="auto"/>
              </w:rPr>
            </w:pPr>
          </w:p>
        </w:tc>
        <w:tc>
          <w:tcPr>
            <w:tcW w:w="1340" w:type="dxa"/>
            <w:vAlign w:val="bottom"/>
            <w:gridSpan w:val="2"/>
            <w:vMerge w:val="continue"/>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420" w:type="dxa"/>
            <w:vAlign w:val="bottom"/>
            <w:shd w:val="clear" w:color="auto" w:fill="E9F6F8"/>
          </w:tcPr>
          <w:p>
            <w:pPr>
              <w:spacing w:after="0"/>
              <w:rPr>
                <w:sz w:val="14"/>
                <w:szCs w:val="14"/>
                <w:color w:val="auto"/>
              </w:rPr>
            </w:pPr>
          </w:p>
        </w:tc>
        <w:tc>
          <w:tcPr>
            <w:tcW w:w="100" w:type="dxa"/>
            <w:vAlign w:val="bottom"/>
            <w:shd w:val="clear" w:color="auto" w:fill="E9F6F8"/>
          </w:tcPr>
          <w:p>
            <w:pPr>
              <w:spacing w:after="0"/>
              <w:rPr>
                <w:sz w:val="14"/>
                <w:szCs w:val="14"/>
                <w:color w:val="auto"/>
              </w:rPr>
            </w:pPr>
          </w:p>
        </w:tc>
        <w:tc>
          <w:tcPr>
            <w:tcW w:w="200" w:type="dxa"/>
            <w:vAlign w:val="bottom"/>
            <w:shd w:val="clear" w:color="auto" w:fill="E9F6F8"/>
          </w:tcPr>
          <w:p>
            <w:pPr>
              <w:spacing w:after="0"/>
              <w:rPr>
                <w:sz w:val="14"/>
                <w:szCs w:val="14"/>
                <w:color w:val="auto"/>
              </w:rPr>
            </w:pPr>
          </w:p>
        </w:tc>
        <w:tc>
          <w:tcPr>
            <w:tcW w:w="540" w:type="dxa"/>
            <w:vAlign w:val="bottom"/>
            <w:shd w:val="clear" w:color="auto" w:fill="E9F6F8"/>
          </w:tcPr>
          <w:p>
            <w:pPr>
              <w:spacing w:after="0"/>
              <w:rPr>
                <w:sz w:val="14"/>
                <w:szCs w:val="14"/>
                <w:color w:val="auto"/>
              </w:rPr>
            </w:pPr>
          </w:p>
        </w:tc>
        <w:tc>
          <w:tcPr>
            <w:tcW w:w="1260" w:type="dxa"/>
            <w:vAlign w:val="bottom"/>
            <w:gridSpan w:val="2"/>
            <w:vMerge w:val="continue"/>
            <w:shd w:val="clear" w:color="auto" w:fill="E9F6F8"/>
          </w:tcPr>
          <w:p>
            <w:pPr>
              <w:spacing w:after="0"/>
              <w:rPr>
                <w:sz w:val="14"/>
                <w:szCs w:val="14"/>
                <w:color w:val="auto"/>
              </w:rPr>
            </w:pPr>
          </w:p>
        </w:tc>
        <w:tc>
          <w:tcPr>
            <w:tcW w:w="740" w:type="dxa"/>
            <w:vAlign w:val="bottom"/>
            <w:shd w:val="clear" w:color="auto" w:fill="E9F6F8"/>
          </w:tcPr>
          <w:p>
            <w:pPr>
              <w:spacing w:after="0"/>
              <w:rPr>
                <w:sz w:val="14"/>
                <w:szCs w:val="14"/>
                <w:color w:val="auto"/>
              </w:rPr>
            </w:pPr>
          </w:p>
        </w:tc>
        <w:tc>
          <w:tcPr>
            <w:tcW w:w="460" w:type="dxa"/>
            <w:vAlign w:val="bottom"/>
            <w:shd w:val="clear" w:color="auto" w:fill="E9F6F8"/>
          </w:tcPr>
          <w:p>
            <w:pPr>
              <w:spacing w:after="0"/>
              <w:rPr>
                <w:sz w:val="14"/>
                <w:szCs w:val="14"/>
                <w:color w:val="auto"/>
              </w:rPr>
            </w:pPr>
          </w:p>
        </w:tc>
        <w:tc>
          <w:tcPr>
            <w:tcW w:w="1280" w:type="dxa"/>
            <w:vAlign w:val="bottom"/>
            <w:gridSpan w:val="2"/>
            <w:vMerge w:val="continue"/>
            <w:shd w:val="clear" w:color="auto" w:fill="E9F6F8"/>
          </w:tcPr>
          <w:p>
            <w:pPr>
              <w:spacing w:after="0"/>
              <w:rPr>
                <w:sz w:val="14"/>
                <w:szCs w:val="14"/>
                <w:color w:val="auto"/>
              </w:rPr>
            </w:pPr>
          </w:p>
        </w:tc>
        <w:tc>
          <w:tcPr>
            <w:tcW w:w="520" w:type="dxa"/>
            <w:vAlign w:val="bottom"/>
            <w:shd w:val="clear" w:color="auto" w:fill="E9F6F8"/>
          </w:tcPr>
          <w:p>
            <w:pPr>
              <w:spacing w:after="0"/>
              <w:rPr>
                <w:sz w:val="14"/>
                <w:szCs w:val="14"/>
                <w:color w:val="auto"/>
              </w:rPr>
            </w:pPr>
          </w:p>
        </w:tc>
        <w:tc>
          <w:tcPr>
            <w:tcW w:w="380" w:type="dxa"/>
            <w:vAlign w:val="bottom"/>
            <w:shd w:val="clear" w:color="auto" w:fill="E9F6F8"/>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780" w:type="dxa"/>
            <w:vAlign w:val="bottom"/>
            <w:shd w:val="clear" w:color="auto" w:fill="E9F6F8"/>
          </w:tcPr>
          <w:p>
            <w:pPr>
              <w:jc w:val="center"/>
              <w:ind w:right="115"/>
              <w:spacing w:after="0" w:line="193" w:lineRule="exact"/>
              <w:rPr>
                <w:sz w:val="20"/>
                <w:szCs w:val="20"/>
                <w:color w:val="auto"/>
              </w:rPr>
            </w:pPr>
            <w:r>
              <w:rPr>
                <w:rFonts w:ascii="Arial" w:cs="Arial" w:eastAsia="Arial" w:hAnsi="Arial"/>
                <w:sz w:val="17"/>
                <w:szCs w:val="17"/>
                <w:color w:val="auto"/>
              </w:rPr>
              <w:t>Median</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740" w:type="dxa"/>
            <w:vAlign w:val="bottom"/>
            <w:shd w:val="clear" w:color="auto" w:fill="E9F6F8"/>
          </w:tcPr>
          <w:p>
            <w:pPr>
              <w:jc w:val="center"/>
              <w:ind w:left="408"/>
              <w:spacing w:after="0" w:line="193" w:lineRule="exact"/>
              <w:rPr>
                <w:sz w:val="20"/>
                <w:szCs w:val="20"/>
                <w:color w:val="auto"/>
              </w:rPr>
            </w:pPr>
            <w:r>
              <w:rPr>
                <w:rFonts w:ascii="Arial" w:cs="Arial" w:eastAsia="Arial" w:hAnsi="Arial"/>
                <w:sz w:val="17"/>
                <w:szCs w:val="17"/>
                <w:color w:val="auto"/>
                <w:w w:val="94"/>
              </w:rPr>
              <w:t>67</w:t>
            </w:r>
          </w:p>
        </w:tc>
        <w:tc>
          <w:tcPr>
            <w:tcW w:w="520" w:type="dxa"/>
            <w:vAlign w:val="bottom"/>
            <w:shd w:val="clear" w:color="auto" w:fill="E9F6F8"/>
          </w:tcPr>
          <w:p>
            <w:pPr>
              <w:spacing w:after="0"/>
              <w:rPr>
                <w:sz w:val="16"/>
                <w:szCs w:val="16"/>
                <w:color w:val="auto"/>
              </w:rPr>
            </w:pP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660" w:type="dxa"/>
            <w:vAlign w:val="bottom"/>
            <w:shd w:val="clear" w:color="auto" w:fill="E9F6F8"/>
          </w:tcPr>
          <w:p>
            <w:pPr>
              <w:spacing w:after="0"/>
              <w:rPr>
                <w:sz w:val="16"/>
                <w:szCs w:val="16"/>
                <w:color w:val="auto"/>
              </w:rPr>
            </w:pPr>
          </w:p>
        </w:tc>
        <w:tc>
          <w:tcPr>
            <w:tcW w:w="620" w:type="dxa"/>
            <w:vAlign w:val="bottom"/>
            <w:shd w:val="clear" w:color="auto" w:fill="E9F6F8"/>
          </w:tcPr>
          <w:p>
            <w:pPr>
              <w:jc w:val="center"/>
              <w:ind w:right="100"/>
              <w:spacing w:after="0" w:line="193" w:lineRule="exact"/>
              <w:rPr>
                <w:sz w:val="20"/>
                <w:szCs w:val="20"/>
                <w:color w:val="auto"/>
              </w:rPr>
            </w:pPr>
            <w:r>
              <w:rPr>
                <w:rFonts w:ascii="Arial" w:cs="Arial" w:eastAsia="Arial" w:hAnsi="Arial"/>
                <w:sz w:val="17"/>
                <w:szCs w:val="17"/>
                <w:color w:val="auto"/>
              </w:rPr>
              <w:t>55.5</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E9F6F8"/>
          </w:tcPr>
          <w:p>
            <w:pPr>
              <w:spacing w:after="0"/>
              <w:rPr>
                <w:sz w:val="18"/>
                <w:szCs w:val="18"/>
                <w:color w:val="auto"/>
              </w:rPr>
            </w:pPr>
          </w:p>
        </w:tc>
        <w:tc>
          <w:tcPr>
            <w:tcW w:w="120" w:type="dxa"/>
            <w:vAlign w:val="bottom"/>
            <w:shd w:val="clear" w:color="auto" w:fill="E9F6F8"/>
          </w:tcPr>
          <w:p>
            <w:pPr>
              <w:spacing w:after="0"/>
              <w:rPr>
                <w:sz w:val="18"/>
                <w:szCs w:val="18"/>
                <w:color w:val="auto"/>
              </w:rPr>
            </w:pPr>
          </w:p>
        </w:tc>
        <w:tc>
          <w:tcPr>
            <w:tcW w:w="560" w:type="dxa"/>
            <w:vAlign w:val="bottom"/>
            <w:shd w:val="clear" w:color="auto" w:fill="E9F6F8"/>
          </w:tcPr>
          <w:p>
            <w:pPr>
              <w:spacing w:after="0"/>
              <w:rPr>
                <w:sz w:val="18"/>
                <w:szCs w:val="18"/>
                <w:color w:val="auto"/>
              </w:rPr>
            </w:pPr>
          </w:p>
        </w:tc>
        <w:tc>
          <w:tcPr>
            <w:tcW w:w="600" w:type="dxa"/>
            <w:vAlign w:val="bottom"/>
            <w:shd w:val="clear" w:color="auto" w:fill="E9F6F8"/>
          </w:tcPr>
          <w:p>
            <w:pPr>
              <w:spacing w:after="0"/>
              <w:rPr>
                <w:sz w:val="18"/>
                <w:szCs w:val="18"/>
                <w:color w:val="auto"/>
              </w:rPr>
            </w:pPr>
          </w:p>
        </w:tc>
        <w:tc>
          <w:tcPr>
            <w:tcW w:w="620" w:type="dxa"/>
            <w:vAlign w:val="bottom"/>
            <w:shd w:val="clear" w:color="auto" w:fill="E9F6F8"/>
          </w:tcPr>
          <w:p>
            <w:pPr>
              <w:spacing w:after="0"/>
              <w:rPr>
                <w:sz w:val="18"/>
                <w:szCs w:val="18"/>
                <w:color w:val="auto"/>
              </w:rPr>
            </w:pPr>
          </w:p>
        </w:tc>
        <w:tc>
          <w:tcPr>
            <w:tcW w:w="560" w:type="dxa"/>
            <w:vAlign w:val="bottom"/>
            <w:shd w:val="clear" w:color="auto" w:fill="E9F6F8"/>
          </w:tcPr>
          <w:p>
            <w:pPr>
              <w:spacing w:after="0"/>
              <w:rPr>
                <w:sz w:val="18"/>
                <w:szCs w:val="18"/>
                <w:color w:val="auto"/>
              </w:rPr>
            </w:pPr>
          </w:p>
        </w:tc>
        <w:tc>
          <w:tcPr>
            <w:tcW w:w="780" w:type="dxa"/>
            <w:vAlign w:val="bottom"/>
            <w:shd w:val="clear" w:color="auto" w:fill="E9F6F8"/>
          </w:tcPr>
          <w:p>
            <w:pPr>
              <w:jc w:val="center"/>
              <w:ind w:right="135"/>
              <w:spacing w:after="0"/>
              <w:rPr>
                <w:sz w:val="20"/>
                <w:szCs w:val="20"/>
                <w:color w:val="auto"/>
              </w:rPr>
            </w:pPr>
            <w:r>
              <w:rPr>
                <w:rFonts w:ascii="Arial" w:cs="Arial" w:eastAsia="Arial" w:hAnsi="Arial"/>
                <w:sz w:val="17"/>
                <w:szCs w:val="17"/>
                <w:color w:val="auto"/>
                <w:w w:val="99"/>
              </w:rPr>
              <w:t>Range</w:t>
            </w:r>
          </w:p>
        </w:tc>
        <w:tc>
          <w:tcPr>
            <w:tcW w:w="560" w:type="dxa"/>
            <w:vAlign w:val="bottom"/>
            <w:shd w:val="clear" w:color="auto" w:fill="E9F6F8"/>
          </w:tcPr>
          <w:p>
            <w:pPr>
              <w:spacing w:after="0"/>
              <w:rPr>
                <w:sz w:val="18"/>
                <w:szCs w:val="18"/>
                <w:color w:val="auto"/>
              </w:rPr>
            </w:pPr>
          </w:p>
        </w:tc>
        <w:tc>
          <w:tcPr>
            <w:tcW w:w="420" w:type="dxa"/>
            <w:vAlign w:val="bottom"/>
            <w:shd w:val="clear" w:color="auto" w:fill="E9F6F8"/>
          </w:tcPr>
          <w:p>
            <w:pPr>
              <w:spacing w:after="0"/>
              <w:rPr>
                <w:sz w:val="18"/>
                <w:szCs w:val="18"/>
                <w:color w:val="auto"/>
              </w:rPr>
            </w:pPr>
          </w:p>
        </w:tc>
        <w:tc>
          <w:tcPr>
            <w:tcW w:w="100" w:type="dxa"/>
            <w:vAlign w:val="bottom"/>
            <w:shd w:val="clear" w:color="auto" w:fill="E9F6F8"/>
          </w:tcPr>
          <w:p>
            <w:pPr>
              <w:spacing w:after="0"/>
              <w:rPr>
                <w:sz w:val="18"/>
                <w:szCs w:val="18"/>
                <w:color w:val="auto"/>
              </w:rPr>
            </w:pPr>
          </w:p>
        </w:tc>
        <w:tc>
          <w:tcPr>
            <w:tcW w:w="200" w:type="dxa"/>
            <w:vAlign w:val="bottom"/>
            <w:shd w:val="clear" w:color="auto" w:fill="E9F6F8"/>
          </w:tcPr>
          <w:p>
            <w:pPr>
              <w:spacing w:after="0"/>
              <w:rPr>
                <w:sz w:val="18"/>
                <w:szCs w:val="18"/>
                <w:color w:val="auto"/>
              </w:rPr>
            </w:pPr>
          </w:p>
        </w:tc>
        <w:tc>
          <w:tcPr>
            <w:tcW w:w="540" w:type="dxa"/>
            <w:vAlign w:val="bottom"/>
            <w:shd w:val="clear" w:color="auto" w:fill="E9F6F8"/>
          </w:tcPr>
          <w:p>
            <w:pPr>
              <w:spacing w:after="0"/>
              <w:rPr>
                <w:sz w:val="18"/>
                <w:szCs w:val="18"/>
                <w:color w:val="auto"/>
              </w:rPr>
            </w:pPr>
          </w:p>
        </w:tc>
        <w:tc>
          <w:tcPr>
            <w:tcW w:w="1260" w:type="dxa"/>
            <w:vAlign w:val="bottom"/>
            <w:gridSpan w:val="2"/>
            <w:shd w:val="clear" w:color="auto" w:fill="E9F6F8"/>
          </w:tcPr>
          <w:p>
            <w:pPr>
              <w:jc w:val="center"/>
              <w:spacing w:after="0"/>
              <w:rPr>
                <w:sz w:val="20"/>
                <w:szCs w:val="20"/>
                <w:color w:val="auto"/>
              </w:rPr>
            </w:pPr>
            <w:r>
              <w:rPr>
                <w:rFonts w:ascii="Arial" w:cs="Arial" w:eastAsia="Arial" w:hAnsi="Arial"/>
                <w:sz w:val="17"/>
                <w:szCs w:val="17"/>
                <w:color w:val="auto"/>
                <w:w w:val="97"/>
              </w:rPr>
              <w:t>46; 83</w:t>
            </w:r>
          </w:p>
        </w:tc>
        <w:tc>
          <w:tcPr>
            <w:tcW w:w="740" w:type="dxa"/>
            <w:vAlign w:val="bottom"/>
            <w:shd w:val="clear" w:color="auto" w:fill="E9F6F8"/>
          </w:tcPr>
          <w:p>
            <w:pPr>
              <w:spacing w:after="0"/>
              <w:rPr>
                <w:sz w:val="18"/>
                <w:szCs w:val="18"/>
                <w:color w:val="auto"/>
              </w:rPr>
            </w:pPr>
          </w:p>
        </w:tc>
        <w:tc>
          <w:tcPr>
            <w:tcW w:w="460" w:type="dxa"/>
            <w:vAlign w:val="bottom"/>
            <w:shd w:val="clear" w:color="auto" w:fill="E9F6F8"/>
          </w:tcPr>
          <w:p>
            <w:pPr>
              <w:spacing w:after="0"/>
              <w:rPr>
                <w:sz w:val="18"/>
                <w:szCs w:val="18"/>
                <w:color w:val="auto"/>
              </w:rPr>
            </w:pPr>
          </w:p>
        </w:tc>
        <w:tc>
          <w:tcPr>
            <w:tcW w:w="660" w:type="dxa"/>
            <w:vAlign w:val="bottom"/>
            <w:shd w:val="clear" w:color="auto" w:fill="E9F6F8"/>
          </w:tcPr>
          <w:p>
            <w:pPr>
              <w:spacing w:after="0"/>
              <w:rPr>
                <w:sz w:val="18"/>
                <w:szCs w:val="18"/>
                <w:color w:val="auto"/>
              </w:rPr>
            </w:pPr>
          </w:p>
        </w:tc>
        <w:tc>
          <w:tcPr>
            <w:tcW w:w="620" w:type="dxa"/>
            <w:vAlign w:val="bottom"/>
            <w:shd w:val="clear" w:color="auto" w:fill="E9F6F8"/>
          </w:tcPr>
          <w:p>
            <w:pPr>
              <w:jc w:val="center"/>
              <w:ind w:right="80"/>
              <w:spacing w:after="0"/>
              <w:rPr>
                <w:sz w:val="20"/>
                <w:szCs w:val="20"/>
                <w:color w:val="auto"/>
              </w:rPr>
            </w:pPr>
            <w:r>
              <w:rPr>
                <w:rFonts w:ascii="Arial" w:cs="Arial" w:eastAsia="Arial" w:hAnsi="Arial"/>
                <w:sz w:val="17"/>
                <w:szCs w:val="17"/>
                <w:color w:val="auto"/>
              </w:rPr>
              <w:t>38; 58</w:t>
            </w:r>
          </w:p>
        </w:tc>
        <w:tc>
          <w:tcPr>
            <w:tcW w:w="520" w:type="dxa"/>
            <w:vAlign w:val="bottom"/>
            <w:shd w:val="clear" w:color="auto" w:fill="E9F6F8"/>
          </w:tcPr>
          <w:p>
            <w:pPr>
              <w:spacing w:after="0"/>
              <w:rPr>
                <w:sz w:val="18"/>
                <w:szCs w:val="18"/>
                <w:color w:val="auto"/>
              </w:rPr>
            </w:pPr>
          </w:p>
        </w:tc>
        <w:tc>
          <w:tcPr>
            <w:tcW w:w="380" w:type="dxa"/>
            <w:vAlign w:val="bottom"/>
            <w:shd w:val="clear" w:color="auto" w:fill="E9F6F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60" w:type="dxa"/>
            <w:vAlign w:val="bottom"/>
            <w:gridSpan w:val="2"/>
          </w:tcPr>
          <w:p>
            <w:pPr>
              <w:spacing w:after="0"/>
              <w:rPr>
                <w:sz w:val="20"/>
                <w:szCs w:val="20"/>
                <w:color w:val="auto"/>
              </w:rPr>
            </w:pPr>
            <w:r>
              <w:rPr>
                <w:rFonts w:ascii="Arial" w:cs="Arial" w:eastAsia="Arial" w:hAnsi="Arial"/>
                <w:sz w:val="17"/>
                <w:szCs w:val="17"/>
                <w:b w:val="1"/>
                <w:bCs w:val="1"/>
                <w:color w:val="auto"/>
              </w:rPr>
              <w:t>Sex, n (%)</w:t>
            </w: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vMerge w:val="restart"/>
          </w:tcPr>
          <w:p>
            <w:pPr>
              <w:jc w:val="center"/>
              <w:ind w:right="135"/>
              <w:spacing w:after="0"/>
              <w:rPr>
                <w:sz w:val="20"/>
                <w:szCs w:val="20"/>
                <w:color w:val="auto"/>
              </w:rPr>
            </w:pPr>
            <w:r>
              <w:rPr>
                <w:rFonts w:ascii="Arial" w:cs="Arial" w:eastAsia="Arial" w:hAnsi="Arial"/>
                <w:sz w:val="17"/>
                <w:szCs w:val="17"/>
                <w:color w:val="auto"/>
              </w:rPr>
              <w:t>Male</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6 (35.3)</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2"/>
            <w:vMerge w:val="restart"/>
          </w:tcPr>
          <w:p>
            <w:pPr>
              <w:jc w:val="center"/>
              <w:ind w:left="431"/>
              <w:spacing w:after="0"/>
              <w:rPr>
                <w:sz w:val="20"/>
                <w:szCs w:val="20"/>
                <w:color w:val="auto"/>
              </w:rPr>
            </w:pPr>
            <w:r>
              <w:rPr>
                <w:rFonts w:ascii="Arial" w:cs="Arial" w:eastAsia="Arial" w:hAnsi="Arial"/>
                <w:sz w:val="17"/>
                <w:szCs w:val="17"/>
                <w:color w:val="auto"/>
                <w:w w:val="98"/>
              </w:rPr>
              <w:t>2 (33.3)</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center"/>
              <w:ind w:right="135"/>
              <w:spacing w:after="0"/>
              <w:rPr>
                <w:sz w:val="20"/>
                <w:szCs w:val="20"/>
                <w:color w:val="auto"/>
              </w:rPr>
            </w:pPr>
            <w:r>
              <w:rPr>
                <w:rFonts w:ascii="Arial" w:cs="Arial" w:eastAsia="Arial" w:hAnsi="Arial"/>
                <w:sz w:val="17"/>
                <w:szCs w:val="17"/>
                <w:color w:val="auto"/>
              </w:rPr>
              <w:t>Female</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auto"/>
                <w:w w:val="96"/>
              </w:rPr>
              <w:t>11 (64.7)</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2"/>
          </w:tcPr>
          <w:p>
            <w:pPr>
              <w:jc w:val="center"/>
              <w:ind w:left="431"/>
              <w:spacing w:after="0"/>
              <w:rPr>
                <w:sz w:val="20"/>
                <w:szCs w:val="20"/>
                <w:color w:val="auto"/>
              </w:rPr>
            </w:pPr>
            <w:r>
              <w:rPr>
                <w:rFonts w:ascii="Arial" w:cs="Arial" w:eastAsia="Arial" w:hAnsi="Arial"/>
                <w:sz w:val="17"/>
                <w:szCs w:val="17"/>
                <w:color w:val="auto"/>
                <w:w w:val="98"/>
              </w:rPr>
              <w:t>4 (66.7)</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60" w:type="dxa"/>
            <w:vAlign w:val="bottom"/>
            <w:gridSpan w:val="2"/>
            <w:shd w:val="clear" w:color="auto" w:fill="E9F6F8"/>
          </w:tcPr>
          <w:p>
            <w:pPr>
              <w:spacing w:after="0" w:line="193" w:lineRule="exact"/>
              <w:rPr>
                <w:sz w:val="20"/>
                <w:szCs w:val="20"/>
                <w:color w:val="auto"/>
              </w:rPr>
            </w:pPr>
            <w:r>
              <w:rPr>
                <w:rFonts w:ascii="Arial" w:cs="Arial" w:eastAsia="Arial" w:hAnsi="Arial"/>
                <w:sz w:val="17"/>
                <w:szCs w:val="17"/>
                <w:b w:val="1"/>
                <w:bCs w:val="1"/>
                <w:color w:val="auto"/>
                <w:w w:val="99"/>
              </w:rPr>
              <w:t>Prior therapy, n (%)</w:t>
            </w:r>
            <w:r>
              <w:rPr>
                <w:rFonts w:ascii="Arial" w:cs="Arial" w:eastAsia="Arial" w:hAnsi="Arial"/>
                <w:sz w:val="14"/>
                <w:szCs w:val="14"/>
                <w:b w:val="1"/>
                <w:bCs w:val="1"/>
                <w:color w:val="auto"/>
                <w:w w:val="99"/>
              </w:rPr>
              <w:t>a</w:t>
            </w: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900" w:type="dxa"/>
            <w:vAlign w:val="bottom"/>
            <w:gridSpan w:val="3"/>
            <w:vMerge w:val="restart"/>
            <w:shd w:val="clear" w:color="auto" w:fill="E9F6F8"/>
          </w:tcPr>
          <w:p>
            <w:pPr>
              <w:jc w:val="center"/>
              <w:ind w:right="149"/>
              <w:spacing w:after="0"/>
              <w:rPr>
                <w:sz w:val="20"/>
                <w:szCs w:val="20"/>
                <w:color w:val="auto"/>
              </w:rPr>
            </w:pPr>
            <w:r>
              <w:rPr>
                <w:rFonts w:ascii="Arial" w:cs="Arial" w:eastAsia="Arial" w:hAnsi="Arial"/>
                <w:sz w:val="17"/>
                <w:szCs w:val="17"/>
                <w:color w:val="auto"/>
                <w:w w:val="99"/>
              </w:rPr>
              <w:t>Immunotherapy</w:t>
            </w: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vMerge w:val="restart"/>
            <w:shd w:val="clear" w:color="auto" w:fill="E9F6F8"/>
          </w:tcPr>
          <w:p>
            <w:pPr>
              <w:jc w:val="center"/>
              <w:spacing w:after="0"/>
              <w:rPr>
                <w:sz w:val="20"/>
                <w:szCs w:val="20"/>
                <w:color w:val="auto"/>
              </w:rPr>
            </w:pPr>
            <w:r>
              <w:rPr>
                <w:rFonts w:ascii="Arial" w:cs="Arial" w:eastAsia="Arial" w:hAnsi="Arial"/>
                <w:sz w:val="17"/>
                <w:szCs w:val="17"/>
                <w:color w:val="auto"/>
                <w:w w:val="96"/>
              </w:rPr>
              <w:t>11 (64.7)</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vMerge w:val="restart"/>
            <w:shd w:val="clear" w:color="auto" w:fill="E9F6F8"/>
          </w:tcPr>
          <w:p>
            <w:pPr>
              <w:jc w:val="center"/>
              <w:ind w:left="431"/>
              <w:spacing w:after="0"/>
              <w:rPr>
                <w:sz w:val="20"/>
                <w:szCs w:val="20"/>
                <w:color w:val="auto"/>
              </w:rPr>
            </w:pPr>
            <w:r>
              <w:rPr>
                <w:rFonts w:ascii="Arial" w:cs="Arial" w:eastAsia="Arial" w:hAnsi="Arial"/>
                <w:sz w:val="17"/>
                <w:szCs w:val="17"/>
                <w:color w:val="auto"/>
                <w:w w:val="98"/>
              </w:rPr>
              <w:t>5 (83.3)</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E9F6F8"/>
          </w:tcPr>
          <w:p>
            <w:pPr>
              <w:spacing w:after="0"/>
              <w:rPr>
                <w:sz w:val="14"/>
                <w:szCs w:val="14"/>
                <w:color w:val="auto"/>
              </w:rPr>
            </w:pPr>
          </w:p>
        </w:tc>
        <w:tc>
          <w:tcPr>
            <w:tcW w:w="120" w:type="dxa"/>
            <w:vAlign w:val="bottom"/>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600" w:type="dxa"/>
            <w:vAlign w:val="bottom"/>
            <w:shd w:val="clear" w:color="auto" w:fill="E9F6F8"/>
          </w:tcPr>
          <w:p>
            <w:pPr>
              <w:spacing w:after="0"/>
              <w:rPr>
                <w:sz w:val="14"/>
                <w:szCs w:val="14"/>
                <w:color w:val="auto"/>
              </w:rPr>
            </w:pPr>
          </w:p>
        </w:tc>
        <w:tc>
          <w:tcPr>
            <w:tcW w:w="620" w:type="dxa"/>
            <w:vAlign w:val="bottom"/>
            <w:shd w:val="clear" w:color="auto" w:fill="E9F6F8"/>
          </w:tcPr>
          <w:p>
            <w:pPr>
              <w:spacing w:after="0"/>
              <w:rPr>
                <w:sz w:val="14"/>
                <w:szCs w:val="14"/>
                <w:color w:val="auto"/>
              </w:rPr>
            </w:pPr>
          </w:p>
        </w:tc>
        <w:tc>
          <w:tcPr>
            <w:tcW w:w="1900" w:type="dxa"/>
            <w:vAlign w:val="bottom"/>
            <w:gridSpan w:val="3"/>
            <w:vMerge w:val="continue"/>
            <w:shd w:val="clear" w:color="auto" w:fill="E9F6F8"/>
          </w:tcPr>
          <w:p>
            <w:pPr>
              <w:spacing w:after="0"/>
              <w:rPr>
                <w:sz w:val="14"/>
                <w:szCs w:val="14"/>
                <w:color w:val="auto"/>
              </w:rPr>
            </w:pPr>
          </w:p>
        </w:tc>
        <w:tc>
          <w:tcPr>
            <w:tcW w:w="420" w:type="dxa"/>
            <w:vAlign w:val="bottom"/>
            <w:shd w:val="clear" w:color="auto" w:fill="E9F6F8"/>
          </w:tcPr>
          <w:p>
            <w:pPr>
              <w:spacing w:after="0"/>
              <w:rPr>
                <w:sz w:val="14"/>
                <w:szCs w:val="14"/>
                <w:color w:val="auto"/>
              </w:rPr>
            </w:pPr>
          </w:p>
        </w:tc>
        <w:tc>
          <w:tcPr>
            <w:tcW w:w="100" w:type="dxa"/>
            <w:vAlign w:val="bottom"/>
            <w:shd w:val="clear" w:color="auto" w:fill="E9F6F8"/>
          </w:tcPr>
          <w:p>
            <w:pPr>
              <w:spacing w:after="0"/>
              <w:rPr>
                <w:sz w:val="14"/>
                <w:szCs w:val="14"/>
                <w:color w:val="auto"/>
              </w:rPr>
            </w:pPr>
          </w:p>
        </w:tc>
        <w:tc>
          <w:tcPr>
            <w:tcW w:w="200" w:type="dxa"/>
            <w:vAlign w:val="bottom"/>
            <w:shd w:val="clear" w:color="auto" w:fill="E9F6F8"/>
          </w:tcPr>
          <w:p>
            <w:pPr>
              <w:spacing w:after="0"/>
              <w:rPr>
                <w:sz w:val="14"/>
                <w:szCs w:val="14"/>
                <w:color w:val="auto"/>
              </w:rPr>
            </w:pPr>
          </w:p>
        </w:tc>
        <w:tc>
          <w:tcPr>
            <w:tcW w:w="540" w:type="dxa"/>
            <w:vAlign w:val="bottom"/>
            <w:shd w:val="clear" w:color="auto" w:fill="E9F6F8"/>
          </w:tcPr>
          <w:p>
            <w:pPr>
              <w:spacing w:after="0"/>
              <w:rPr>
                <w:sz w:val="14"/>
                <w:szCs w:val="14"/>
                <w:color w:val="auto"/>
              </w:rPr>
            </w:pPr>
          </w:p>
        </w:tc>
        <w:tc>
          <w:tcPr>
            <w:tcW w:w="1260" w:type="dxa"/>
            <w:vAlign w:val="bottom"/>
            <w:gridSpan w:val="2"/>
            <w:vMerge w:val="continue"/>
            <w:shd w:val="clear" w:color="auto" w:fill="E9F6F8"/>
          </w:tcPr>
          <w:p>
            <w:pPr>
              <w:spacing w:after="0"/>
              <w:rPr>
                <w:sz w:val="14"/>
                <w:szCs w:val="14"/>
                <w:color w:val="auto"/>
              </w:rPr>
            </w:pPr>
          </w:p>
        </w:tc>
        <w:tc>
          <w:tcPr>
            <w:tcW w:w="740" w:type="dxa"/>
            <w:vAlign w:val="bottom"/>
            <w:shd w:val="clear" w:color="auto" w:fill="E9F6F8"/>
          </w:tcPr>
          <w:p>
            <w:pPr>
              <w:spacing w:after="0"/>
              <w:rPr>
                <w:sz w:val="14"/>
                <w:szCs w:val="14"/>
                <w:color w:val="auto"/>
              </w:rPr>
            </w:pPr>
          </w:p>
        </w:tc>
        <w:tc>
          <w:tcPr>
            <w:tcW w:w="460" w:type="dxa"/>
            <w:vAlign w:val="bottom"/>
            <w:shd w:val="clear" w:color="auto" w:fill="E9F6F8"/>
          </w:tcPr>
          <w:p>
            <w:pPr>
              <w:spacing w:after="0"/>
              <w:rPr>
                <w:sz w:val="14"/>
                <w:szCs w:val="14"/>
                <w:color w:val="auto"/>
              </w:rPr>
            </w:pPr>
          </w:p>
        </w:tc>
        <w:tc>
          <w:tcPr>
            <w:tcW w:w="1280" w:type="dxa"/>
            <w:vAlign w:val="bottom"/>
            <w:gridSpan w:val="2"/>
            <w:vMerge w:val="continue"/>
            <w:shd w:val="clear" w:color="auto" w:fill="E9F6F8"/>
          </w:tcPr>
          <w:p>
            <w:pPr>
              <w:spacing w:after="0"/>
              <w:rPr>
                <w:sz w:val="14"/>
                <w:szCs w:val="14"/>
                <w:color w:val="auto"/>
              </w:rPr>
            </w:pPr>
          </w:p>
        </w:tc>
        <w:tc>
          <w:tcPr>
            <w:tcW w:w="520" w:type="dxa"/>
            <w:vAlign w:val="bottom"/>
            <w:shd w:val="clear" w:color="auto" w:fill="E9F6F8"/>
          </w:tcPr>
          <w:p>
            <w:pPr>
              <w:spacing w:after="0"/>
              <w:rPr>
                <w:sz w:val="14"/>
                <w:szCs w:val="14"/>
                <w:color w:val="auto"/>
              </w:rPr>
            </w:pPr>
          </w:p>
        </w:tc>
        <w:tc>
          <w:tcPr>
            <w:tcW w:w="380" w:type="dxa"/>
            <w:vAlign w:val="bottom"/>
            <w:shd w:val="clear" w:color="auto" w:fill="E9F6F8"/>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900" w:type="dxa"/>
            <w:vAlign w:val="bottom"/>
            <w:gridSpan w:val="3"/>
            <w:shd w:val="clear" w:color="auto" w:fill="E9F6F8"/>
          </w:tcPr>
          <w:p>
            <w:pPr>
              <w:jc w:val="center"/>
              <w:ind w:right="129"/>
              <w:spacing w:after="0" w:line="193" w:lineRule="exact"/>
              <w:rPr>
                <w:sz w:val="20"/>
                <w:szCs w:val="20"/>
                <w:color w:val="auto"/>
              </w:rPr>
            </w:pPr>
            <w:r>
              <w:rPr>
                <w:rFonts w:ascii="Arial" w:cs="Arial" w:eastAsia="Arial" w:hAnsi="Arial"/>
                <w:sz w:val="17"/>
                <w:szCs w:val="17"/>
                <w:color w:val="auto"/>
              </w:rPr>
              <w:t>Chemotherapy</w:t>
            </w: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w w:val="98"/>
              </w:rPr>
              <w:t>8 (47.1)</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shd w:val="clear" w:color="auto" w:fill="E9F6F8"/>
          </w:tcPr>
          <w:p>
            <w:pPr>
              <w:jc w:val="center"/>
              <w:ind w:left="431"/>
              <w:spacing w:after="0" w:line="193" w:lineRule="exact"/>
              <w:rPr>
                <w:sz w:val="20"/>
                <w:szCs w:val="20"/>
                <w:color w:val="auto"/>
              </w:rPr>
            </w:pPr>
            <w:r>
              <w:rPr>
                <w:rFonts w:ascii="Arial" w:cs="Arial" w:eastAsia="Arial" w:hAnsi="Arial"/>
                <w:sz w:val="17"/>
                <w:szCs w:val="17"/>
                <w:color w:val="auto"/>
                <w:w w:val="98"/>
              </w:rPr>
              <w:t>4 (66.6)</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E9F6F8"/>
          </w:tcPr>
          <w:p>
            <w:pPr>
              <w:spacing w:after="0"/>
              <w:rPr>
                <w:sz w:val="18"/>
                <w:szCs w:val="18"/>
                <w:color w:val="auto"/>
              </w:rPr>
            </w:pPr>
          </w:p>
        </w:tc>
        <w:tc>
          <w:tcPr>
            <w:tcW w:w="120" w:type="dxa"/>
            <w:vAlign w:val="bottom"/>
            <w:shd w:val="clear" w:color="auto" w:fill="E9F6F8"/>
          </w:tcPr>
          <w:p>
            <w:pPr>
              <w:spacing w:after="0"/>
              <w:rPr>
                <w:sz w:val="18"/>
                <w:szCs w:val="18"/>
                <w:color w:val="auto"/>
              </w:rPr>
            </w:pPr>
          </w:p>
        </w:tc>
        <w:tc>
          <w:tcPr>
            <w:tcW w:w="560" w:type="dxa"/>
            <w:vAlign w:val="bottom"/>
            <w:shd w:val="clear" w:color="auto" w:fill="E9F6F8"/>
          </w:tcPr>
          <w:p>
            <w:pPr>
              <w:spacing w:after="0"/>
              <w:rPr>
                <w:sz w:val="18"/>
                <w:szCs w:val="18"/>
                <w:color w:val="auto"/>
              </w:rPr>
            </w:pPr>
          </w:p>
        </w:tc>
        <w:tc>
          <w:tcPr>
            <w:tcW w:w="600" w:type="dxa"/>
            <w:vAlign w:val="bottom"/>
            <w:shd w:val="clear" w:color="auto" w:fill="E9F6F8"/>
          </w:tcPr>
          <w:p>
            <w:pPr>
              <w:spacing w:after="0"/>
              <w:rPr>
                <w:sz w:val="18"/>
                <w:szCs w:val="18"/>
                <w:color w:val="auto"/>
              </w:rPr>
            </w:pPr>
          </w:p>
        </w:tc>
        <w:tc>
          <w:tcPr>
            <w:tcW w:w="620" w:type="dxa"/>
            <w:vAlign w:val="bottom"/>
            <w:shd w:val="clear" w:color="auto" w:fill="E9F6F8"/>
          </w:tcPr>
          <w:p>
            <w:pPr>
              <w:spacing w:after="0"/>
              <w:rPr>
                <w:sz w:val="18"/>
                <w:szCs w:val="18"/>
                <w:color w:val="auto"/>
              </w:rPr>
            </w:pPr>
          </w:p>
        </w:tc>
        <w:tc>
          <w:tcPr>
            <w:tcW w:w="560" w:type="dxa"/>
            <w:vAlign w:val="bottom"/>
            <w:shd w:val="clear" w:color="auto" w:fill="E9F6F8"/>
          </w:tcPr>
          <w:p>
            <w:pPr>
              <w:spacing w:after="0"/>
              <w:rPr>
                <w:sz w:val="18"/>
                <w:szCs w:val="18"/>
                <w:color w:val="auto"/>
              </w:rPr>
            </w:pPr>
          </w:p>
        </w:tc>
        <w:tc>
          <w:tcPr>
            <w:tcW w:w="780" w:type="dxa"/>
            <w:vAlign w:val="bottom"/>
            <w:shd w:val="clear" w:color="auto" w:fill="E9F6F8"/>
          </w:tcPr>
          <w:p>
            <w:pPr>
              <w:jc w:val="center"/>
              <w:ind w:right="135"/>
              <w:spacing w:after="0"/>
              <w:rPr>
                <w:sz w:val="20"/>
                <w:szCs w:val="20"/>
                <w:color w:val="auto"/>
              </w:rPr>
            </w:pPr>
            <w:r>
              <w:rPr>
                <w:rFonts w:ascii="Arial" w:cs="Arial" w:eastAsia="Arial" w:hAnsi="Arial"/>
                <w:sz w:val="17"/>
                <w:szCs w:val="17"/>
                <w:color w:val="auto"/>
                <w:w w:val="98"/>
              </w:rPr>
              <w:t>Other</w:t>
            </w:r>
          </w:p>
        </w:tc>
        <w:tc>
          <w:tcPr>
            <w:tcW w:w="560" w:type="dxa"/>
            <w:vAlign w:val="bottom"/>
            <w:shd w:val="clear" w:color="auto" w:fill="E9F6F8"/>
          </w:tcPr>
          <w:p>
            <w:pPr>
              <w:spacing w:after="0"/>
              <w:rPr>
                <w:sz w:val="18"/>
                <w:szCs w:val="18"/>
                <w:color w:val="auto"/>
              </w:rPr>
            </w:pPr>
          </w:p>
        </w:tc>
        <w:tc>
          <w:tcPr>
            <w:tcW w:w="420" w:type="dxa"/>
            <w:vAlign w:val="bottom"/>
            <w:shd w:val="clear" w:color="auto" w:fill="E9F6F8"/>
          </w:tcPr>
          <w:p>
            <w:pPr>
              <w:spacing w:after="0"/>
              <w:rPr>
                <w:sz w:val="18"/>
                <w:szCs w:val="18"/>
                <w:color w:val="auto"/>
              </w:rPr>
            </w:pPr>
          </w:p>
        </w:tc>
        <w:tc>
          <w:tcPr>
            <w:tcW w:w="100" w:type="dxa"/>
            <w:vAlign w:val="bottom"/>
            <w:shd w:val="clear" w:color="auto" w:fill="E9F6F8"/>
          </w:tcPr>
          <w:p>
            <w:pPr>
              <w:spacing w:after="0"/>
              <w:rPr>
                <w:sz w:val="18"/>
                <w:szCs w:val="18"/>
                <w:color w:val="auto"/>
              </w:rPr>
            </w:pPr>
          </w:p>
        </w:tc>
        <w:tc>
          <w:tcPr>
            <w:tcW w:w="200" w:type="dxa"/>
            <w:vAlign w:val="bottom"/>
            <w:shd w:val="clear" w:color="auto" w:fill="E9F6F8"/>
          </w:tcPr>
          <w:p>
            <w:pPr>
              <w:spacing w:after="0"/>
              <w:rPr>
                <w:sz w:val="18"/>
                <w:szCs w:val="18"/>
                <w:color w:val="auto"/>
              </w:rPr>
            </w:pPr>
          </w:p>
        </w:tc>
        <w:tc>
          <w:tcPr>
            <w:tcW w:w="540" w:type="dxa"/>
            <w:vAlign w:val="bottom"/>
            <w:shd w:val="clear" w:color="auto" w:fill="E9F6F8"/>
          </w:tcPr>
          <w:p>
            <w:pPr>
              <w:spacing w:after="0"/>
              <w:rPr>
                <w:sz w:val="18"/>
                <w:szCs w:val="18"/>
                <w:color w:val="auto"/>
              </w:rPr>
            </w:pPr>
          </w:p>
        </w:tc>
        <w:tc>
          <w:tcPr>
            <w:tcW w:w="1260" w:type="dxa"/>
            <w:vAlign w:val="bottom"/>
            <w:gridSpan w:val="2"/>
            <w:shd w:val="clear" w:color="auto" w:fill="E9F6F8"/>
          </w:tcPr>
          <w:p>
            <w:pPr>
              <w:jc w:val="center"/>
              <w:spacing w:after="0"/>
              <w:rPr>
                <w:sz w:val="20"/>
                <w:szCs w:val="20"/>
                <w:color w:val="auto"/>
              </w:rPr>
            </w:pPr>
            <w:r>
              <w:rPr>
                <w:rFonts w:ascii="Arial" w:cs="Arial" w:eastAsia="Arial" w:hAnsi="Arial"/>
                <w:sz w:val="17"/>
                <w:szCs w:val="17"/>
                <w:color w:val="auto"/>
              </w:rPr>
              <w:t>10 (58.8)</w:t>
            </w:r>
          </w:p>
        </w:tc>
        <w:tc>
          <w:tcPr>
            <w:tcW w:w="740" w:type="dxa"/>
            <w:vAlign w:val="bottom"/>
            <w:shd w:val="clear" w:color="auto" w:fill="E9F6F8"/>
          </w:tcPr>
          <w:p>
            <w:pPr>
              <w:spacing w:after="0"/>
              <w:rPr>
                <w:sz w:val="18"/>
                <w:szCs w:val="18"/>
                <w:color w:val="auto"/>
              </w:rPr>
            </w:pPr>
          </w:p>
        </w:tc>
        <w:tc>
          <w:tcPr>
            <w:tcW w:w="460" w:type="dxa"/>
            <w:vAlign w:val="bottom"/>
            <w:shd w:val="clear" w:color="auto" w:fill="E9F6F8"/>
          </w:tcPr>
          <w:p>
            <w:pPr>
              <w:spacing w:after="0"/>
              <w:rPr>
                <w:sz w:val="18"/>
                <w:szCs w:val="18"/>
                <w:color w:val="auto"/>
              </w:rPr>
            </w:pPr>
          </w:p>
        </w:tc>
        <w:tc>
          <w:tcPr>
            <w:tcW w:w="1280" w:type="dxa"/>
            <w:vAlign w:val="bottom"/>
            <w:gridSpan w:val="2"/>
            <w:shd w:val="clear" w:color="auto" w:fill="E9F6F8"/>
          </w:tcPr>
          <w:p>
            <w:pPr>
              <w:jc w:val="center"/>
              <w:ind w:left="451"/>
              <w:spacing w:after="0"/>
              <w:rPr>
                <w:sz w:val="20"/>
                <w:szCs w:val="20"/>
                <w:color w:val="auto"/>
              </w:rPr>
            </w:pPr>
            <w:r>
              <w:rPr>
                <w:rFonts w:ascii="Arial" w:cs="Arial" w:eastAsia="Arial" w:hAnsi="Arial"/>
                <w:sz w:val="17"/>
                <w:szCs w:val="17"/>
                <w:color w:val="auto"/>
                <w:w w:val="99"/>
              </w:rPr>
              <w:t>6 (100.0)</w:t>
            </w:r>
          </w:p>
        </w:tc>
        <w:tc>
          <w:tcPr>
            <w:tcW w:w="520" w:type="dxa"/>
            <w:vAlign w:val="bottom"/>
            <w:shd w:val="clear" w:color="auto" w:fill="E9F6F8"/>
          </w:tcPr>
          <w:p>
            <w:pPr>
              <w:spacing w:after="0"/>
              <w:rPr>
                <w:sz w:val="18"/>
                <w:szCs w:val="18"/>
                <w:color w:val="auto"/>
              </w:rPr>
            </w:pPr>
          </w:p>
        </w:tc>
        <w:tc>
          <w:tcPr>
            <w:tcW w:w="380" w:type="dxa"/>
            <w:vAlign w:val="bottom"/>
            <w:shd w:val="clear" w:color="auto" w:fill="E9F6F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540" w:type="dxa"/>
            <w:vAlign w:val="bottom"/>
            <w:shd w:val="clear" w:color="auto" w:fill="E9F6F8"/>
          </w:tcPr>
          <w:p>
            <w:pPr>
              <w:spacing w:after="0"/>
              <w:rPr>
                <w:sz w:val="24"/>
                <w:szCs w:val="24"/>
                <w:color w:val="auto"/>
              </w:rPr>
            </w:pPr>
          </w:p>
        </w:tc>
        <w:tc>
          <w:tcPr>
            <w:tcW w:w="120" w:type="dxa"/>
            <w:vAlign w:val="bottom"/>
            <w:shd w:val="clear" w:color="auto" w:fill="E9F6F8"/>
          </w:tcPr>
          <w:p>
            <w:pPr>
              <w:spacing w:after="0"/>
              <w:rPr>
                <w:sz w:val="24"/>
                <w:szCs w:val="24"/>
                <w:color w:val="auto"/>
              </w:rPr>
            </w:pPr>
          </w:p>
        </w:tc>
        <w:tc>
          <w:tcPr>
            <w:tcW w:w="560" w:type="dxa"/>
            <w:vAlign w:val="bottom"/>
            <w:shd w:val="clear" w:color="auto" w:fill="E9F6F8"/>
          </w:tcPr>
          <w:p>
            <w:pPr>
              <w:spacing w:after="0"/>
              <w:rPr>
                <w:sz w:val="24"/>
                <w:szCs w:val="24"/>
                <w:color w:val="auto"/>
              </w:rPr>
            </w:pPr>
          </w:p>
        </w:tc>
        <w:tc>
          <w:tcPr>
            <w:tcW w:w="600" w:type="dxa"/>
            <w:vAlign w:val="bottom"/>
            <w:shd w:val="clear" w:color="auto" w:fill="E9F6F8"/>
          </w:tcPr>
          <w:p>
            <w:pPr>
              <w:spacing w:after="0"/>
              <w:rPr>
                <w:sz w:val="24"/>
                <w:szCs w:val="24"/>
                <w:color w:val="auto"/>
              </w:rPr>
            </w:pPr>
          </w:p>
        </w:tc>
        <w:tc>
          <w:tcPr>
            <w:tcW w:w="620" w:type="dxa"/>
            <w:vAlign w:val="bottom"/>
            <w:shd w:val="clear" w:color="auto" w:fill="E9F6F8"/>
          </w:tcPr>
          <w:p>
            <w:pPr>
              <w:spacing w:after="0"/>
              <w:rPr>
                <w:sz w:val="24"/>
                <w:szCs w:val="24"/>
                <w:color w:val="auto"/>
              </w:rPr>
            </w:pPr>
          </w:p>
        </w:tc>
        <w:tc>
          <w:tcPr>
            <w:tcW w:w="560" w:type="dxa"/>
            <w:vAlign w:val="bottom"/>
            <w:shd w:val="clear" w:color="auto" w:fill="E9F6F8"/>
          </w:tcPr>
          <w:p>
            <w:pPr>
              <w:spacing w:after="0"/>
              <w:rPr>
                <w:sz w:val="24"/>
                <w:szCs w:val="24"/>
                <w:color w:val="auto"/>
              </w:rPr>
            </w:pPr>
          </w:p>
        </w:tc>
        <w:tc>
          <w:tcPr>
            <w:tcW w:w="780" w:type="dxa"/>
            <w:vAlign w:val="bottom"/>
            <w:shd w:val="clear" w:color="auto" w:fill="E9F6F8"/>
          </w:tcPr>
          <w:p>
            <w:pPr>
              <w:jc w:val="center"/>
              <w:ind w:right="115"/>
              <w:spacing w:after="0"/>
              <w:rPr>
                <w:sz w:val="20"/>
                <w:szCs w:val="20"/>
                <w:color w:val="auto"/>
              </w:rPr>
            </w:pPr>
            <w:r>
              <w:rPr>
                <w:rFonts w:ascii="Arial" w:cs="Arial" w:eastAsia="Arial" w:hAnsi="Arial"/>
                <w:sz w:val="17"/>
                <w:szCs w:val="17"/>
                <w:color w:val="auto"/>
              </w:rPr>
              <w:t>Surgery</w:t>
            </w:r>
          </w:p>
        </w:tc>
        <w:tc>
          <w:tcPr>
            <w:tcW w:w="560" w:type="dxa"/>
            <w:vAlign w:val="bottom"/>
            <w:shd w:val="clear" w:color="auto" w:fill="E9F6F8"/>
          </w:tcPr>
          <w:p>
            <w:pPr>
              <w:spacing w:after="0"/>
              <w:rPr>
                <w:sz w:val="24"/>
                <w:szCs w:val="24"/>
                <w:color w:val="auto"/>
              </w:rPr>
            </w:pPr>
          </w:p>
        </w:tc>
        <w:tc>
          <w:tcPr>
            <w:tcW w:w="420" w:type="dxa"/>
            <w:vAlign w:val="bottom"/>
            <w:shd w:val="clear" w:color="auto" w:fill="E9F6F8"/>
          </w:tcPr>
          <w:p>
            <w:pPr>
              <w:spacing w:after="0"/>
              <w:rPr>
                <w:sz w:val="24"/>
                <w:szCs w:val="24"/>
                <w:color w:val="auto"/>
              </w:rPr>
            </w:pPr>
          </w:p>
        </w:tc>
        <w:tc>
          <w:tcPr>
            <w:tcW w:w="100" w:type="dxa"/>
            <w:vAlign w:val="bottom"/>
            <w:shd w:val="clear" w:color="auto" w:fill="E9F6F8"/>
          </w:tcPr>
          <w:p>
            <w:pPr>
              <w:spacing w:after="0"/>
              <w:rPr>
                <w:sz w:val="24"/>
                <w:szCs w:val="24"/>
                <w:color w:val="auto"/>
              </w:rPr>
            </w:pPr>
          </w:p>
        </w:tc>
        <w:tc>
          <w:tcPr>
            <w:tcW w:w="200" w:type="dxa"/>
            <w:vAlign w:val="bottom"/>
            <w:shd w:val="clear" w:color="auto" w:fill="E9F6F8"/>
          </w:tcPr>
          <w:p>
            <w:pPr>
              <w:spacing w:after="0"/>
              <w:rPr>
                <w:sz w:val="24"/>
                <w:szCs w:val="24"/>
                <w:color w:val="auto"/>
              </w:rPr>
            </w:pPr>
          </w:p>
        </w:tc>
        <w:tc>
          <w:tcPr>
            <w:tcW w:w="540" w:type="dxa"/>
            <w:vAlign w:val="bottom"/>
            <w:shd w:val="clear" w:color="auto" w:fill="E9F6F8"/>
          </w:tcPr>
          <w:p>
            <w:pPr>
              <w:spacing w:after="0"/>
              <w:rPr>
                <w:sz w:val="24"/>
                <w:szCs w:val="24"/>
                <w:color w:val="auto"/>
              </w:rPr>
            </w:pPr>
          </w:p>
        </w:tc>
        <w:tc>
          <w:tcPr>
            <w:tcW w:w="1260" w:type="dxa"/>
            <w:vAlign w:val="bottom"/>
            <w:gridSpan w:val="2"/>
            <w:shd w:val="clear" w:color="auto" w:fill="E9F6F8"/>
          </w:tcPr>
          <w:p>
            <w:pPr>
              <w:jc w:val="center"/>
              <w:spacing w:after="0"/>
              <w:rPr>
                <w:sz w:val="20"/>
                <w:szCs w:val="20"/>
                <w:color w:val="auto"/>
              </w:rPr>
            </w:pPr>
            <w:r>
              <w:rPr>
                <w:rFonts w:ascii="Arial" w:cs="Arial" w:eastAsia="Arial" w:hAnsi="Arial"/>
                <w:sz w:val="17"/>
                <w:szCs w:val="17"/>
                <w:color w:val="auto"/>
              </w:rPr>
              <w:t>15 (88.2)</w:t>
            </w:r>
          </w:p>
        </w:tc>
        <w:tc>
          <w:tcPr>
            <w:tcW w:w="740" w:type="dxa"/>
            <w:vAlign w:val="bottom"/>
            <w:shd w:val="clear" w:color="auto" w:fill="E9F6F8"/>
          </w:tcPr>
          <w:p>
            <w:pPr>
              <w:spacing w:after="0"/>
              <w:rPr>
                <w:sz w:val="24"/>
                <w:szCs w:val="24"/>
                <w:color w:val="auto"/>
              </w:rPr>
            </w:pPr>
          </w:p>
        </w:tc>
        <w:tc>
          <w:tcPr>
            <w:tcW w:w="460" w:type="dxa"/>
            <w:vAlign w:val="bottom"/>
            <w:shd w:val="clear" w:color="auto" w:fill="E9F6F8"/>
          </w:tcPr>
          <w:p>
            <w:pPr>
              <w:spacing w:after="0"/>
              <w:rPr>
                <w:sz w:val="24"/>
                <w:szCs w:val="24"/>
                <w:color w:val="auto"/>
              </w:rPr>
            </w:pPr>
          </w:p>
        </w:tc>
        <w:tc>
          <w:tcPr>
            <w:tcW w:w="1280" w:type="dxa"/>
            <w:vAlign w:val="bottom"/>
            <w:gridSpan w:val="2"/>
            <w:shd w:val="clear" w:color="auto" w:fill="E9F6F8"/>
          </w:tcPr>
          <w:p>
            <w:pPr>
              <w:jc w:val="center"/>
              <w:ind w:left="431"/>
              <w:spacing w:after="0"/>
              <w:rPr>
                <w:sz w:val="20"/>
                <w:szCs w:val="20"/>
                <w:color w:val="auto"/>
              </w:rPr>
            </w:pPr>
            <w:r>
              <w:rPr>
                <w:rFonts w:ascii="Arial" w:cs="Arial" w:eastAsia="Arial" w:hAnsi="Arial"/>
                <w:sz w:val="17"/>
                <w:szCs w:val="17"/>
                <w:color w:val="auto"/>
              </w:rPr>
              <w:t>6 (100)</w:t>
            </w:r>
          </w:p>
        </w:tc>
        <w:tc>
          <w:tcPr>
            <w:tcW w:w="520" w:type="dxa"/>
            <w:vAlign w:val="bottom"/>
            <w:shd w:val="clear" w:color="auto" w:fill="E9F6F8"/>
          </w:tcPr>
          <w:p>
            <w:pPr>
              <w:spacing w:after="0"/>
              <w:rPr>
                <w:sz w:val="24"/>
                <w:szCs w:val="24"/>
                <w:color w:val="auto"/>
              </w:rPr>
            </w:pPr>
          </w:p>
        </w:tc>
        <w:tc>
          <w:tcPr>
            <w:tcW w:w="380" w:type="dxa"/>
            <w:vAlign w:val="bottom"/>
            <w:shd w:val="clear" w:color="auto" w:fill="E9F6F8"/>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900" w:type="dxa"/>
            <w:vAlign w:val="bottom"/>
            <w:gridSpan w:val="3"/>
            <w:shd w:val="clear" w:color="auto" w:fill="E9F6F8"/>
          </w:tcPr>
          <w:p>
            <w:pPr>
              <w:jc w:val="center"/>
              <w:ind w:right="149"/>
              <w:spacing w:after="0" w:line="193" w:lineRule="exact"/>
              <w:rPr>
                <w:sz w:val="20"/>
                <w:szCs w:val="20"/>
                <w:color w:val="auto"/>
              </w:rPr>
            </w:pPr>
            <w:r>
              <w:rPr>
                <w:rFonts w:ascii="Arial" w:cs="Arial" w:eastAsia="Arial" w:hAnsi="Arial"/>
                <w:sz w:val="17"/>
                <w:szCs w:val="17"/>
                <w:color w:val="auto"/>
              </w:rPr>
              <w:t>External radiotherapy</w:t>
            </w: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rPr>
              <w:t>12 (70.6)</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shd w:val="clear" w:color="auto" w:fill="E9F6F8"/>
          </w:tcPr>
          <w:p>
            <w:pPr>
              <w:jc w:val="center"/>
              <w:ind w:left="431"/>
              <w:spacing w:after="0" w:line="193" w:lineRule="exact"/>
              <w:rPr>
                <w:sz w:val="20"/>
                <w:szCs w:val="20"/>
                <w:color w:val="auto"/>
              </w:rPr>
            </w:pPr>
            <w:r>
              <w:rPr>
                <w:rFonts w:ascii="Arial" w:cs="Arial" w:eastAsia="Arial" w:hAnsi="Arial"/>
                <w:sz w:val="17"/>
                <w:szCs w:val="17"/>
                <w:color w:val="auto"/>
                <w:w w:val="98"/>
              </w:rPr>
              <w:t>5 (83.3)</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900" w:type="dxa"/>
            <w:vAlign w:val="bottom"/>
            <w:gridSpan w:val="3"/>
            <w:shd w:val="clear" w:color="auto" w:fill="E9F6F8"/>
          </w:tcPr>
          <w:p>
            <w:pPr>
              <w:jc w:val="center"/>
              <w:ind w:right="149"/>
              <w:spacing w:after="0" w:line="193" w:lineRule="exact"/>
              <w:rPr>
                <w:sz w:val="20"/>
                <w:szCs w:val="20"/>
                <w:color w:val="auto"/>
              </w:rPr>
            </w:pPr>
            <w:r>
              <w:rPr>
                <w:rFonts w:ascii="Arial" w:cs="Arial" w:eastAsia="Arial" w:hAnsi="Arial"/>
                <w:sz w:val="17"/>
                <w:szCs w:val="17"/>
                <w:color w:val="auto"/>
              </w:rPr>
              <w:t>Internal radiotherapy</w:t>
            </w: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w w:val="98"/>
              </w:rPr>
              <w:t>2 (11.8)</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660" w:type="dxa"/>
            <w:vAlign w:val="bottom"/>
            <w:shd w:val="clear" w:color="auto" w:fill="E9F6F8"/>
          </w:tcPr>
          <w:p>
            <w:pPr>
              <w:spacing w:after="0"/>
              <w:rPr>
                <w:sz w:val="16"/>
                <w:szCs w:val="16"/>
                <w:color w:val="auto"/>
              </w:rPr>
            </w:pPr>
          </w:p>
        </w:tc>
        <w:tc>
          <w:tcPr>
            <w:tcW w:w="620" w:type="dxa"/>
            <w:vAlign w:val="bottom"/>
            <w:shd w:val="clear" w:color="auto" w:fill="E9F6F8"/>
          </w:tcPr>
          <w:p>
            <w:pPr>
              <w:jc w:val="center"/>
              <w:ind w:right="100"/>
              <w:spacing w:after="0" w:line="193" w:lineRule="exact"/>
              <w:rPr>
                <w:sz w:val="20"/>
                <w:szCs w:val="20"/>
                <w:color w:val="auto"/>
              </w:rPr>
            </w:pPr>
            <w:r>
              <w:rPr>
                <w:rFonts w:ascii="Arial" w:cs="Arial" w:eastAsia="Arial" w:hAnsi="Arial"/>
                <w:sz w:val="17"/>
                <w:szCs w:val="17"/>
                <w:color w:val="auto"/>
              </w:rPr>
              <w:t>0</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E9F6F8"/>
          </w:tcPr>
          <w:p>
            <w:pPr>
              <w:spacing w:after="0"/>
              <w:rPr>
                <w:sz w:val="18"/>
                <w:szCs w:val="18"/>
                <w:color w:val="auto"/>
              </w:rPr>
            </w:pPr>
          </w:p>
        </w:tc>
        <w:tc>
          <w:tcPr>
            <w:tcW w:w="120" w:type="dxa"/>
            <w:vAlign w:val="bottom"/>
            <w:shd w:val="clear" w:color="auto" w:fill="E9F6F8"/>
          </w:tcPr>
          <w:p>
            <w:pPr>
              <w:spacing w:after="0"/>
              <w:rPr>
                <w:sz w:val="18"/>
                <w:szCs w:val="18"/>
                <w:color w:val="auto"/>
              </w:rPr>
            </w:pPr>
          </w:p>
        </w:tc>
        <w:tc>
          <w:tcPr>
            <w:tcW w:w="560" w:type="dxa"/>
            <w:vAlign w:val="bottom"/>
            <w:shd w:val="clear" w:color="auto" w:fill="E9F6F8"/>
          </w:tcPr>
          <w:p>
            <w:pPr>
              <w:spacing w:after="0"/>
              <w:rPr>
                <w:sz w:val="18"/>
                <w:szCs w:val="18"/>
                <w:color w:val="auto"/>
              </w:rPr>
            </w:pPr>
          </w:p>
        </w:tc>
        <w:tc>
          <w:tcPr>
            <w:tcW w:w="600" w:type="dxa"/>
            <w:vAlign w:val="bottom"/>
            <w:shd w:val="clear" w:color="auto" w:fill="E9F6F8"/>
          </w:tcPr>
          <w:p>
            <w:pPr>
              <w:spacing w:after="0"/>
              <w:rPr>
                <w:sz w:val="18"/>
                <w:szCs w:val="18"/>
                <w:color w:val="auto"/>
              </w:rPr>
            </w:pPr>
          </w:p>
        </w:tc>
        <w:tc>
          <w:tcPr>
            <w:tcW w:w="620" w:type="dxa"/>
            <w:vAlign w:val="bottom"/>
            <w:shd w:val="clear" w:color="auto" w:fill="E9F6F8"/>
          </w:tcPr>
          <w:p>
            <w:pPr>
              <w:spacing w:after="0"/>
              <w:rPr>
                <w:sz w:val="18"/>
                <w:szCs w:val="18"/>
                <w:color w:val="auto"/>
              </w:rPr>
            </w:pPr>
          </w:p>
        </w:tc>
        <w:tc>
          <w:tcPr>
            <w:tcW w:w="1900" w:type="dxa"/>
            <w:vAlign w:val="bottom"/>
            <w:gridSpan w:val="3"/>
            <w:shd w:val="clear" w:color="auto" w:fill="E9F6F8"/>
          </w:tcPr>
          <w:p>
            <w:pPr>
              <w:jc w:val="center"/>
              <w:ind w:right="129"/>
              <w:spacing w:after="0"/>
              <w:rPr>
                <w:sz w:val="20"/>
                <w:szCs w:val="20"/>
                <w:color w:val="auto"/>
              </w:rPr>
            </w:pPr>
            <w:r>
              <w:rPr>
                <w:rFonts w:ascii="Arial" w:cs="Arial" w:eastAsia="Arial" w:hAnsi="Arial"/>
                <w:sz w:val="17"/>
                <w:szCs w:val="17"/>
                <w:color w:val="auto"/>
              </w:rPr>
              <w:t>Anti-cancer therapy</w:t>
            </w:r>
          </w:p>
        </w:tc>
        <w:tc>
          <w:tcPr>
            <w:tcW w:w="420" w:type="dxa"/>
            <w:vAlign w:val="bottom"/>
            <w:shd w:val="clear" w:color="auto" w:fill="E9F6F8"/>
          </w:tcPr>
          <w:p>
            <w:pPr>
              <w:spacing w:after="0"/>
              <w:rPr>
                <w:sz w:val="18"/>
                <w:szCs w:val="18"/>
                <w:color w:val="auto"/>
              </w:rPr>
            </w:pPr>
          </w:p>
        </w:tc>
        <w:tc>
          <w:tcPr>
            <w:tcW w:w="100" w:type="dxa"/>
            <w:vAlign w:val="bottom"/>
            <w:shd w:val="clear" w:color="auto" w:fill="E9F6F8"/>
          </w:tcPr>
          <w:p>
            <w:pPr>
              <w:spacing w:after="0"/>
              <w:rPr>
                <w:sz w:val="18"/>
                <w:szCs w:val="18"/>
                <w:color w:val="auto"/>
              </w:rPr>
            </w:pPr>
          </w:p>
        </w:tc>
        <w:tc>
          <w:tcPr>
            <w:tcW w:w="200" w:type="dxa"/>
            <w:vAlign w:val="bottom"/>
            <w:shd w:val="clear" w:color="auto" w:fill="E9F6F8"/>
          </w:tcPr>
          <w:p>
            <w:pPr>
              <w:spacing w:after="0"/>
              <w:rPr>
                <w:sz w:val="18"/>
                <w:szCs w:val="18"/>
                <w:color w:val="auto"/>
              </w:rPr>
            </w:pPr>
          </w:p>
        </w:tc>
        <w:tc>
          <w:tcPr>
            <w:tcW w:w="540" w:type="dxa"/>
            <w:vAlign w:val="bottom"/>
            <w:shd w:val="clear" w:color="auto" w:fill="E9F6F8"/>
          </w:tcPr>
          <w:p>
            <w:pPr>
              <w:spacing w:after="0"/>
              <w:rPr>
                <w:sz w:val="18"/>
                <w:szCs w:val="18"/>
                <w:color w:val="auto"/>
              </w:rPr>
            </w:pPr>
          </w:p>
        </w:tc>
        <w:tc>
          <w:tcPr>
            <w:tcW w:w="1260" w:type="dxa"/>
            <w:vAlign w:val="bottom"/>
            <w:gridSpan w:val="2"/>
            <w:shd w:val="clear" w:color="auto" w:fill="E9F6F8"/>
          </w:tcPr>
          <w:p>
            <w:pPr>
              <w:jc w:val="center"/>
              <w:spacing w:after="0"/>
              <w:rPr>
                <w:sz w:val="20"/>
                <w:szCs w:val="20"/>
                <w:color w:val="auto"/>
              </w:rPr>
            </w:pPr>
            <w:r>
              <w:rPr>
                <w:rFonts w:ascii="Arial" w:cs="Arial" w:eastAsia="Arial" w:hAnsi="Arial"/>
                <w:sz w:val="17"/>
                <w:szCs w:val="17"/>
                <w:color w:val="auto"/>
                <w:w w:val="97"/>
              </w:rPr>
              <w:t>17 (100)</w:t>
            </w:r>
          </w:p>
        </w:tc>
        <w:tc>
          <w:tcPr>
            <w:tcW w:w="740" w:type="dxa"/>
            <w:vAlign w:val="bottom"/>
            <w:shd w:val="clear" w:color="auto" w:fill="E9F6F8"/>
          </w:tcPr>
          <w:p>
            <w:pPr>
              <w:spacing w:after="0"/>
              <w:rPr>
                <w:sz w:val="18"/>
                <w:szCs w:val="18"/>
                <w:color w:val="auto"/>
              </w:rPr>
            </w:pPr>
          </w:p>
        </w:tc>
        <w:tc>
          <w:tcPr>
            <w:tcW w:w="460" w:type="dxa"/>
            <w:vAlign w:val="bottom"/>
            <w:shd w:val="clear" w:color="auto" w:fill="E9F6F8"/>
          </w:tcPr>
          <w:p>
            <w:pPr>
              <w:spacing w:after="0"/>
              <w:rPr>
                <w:sz w:val="18"/>
                <w:szCs w:val="18"/>
                <w:color w:val="auto"/>
              </w:rPr>
            </w:pPr>
          </w:p>
        </w:tc>
        <w:tc>
          <w:tcPr>
            <w:tcW w:w="1280" w:type="dxa"/>
            <w:vAlign w:val="bottom"/>
            <w:gridSpan w:val="2"/>
            <w:shd w:val="clear" w:color="auto" w:fill="E9F6F8"/>
          </w:tcPr>
          <w:p>
            <w:pPr>
              <w:jc w:val="center"/>
              <w:ind w:left="431"/>
              <w:spacing w:after="0"/>
              <w:rPr>
                <w:sz w:val="20"/>
                <w:szCs w:val="20"/>
                <w:color w:val="auto"/>
              </w:rPr>
            </w:pPr>
            <w:r>
              <w:rPr>
                <w:rFonts w:ascii="Arial" w:cs="Arial" w:eastAsia="Arial" w:hAnsi="Arial"/>
                <w:sz w:val="17"/>
                <w:szCs w:val="17"/>
                <w:color w:val="auto"/>
              </w:rPr>
              <w:t>6 (100)</w:t>
            </w:r>
          </w:p>
        </w:tc>
        <w:tc>
          <w:tcPr>
            <w:tcW w:w="520" w:type="dxa"/>
            <w:vAlign w:val="bottom"/>
            <w:shd w:val="clear" w:color="auto" w:fill="E9F6F8"/>
          </w:tcPr>
          <w:p>
            <w:pPr>
              <w:spacing w:after="0"/>
              <w:rPr>
                <w:sz w:val="18"/>
                <w:szCs w:val="18"/>
                <w:color w:val="auto"/>
              </w:rPr>
            </w:pPr>
          </w:p>
        </w:tc>
        <w:tc>
          <w:tcPr>
            <w:tcW w:w="380" w:type="dxa"/>
            <w:vAlign w:val="bottom"/>
            <w:shd w:val="clear" w:color="auto" w:fill="E9F6F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20" w:type="dxa"/>
            <w:vAlign w:val="bottom"/>
            <w:gridSpan w:val="3"/>
          </w:tcPr>
          <w:p>
            <w:pPr>
              <w:spacing w:after="0"/>
              <w:rPr>
                <w:sz w:val="20"/>
                <w:szCs w:val="20"/>
                <w:color w:val="auto"/>
              </w:rPr>
            </w:pPr>
            <w:r>
              <w:rPr>
                <w:rFonts w:ascii="Arial" w:cs="Arial" w:eastAsia="Arial" w:hAnsi="Arial"/>
                <w:sz w:val="17"/>
                <w:szCs w:val="17"/>
                <w:b w:val="1"/>
                <w:bCs w:val="1"/>
                <w:color w:val="auto"/>
              </w:rPr>
              <w:t>Tumor diagnosis, n (%)</w:t>
            </w: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2"/>
            <w:vMerge w:val="restart"/>
          </w:tcPr>
          <w:p>
            <w:pPr>
              <w:jc w:val="center"/>
              <w:ind w:left="313"/>
              <w:spacing w:after="0"/>
              <w:rPr>
                <w:sz w:val="20"/>
                <w:szCs w:val="20"/>
                <w:color w:val="auto"/>
              </w:rPr>
            </w:pPr>
            <w:r>
              <w:rPr>
                <w:rFonts w:ascii="Arial" w:cs="Arial" w:eastAsia="Arial" w:hAnsi="Arial"/>
                <w:sz w:val="17"/>
                <w:szCs w:val="17"/>
                <w:color w:val="auto"/>
              </w:rPr>
              <w:t>Melanoma</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7 (41.1)</w:t>
            </w: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2"/>
            <w:vMerge w:val="restart"/>
          </w:tcPr>
          <w:p>
            <w:pPr>
              <w:jc w:val="center"/>
              <w:ind w:left="431"/>
              <w:spacing w:after="0"/>
              <w:rPr>
                <w:sz w:val="20"/>
                <w:szCs w:val="20"/>
                <w:color w:val="auto"/>
              </w:rPr>
            </w:pPr>
            <w:r>
              <w:rPr>
                <w:rFonts w:ascii="Arial" w:cs="Arial" w:eastAsia="Arial" w:hAnsi="Arial"/>
                <w:sz w:val="17"/>
                <w:szCs w:val="17"/>
                <w:color w:val="auto"/>
                <w:w w:val="98"/>
              </w:rPr>
              <w:t>3 (50.0)</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gridSpan w:val="3"/>
          </w:tcPr>
          <w:p>
            <w:pPr>
              <w:jc w:val="center"/>
              <w:ind w:right="149"/>
              <w:spacing w:after="0" w:line="193" w:lineRule="exact"/>
              <w:rPr>
                <w:sz w:val="20"/>
                <w:szCs w:val="20"/>
                <w:color w:val="auto"/>
              </w:rPr>
            </w:pPr>
            <w:r>
              <w:rPr>
                <w:rFonts w:ascii="Arial" w:cs="Arial" w:eastAsia="Arial" w:hAnsi="Arial"/>
                <w:sz w:val="17"/>
                <w:szCs w:val="17"/>
                <w:color w:val="auto"/>
              </w:rPr>
              <w:t>Breast carcinoma</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jc w:val="center"/>
              <w:spacing w:after="0" w:line="193" w:lineRule="exact"/>
              <w:rPr>
                <w:sz w:val="20"/>
                <w:szCs w:val="20"/>
                <w:color w:val="auto"/>
              </w:rPr>
            </w:pPr>
            <w:r>
              <w:rPr>
                <w:rFonts w:ascii="Arial" w:cs="Arial" w:eastAsia="Arial" w:hAnsi="Arial"/>
                <w:sz w:val="17"/>
                <w:szCs w:val="17"/>
                <w:color w:val="auto"/>
                <w:w w:val="98"/>
              </w:rPr>
              <w:t>4 (23.5)</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2"/>
          </w:tcPr>
          <w:p>
            <w:pPr>
              <w:jc w:val="center"/>
              <w:ind w:left="431"/>
              <w:spacing w:after="0" w:line="193" w:lineRule="exact"/>
              <w:rPr>
                <w:sz w:val="20"/>
                <w:szCs w:val="20"/>
                <w:color w:val="auto"/>
              </w:rPr>
            </w:pPr>
            <w:r>
              <w:rPr>
                <w:rFonts w:ascii="Arial" w:cs="Arial" w:eastAsia="Arial" w:hAnsi="Arial"/>
                <w:sz w:val="17"/>
                <w:szCs w:val="17"/>
                <w:color w:val="auto"/>
                <w:w w:val="98"/>
              </w:rPr>
              <w:t>3 (50.0)</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gridSpan w:val="2"/>
          </w:tcPr>
          <w:p>
            <w:pPr>
              <w:jc w:val="center"/>
              <w:ind w:left="313"/>
              <w:spacing w:after="0" w:line="193" w:lineRule="exact"/>
              <w:rPr>
                <w:sz w:val="20"/>
                <w:szCs w:val="20"/>
                <w:color w:val="auto"/>
              </w:rPr>
            </w:pPr>
            <w:r>
              <w:rPr>
                <w:rFonts w:ascii="Arial" w:cs="Arial" w:eastAsia="Arial" w:hAnsi="Arial"/>
                <w:sz w:val="17"/>
                <w:szCs w:val="17"/>
                <w:color w:val="auto"/>
                <w:w w:val="99"/>
              </w:rPr>
              <w:t>Sarcoma</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jc w:val="center"/>
              <w:spacing w:after="0" w:line="193" w:lineRule="exact"/>
              <w:rPr>
                <w:sz w:val="20"/>
                <w:szCs w:val="20"/>
                <w:color w:val="auto"/>
              </w:rPr>
            </w:pPr>
            <w:r>
              <w:rPr>
                <w:rFonts w:ascii="Arial" w:cs="Arial" w:eastAsia="Arial" w:hAnsi="Arial"/>
                <w:sz w:val="17"/>
                <w:szCs w:val="17"/>
                <w:color w:val="auto"/>
                <w:w w:val="98"/>
              </w:rPr>
              <w:t>2 (11.7)</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20" w:type="dxa"/>
            <w:vAlign w:val="bottom"/>
            <w:gridSpan w:val="4"/>
          </w:tcPr>
          <w:p>
            <w:pPr>
              <w:jc w:val="center"/>
              <w:ind w:left="387"/>
              <w:spacing w:after="0" w:line="193" w:lineRule="exact"/>
              <w:rPr>
                <w:sz w:val="20"/>
                <w:szCs w:val="20"/>
                <w:color w:val="auto"/>
              </w:rPr>
            </w:pPr>
            <w:r>
              <w:rPr>
                <w:rFonts w:ascii="Arial" w:cs="Arial" w:eastAsia="Arial" w:hAnsi="Arial"/>
                <w:sz w:val="17"/>
                <w:szCs w:val="17"/>
                <w:color w:val="auto"/>
              </w:rPr>
              <w:t>Squamous cell carcinoma</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jc w:val="center"/>
              <w:spacing w:after="0" w:line="193" w:lineRule="exact"/>
              <w:rPr>
                <w:sz w:val="20"/>
                <w:szCs w:val="20"/>
                <w:color w:val="auto"/>
              </w:rPr>
            </w:pPr>
            <w:r>
              <w:rPr>
                <w:rFonts w:ascii="Arial" w:cs="Arial" w:eastAsia="Arial" w:hAnsi="Arial"/>
                <w:sz w:val="17"/>
                <w:szCs w:val="17"/>
                <w:color w:val="auto"/>
                <w:w w:val="98"/>
              </w:rPr>
              <w:t>2 (11.7)</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gridSpan w:val="3"/>
          </w:tcPr>
          <w:p>
            <w:pPr>
              <w:jc w:val="center"/>
              <w:ind w:right="149"/>
              <w:spacing w:after="0" w:line="193" w:lineRule="exact"/>
              <w:rPr>
                <w:sz w:val="20"/>
                <w:szCs w:val="20"/>
                <w:color w:val="auto"/>
              </w:rPr>
            </w:pPr>
            <w:r>
              <w:rPr>
                <w:rFonts w:ascii="Arial" w:cs="Arial" w:eastAsia="Arial" w:hAnsi="Arial"/>
                <w:sz w:val="17"/>
                <w:szCs w:val="17"/>
                <w:color w:val="auto"/>
              </w:rPr>
              <w:t>Basal cell carcinoma</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gridSpan w:val="2"/>
          </w:tcPr>
          <w:p>
            <w:pPr>
              <w:jc w:val="center"/>
              <w:spacing w:after="0" w:line="193" w:lineRule="exact"/>
              <w:rPr>
                <w:sz w:val="20"/>
                <w:szCs w:val="20"/>
                <w:color w:val="auto"/>
              </w:rPr>
            </w:pPr>
            <w:r>
              <w:rPr>
                <w:rFonts w:ascii="Arial" w:cs="Arial" w:eastAsia="Arial" w:hAnsi="Arial"/>
                <w:sz w:val="17"/>
                <w:szCs w:val="17"/>
                <w:color w:val="auto"/>
              </w:rPr>
              <w:t>1 (5.8)</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gridSpan w:val="3"/>
          </w:tcPr>
          <w:p>
            <w:pPr>
              <w:jc w:val="center"/>
              <w:ind w:right="149"/>
              <w:spacing w:after="0"/>
              <w:rPr>
                <w:sz w:val="20"/>
                <w:szCs w:val="20"/>
                <w:color w:val="auto"/>
              </w:rPr>
            </w:pPr>
            <w:r>
              <w:rPr>
                <w:rFonts w:ascii="Arial" w:cs="Arial" w:eastAsia="Arial" w:hAnsi="Arial"/>
                <w:sz w:val="17"/>
                <w:szCs w:val="17"/>
                <w:color w:val="auto"/>
              </w:rPr>
              <w:t>Merkel cell carcinoma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auto"/>
              </w:rPr>
              <w:t>1 (5.8)</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60" w:type="dxa"/>
            <w:vAlign w:val="bottom"/>
            <w:gridSpan w:val="2"/>
            <w:shd w:val="clear" w:color="auto" w:fill="E9F6F8"/>
          </w:tcPr>
          <w:p>
            <w:pPr>
              <w:spacing w:after="0" w:line="193" w:lineRule="exact"/>
              <w:rPr>
                <w:sz w:val="20"/>
                <w:szCs w:val="20"/>
                <w:color w:val="auto"/>
              </w:rPr>
            </w:pPr>
            <w:r>
              <w:rPr>
                <w:rFonts w:ascii="Arial" w:cs="Arial" w:eastAsia="Arial" w:hAnsi="Arial"/>
                <w:sz w:val="17"/>
                <w:szCs w:val="17"/>
                <w:b w:val="1"/>
                <w:bCs w:val="1"/>
                <w:color w:val="auto"/>
              </w:rPr>
              <w:t>Disease site, n (%)</w:t>
            </w: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780" w:type="dxa"/>
            <w:vAlign w:val="bottom"/>
            <w:vMerge w:val="restart"/>
            <w:shd w:val="clear" w:color="auto" w:fill="E9F6F8"/>
          </w:tcPr>
          <w:p>
            <w:pPr>
              <w:jc w:val="center"/>
              <w:ind w:right="135"/>
              <w:spacing w:after="0"/>
              <w:rPr>
                <w:sz w:val="20"/>
                <w:szCs w:val="20"/>
                <w:color w:val="auto"/>
              </w:rPr>
            </w:pPr>
            <w:r>
              <w:rPr>
                <w:rFonts w:ascii="Arial" w:cs="Arial" w:eastAsia="Arial" w:hAnsi="Arial"/>
                <w:sz w:val="17"/>
                <w:szCs w:val="17"/>
                <w:color w:val="auto"/>
              </w:rPr>
              <w:t>Skin</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vMerge w:val="restart"/>
            <w:shd w:val="clear" w:color="auto" w:fill="E9F6F8"/>
          </w:tcPr>
          <w:p>
            <w:pPr>
              <w:jc w:val="center"/>
              <w:spacing w:after="0"/>
              <w:rPr>
                <w:sz w:val="20"/>
                <w:szCs w:val="20"/>
                <w:color w:val="auto"/>
              </w:rPr>
            </w:pPr>
            <w:r>
              <w:rPr>
                <w:rFonts w:ascii="Arial" w:cs="Arial" w:eastAsia="Arial" w:hAnsi="Arial"/>
                <w:sz w:val="17"/>
                <w:szCs w:val="17"/>
                <w:color w:val="auto"/>
                <w:w w:val="98"/>
              </w:rPr>
              <w:t>6 (35.3)</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vMerge w:val="restart"/>
            <w:shd w:val="clear" w:color="auto" w:fill="E9F6F8"/>
          </w:tcPr>
          <w:p>
            <w:pPr>
              <w:jc w:val="center"/>
              <w:ind w:left="431"/>
              <w:spacing w:after="0"/>
              <w:rPr>
                <w:sz w:val="20"/>
                <w:szCs w:val="20"/>
                <w:color w:val="auto"/>
              </w:rPr>
            </w:pPr>
            <w:r>
              <w:rPr>
                <w:rFonts w:ascii="Arial" w:cs="Arial" w:eastAsia="Arial" w:hAnsi="Arial"/>
                <w:sz w:val="17"/>
                <w:szCs w:val="17"/>
                <w:color w:val="auto"/>
                <w:w w:val="98"/>
              </w:rPr>
              <w:t>1 (16.7)</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40" w:type="dxa"/>
            <w:vAlign w:val="bottom"/>
            <w:shd w:val="clear" w:color="auto" w:fill="E9F6F8"/>
          </w:tcPr>
          <w:p>
            <w:pPr>
              <w:spacing w:after="0"/>
              <w:rPr>
                <w:sz w:val="14"/>
                <w:szCs w:val="14"/>
                <w:color w:val="auto"/>
              </w:rPr>
            </w:pPr>
          </w:p>
        </w:tc>
        <w:tc>
          <w:tcPr>
            <w:tcW w:w="120" w:type="dxa"/>
            <w:vAlign w:val="bottom"/>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600" w:type="dxa"/>
            <w:vAlign w:val="bottom"/>
            <w:shd w:val="clear" w:color="auto" w:fill="E9F6F8"/>
          </w:tcPr>
          <w:p>
            <w:pPr>
              <w:spacing w:after="0"/>
              <w:rPr>
                <w:sz w:val="14"/>
                <w:szCs w:val="14"/>
                <w:color w:val="auto"/>
              </w:rPr>
            </w:pPr>
          </w:p>
        </w:tc>
        <w:tc>
          <w:tcPr>
            <w:tcW w:w="620" w:type="dxa"/>
            <w:vAlign w:val="bottom"/>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780" w:type="dxa"/>
            <w:vAlign w:val="bottom"/>
            <w:vMerge w:val="continue"/>
            <w:shd w:val="clear" w:color="auto" w:fill="E9F6F8"/>
          </w:tcPr>
          <w:p>
            <w:pPr>
              <w:spacing w:after="0"/>
              <w:rPr>
                <w:sz w:val="14"/>
                <w:szCs w:val="14"/>
                <w:color w:val="auto"/>
              </w:rPr>
            </w:pPr>
          </w:p>
        </w:tc>
        <w:tc>
          <w:tcPr>
            <w:tcW w:w="560" w:type="dxa"/>
            <w:vAlign w:val="bottom"/>
            <w:shd w:val="clear" w:color="auto" w:fill="E9F6F8"/>
          </w:tcPr>
          <w:p>
            <w:pPr>
              <w:spacing w:after="0"/>
              <w:rPr>
                <w:sz w:val="14"/>
                <w:szCs w:val="14"/>
                <w:color w:val="auto"/>
              </w:rPr>
            </w:pPr>
          </w:p>
        </w:tc>
        <w:tc>
          <w:tcPr>
            <w:tcW w:w="420" w:type="dxa"/>
            <w:vAlign w:val="bottom"/>
            <w:shd w:val="clear" w:color="auto" w:fill="E9F6F8"/>
          </w:tcPr>
          <w:p>
            <w:pPr>
              <w:spacing w:after="0"/>
              <w:rPr>
                <w:sz w:val="14"/>
                <w:szCs w:val="14"/>
                <w:color w:val="auto"/>
              </w:rPr>
            </w:pPr>
          </w:p>
        </w:tc>
        <w:tc>
          <w:tcPr>
            <w:tcW w:w="100" w:type="dxa"/>
            <w:vAlign w:val="bottom"/>
            <w:shd w:val="clear" w:color="auto" w:fill="E9F6F8"/>
          </w:tcPr>
          <w:p>
            <w:pPr>
              <w:spacing w:after="0"/>
              <w:rPr>
                <w:sz w:val="14"/>
                <w:szCs w:val="14"/>
                <w:color w:val="auto"/>
              </w:rPr>
            </w:pPr>
          </w:p>
        </w:tc>
        <w:tc>
          <w:tcPr>
            <w:tcW w:w="200" w:type="dxa"/>
            <w:vAlign w:val="bottom"/>
            <w:shd w:val="clear" w:color="auto" w:fill="E9F6F8"/>
          </w:tcPr>
          <w:p>
            <w:pPr>
              <w:spacing w:after="0"/>
              <w:rPr>
                <w:sz w:val="14"/>
                <w:szCs w:val="14"/>
                <w:color w:val="auto"/>
              </w:rPr>
            </w:pPr>
          </w:p>
        </w:tc>
        <w:tc>
          <w:tcPr>
            <w:tcW w:w="540" w:type="dxa"/>
            <w:vAlign w:val="bottom"/>
            <w:shd w:val="clear" w:color="auto" w:fill="E9F6F8"/>
          </w:tcPr>
          <w:p>
            <w:pPr>
              <w:spacing w:after="0"/>
              <w:rPr>
                <w:sz w:val="14"/>
                <w:szCs w:val="14"/>
                <w:color w:val="auto"/>
              </w:rPr>
            </w:pPr>
          </w:p>
        </w:tc>
        <w:tc>
          <w:tcPr>
            <w:tcW w:w="1260" w:type="dxa"/>
            <w:vAlign w:val="bottom"/>
            <w:gridSpan w:val="2"/>
            <w:vMerge w:val="continue"/>
            <w:shd w:val="clear" w:color="auto" w:fill="E9F6F8"/>
          </w:tcPr>
          <w:p>
            <w:pPr>
              <w:spacing w:after="0"/>
              <w:rPr>
                <w:sz w:val="14"/>
                <w:szCs w:val="14"/>
                <w:color w:val="auto"/>
              </w:rPr>
            </w:pPr>
          </w:p>
        </w:tc>
        <w:tc>
          <w:tcPr>
            <w:tcW w:w="740" w:type="dxa"/>
            <w:vAlign w:val="bottom"/>
            <w:shd w:val="clear" w:color="auto" w:fill="E9F6F8"/>
          </w:tcPr>
          <w:p>
            <w:pPr>
              <w:spacing w:after="0"/>
              <w:rPr>
                <w:sz w:val="14"/>
                <w:szCs w:val="14"/>
                <w:color w:val="auto"/>
              </w:rPr>
            </w:pPr>
          </w:p>
        </w:tc>
        <w:tc>
          <w:tcPr>
            <w:tcW w:w="460" w:type="dxa"/>
            <w:vAlign w:val="bottom"/>
            <w:shd w:val="clear" w:color="auto" w:fill="E9F6F8"/>
          </w:tcPr>
          <w:p>
            <w:pPr>
              <w:spacing w:after="0"/>
              <w:rPr>
                <w:sz w:val="14"/>
                <w:szCs w:val="14"/>
                <w:color w:val="auto"/>
              </w:rPr>
            </w:pPr>
          </w:p>
        </w:tc>
        <w:tc>
          <w:tcPr>
            <w:tcW w:w="1280" w:type="dxa"/>
            <w:vAlign w:val="bottom"/>
            <w:gridSpan w:val="2"/>
            <w:vMerge w:val="continue"/>
            <w:shd w:val="clear" w:color="auto" w:fill="E9F6F8"/>
          </w:tcPr>
          <w:p>
            <w:pPr>
              <w:spacing w:after="0"/>
              <w:rPr>
                <w:sz w:val="14"/>
                <w:szCs w:val="14"/>
                <w:color w:val="auto"/>
              </w:rPr>
            </w:pPr>
          </w:p>
        </w:tc>
        <w:tc>
          <w:tcPr>
            <w:tcW w:w="520" w:type="dxa"/>
            <w:vAlign w:val="bottom"/>
            <w:shd w:val="clear" w:color="auto" w:fill="E9F6F8"/>
          </w:tcPr>
          <w:p>
            <w:pPr>
              <w:spacing w:after="0"/>
              <w:rPr>
                <w:sz w:val="14"/>
                <w:szCs w:val="14"/>
                <w:color w:val="auto"/>
              </w:rPr>
            </w:pPr>
          </w:p>
        </w:tc>
        <w:tc>
          <w:tcPr>
            <w:tcW w:w="380" w:type="dxa"/>
            <w:vAlign w:val="bottom"/>
            <w:shd w:val="clear" w:color="auto" w:fill="E9F6F8"/>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780" w:type="dxa"/>
            <w:vAlign w:val="bottom"/>
            <w:shd w:val="clear" w:color="auto" w:fill="E9F6F8"/>
          </w:tcPr>
          <w:p>
            <w:pPr>
              <w:jc w:val="center"/>
              <w:ind w:right="135"/>
              <w:spacing w:after="0" w:line="193" w:lineRule="exact"/>
              <w:rPr>
                <w:sz w:val="20"/>
                <w:szCs w:val="20"/>
                <w:color w:val="auto"/>
              </w:rPr>
            </w:pPr>
            <w:r>
              <w:rPr>
                <w:rFonts w:ascii="Arial" w:cs="Arial" w:eastAsia="Arial" w:hAnsi="Arial"/>
                <w:sz w:val="17"/>
                <w:szCs w:val="17"/>
                <w:color w:val="auto"/>
              </w:rPr>
              <w:t>Breast</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w w:val="98"/>
              </w:rPr>
              <w:t>4 (23.5)</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shd w:val="clear" w:color="auto" w:fill="E9F6F8"/>
          </w:tcPr>
          <w:p>
            <w:pPr>
              <w:jc w:val="center"/>
              <w:ind w:left="431"/>
              <w:spacing w:after="0" w:line="193" w:lineRule="exact"/>
              <w:rPr>
                <w:sz w:val="20"/>
                <w:szCs w:val="20"/>
                <w:color w:val="auto"/>
              </w:rPr>
            </w:pPr>
            <w:r>
              <w:rPr>
                <w:rFonts w:ascii="Arial" w:cs="Arial" w:eastAsia="Arial" w:hAnsi="Arial"/>
                <w:sz w:val="17"/>
                <w:szCs w:val="17"/>
                <w:color w:val="auto"/>
                <w:w w:val="98"/>
              </w:rPr>
              <w:t>3 (50.0)</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780" w:type="dxa"/>
            <w:vAlign w:val="bottom"/>
            <w:shd w:val="clear" w:color="auto" w:fill="E9F6F8"/>
          </w:tcPr>
          <w:p>
            <w:pPr>
              <w:jc w:val="center"/>
              <w:ind w:right="135"/>
              <w:spacing w:after="0" w:line="193" w:lineRule="exact"/>
              <w:rPr>
                <w:sz w:val="20"/>
                <w:szCs w:val="20"/>
                <w:color w:val="auto"/>
              </w:rPr>
            </w:pPr>
            <w:r>
              <w:rPr>
                <w:rFonts w:ascii="Arial" w:cs="Arial" w:eastAsia="Arial" w:hAnsi="Arial"/>
                <w:sz w:val="17"/>
                <w:szCs w:val="17"/>
                <w:color w:val="auto"/>
              </w:rPr>
              <w:t>Head</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rPr>
              <w:t>1 (5.9)</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660" w:type="dxa"/>
            <w:vAlign w:val="bottom"/>
            <w:shd w:val="clear" w:color="auto" w:fill="E9F6F8"/>
          </w:tcPr>
          <w:p>
            <w:pPr>
              <w:spacing w:after="0"/>
              <w:rPr>
                <w:sz w:val="16"/>
                <w:szCs w:val="16"/>
                <w:color w:val="auto"/>
              </w:rPr>
            </w:pPr>
          </w:p>
        </w:tc>
        <w:tc>
          <w:tcPr>
            <w:tcW w:w="620" w:type="dxa"/>
            <w:vAlign w:val="bottom"/>
            <w:shd w:val="clear" w:color="auto" w:fill="E9F6F8"/>
          </w:tcPr>
          <w:p>
            <w:pPr>
              <w:jc w:val="center"/>
              <w:ind w:right="100"/>
              <w:spacing w:after="0" w:line="193" w:lineRule="exact"/>
              <w:rPr>
                <w:sz w:val="20"/>
                <w:szCs w:val="20"/>
                <w:color w:val="auto"/>
              </w:rPr>
            </w:pPr>
            <w:r>
              <w:rPr>
                <w:rFonts w:ascii="Arial" w:cs="Arial" w:eastAsia="Arial" w:hAnsi="Arial"/>
                <w:sz w:val="17"/>
                <w:szCs w:val="17"/>
                <w:color w:val="auto"/>
              </w:rPr>
              <w:t>0</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780" w:type="dxa"/>
            <w:vAlign w:val="bottom"/>
            <w:shd w:val="clear" w:color="auto" w:fill="E9F6F8"/>
          </w:tcPr>
          <w:p>
            <w:pPr>
              <w:jc w:val="center"/>
              <w:ind w:right="135"/>
              <w:spacing w:after="0" w:line="193" w:lineRule="exact"/>
              <w:rPr>
                <w:sz w:val="20"/>
                <w:szCs w:val="20"/>
                <w:color w:val="auto"/>
              </w:rPr>
            </w:pPr>
            <w:r>
              <w:rPr>
                <w:rFonts w:ascii="Arial" w:cs="Arial" w:eastAsia="Arial" w:hAnsi="Arial"/>
                <w:sz w:val="17"/>
                <w:szCs w:val="17"/>
                <w:color w:val="auto"/>
              </w:rPr>
              <w:t>Limb</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w w:val="98"/>
              </w:rPr>
              <w:t>3 (17.6)</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660" w:type="dxa"/>
            <w:vAlign w:val="bottom"/>
            <w:shd w:val="clear" w:color="auto" w:fill="E9F6F8"/>
          </w:tcPr>
          <w:p>
            <w:pPr>
              <w:spacing w:after="0"/>
              <w:rPr>
                <w:sz w:val="16"/>
                <w:szCs w:val="16"/>
                <w:color w:val="auto"/>
              </w:rPr>
            </w:pPr>
          </w:p>
        </w:tc>
        <w:tc>
          <w:tcPr>
            <w:tcW w:w="620" w:type="dxa"/>
            <w:vAlign w:val="bottom"/>
            <w:shd w:val="clear" w:color="auto" w:fill="E9F6F8"/>
          </w:tcPr>
          <w:p>
            <w:pPr>
              <w:jc w:val="center"/>
              <w:ind w:right="100"/>
              <w:spacing w:after="0" w:line="193" w:lineRule="exact"/>
              <w:rPr>
                <w:sz w:val="20"/>
                <w:szCs w:val="20"/>
                <w:color w:val="auto"/>
              </w:rPr>
            </w:pPr>
            <w:r>
              <w:rPr>
                <w:rFonts w:ascii="Arial" w:cs="Arial" w:eastAsia="Arial" w:hAnsi="Arial"/>
                <w:sz w:val="17"/>
                <w:szCs w:val="17"/>
                <w:color w:val="auto"/>
              </w:rPr>
              <w:t>0</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E9F6F8"/>
          </w:tcPr>
          <w:p>
            <w:pPr>
              <w:spacing w:after="0"/>
              <w:rPr>
                <w:sz w:val="16"/>
                <w:szCs w:val="16"/>
                <w:color w:val="auto"/>
              </w:rPr>
            </w:pPr>
          </w:p>
        </w:tc>
        <w:tc>
          <w:tcPr>
            <w:tcW w:w="120" w:type="dxa"/>
            <w:vAlign w:val="bottom"/>
            <w:shd w:val="clear" w:color="auto" w:fill="E9F6F8"/>
          </w:tcPr>
          <w:p>
            <w:pPr>
              <w:spacing w:after="0"/>
              <w:rPr>
                <w:sz w:val="16"/>
                <w:szCs w:val="16"/>
                <w:color w:val="auto"/>
              </w:rPr>
            </w:pPr>
          </w:p>
        </w:tc>
        <w:tc>
          <w:tcPr>
            <w:tcW w:w="560" w:type="dxa"/>
            <w:vAlign w:val="bottom"/>
            <w:shd w:val="clear" w:color="auto" w:fill="E9F6F8"/>
          </w:tcPr>
          <w:p>
            <w:pPr>
              <w:spacing w:after="0"/>
              <w:rPr>
                <w:sz w:val="16"/>
                <w:szCs w:val="16"/>
                <w:color w:val="auto"/>
              </w:rPr>
            </w:pPr>
          </w:p>
        </w:tc>
        <w:tc>
          <w:tcPr>
            <w:tcW w:w="600" w:type="dxa"/>
            <w:vAlign w:val="bottom"/>
            <w:shd w:val="clear" w:color="auto" w:fill="E9F6F8"/>
          </w:tcPr>
          <w:p>
            <w:pPr>
              <w:spacing w:after="0"/>
              <w:rPr>
                <w:sz w:val="16"/>
                <w:szCs w:val="16"/>
                <w:color w:val="auto"/>
              </w:rPr>
            </w:pPr>
          </w:p>
        </w:tc>
        <w:tc>
          <w:tcPr>
            <w:tcW w:w="620" w:type="dxa"/>
            <w:vAlign w:val="bottom"/>
            <w:shd w:val="clear" w:color="auto" w:fill="E9F6F8"/>
          </w:tcPr>
          <w:p>
            <w:pPr>
              <w:spacing w:after="0"/>
              <w:rPr>
                <w:sz w:val="16"/>
                <w:szCs w:val="16"/>
                <w:color w:val="auto"/>
              </w:rPr>
            </w:pPr>
          </w:p>
        </w:tc>
        <w:tc>
          <w:tcPr>
            <w:tcW w:w="1340" w:type="dxa"/>
            <w:vAlign w:val="bottom"/>
            <w:gridSpan w:val="2"/>
            <w:shd w:val="clear" w:color="auto" w:fill="E9F6F8"/>
          </w:tcPr>
          <w:p>
            <w:pPr>
              <w:jc w:val="center"/>
              <w:ind w:left="293"/>
              <w:spacing w:after="0" w:line="193" w:lineRule="exact"/>
              <w:rPr>
                <w:sz w:val="20"/>
                <w:szCs w:val="20"/>
                <w:color w:val="auto"/>
              </w:rPr>
            </w:pPr>
            <w:r>
              <w:rPr>
                <w:rFonts w:ascii="Arial" w:cs="Arial" w:eastAsia="Arial" w:hAnsi="Arial"/>
                <w:sz w:val="17"/>
                <w:szCs w:val="17"/>
                <w:color w:val="auto"/>
              </w:rPr>
              <w:t>Lymph node</w:t>
            </w:r>
          </w:p>
        </w:tc>
        <w:tc>
          <w:tcPr>
            <w:tcW w:w="560" w:type="dxa"/>
            <w:vAlign w:val="bottom"/>
            <w:shd w:val="clear" w:color="auto" w:fill="E9F6F8"/>
          </w:tcPr>
          <w:p>
            <w:pPr>
              <w:spacing w:after="0"/>
              <w:rPr>
                <w:sz w:val="16"/>
                <w:szCs w:val="16"/>
                <w:color w:val="auto"/>
              </w:rPr>
            </w:pPr>
          </w:p>
        </w:tc>
        <w:tc>
          <w:tcPr>
            <w:tcW w:w="420" w:type="dxa"/>
            <w:vAlign w:val="bottom"/>
            <w:shd w:val="clear" w:color="auto" w:fill="E9F6F8"/>
          </w:tcPr>
          <w:p>
            <w:pPr>
              <w:spacing w:after="0"/>
              <w:rPr>
                <w:sz w:val="16"/>
                <w:szCs w:val="16"/>
                <w:color w:val="auto"/>
              </w:rPr>
            </w:pPr>
          </w:p>
        </w:tc>
        <w:tc>
          <w:tcPr>
            <w:tcW w:w="100" w:type="dxa"/>
            <w:vAlign w:val="bottom"/>
            <w:shd w:val="clear" w:color="auto" w:fill="E9F6F8"/>
          </w:tcPr>
          <w:p>
            <w:pPr>
              <w:spacing w:after="0"/>
              <w:rPr>
                <w:sz w:val="16"/>
                <w:szCs w:val="16"/>
                <w:color w:val="auto"/>
              </w:rPr>
            </w:pPr>
          </w:p>
        </w:tc>
        <w:tc>
          <w:tcPr>
            <w:tcW w:w="200" w:type="dxa"/>
            <w:vAlign w:val="bottom"/>
            <w:shd w:val="clear" w:color="auto" w:fill="E9F6F8"/>
          </w:tcPr>
          <w:p>
            <w:pPr>
              <w:spacing w:after="0"/>
              <w:rPr>
                <w:sz w:val="16"/>
                <w:szCs w:val="16"/>
                <w:color w:val="auto"/>
              </w:rPr>
            </w:pPr>
          </w:p>
        </w:tc>
        <w:tc>
          <w:tcPr>
            <w:tcW w:w="540" w:type="dxa"/>
            <w:vAlign w:val="bottom"/>
            <w:shd w:val="clear" w:color="auto" w:fill="E9F6F8"/>
          </w:tcPr>
          <w:p>
            <w:pPr>
              <w:spacing w:after="0"/>
              <w:rPr>
                <w:sz w:val="16"/>
                <w:szCs w:val="16"/>
                <w:color w:val="auto"/>
              </w:rPr>
            </w:pPr>
          </w:p>
        </w:tc>
        <w:tc>
          <w:tcPr>
            <w:tcW w:w="1260" w:type="dxa"/>
            <w:vAlign w:val="bottom"/>
            <w:gridSpan w:val="2"/>
            <w:shd w:val="clear" w:color="auto" w:fill="E9F6F8"/>
          </w:tcPr>
          <w:p>
            <w:pPr>
              <w:jc w:val="center"/>
              <w:spacing w:after="0" w:line="193" w:lineRule="exact"/>
              <w:rPr>
                <w:sz w:val="20"/>
                <w:szCs w:val="20"/>
                <w:color w:val="auto"/>
              </w:rPr>
            </w:pPr>
            <w:r>
              <w:rPr>
                <w:rFonts w:ascii="Arial" w:cs="Arial" w:eastAsia="Arial" w:hAnsi="Arial"/>
                <w:sz w:val="17"/>
                <w:szCs w:val="17"/>
                <w:color w:val="auto"/>
                <w:w w:val="98"/>
              </w:rPr>
              <w:t>2 (11.8)</w:t>
            </w:r>
          </w:p>
        </w:tc>
        <w:tc>
          <w:tcPr>
            <w:tcW w:w="740" w:type="dxa"/>
            <w:vAlign w:val="bottom"/>
            <w:shd w:val="clear" w:color="auto" w:fill="E9F6F8"/>
          </w:tcPr>
          <w:p>
            <w:pPr>
              <w:spacing w:after="0"/>
              <w:rPr>
                <w:sz w:val="16"/>
                <w:szCs w:val="16"/>
                <w:color w:val="auto"/>
              </w:rPr>
            </w:pPr>
          </w:p>
        </w:tc>
        <w:tc>
          <w:tcPr>
            <w:tcW w:w="460" w:type="dxa"/>
            <w:vAlign w:val="bottom"/>
            <w:shd w:val="clear" w:color="auto" w:fill="E9F6F8"/>
          </w:tcPr>
          <w:p>
            <w:pPr>
              <w:spacing w:after="0"/>
              <w:rPr>
                <w:sz w:val="16"/>
                <w:szCs w:val="16"/>
                <w:color w:val="auto"/>
              </w:rPr>
            </w:pPr>
          </w:p>
        </w:tc>
        <w:tc>
          <w:tcPr>
            <w:tcW w:w="1280" w:type="dxa"/>
            <w:vAlign w:val="bottom"/>
            <w:gridSpan w:val="2"/>
            <w:shd w:val="clear" w:color="auto" w:fill="E9F6F8"/>
          </w:tcPr>
          <w:p>
            <w:pPr>
              <w:jc w:val="center"/>
              <w:ind w:left="431"/>
              <w:spacing w:after="0" w:line="193" w:lineRule="exact"/>
              <w:rPr>
                <w:sz w:val="20"/>
                <w:szCs w:val="20"/>
                <w:color w:val="auto"/>
              </w:rPr>
            </w:pPr>
            <w:r>
              <w:rPr>
                <w:rFonts w:ascii="Arial" w:cs="Arial" w:eastAsia="Arial" w:hAnsi="Arial"/>
                <w:sz w:val="17"/>
                <w:szCs w:val="17"/>
                <w:color w:val="auto"/>
                <w:w w:val="98"/>
              </w:rPr>
              <w:t>1 (16.7)</w:t>
            </w:r>
          </w:p>
        </w:tc>
        <w:tc>
          <w:tcPr>
            <w:tcW w:w="520" w:type="dxa"/>
            <w:vAlign w:val="bottom"/>
            <w:shd w:val="clear" w:color="auto" w:fill="E9F6F8"/>
          </w:tcPr>
          <w:p>
            <w:pPr>
              <w:spacing w:after="0"/>
              <w:rPr>
                <w:sz w:val="16"/>
                <w:szCs w:val="16"/>
                <w:color w:val="auto"/>
              </w:rPr>
            </w:pPr>
          </w:p>
        </w:tc>
        <w:tc>
          <w:tcPr>
            <w:tcW w:w="380" w:type="dxa"/>
            <w:vAlign w:val="bottom"/>
            <w:shd w:val="clear" w:color="auto" w:fill="E9F6F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99CCCC"/>
            </w:tcBorders>
            <w:shd w:val="clear" w:color="auto" w:fill="E9F6F8"/>
          </w:tcPr>
          <w:p>
            <w:pPr>
              <w:spacing w:after="0"/>
              <w:rPr>
                <w:sz w:val="18"/>
                <w:szCs w:val="18"/>
                <w:color w:val="auto"/>
              </w:rPr>
            </w:pPr>
          </w:p>
        </w:tc>
        <w:tc>
          <w:tcPr>
            <w:tcW w:w="120" w:type="dxa"/>
            <w:vAlign w:val="bottom"/>
            <w:tcBorders>
              <w:bottom w:val="single" w:sz="8" w:color="99CCCC"/>
            </w:tcBorders>
            <w:shd w:val="clear" w:color="auto" w:fill="E9F6F8"/>
          </w:tcPr>
          <w:p>
            <w:pPr>
              <w:spacing w:after="0"/>
              <w:rPr>
                <w:sz w:val="18"/>
                <w:szCs w:val="18"/>
                <w:color w:val="auto"/>
              </w:rPr>
            </w:pPr>
          </w:p>
        </w:tc>
        <w:tc>
          <w:tcPr>
            <w:tcW w:w="560" w:type="dxa"/>
            <w:vAlign w:val="bottom"/>
            <w:tcBorders>
              <w:bottom w:val="single" w:sz="8" w:color="99CCCC"/>
            </w:tcBorders>
            <w:shd w:val="clear" w:color="auto" w:fill="E9F6F8"/>
          </w:tcPr>
          <w:p>
            <w:pPr>
              <w:spacing w:after="0"/>
              <w:rPr>
                <w:sz w:val="18"/>
                <w:szCs w:val="18"/>
                <w:color w:val="auto"/>
              </w:rPr>
            </w:pPr>
          </w:p>
        </w:tc>
        <w:tc>
          <w:tcPr>
            <w:tcW w:w="600" w:type="dxa"/>
            <w:vAlign w:val="bottom"/>
            <w:tcBorders>
              <w:bottom w:val="single" w:sz="8" w:color="99CCCC"/>
            </w:tcBorders>
            <w:shd w:val="clear" w:color="auto" w:fill="E9F6F8"/>
          </w:tcPr>
          <w:p>
            <w:pPr>
              <w:spacing w:after="0"/>
              <w:rPr>
                <w:sz w:val="18"/>
                <w:szCs w:val="18"/>
                <w:color w:val="auto"/>
              </w:rPr>
            </w:pPr>
          </w:p>
        </w:tc>
        <w:tc>
          <w:tcPr>
            <w:tcW w:w="620" w:type="dxa"/>
            <w:vAlign w:val="bottom"/>
            <w:tcBorders>
              <w:bottom w:val="single" w:sz="8" w:color="99CCCC"/>
            </w:tcBorders>
            <w:shd w:val="clear" w:color="auto" w:fill="E9F6F8"/>
          </w:tcPr>
          <w:p>
            <w:pPr>
              <w:spacing w:after="0"/>
              <w:rPr>
                <w:sz w:val="18"/>
                <w:szCs w:val="18"/>
                <w:color w:val="auto"/>
              </w:rPr>
            </w:pPr>
          </w:p>
        </w:tc>
        <w:tc>
          <w:tcPr>
            <w:tcW w:w="560" w:type="dxa"/>
            <w:vAlign w:val="bottom"/>
            <w:tcBorders>
              <w:bottom w:val="single" w:sz="8" w:color="99CCCC"/>
            </w:tcBorders>
            <w:shd w:val="clear" w:color="auto" w:fill="E9F6F8"/>
          </w:tcPr>
          <w:p>
            <w:pPr>
              <w:spacing w:after="0"/>
              <w:rPr>
                <w:sz w:val="18"/>
                <w:szCs w:val="18"/>
                <w:color w:val="auto"/>
              </w:rPr>
            </w:pPr>
          </w:p>
        </w:tc>
        <w:tc>
          <w:tcPr>
            <w:tcW w:w="780" w:type="dxa"/>
            <w:vAlign w:val="bottom"/>
            <w:tcBorders>
              <w:bottom w:val="single" w:sz="8" w:color="99CCCC"/>
            </w:tcBorders>
            <w:shd w:val="clear" w:color="auto" w:fill="E9F6F8"/>
          </w:tcPr>
          <w:p>
            <w:pPr>
              <w:jc w:val="center"/>
              <w:ind w:right="135"/>
              <w:spacing w:after="0"/>
              <w:rPr>
                <w:sz w:val="20"/>
                <w:szCs w:val="20"/>
                <w:color w:val="auto"/>
              </w:rPr>
            </w:pPr>
            <w:r>
              <w:rPr>
                <w:rFonts w:ascii="Arial" w:cs="Arial" w:eastAsia="Arial" w:hAnsi="Arial"/>
                <w:sz w:val="17"/>
                <w:szCs w:val="17"/>
                <w:color w:val="auto"/>
                <w:w w:val="98"/>
              </w:rPr>
              <w:t>Other</w:t>
            </w:r>
          </w:p>
        </w:tc>
        <w:tc>
          <w:tcPr>
            <w:tcW w:w="560" w:type="dxa"/>
            <w:vAlign w:val="bottom"/>
            <w:tcBorders>
              <w:bottom w:val="single" w:sz="8" w:color="99CCCC"/>
            </w:tcBorders>
            <w:shd w:val="clear" w:color="auto" w:fill="E9F6F8"/>
          </w:tcPr>
          <w:p>
            <w:pPr>
              <w:spacing w:after="0"/>
              <w:rPr>
                <w:sz w:val="18"/>
                <w:szCs w:val="18"/>
                <w:color w:val="auto"/>
              </w:rPr>
            </w:pPr>
          </w:p>
        </w:tc>
        <w:tc>
          <w:tcPr>
            <w:tcW w:w="420" w:type="dxa"/>
            <w:vAlign w:val="bottom"/>
            <w:tcBorders>
              <w:bottom w:val="single" w:sz="8" w:color="99CCCC"/>
            </w:tcBorders>
            <w:shd w:val="clear" w:color="auto" w:fill="E9F6F8"/>
          </w:tcPr>
          <w:p>
            <w:pPr>
              <w:spacing w:after="0"/>
              <w:rPr>
                <w:sz w:val="18"/>
                <w:szCs w:val="18"/>
                <w:color w:val="auto"/>
              </w:rPr>
            </w:pPr>
          </w:p>
        </w:tc>
        <w:tc>
          <w:tcPr>
            <w:tcW w:w="100" w:type="dxa"/>
            <w:vAlign w:val="bottom"/>
            <w:tcBorders>
              <w:bottom w:val="single" w:sz="8" w:color="99CCCC"/>
            </w:tcBorders>
            <w:shd w:val="clear" w:color="auto" w:fill="E9F6F8"/>
          </w:tcPr>
          <w:p>
            <w:pPr>
              <w:spacing w:after="0"/>
              <w:rPr>
                <w:sz w:val="18"/>
                <w:szCs w:val="18"/>
                <w:color w:val="auto"/>
              </w:rPr>
            </w:pPr>
          </w:p>
        </w:tc>
        <w:tc>
          <w:tcPr>
            <w:tcW w:w="200" w:type="dxa"/>
            <w:vAlign w:val="bottom"/>
            <w:tcBorders>
              <w:bottom w:val="single" w:sz="8" w:color="99CCCC"/>
            </w:tcBorders>
            <w:shd w:val="clear" w:color="auto" w:fill="E9F6F8"/>
          </w:tcPr>
          <w:p>
            <w:pPr>
              <w:spacing w:after="0"/>
              <w:rPr>
                <w:sz w:val="18"/>
                <w:szCs w:val="18"/>
                <w:color w:val="auto"/>
              </w:rPr>
            </w:pPr>
          </w:p>
        </w:tc>
        <w:tc>
          <w:tcPr>
            <w:tcW w:w="540" w:type="dxa"/>
            <w:vAlign w:val="bottom"/>
            <w:tcBorders>
              <w:bottom w:val="single" w:sz="8" w:color="99CCCC"/>
            </w:tcBorders>
            <w:shd w:val="clear" w:color="auto" w:fill="E9F6F8"/>
          </w:tcPr>
          <w:p>
            <w:pPr>
              <w:spacing w:after="0"/>
              <w:rPr>
                <w:sz w:val="18"/>
                <w:szCs w:val="18"/>
                <w:color w:val="auto"/>
              </w:rPr>
            </w:pPr>
          </w:p>
        </w:tc>
        <w:tc>
          <w:tcPr>
            <w:tcW w:w="1260" w:type="dxa"/>
            <w:vAlign w:val="bottom"/>
            <w:tcBorders>
              <w:bottom w:val="single" w:sz="8" w:color="99CCCC"/>
            </w:tcBorders>
            <w:gridSpan w:val="2"/>
            <w:shd w:val="clear" w:color="auto" w:fill="E9F6F8"/>
          </w:tcPr>
          <w:p>
            <w:pPr>
              <w:jc w:val="center"/>
              <w:spacing w:after="0"/>
              <w:rPr>
                <w:sz w:val="20"/>
                <w:szCs w:val="20"/>
                <w:color w:val="auto"/>
              </w:rPr>
            </w:pPr>
            <w:r>
              <w:rPr>
                <w:rFonts w:ascii="Arial" w:cs="Arial" w:eastAsia="Arial" w:hAnsi="Arial"/>
                <w:sz w:val="17"/>
                <w:szCs w:val="17"/>
                <w:color w:val="auto"/>
              </w:rPr>
              <w:t>1 (5.9)</w:t>
            </w:r>
          </w:p>
        </w:tc>
        <w:tc>
          <w:tcPr>
            <w:tcW w:w="740" w:type="dxa"/>
            <w:vAlign w:val="bottom"/>
            <w:tcBorders>
              <w:bottom w:val="single" w:sz="8" w:color="99CCCC"/>
            </w:tcBorders>
            <w:shd w:val="clear" w:color="auto" w:fill="E9F6F8"/>
          </w:tcPr>
          <w:p>
            <w:pPr>
              <w:spacing w:after="0"/>
              <w:rPr>
                <w:sz w:val="18"/>
                <w:szCs w:val="18"/>
                <w:color w:val="auto"/>
              </w:rPr>
            </w:pPr>
          </w:p>
        </w:tc>
        <w:tc>
          <w:tcPr>
            <w:tcW w:w="460" w:type="dxa"/>
            <w:vAlign w:val="bottom"/>
            <w:tcBorders>
              <w:bottom w:val="single" w:sz="8" w:color="99CCCC"/>
            </w:tcBorders>
            <w:shd w:val="clear" w:color="auto" w:fill="E9F6F8"/>
          </w:tcPr>
          <w:p>
            <w:pPr>
              <w:spacing w:after="0"/>
              <w:rPr>
                <w:sz w:val="18"/>
                <w:szCs w:val="18"/>
                <w:color w:val="auto"/>
              </w:rPr>
            </w:pPr>
          </w:p>
        </w:tc>
        <w:tc>
          <w:tcPr>
            <w:tcW w:w="1280" w:type="dxa"/>
            <w:vAlign w:val="bottom"/>
            <w:tcBorders>
              <w:bottom w:val="single" w:sz="8" w:color="99CCCC"/>
            </w:tcBorders>
            <w:gridSpan w:val="2"/>
            <w:shd w:val="clear" w:color="auto" w:fill="E9F6F8"/>
          </w:tcPr>
          <w:p>
            <w:pPr>
              <w:jc w:val="center"/>
              <w:ind w:left="431"/>
              <w:spacing w:after="0"/>
              <w:rPr>
                <w:sz w:val="20"/>
                <w:szCs w:val="20"/>
                <w:color w:val="auto"/>
              </w:rPr>
            </w:pPr>
            <w:r>
              <w:rPr>
                <w:rFonts w:ascii="Arial" w:cs="Arial" w:eastAsia="Arial" w:hAnsi="Arial"/>
                <w:sz w:val="17"/>
                <w:szCs w:val="17"/>
                <w:color w:val="auto"/>
                <w:w w:val="98"/>
              </w:rPr>
              <w:t>1 (16.7)</w:t>
            </w:r>
          </w:p>
        </w:tc>
        <w:tc>
          <w:tcPr>
            <w:tcW w:w="520" w:type="dxa"/>
            <w:vAlign w:val="bottom"/>
            <w:tcBorders>
              <w:bottom w:val="single" w:sz="8" w:color="99CCCC"/>
            </w:tcBorders>
            <w:shd w:val="clear" w:color="auto" w:fill="E9F6F8"/>
          </w:tcPr>
          <w:p>
            <w:pPr>
              <w:spacing w:after="0"/>
              <w:rPr>
                <w:sz w:val="18"/>
                <w:szCs w:val="18"/>
                <w:color w:val="auto"/>
              </w:rPr>
            </w:pPr>
          </w:p>
        </w:tc>
        <w:tc>
          <w:tcPr>
            <w:tcW w:w="380" w:type="dxa"/>
            <w:vAlign w:val="bottom"/>
            <w:tcBorders>
              <w:bottom w:val="single" w:sz="8" w:color="99CCCC"/>
            </w:tcBorders>
            <w:shd w:val="clear" w:color="auto" w:fill="E9F6F8"/>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8600" w:type="dxa"/>
            <w:vAlign w:val="bottom"/>
            <w:tcBorders>
              <w:bottom w:val="single" w:sz="8" w:color="99CCCC"/>
            </w:tcBorders>
            <w:gridSpan w:val="15"/>
          </w:tcPr>
          <w:p>
            <w:pPr>
              <w:spacing w:after="0"/>
              <w:rPr>
                <w:sz w:val="20"/>
                <w:szCs w:val="20"/>
                <w:color w:val="auto"/>
              </w:rPr>
            </w:pPr>
            <w:r>
              <w:rPr>
                <w:rFonts w:ascii="Arial" w:cs="Arial" w:eastAsia="Arial" w:hAnsi="Arial"/>
                <w:sz w:val="17"/>
                <w:szCs w:val="17"/>
                <w:b w:val="1"/>
                <w:bCs w:val="1"/>
                <w:color w:val="336699"/>
              </w:rPr>
              <w:t xml:space="preserve">Table 2. </w:t>
            </w:r>
            <w:r>
              <w:rPr>
                <w:rFonts w:ascii="Arial" w:cs="Arial" w:eastAsia="Arial" w:hAnsi="Arial"/>
                <w:sz w:val="17"/>
                <w:szCs w:val="17"/>
                <w:color w:val="336699"/>
              </w:rPr>
              <w:t>Frequency of patients with a treatment emergent AE</w:t>
            </w:r>
            <w:r>
              <w:rPr>
                <w:rFonts w:ascii="Arial" w:cs="Arial" w:eastAsia="Arial" w:hAnsi="Arial"/>
                <w:sz w:val="14"/>
                <w:szCs w:val="14"/>
                <w:color w:val="336699"/>
              </w:rPr>
              <w:t>a</w:t>
            </w:r>
            <w:r>
              <w:rPr>
                <w:rFonts w:ascii="Arial" w:cs="Arial" w:eastAsia="Arial" w:hAnsi="Arial"/>
                <w:sz w:val="17"/>
                <w:szCs w:val="17"/>
                <w:b w:val="1"/>
                <w:bCs w:val="1"/>
                <w:color w:val="336699"/>
              </w:rPr>
              <w:t xml:space="preserve"> </w:t>
            </w:r>
            <w:r>
              <w:rPr>
                <w:rFonts w:ascii="Arial" w:cs="Arial" w:eastAsia="Arial" w:hAnsi="Arial"/>
                <w:sz w:val="17"/>
                <w:szCs w:val="17"/>
                <w:color w:val="336699"/>
              </w:rPr>
              <w:t>related to SAR441000 by dose group and grade</w:t>
            </w:r>
          </w:p>
        </w:tc>
        <w:tc>
          <w:tcPr>
            <w:tcW w:w="460" w:type="dxa"/>
            <w:vAlign w:val="bottom"/>
            <w:tcBorders>
              <w:bottom w:val="single" w:sz="8" w:color="99CCCC"/>
            </w:tcBorders>
          </w:tcPr>
          <w:p>
            <w:pPr>
              <w:spacing w:after="0"/>
              <w:rPr>
                <w:sz w:val="24"/>
                <w:szCs w:val="24"/>
                <w:color w:val="auto"/>
              </w:rPr>
            </w:pPr>
          </w:p>
        </w:tc>
        <w:tc>
          <w:tcPr>
            <w:tcW w:w="660" w:type="dxa"/>
            <w:vAlign w:val="bottom"/>
            <w:tcBorders>
              <w:bottom w:val="single" w:sz="8" w:color="99CCCC"/>
            </w:tcBorders>
          </w:tcPr>
          <w:p>
            <w:pPr>
              <w:spacing w:after="0"/>
              <w:rPr>
                <w:sz w:val="24"/>
                <w:szCs w:val="24"/>
                <w:color w:val="auto"/>
              </w:rPr>
            </w:pPr>
          </w:p>
        </w:tc>
        <w:tc>
          <w:tcPr>
            <w:tcW w:w="620" w:type="dxa"/>
            <w:vAlign w:val="bottom"/>
            <w:tcBorders>
              <w:bottom w:val="single" w:sz="8" w:color="99CCCC"/>
            </w:tcBorders>
          </w:tcPr>
          <w:p>
            <w:pPr>
              <w:spacing w:after="0"/>
              <w:rPr>
                <w:sz w:val="24"/>
                <w:szCs w:val="24"/>
                <w:color w:val="auto"/>
              </w:rPr>
            </w:pPr>
          </w:p>
        </w:tc>
        <w:tc>
          <w:tcPr>
            <w:tcW w:w="520" w:type="dxa"/>
            <w:vAlign w:val="bottom"/>
            <w:tcBorders>
              <w:bottom w:val="single" w:sz="8" w:color="99CCCC"/>
            </w:tcBorders>
          </w:tcPr>
          <w:p>
            <w:pPr>
              <w:spacing w:after="0"/>
              <w:rPr>
                <w:sz w:val="24"/>
                <w:szCs w:val="24"/>
                <w:color w:val="auto"/>
              </w:rPr>
            </w:pPr>
          </w:p>
        </w:tc>
        <w:tc>
          <w:tcPr>
            <w:tcW w:w="380" w:type="dxa"/>
            <w:vAlign w:val="bottom"/>
            <w:tcBorders>
              <w:bottom w:val="single" w:sz="8" w:color="99CCCC"/>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540" w:type="dxa"/>
            <w:vAlign w:val="bottom"/>
            <w:tcBorders>
              <w:bottom w:val="single" w:sz="8" w:color="99CCCC"/>
            </w:tcBorders>
          </w:tcPr>
          <w:p>
            <w:pPr>
              <w:spacing w:after="0"/>
              <w:rPr>
                <w:sz w:val="10"/>
                <w:szCs w:val="10"/>
                <w:color w:val="auto"/>
              </w:rPr>
            </w:pPr>
          </w:p>
        </w:tc>
        <w:tc>
          <w:tcPr>
            <w:tcW w:w="120" w:type="dxa"/>
            <w:vAlign w:val="bottom"/>
            <w:tcBorders>
              <w:bottom w:val="single" w:sz="8" w:color="99CCCC"/>
            </w:tcBorders>
          </w:tcPr>
          <w:p>
            <w:pPr>
              <w:spacing w:after="0"/>
              <w:rPr>
                <w:sz w:val="10"/>
                <w:szCs w:val="10"/>
                <w:color w:val="auto"/>
              </w:rPr>
            </w:pPr>
          </w:p>
        </w:tc>
        <w:tc>
          <w:tcPr>
            <w:tcW w:w="560" w:type="dxa"/>
            <w:vAlign w:val="bottom"/>
            <w:tcBorders>
              <w:bottom w:val="single" w:sz="8" w:color="99CCCC"/>
            </w:tcBorders>
          </w:tcPr>
          <w:p>
            <w:pPr>
              <w:spacing w:after="0"/>
              <w:rPr>
                <w:sz w:val="10"/>
                <w:szCs w:val="10"/>
                <w:color w:val="auto"/>
              </w:rPr>
            </w:pPr>
          </w:p>
        </w:tc>
        <w:tc>
          <w:tcPr>
            <w:tcW w:w="600" w:type="dxa"/>
            <w:vAlign w:val="bottom"/>
            <w:tcBorders>
              <w:bottom w:val="single" w:sz="8" w:color="99CCCC"/>
            </w:tcBorders>
          </w:tcPr>
          <w:p>
            <w:pPr>
              <w:spacing w:after="0"/>
              <w:rPr>
                <w:sz w:val="10"/>
                <w:szCs w:val="10"/>
                <w:color w:val="auto"/>
              </w:rPr>
            </w:pPr>
          </w:p>
        </w:tc>
        <w:tc>
          <w:tcPr>
            <w:tcW w:w="620" w:type="dxa"/>
            <w:vAlign w:val="bottom"/>
            <w:tcBorders>
              <w:bottom w:val="single" w:sz="8" w:color="99CCCC"/>
            </w:tcBorders>
          </w:tcPr>
          <w:p>
            <w:pPr>
              <w:spacing w:after="0"/>
              <w:rPr>
                <w:sz w:val="10"/>
                <w:szCs w:val="10"/>
                <w:color w:val="auto"/>
              </w:rPr>
            </w:pPr>
          </w:p>
        </w:tc>
        <w:tc>
          <w:tcPr>
            <w:tcW w:w="560" w:type="dxa"/>
            <w:vAlign w:val="bottom"/>
            <w:tcBorders>
              <w:bottom w:val="single" w:sz="8" w:color="99CCCC"/>
            </w:tcBorders>
          </w:tcPr>
          <w:p>
            <w:pPr>
              <w:spacing w:after="0"/>
              <w:rPr>
                <w:sz w:val="10"/>
                <w:szCs w:val="10"/>
                <w:color w:val="auto"/>
              </w:rPr>
            </w:pPr>
          </w:p>
        </w:tc>
        <w:tc>
          <w:tcPr>
            <w:tcW w:w="780" w:type="dxa"/>
            <w:vAlign w:val="bottom"/>
            <w:tcBorders>
              <w:bottom w:val="single" w:sz="8" w:color="99CCCC"/>
            </w:tcBorders>
          </w:tcPr>
          <w:p>
            <w:pPr>
              <w:spacing w:after="0"/>
              <w:rPr>
                <w:sz w:val="10"/>
                <w:szCs w:val="10"/>
                <w:color w:val="auto"/>
              </w:rPr>
            </w:pPr>
          </w:p>
        </w:tc>
        <w:tc>
          <w:tcPr>
            <w:tcW w:w="1820" w:type="dxa"/>
            <w:vAlign w:val="bottom"/>
            <w:tcBorders>
              <w:bottom w:val="single" w:sz="8" w:color="99CCCC"/>
            </w:tcBorders>
            <w:gridSpan w:val="5"/>
          </w:tcPr>
          <w:p>
            <w:pPr>
              <w:spacing w:after="0"/>
              <w:rPr>
                <w:sz w:val="10"/>
                <w:szCs w:val="10"/>
                <w:color w:val="auto"/>
              </w:rPr>
            </w:pPr>
          </w:p>
        </w:tc>
        <w:tc>
          <w:tcPr>
            <w:tcW w:w="740" w:type="dxa"/>
            <w:vAlign w:val="bottom"/>
            <w:tcBorders>
              <w:bottom w:val="single" w:sz="8" w:color="99CCCC"/>
            </w:tcBorders>
          </w:tcPr>
          <w:p>
            <w:pPr>
              <w:spacing w:after="0"/>
              <w:rPr>
                <w:sz w:val="10"/>
                <w:szCs w:val="10"/>
                <w:color w:val="auto"/>
              </w:rPr>
            </w:pPr>
          </w:p>
        </w:tc>
        <w:tc>
          <w:tcPr>
            <w:tcW w:w="520" w:type="dxa"/>
            <w:vAlign w:val="bottom"/>
            <w:tcBorders>
              <w:bottom w:val="single" w:sz="8" w:color="99CCCC"/>
            </w:tcBorders>
          </w:tcPr>
          <w:p>
            <w:pPr>
              <w:spacing w:after="0"/>
              <w:rPr>
                <w:sz w:val="10"/>
                <w:szCs w:val="10"/>
                <w:color w:val="auto"/>
              </w:rPr>
            </w:pPr>
          </w:p>
        </w:tc>
        <w:tc>
          <w:tcPr>
            <w:tcW w:w="740" w:type="dxa"/>
            <w:vAlign w:val="bottom"/>
            <w:tcBorders>
              <w:bottom w:val="single" w:sz="8" w:color="99CCCC"/>
            </w:tcBorders>
          </w:tcPr>
          <w:p>
            <w:pPr>
              <w:spacing w:after="0"/>
              <w:rPr>
                <w:sz w:val="10"/>
                <w:szCs w:val="10"/>
                <w:color w:val="auto"/>
              </w:rPr>
            </w:pPr>
          </w:p>
        </w:tc>
        <w:tc>
          <w:tcPr>
            <w:tcW w:w="460" w:type="dxa"/>
            <w:vAlign w:val="bottom"/>
            <w:tcBorders>
              <w:bottom w:val="single" w:sz="8" w:color="99CCCC"/>
            </w:tcBorders>
          </w:tcPr>
          <w:p>
            <w:pPr>
              <w:spacing w:after="0"/>
              <w:rPr>
                <w:sz w:val="10"/>
                <w:szCs w:val="10"/>
                <w:color w:val="auto"/>
              </w:rPr>
            </w:pPr>
          </w:p>
        </w:tc>
        <w:tc>
          <w:tcPr>
            <w:tcW w:w="660" w:type="dxa"/>
            <w:vAlign w:val="bottom"/>
            <w:tcBorders>
              <w:bottom w:val="single" w:sz="8" w:color="99CCCC"/>
            </w:tcBorders>
          </w:tcPr>
          <w:p>
            <w:pPr>
              <w:spacing w:after="0"/>
              <w:rPr>
                <w:sz w:val="10"/>
                <w:szCs w:val="10"/>
                <w:color w:val="auto"/>
              </w:rPr>
            </w:pPr>
          </w:p>
        </w:tc>
        <w:tc>
          <w:tcPr>
            <w:tcW w:w="620" w:type="dxa"/>
            <w:vAlign w:val="bottom"/>
            <w:tcBorders>
              <w:bottom w:val="single" w:sz="8" w:color="99CCCC"/>
            </w:tcBorders>
          </w:tcPr>
          <w:p>
            <w:pPr>
              <w:spacing w:after="0"/>
              <w:rPr>
                <w:sz w:val="10"/>
                <w:szCs w:val="10"/>
                <w:color w:val="auto"/>
              </w:rPr>
            </w:pPr>
          </w:p>
        </w:tc>
        <w:tc>
          <w:tcPr>
            <w:tcW w:w="520" w:type="dxa"/>
            <w:vAlign w:val="bottom"/>
            <w:tcBorders>
              <w:bottom w:val="single" w:sz="8" w:color="99CCCC"/>
            </w:tcBorders>
          </w:tcPr>
          <w:p>
            <w:pPr>
              <w:spacing w:after="0"/>
              <w:rPr>
                <w:sz w:val="10"/>
                <w:szCs w:val="10"/>
                <w:color w:val="auto"/>
              </w:rPr>
            </w:pPr>
          </w:p>
        </w:tc>
        <w:tc>
          <w:tcPr>
            <w:tcW w:w="380" w:type="dxa"/>
            <w:vAlign w:val="bottom"/>
            <w:tcBorders>
              <w:bottom w:val="single" w:sz="8" w:color="99CCC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tcBorders>
              <w:bottom w:val="single" w:sz="8" w:color="99CCCC"/>
            </w:tcBorders>
          </w:tcPr>
          <w:p>
            <w:pPr>
              <w:spacing w:after="0"/>
              <w:rPr>
                <w:sz w:val="9"/>
                <w:szCs w:val="9"/>
                <w:color w:val="auto"/>
              </w:rPr>
            </w:pPr>
          </w:p>
        </w:tc>
        <w:tc>
          <w:tcPr>
            <w:tcW w:w="120" w:type="dxa"/>
            <w:vAlign w:val="bottom"/>
            <w:tcBorders>
              <w:bottom w:val="single" w:sz="8" w:color="99CCCC"/>
            </w:tcBorders>
          </w:tcPr>
          <w:p>
            <w:pPr>
              <w:spacing w:after="0"/>
              <w:rPr>
                <w:sz w:val="9"/>
                <w:szCs w:val="9"/>
                <w:color w:val="auto"/>
              </w:rPr>
            </w:pPr>
          </w:p>
        </w:tc>
        <w:tc>
          <w:tcPr>
            <w:tcW w:w="560" w:type="dxa"/>
            <w:vAlign w:val="bottom"/>
            <w:tcBorders>
              <w:bottom w:val="single" w:sz="8" w:color="99CCCC"/>
            </w:tcBorders>
          </w:tcPr>
          <w:p>
            <w:pPr>
              <w:spacing w:after="0"/>
              <w:rPr>
                <w:sz w:val="9"/>
                <w:szCs w:val="9"/>
                <w:color w:val="auto"/>
              </w:rPr>
            </w:pPr>
          </w:p>
        </w:tc>
        <w:tc>
          <w:tcPr>
            <w:tcW w:w="600" w:type="dxa"/>
            <w:vAlign w:val="bottom"/>
            <w:tcBorders>
              <w:bottom w:val="single" w:sz="8" w:color="99CCCC"/>
            </w:tcBorders>
          </w:tcPr>
          <w:p>
            <w:pPr>
              <w:spacing w:after="0"/>
              <w:rPr>
                <w:sz w:val="9"/>
                <w:szCs w:val="9"/>
                <w:color w:val="auto"/>
              </w:rPr>
            </w:pPr>
          </w:p>
        </w:tc>
        <w:tc>
          <w:tcPr>
            <w:tcW w:w="620" w:type="dxa"/>
            <w:vAlign w:val="bottom"/>
            <w:tcBorders>
              <w:bottom w:val="single" w:sz="8" w:color="99CCCC"/>
            </w:tcBorders>
          </w:tcPr>
          <w:p>
            <w:pPr>
              <w:spacing w:after="0"/>
              <w:rPr>
                <w:sz w:val="9"/>
                <w:szCs w:val="9"/>
                <w:color w:val="auto"/>
              </w:rPr>
            </w:pPr>
          </w:p>
        </w:tc>
        <w:tc>
          <w:tcPr>
            <w:tcW w:w="560" w:type="dxa"/>
            <w:vAlign w:val="bottom"/>
            <w:tcBorders>
              <w:bottom w:val="single" w:sz="8" w:color="99CCCC"/>
            </w:tcBorders>
          </w:tcPr>
          <w:p>
            <w:pPr>
              <w:spacing w:after="0"/>
              <w:rPr>
                <w:sz w:val="9"/>
                <w:szCs w:val="9"/>
                <w:color w:val="auto"/>
              </w:rPr>
            </w:pPr>
          </w:p>
        </w:tc>
        <w:tc>
          <w:tcPr>
            <w:tcW w:w="780" w:type="dxa"/>
            <w:vAlign w:val="bottom"/>
            <w:tcBorders>
              <w:bottom w:val="single" w:sz="8" w:color="99CCCC"/>
            </w:tcBorders>
          </w:tcPr>
          <w:p>
            <w:pPr>
              <w:spacing w:after="0"/>
              <w:rPr>
                <w:sz w:val="9"/>
                <w:szCs w:val="9"/>
                <w:color w:val="auto"/>
              </w:rPr>
            </w:pPr>
          </w:p>
        </w:tc>
        <w:tc>
          <w:tcPr>
            <w:tcW w:w="1820" w:type="dxa"/>
            <w:vAlign w:val="bottom"/>
            <w:tcBorders>
              <w:bottom w:val="single" w:sz="8" w:color="99CCCC"/>
            </w:tcBorders>
            <w:gridSpan w:val="5"/>
          </w:tcPr>
          <w:p>
            <w:pPr>
              <w:ind w:left="260"/>
              <w:spacing w:after="0" w:line="109" w:lineRule="exact"/>
              <w:rPr>
                <w:sz w:val="20"/>
                <w:szCs w:val="20"/>
                <w:color w:val="auto"/>
              </w:rPr>
            </w:pPr>
            <w:r>
              <w:rPr>
                <w:rFonts w:ascii="Arial" w:cs="Arial" w:eastAsia="Arial" w:hAnsi="Arial"/>
                <w:sz w:val="10"/>
                <w:szCs w:val="10"/>
                <w:b w:val="1"/>
                <w:bCs w:val="1"/>
                <w:color w:val="336699"/>
              </w:rPr>
              <w:t>Escalation Monotherapy</w:t>
            </w:r>
          </w:p>
        </w:tc>
        <w:tc>
          <w:tcPr>
            <w:tcW w:w="740" w:type="dxa"/>
            <w:vAlign w:val="bottom"/>
            <w:tcBorders>
              <w:bottom w:val="single" w:sz="8" w:color="99CCCC"/>
            </w:tcBorders>
          </w:tcPr>
          <w:p>
            <w:pPr>
              <w:spacing w:after="0"/>
              <w:rPr>
                <w:sz w:val="9"/>
                <w:szCs w:val="9"/>
                <w:color w:val="auto"/>
              </w:rPr>
            </w:pPr>
          </w:p>
        </w:tc>
        <w:tc>
          <w:tcPr>
            <w:tcW w:w="520" w:type="dxa"/>
            <w:vAlign w:val="bottom"/>
            <w:tcBorders>
              <w:bottom w:val="single" w:sz="8" w:color="99CCCC"/>
            </w:tcBorders>
          </w:tcPr>
          <w:p>
            <w:pPr>
              <w:spacing w:after="0"/>
              <w:rPr>
                <w:sz w:val="9"/>
                <w:szCs w:val="9"/>
                <w:color w:val="auto"/>
              </w:rPr>
            </w:pPr>
          </w:p>
        </w:tc>
        <w:tc>
          <w:tcPr>
            <w:tcW w:w="740" w:type="dxa"/>
            <w:vAlign w:val="bottom"/>
            <w:tcBorders>
              <w:bottom w:val="single" w:sz="8" w:color="99CCCC"/>
            </w:tcBorders>
          </w:tcPr>
          <w:p>
            <w:pPr>
              <w:spacing w:after="0"/>
              <w:rPr>
                <w:sz w:val="9"/>
                <w:szCs w:val="9"/>
                <w:color w:val="auto"/>
              </w:rPr>
            </w:pPr>
          </w:p>
        </w:tc>
        <w:tc>
          <w:tcPr>
            <w:tcW w:w="460" w:type="dxa"/>
            <w:vAlign w:val="bottom"/>
            <w:tcBorders>
              <w:bottom w:val="single" w:sz="8" w:color="99CCCC"/>
            </w:tcBorders>
          </w:tcPr>
          <w:p>
            <w:pPr>
              <w:spacing w:after="0"/>
              <w:rPr>
                <w:sz w:val="9"/>
                <w:szCs w:val="9"/>
                <w:color w:val="auto"/>
              </w:rPr>
            </w:pPr>
          </w:p>
        </w:tc>
        <w:tc>
          <w:tcPr>
            <w:tcW w:w="660" w:type="dxa"/>
            <w:vAlign w:val="bottom"/>
            <w:tcBorders>
              <w:bottom w:val="single" w:sz="8" w:color="99CCCC"/>
            </w:tcBorders>
          </w:tcPr>
          <w:p>
            <w:pPr>
              <w:spacing w:after="0"/>
              <w:rPr>
                <w:sz w:val="9"/>
                <w:szCs w:val="9"/>
                <w:color w:val="auto"/>
              </w:rPr>
            </w:pPr>
          </w:p>
        </w:tc>
        <w:tc>
          <w:tcPr>
            <w:tcW w:w="620" w:type="dxa"/>
            <w:vAlign w:val="bottom"/>
            <w:tcBorders>
              <w:bottom w:val="single" w:sz="8" w:color="99CCCC"/>
            </w:tcBorders>
          </w:tcPr>
          <w:p>
            <w:pPr>
              <w:spacing w:after="0"/>
              <w:rPr>
                <w:sz w:val="9"/>
                <w:szCs w:val="9"/>
                <w:color w:val="auto"/>
              </w:rPr>
            </w:pPr>
          </w:p>
        </w:tc>
        <w:tc>
          <w:tcPr>
            <w:tcW w:w="520" w:type="dxa"/>
            <w:vAlign w:val="bottom"/>
            <w:tcBorders>
              <w:bottom w:val="single" w:sz="8" w:color="99CCCC"/>
            </w:tcBorders>
          </w:tcPr>
          <w:p>
            <w:pPr>
              <w:spacing w:after="0"/>
              <w:rPr>
                <w:sz w:val="9"/>
                <w:szCs w:val="9"/>
                <w:color w:val="auto"/>
              </w:rPr>
            </w:pPr>
          </w:p>
        </w:tc>
        <w:tc>
          <w:tcPr>
            <w:tcW w:w="380" w:type="dxa"/>
            <w:vAlign w:val="bottom"/>
            <w:tcBorders>
              <w:bottom w:val="single" w:sz="8" w:color="99CCCC"/>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tcPr>
          <w:p>
            <w:pPr>
              <w:jc w:val="center"/>
              <w:ind w:right="9"/>
              <w:spacing w:after="0" w:line="92" w:lineRule="exact"/>
              <w:rPr>
                <w:sz w:val="20"/>
                <w:szCs w:val="20"/>
                <w:color w:val="auto"/>
              </w:rPr>
            </w:pPr>
            <w:r>
              <w:rPr>
                <w:rFonts w:ascii="Arial" w:cs="Arial" w:eastAsia="Arial" w:hAnsi="Arial"/>
                <w:sz w:val="10"/>
                <w:szCs w:val="10"/>
                <w:b w:val="1"/>
                <w:bCs w:val="1"/>
                <w:color w:val="336699"/>
                <w:w w:val="95"/>
              </w:rPr>
              <w:t>DL1</w:t>
            </w:r>
          </w:p>
        </w:tc>
        <w:tc>
          <w:tcPr>
            <w:tcW w:w="1180" w:type="dxa"/>
            <w:vAlign w:val="bottom"/>
            <w:gridSpan w:val="2"/>
          </w:tcPr>
          <w:p>
            <w:pPr>
              <w:jc w:val="center"/>
              <w:ind w:left="47"/>
              <w:spacing w:after="0" w:line="92" w:lineRule="exact"/>
              <w:rPr>
                <w:sz w:val="20"/>
                <w:szCs w:val="20"/>
                <w:color w:val="auto"/>
              </w:rPr>
            </w:pPr>
            <w:r>
              <w:rPr>
                <w:rFonts w:ascii="Arial" w:cs="Arial" w:eastAsia="Arial" w:hAnsi="Arial"/>
                <w:sz w:val="10"/>
                <w:szCs w:val="10"/>
                <w:b w:val="1"/>
                <w:bCs w:val="1"/>
                <w:color w:val="336699"/>
              </w:rPr>
              <w:t>DL2</w:t>
            </w:r>
          </w:p>
        </w:tc>
        <w:tc>
          <w:tcPr>
            <w:tcW w:w="1340" w:type="dxa"/>
            <w:vAlign w:val="bottom"/>
            <w:gridSpan w:val="2"/>
          </w:tcPr>
          <w:p>
            <w:pPr>
              <w:jc w:val="center"/>
              <w:spacing w:after="0" w:line="92" w:lineRule="exact"/>
              <w:rPr>
                <w:sz w:val="20"/>
                <w:szCs w:val="20"/>
                <w:color w:val="auto"/>
              </w:rPr>
            </w:pPr>
            <w:r>
              <w:rPr>
                <w:rFonts w:ascii="Arial" w:cs="Arial" w:eastAsia="Arial" w:hAnsi="Arial"/>
                <w:sz w:val="10"/>
                <w:szCs w:val="10"/>
                <w:b w:val="1"/>
                <w:bCs w:val="1"/>
                <w:color w:val="336699"/>
              </w:rPr>
              <w:t>DL3</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center"/>
              <w:spacing w:after="0" w:line="92" w:lineRule="exact"/>
              <w:rPr>
                <w:sz w:val="20"/>
                <w:szCs w:val="20"/>
                <w:color w:val="auto"/>
              </w:rPr>
            </w:pPr>
            <w:r>
              <w:rPr>
                <w:rFonts w:ascii="Arial" w:cs="Arial" w:eastAsia="Arial" w:hAnsi="Arial"/>
                <w:sz w:val="10"/>
                <w:szCs w:val="10"/>
                <w:b w:val="1"/>
                <w:bCs w:val="1"/>
                <w:color w:val="336699"/>
              </w:rPr>
              <w:t>DL4</w:t>
            </w:r>
          </w:p>
        </w:tc>
        <w:tc>
          <w:tcPr>
            <w:tcW w:w="540" w:type="dxa"/>
            <w:vAlign w:val="bottom"/>
          </w:tcPr>
          <w:p>
            <w:pPr>
              <w:spacing w:after="0"/>
              <w:rPr>
                <w:sz w:val="7"/>
                <w:szCs w:val="7"/>
                <w:color w:val="auto"/>
              </w:rPr>
            </w:pPr>
          </w:p>
        </w:tc>
        <w:tc>
          <w:tcPr>
            <w:tcW w:w="740" w:type="dxa"/>
            <w:vAlign w:val="bottom"/>
          </w:tcPr>
          <w:p>
            <w:pPr>
              <w:jc w:val="center"/>
              <w:ind w:left="468"/>
              <w:spacing w:after="0" w:line="92" w:lineRule="exact"/>
              <w:rPr>
                <w:sz w:val="20"/>
                <w:szCs w:val="20"/>
                <w:color w:val="auto"/>
              </w:rPr>
            </w:pPr>
            <w:r>
              <w:rPr>
                <w:rFonts w:ascii="Arial" w:cs="Arial" w:eastAsia="Arial" w:hAnsi="Arial"/>
                <w:sz w:val="10"/>
                <w:szCs w:val="10"/>
                <w:b w:val="1"/>
                <w:bCs w:val="1"/>
                <w:color w:val="336699"/>
              </w:rPr>
              <w:t>DL5</w:t>
            </w:r>
          </w:p>
        </w:tc>
        <w:tc>
          <w:tcPr>
            <w:tcW w:w="520" w:type="dxa"/>
            <w:vAlign w:val="bottom"/>
          </w:tcPr>
          <w:p>
            <w:pPr>
              <w:spacing w:after="0"/>
              <w:rPr>
                <w:sz w:val="7"/>
                <w:szCs w:val="7"/>
                <w:color w:val="auto"/>
              </w:rPr>
            </w:pPr>
          </w:p>
        </w:tc>
        <w:tc>
          <w:tcPr>
            <w:tcW w:w="740" w:type="dxa"/>
            <w:vAlign w:val="bottom"/>
          </w:tcPr>
          <w:p>
            <w:pPr>
              <w:jc w:val="center"/>
              <w:ind w:left="509"/>
              <w:spacing w:after="0" w:line="92" w:lineRule="exact"/>
              <w:rPr>
                <w:sz w:val="20"/>
                <w:szCs w:val="20"/>
                <w:color w:val="auto"/>
              </w:rPr>
            </w:pPr>
            <w:r>
              <w:rPr>
                <w:rFonts w:ascii="Arial" w:cs="Arial" w:eastAsia="Arial" w:hAnsi="Arial"/>
                <w:sz w:val="10"/>
                <w:szCs w:val="10"/>
                <w:b w:val="1"/>
                <w:bCs w:val="1"/>
                <w:color w:val="336699"/>
                <w:w w:val="95"/>
              </w:rPr>
              <w:t>DL6</w:t>
            </w:r>
          </w:p>
        </w:tc>
        <w:tc>
          <w:tcPr>
            <w:tcW w:w="460" w:type="dxa"/>
            <w:vAlign w:val="bottom"/>
          </w:tcPr>
          <w:p>
            <w:pPr>
              <w:spacing w:after="0"/>
              <w:rPr>
                <w:sz w:val="7"/>
                <w:szCs w:val="7"/>
                <w:color w:val="auto"/>
              </w:rPr>
            </w:pPr>
          </w:p>
        </w:tc>
        <w:tc>
          <w:tcPr>
            <w:tcW w:w="1280" w:type="dxa"/>
            <w:vAlign w:val="bottom"/>
            <w:gridSpan w:val="2"/>
          </w:tcPr>
          <w:p>
            <w:pPr>
              <w:jc w:val="center"/>
              <w:ind w:left="11"/>
              <w:spacing w:after="0" w:line="92" w:lineRule="exact"/>
              <w:rPr>
                <w:sz w:val="20"/>
                <w:szCs w:val="20"/>
                <w:color w:val="auto"/>
              </w:rPr>
            </w:pPr>
            <w:r>
              <w:rPr>
                <w:rFonts w:ascii="Arial" w:cs="Arial" w:eastAsia="Arial" w:hAnsi="Arial"/>
                <w:sz w:val="10"/>
                <w:szCs w:val="10"/>
                <w:b w:val="1"/>
                <w:bCs w:val="1"/>
                <w:color w:val="336699"/>
              </w:rPr>
              <w:t>DL7</w:t>
            </w:r>
          </w:p>
        </w:tc>
        <w:tc>
          <w:tcPr>
            <w:tcW w:w="520" w:type="dxa"/>
            <w:vAlign w:val="bottom"/>
          </w:tcPr>
          <w:p>
            <w:pPr>
              <w:jc w:val="center"/>
              <w:ind w:left="309"/>
              <w:spacing w:after="0" w:line="92" w:lineRule="exact"/>
              <w:rPr>
                <w:sz w:val="20"/>
                <w:szCs w:val="20"/>
                <w:color w:val="auto"/>
              </w:rPr>
            </w:pPr>
            <w:r>
              <w:rPr>
                <w:rFonts w:ascii="Arial" w:cs="Arial" w:eastAsia="Arial" w:hAnsi="Arial"/>
                <w:sz w:val="10"/>
                <w:szCs w:val="10"/>
                <w:b w:val="1"/>
                <w:bCs w:val="1"/>
                <w:color w:val="336699"/>
                <w:w w:val="93"/>
              </w:rPr>
              <w:t>All</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20" w:type="dxa"/>
            <w:vAlign w:val="bottom"/>
            <w:tcBorders>
              <w:bottom w:val="single" w:sz="8" w:color="99CCCC"/>
            </w:tcBorders>
          </w:tcPr>
          <w:p>
            <w:pPr>
              <w:spacing w:after="0"/>
              <w:rPr>
                <w:sz w:val="11"/>
                <w:szCs w:val="11"/>
                <w:color w:val="auto"/>
              </w:rPr>
            </w:pPr>
          </w:p>
        </w:tc>
        <w:tc>
          <w:tcPr>
            <w:tcW w:w="1160" w:type="dxa"/>
            <w:vAlign w:val="bottom"/>
            <w:tcBorders>
              <w:bottom w:val="single" w:sz="8" w:color="99CCCC"/>
            </w:tcBorders>
            <w:gridSpan w:val="2"/>
          </w:tcPr>
          <w:p>
            <w:pPr>
              <w:jc w:val="center"/>
              <w:spacing w:after="0"/>
              <w:rPr>
                <w:sz w:val="20"/>
                <w:szCs w:val="20"/>
                <w:color w:val="auto"/>
              </w:rPr>
            </w:pPr>
            <w:r>
              <w:rPr>
                <w:rFonts w:ascii="Arial" w:cs="Arial" w:eastAsia="Arial" w:hAnsi="Arial"/>
                <w:sz w:val="10"/>
                <w:szCs w:val="10"/>
                <w:b w:val="1"/>
                <w:bCs w:val="1"/>
                <w:color w:val="336699"/>
              </w:rPr>
              <w:t>(N=1)</w:t>
            </w:r>
          </w:p>
        </w:tc>
        <w:tc>
          <w:tcPr>
            <w:tcW w:w="1180" w:type="dxa"/>
            <w:vAlign w:val="bottom"/>
            <w:tcBorders>
              <w:bottom w:val="single" w:sz="8" w:color="99CCCC"/>
            </w:tcBorders>
            <w:gridSpan w:val="2"/>
          </w:tcPr>
          <w:p>
            <w:pPr>
              <w:jc w:val="center"/>
              <w:ind w:left="47"/>
              <w:spacing w:after="0"/>
              <w:rPr>
                <w:sz w:val="20"/>
                <w:szCs w:val="20"/>
                <w:color w:val="auto"/>
              </w:rPr>
            </w:pPr>
            <w:r>
              <w:rPr>
                <w:rFonts w:ascii="Arial" w:cs="Arial" w:eastAsia="Arial" w:hAnsi="Arial"/>
                <w:sz w:val="10"/>
                <w:szCs w:val="10"/>
                <w:b w:val="1"/>
                <w:bCs w:val="1"/>
                <w:color w:val="336699"/>
              </w:rPr>
              <w:t>(N=1)</w:t>
            </w:r>
          </w:p>
        </w:tc>
        <w:tc>
          <w:tcPr>
            <w:tcW w:w="1340" w:type="dxa"/>
            <w:vAlign w:val="bottom"/>
            <w:tcBorders>
              <w:bottom w:val="single" w:sz="8" w:color="99CCCC"/>
            </w:tcBorders>
            <w:gridSpan w:val="2"/>
          </w:tcPr>
          <w:p>
            <w:pPr>
              <w:jc w:val="center"/>
              <w:spacing w:after="0"/>
              <w:rPr>
                <w:sz w:val="20"/>
                <w:szCs w:val="20"/>
                <w:color w:val="auto"/>
              </w:rPr>
            </w:pPr>
            <w:r>
              <w:rPr>
                <w:rFonts w:ascii="Arial" w:cs="Arial" w:eastAsia="Arial" w:hAnsi="Arial"/>
                <w:sz w:val="10"/>
                <w:szCs w:val="10"/>
                <w:b w:val="1"/>
                <w:bCs w:val="1"/>
                <w:color w:val="336699"/>
              </w:rPr>
              <w:t>(N=3)</w:t>
            </w:r>
          </w:p>
        </w:tc>
        <w:tc>
          <w:tcPr>
            <w:tcW w:w="420" w:type="dxa"/>
            <w:vAlign w:val="bottom"/>
            <w:tcBorders>
              <w:bottom w:val="single" w:sz="8" w:color="99CCCC"/>
            </w:tcBorders>
          </w:tcPr>
          <w:p>
            <w:pPr>
              <w:spacing w:after="0"/>
              <w:rPr>
                <w:sz w:val="11"/>
                <w:szCs w:val="11"/>
                <w:color w:val="auto"/>
              </w:rPr>
            </w:pPr>
          </w:p>
        </w:tc>
        <w:tc>
          <w:tcPr>
            <w:tcW w:w="840" w:type="dxa"/>
            <w:vAlign w:val="bottom"/>
            <w:tcBorders>
              <w:bottom w:val="single" w:sz="8" w:color="99CCCC"/>
            </w:tcBorders>
            <w:gridSpan w:val="3"/>
          </w:tcPr>
          <w:p>
            <w:pPr>
              <w:jc w:val="center"/>
              <w:ind w:right="389"/>
              <w:spacing w:after="0"/>
              <w:rPr>
                <w:sz w:val="20"/>
                <w:szCs w:val="20"/>
                <w:color w:val="auto"/>
              </w:rPr>
            </w:pPr>
            <w:r>
              <w:rPr>
                <w:rFonts w:ascii="Arial" w:cs="Arial" w:eastAsia="Arial" w:hAnsi="Arial"/>
                <w:sz w:val="10"/>
                <w:szCs w:val="10"/>
                <w:b w:val="1"/>
                <w:bCs w:val="1"/>
                <w:color w:val="336699"/>
              </w:rPr>
              <w:t>(N=3)</w:t>
            </w:r>
          </w:p>
        </w:tc>
        <w:tc>
          <w:tcPr>
            <w:tcW w:w="1260" w:type="dxa"/>
            <w:vAlign w:val="bottom"/>
            <w:tcBorders>
              <w:bottom w:val="single" w:sz="8" w:color="99CCCC"/>
            </w:tcBorders>
            <w:gridSpan w:val="2"/>
          </w:tcPr>
          <w:p>
            <w:pPr>
              <w:jc w:val="center"/>
              <w:spacing w:after="0"/>
              <w:rPr>
                <w:sz w:val="20"/>
                <w:szCs w:val="20"/>
                <w:color w:val="auto"/>
              </w:rPr>
            </w:pPr>
            <w:r>
              <w:rPr>
                <w:rFonts w:ascii="Arial" w:cs="Arial" w:eastAsia="Arial" w:hAnsi="Arial"/>
                <w:sz w:val="10"/>
                <w:szCs w:val="10"/>
                <w:b w:val="1"/>
                <w:bCs w:val="1"/>
                <w:color w:val="336699"/>
              </w:rPr>
              <w:t>(N=3)</w:t>
            </w:r>
          </w:p>
        </w:tc>
        <w:tc>
          <w:tcPr>
            <w:tcW w:w="1200" w:type="dxa"/>
            <w:vAlign w:val="bottom"/>
            <w:tcBorders>
              <w:bottom w:val="single" w:sz="8" w:color="99CCCC"/>
            </w:tcBorders>
            <w:gridSpan w:val="2"/>
          </w:tcPr>
          <w:p>
            <w:pPr>
              <w:jc w:val="center"/>
              <w:ind w:left="29"/>
              <w:spacing w:after="0"/>
              <w:rPr>
                <w:sz w:val="20"/>
                <w:szCs w:val="20"/>
                <w:color w:val="auto"/>
              </w:rPr>
            </w:pPr>
            <w:r>
              <w:rPr>
                <w:rFonts w:ascii="Arial" w:cs="Arial" w:eastAsia="Arial" w:hAnsi="Arial"/>
                <w:sz w:val="10"/>
                <w:szCs w:val="10"/>
                <w:b w:val="1"/>
                <w:bCs w:val="1"/>
                <w:color w:val="336699"/>
              </w:rPr>
              <w:t>(N=3)</w:t>
            </w:r>
          </w:p>
        </w:tc>
        <w:tc>
          <w:tcPr>
            <w:tcW w:w="1280" w:type="dxa"/>
            <w:vAlign w:val="bottom"/>
            <w:tcBorders>
              <w:bottom w:val="single" w:sz="8" w:color="99CCCC"/>
            </w:tcBorders>
            <w:gridSpan w:val="2"/>
          </w:tcPr>
          <w:p>
            <w:pPr>
              <w:jc w:val="center"/>
              <w:ind w:left="11"/>
              <w:spacing w:after="0"/>
              <w:rPr>
                <w:sz w:val="20"/>
                <w:szCs w:val="20"/>
                <w:color w:val="auto"/>
              </w:rPr>
            </w:pPr>
            <w:r>
              <w:rPr>
                <w:rFonts w:ascii="Arial" w:cs="Arial" w:eastAsia="Arial" w:hAnsi="Arial"/>
                <w:sz w:val="10"/>
                <w:szCs w:val="10"/>
                <w:b w:val="1"/>
                <w:bCs w:val="1"/>
                <w:color w:val="336699"/>
              </w:rPr>
              <w:t>(N=3)</w:t>
            </w:r>
          </w:p>
        </w:tc>
        <w:tc>
          <w:tcPr>
            <w:tcW w:w="900" w:type="dxa"/>
            <w:vAlign w:val="bottom"/>
            <w:tcBorders>
              <w:bottom w:val="single" w:sz="8" w:color="99CCCC"/>
            </w:tcBorders>
            <w:gridSpan w:val="2"/>
          </w:tcPr>
          <w:p>
            <w:pPr>
              <w:jc w:val="center"/>
              <w:spacing w:after="0"/>
              <w:rPr>
                <w:sz w:val="20"/>
                <w:szCs w:val="20"/>
                <w:color w:val="auto"/>
              </w:rPr>
            </w:pPr>
            <w:r>
              <w:rPr>
                <w:rFonts w:ascii="Arial" w:cs="Arial" w:eastAsia="Arial" w:hAnsi="Arial"/>
                <w:sz w:val="10"/>
                <w:szCs w:val="10"/>
                <w:b w:val="1"/>
                <w:bCs w:val="1"/>
                <w:color w:val="336699"/>
                <w:w w:val="98"/>
              </w:rPr>
              <w:t>(N = 17)</w:t>
            </w:r>
          </w:p>
        </w:tc>
        <w:tc>
          <w:tcPr>
            <w:tcW w:w="0" w:type="dxa"/>
            <w:vAlign w:val="bottom"/>
          </w:tcPr>
          <w:p>
            <w:pPr>
              <w:spacing w:after="0"/>
              <w:rPr>
                <w:sz w:val="1"/>
                <w:szCs w:val="1"/>
                <w:color w:val="auto"/>
              </w:rPr>
            </w:pPr>
          </w:p>
        </w:tc>
      </w:tr>
      <w:tr>
        <w:trPr>
          <w:trHeight w:val="91"/>
        </w:trPr>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9"/>
              <w:spacing w:after="0"/>
              <w:rPr>
                <w:sz w:val="20"/>
                <w:szCs w:val="20"/>
                <w:color w:val="auto"/>
              </w:rPr>
            </w:pPr>
            <w:r>
              <w:rPr>
                <w:rFonts w:ascii="Arial" w:cs="Arial" w:eastAsia="Arial" w:hAnsi="Arial"/>
                <w:sz w:val="10"/>
                <w:szCs w:val="10"/>
                <w:b w:val="1"/>
                <w:bCs w:val="1"/>
                <w:color w:val="336699"/>
              </w:rPr>
              <w:t>All grades</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336699"/>
              </w:rPr>
              <w:t>All grades</w:t>
            </w:r>
          </w:p>
        </w:tc>
        <w:tc>
          <w:tcPr>
            <w:tcW w:w="560" w:type="dxa"/>
            <w:vAlign w:val="bottom"/>
            <w:vMerge w:val="restart"/>
          </w:tcPr>
          <w:p>
            <w:pPr>
              <w:jc w:val="center"/>
              <w:ind w:left="53"/>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336699"/>
              </w:rPr>
              <w:t>All grades</w:t>
            </w:r>
          </w:p>
        </w:tc>
        <w:tc>
          <w:tcPr>
            <w:tcW w:w="560" w:type="dxa"/>
            <w:vAlign w:val="bottom"/>
            <w:vMerge w:val="restart"/>
          </w:tcPr>
          <w:p>
            <w:pPr>
              <w:jc w:val="center"/>
              <w:ind w:right="29"/>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720" w:type="dxa"/>
            <w:vAlign w:val="bottom"/>
            <w:gridSpan w:val="3"/>
            <w:vMerge w:val="restart"/>
          </w:tcPr>
          <w:p>
            <w:pPr>
              <w:jc w:val="center"/>
              <w:ind w:right="49"/>
              <w:spacing w:after="0"/>
              <w:rPr>
                <w:sz w:val="20"/>
                <w:szCs w:val="20"/>
                <w:color w:val="auto"/>
              </w:rPr>
            </w:pPr>
            <w:r>
              <w:rPr>
                <w:rFonts w:ascii="Arial" w:cs="Arial" w:eastAsia="Arial" w:hAnsi="Arial"/>
                <w:sz w:val="10"/>
                <w:szCs w:val="10"/>
                <w:b w:val="1"/>
                <w:bCs w:val="1"/>
                <w:color w:val="336699"/>
              </w:rPr>
              <w:t>All grades</w:t>
            </w:r>
          </w:p>
        </w:tc>
        <w:tc>
          <w:tcPr>
            <w:tcW w:w="540" w:type="dxa"/>
            <w:vAlign w:val="bottom"/>
            <w:vMerge w:val="restart"/>
          </w:tcPr>
          <w:p>
            <w:pPr>
              <w:jc w:val="center"/>
              <w:ind w:right="49"/>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740" w:type="dxa"/>
            <w:vAlign w:val="bottom"/>
            <w:vMerge w:val="restart"/>
          </w:tcPr>
          <w:p>
            <w:pPr>
              <w:ind w:left="80"/>
              <w:spacing w:after="0"/>
              <w:rPr>
                <w:sz w:val="20"/>
                <w:szCs w:val="20"/>
                <w:color w:val="auto"/>
              </w:rPr>
            </w:pPr>
            <w:r>
              <w:rPr>
                <w:rFonts w:ascii="Arial" w:cs="Arial" w:eastAsia="Arial" w:hAnsi="Arial"/>
                <w:sz w:val="10"/>
                <w:szCs w:val="10"/>
                <w:b w:val="1"/>
                <w:bCs w:val="1"/>
                <w:color w:val="336699"/>
              </w:rPr>
              <w:t>All grades</w:t>
            </w:r>
          </w:p>
        </w:tc>
        <w:tc>
          <w:tcPr>
            <w:tcW w:w="520" w:type="dxa"/>
            <w:vAlign w:val="bottom"/>
            <w:vMerge w:val="restart"/>
          </w:tcPr>
          <w:p>
            <w:pPr>
              <w:jc w:val="center"/>
              <w:ind w:right="29"/>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740" w:type="dxa"/>
            <w:vAlign w:val="bottom"/>
            <w:vMerge w:val="restart"/>
          </w:tcPr>
          <w:p>
            <w:pPr>
              <w:jc w:val="center"/>
              <w:ind w:right="29"/>
              <w:spacing w:after="0"/>
              <w:rPr>
                <w:sz w:val="20"/>
                <w:szCs w:val="20"/>
                <w:color w:val="auto"/>
              </w:rPr>
            </w:pPr>
            <w:r>
              <w:rPr>
                <w:rFonts w:ascii="Arial" w:cs="Arial" w:eastAsia="Arial" w:hAnsi="Arial"/>
                <w:sz w:val="10"/>
                <w:szCs w:val="10"/>
                <w:b w:val="1"/>
                <w:bCs w:val="1"/>
                <w:color w:val="336699"/>
              </w:rPr>
              <w:t>All grades</w:t>
            </w:r>
          </w:p>
        </w:tc>
        <w:tc>
          <w:tcPr>
            <w:tcW w:w="460" w:type="dxa"/>
            <w:vAlign w:val="bottom"/>
            <w:vMerge w:val="restart"/>
          </w:tcPr>
          <w:p>
            <w:pPr>
              <w:jc w:val="center"/>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w:t>
            </w:r>
          </w:p>
        </w:tc>
        <w:tc>
          <w:tcPr>
            <w:tcW w:w="660" w:type="dxa"/>
            <w:vAlign w:val="bottom"/>
            <w:vMerge w:val="restart"/>
          </w:tcPr>
          <w:p>
            <w:pPr>
              <w:jc w:val="center"/>
              <w:ind w:left="91"/>
              <w:spacing w:after="0"/>
              <w:rPr>
                <w:sz w:val="20"/>
                <w:szCs w:val="20"/>
                <w:color w:val="auto"/>
              </w:rPr>
            </w:pPr>
            <w:r>
              <w:rPr>
                <w:rFonts w:ascii="Arial" w:cs="Arial" w:eastAsia="Arial" w:hAnsi="Arial"/>
                <w:sz w:val="10"/>
                <w:szCs w:val="10"/>
                <w:b w:val="1"/>
                <w:bCs w:val="1"/>
                <w:color w:val="336699"/>
              </w:rPr>
              <w:t>All grades</w:t>
            </w: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r>
              <w:rPr>
                <w:rFonts w:ascii="Arial" w:cs="Arial" w:eastAsia="Arial" w:hAnsi="Arial"/>
                <w:sz w:val="10"/>
                <w:szCs w:val="10"/>
                <w:b w:val="1"/>
                <w:bCs w:val="1"/>
                <w:color w:val="336699"/>
              </w:rPr>
              <w:t xml:space="preserve"> 3 All grades</w:t>
            </w:r>
          </w:p>
        </w:tc>
        <w:tc>
          <w:tcPr>
            <w:tcW w:w="380" w:type="dxa"/>
            <w:vAlign w:val="bottom"/>
          </w:tcPr>
          <w:p>
            <w:pPr>
              <w:jc w:val="center"/>
              <w:spacing w:after="0" w:line="92" w:lineRule="exact"/>
              <w:rPr>
                <w:sz w:val="20"/>
                <w:szCs w:val="20"/>
                <w:color w:val="auto"/>
              </w:rPr>
            </w:pPr>
            <w:r>
              <w:rPr>
                <w:rFonts w:ascii="Arial" w:cs="Arial" w:eastAsia="Arial" w:hAnsi="Arial"/>
                <w:sz w:val="10"/>
                <w:szCs w:val="10"/>
                <w:b w:val="1"/>
                <w:bCs w:val="1"/>
                <w:color w:val="336699"/>
              </w:rPr>
              <w:t xml:space="preserve">Grade </w:t>
            </w:r>
            <w:r>
              <w:rPr>
                <w:rFonts w:ascii="Times New Roman" w:cs="Times New Roman" w:eastAsia="Times New Roman" w:hAnsi="Times New Roman"/>
                <w:sz w:val="10"/>
                <w:szCs w:val="10"/>
                <w:color w:val="336699"/>
              </w:rPr>
              <w:t>³</w:t>
            </w:r>
          </w:p>
        </w:tc>
        <w:tc>
          <w:tcPr>
            <w:tcW w:w="0" w:type="dxa"/>
            <w:vAlign w:val="bottom"/>
          </w:tcPr>
          <w:p>
            <w:pPr>
              <w:spacing w:after="0"/>
              <w:rPr>
                <w:sz w:val="1"/>
                <w:szCs w:val="1"/>
                <w:color w:val="auto"/>
              </w:rPr>
            </w:pPr>
          </w:p>
        </w:tc>
      </w:tr>
      <w:tr>
        <w:trPr>
          <w:trHeight w:val="116"/>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336699"/>
              </w:rPr>
              <w:t>3</w:t>
            </w: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9"/>
              <w:spacing w:after="0"/>
              <w:rPr>
                <w:sz w:val="20"/>
                <w:szCs w:val="20"/>
                <w:color w:val="auto"/>
              </w:rPr>
            </w:pPr>
            <w:r>
              <w:rPr>
                <w:rFonts w:ascii="Arial" w:cs="Arial" w:eastAsia="Arial" w:hAnsi="Arial"/>
                <w:sz w:val="10"/>
                <w:szCs w:val="10"/>
                <w:b w:val="1"/>
                <w:bCs w:val="1"/>
                <w:color w:val="336699"/>
              </w:rPr>
              <w:t>n (%)</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336699"/>
              </w:rPr>
              <w:t>n (%)</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336699"/>
              </w:rPr>
              <w:t>n (%)</w:t>
            </w:r>
          </w:p>
        </w:tc>
        <w:tc>
          <w:tcPr>
            <w:tcW w:w="560" w:type="dxa"/>
            <w:vAlign w:val="bottom"/>
          </w:tcPr>
          <w:p>
            <w:pPr>
              <w:jc w:val="center"/>
              <w:ind w:left="33"/>
              <w:spacing w:after="0"/>
              <w:rPr>
                <w:sz w:val="20"/>
                <w:szCs w:val="20"/>
                <w:color w:val="auto"/>
              </w:rPr>
            </w:pPr>
            <w:r>
              <w:rPr>
                <w:rFonts w:ascii="Arial" w:cs="Arial" w:eastAsia="Arial" w:hAnsi="Arial"/>
                <w:sz w:val="10"/>
                <w:szCs w:val="10"/>
                <w:b w:val="1"/>
                <w:bCs w:val="1"/>
                <w:color w:val="336699"/>
              </w:rPr>
              <w:t>n (%)</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336699"/>
                <w:w w:val="97"/>
              </w:rPr>
              <w:t>n (%)</w:t>
            </w:r>
          </w:p>
        </w:tc>
        <w:tc>
          <w:tcPr>
            <w:tcW w:w="560" w:type="dxa"/>
            <w:vAlign w:val="bottom"/>
          </w:tcPr>
          <w:p>
            <w:pPr>
              <w:jc w:val="center"/>
              <w:ind w:right="29"/>
              <w:spacing w:after="0"/>
              <w:rPr>
                <w:sz w:val="20"/>
                <w:szCs w:val="20"/>
                <w:color w:val="auto"/>
              </w:rPr>
            </w:pPr>
            <w:r>
              <w:rPr>
                <w:rFonts w:ascii="Arial" w:cs="Arial" w:eastAsia="Arial" w:hAnsi="Arial"/>
                <w:sz w:val="10"/>
                <w:szCs w:val="10"/>
                <w:b w:val="1"/>
                <w:bCs w:val="1"/>
                <w:color w:val="336699"/>
                <w:w w:val="97"/>
              </w:rPr>
              <w:t>n (%)</w:t>
            </w:r>
          </w:p>
        </w:tc>
        <w:tc>
          <w:tcPr>
            <w:tcW w:w="720" w:type="dxa"/>
            <w:vAlign w:val="bottom"/>
            <w:gridSpan w:val="3"/>
          </w:tcPr>
          <w:p>
            <w:pPr>
              <w:jc w:val="center"/>
              <w:ind w:right="49"/>
              <w:spacing w:after="0"/>
              <w:rPr>
                <w:sz w:val="20"/>
                <w:szCs w:val="20"/>
                <w:color w:val="auto"/>
              </w:rPr>
            </w:pPr>
            <w:r>
              <w:rPr>
                <w:rFonts w:ascii="Arial" w:cs="Arial" w:eastAsia="Arial" w:hAnsi="Arial"/>
                <w:sz w:val="10"/>
                <w:szCs w:val="10"/>
                <w:b w:val="1"/>
                <w:bCs w:val="1"/>
                <w:color w:val="336699"/>
              </w:rPr>
              <w:t>n (%)</w:t>
            </w:r>
          </w:p>
        </w:tc>
        <w:tc>
          <w:tcPr>
            <w:tcW w:w="540" w:type="dxa"/>
            <w:vAlign w:val="bottom"/>
          </w:tcPr>
          <w:p>
            <w:pPr>
              <w:jc w:val="center"/>
              <w:ind w:right="29"/>
              <w:spacing w:after="0"/>
              <w:rPr>
                <w:sz w:val="20"/>
                <w:szCs w:val="20"/>
                <w:color w:val="auto"/>
              </w:rPr>
            </w:pPr>
            <w:r>
              <w:rPr>
                <w:rFonts w:ascii="Arial" w:cs="Arial" w:eastAsia="Arial" w:hAnsi="Arial"/>
                <w:sz w:val="10"/>
                <w:szCs w:val="10"/>
                <w:b w:val="1"/>
                <w:bCs w:val="1"/>
                <w:color w:val="336699"/>
              </w:rPr>
              <w:t>n (%)</w:t>
            </w:r>
          </w:p>
        </w:tc>
        <w:tc>
          <w:tcPr>
            <w:tcW w:w="740" w:type="dxa"/>
            <w:vAlign w:val="bottom"/>
          </w:tcPr>
          <w:p>
            <w:pPr>
              <w:ind w:left="200"/>
              <w:spacing w:after="0"/>
              <w:rPr>
                <w:sz w:val="20"/>
                <w:szCs w:val="20"/>
                <w:color w:val="auto"/>
              </w:rPr>
            </w:pPr>
            <w:r>
              <w:rPr>
                <w:rFonts w:ascii="Arial" w:cs="Arial" w:eastAsia="Arial" w:hAnsi="Arial"/>
                <w:sz w:val="10"/>
                <w:szCs w:val="10"/>
                <w:b w:val="1"/>
                <w:bCs w:val="1"/>
                <w:color w:val="336699"/>
              </w:rPr>
              <w:t>n (%)</w:t>
            </w:r>
          </w:p>
        </w:tc>
        <w:tc>
          <w:tcPr>
            <w:tcW w:w="520" w:type="dxa"/>
            <w:vAlign w:val="bottom"/>
          </w:tcPr>
          <w:p>
            <w:pPr>
              <w:jc w:val="center"/>
              <w:ind w:right="29"/>
              <w:spacing w:after="0"/>
              <w:rPr>
                <w:sz w:val="20"/>
                <w:szCs w:val="20"/>
                <w:color w:val="auto"/>
              </w:rPr>
            </w:pPr>
            <w:r>
              <w:rPr>
                <w:rFonts w:ascii="Arial" w:cs="Arial" w:eastAsia="Arial" w:hAnsi="Arial"/>
                <w:sz w:val="10"/>
                <w:szCs w:val="10"/>
                <w:b w:val="1"/>
                <w:bCs w:val="1"/>
                <w:color w:val="336699"/>
                <w:w w:val="97"/>
              </w:rPr>
              <w:t>n (%)</w:t>
            </w:r>
          </w:p>
        </w:tc>
        <w:tc>
          <w:tcPr>
            <w:tcW w:w="740" w:type="dxa"/>
            <w:vAlign w:val="bottom"/>
          </w:tcPr>
          <w:p>
            <w:pPr>
              <w:jc w:val="center"/>
              <w:ind w:right="29"/>
              <w:spacing w:after="0"/>
              <w:rPr>
                <w:sz w:val="20"/>
                <w:szCs w:val="20"/>
                <w:color w:val="auto"/>
              </w:rPr>
            </w:pPr>
            <w:r>
              <w:rPr>
                <w:rFonts w:ascii="Arial" w:cs="Arial" w:eastAsia="Arial" w:hAnsi="Arial"/>
                <w:sz w:val="10"/>
                <w:szCs w:val="10"/>
                <w:b w:val="1"/>
                <w:bCs w:val="1"/>
                <w:color w:val="336699"/>
              </w:rPr>
              <w:t>n (%)</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336699"/>
              </w:rPr>
              <w:t>n (%)</w:t>
            </w:r>
          </w:p>
        </w:tc>
        <w:tc>
          <w:tcPr>
            <w:tcW w:w="660" w:type="dxa"/>
            <w:vAlign w:val="bottom"/>
          </w:tcPr>
          <w:p>
            <w:pPr>
              <w:jc w:val="center"/>
              <w:ind w:left="91"/>
              <w:spacing w:after="0"/>
              <w:rPr>
                <w:sz w:val="20"/>
                <w:szCs w:val="20"/>
                <w:color w:val="auto"/>
              </w:rPr>
            </w:pPr>
            <w:r>
              <w:rPr>
                <w:rFonts w:ascii="Arial" w:cs="Arial" w:eastAsia="Arial" w:hAnsi="Arial"/>
                <w:sz w:val="10"/>
                <w:szCs w:val="10"/>
                <w:b w:val="1"/>
                <w:bCs w:val="1"/>
                <w:color w:val="336699"/>
              </w:rPr>
              <w:t>n (%)</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336699"/>
                <w:w w:val="97"/>
              </w:rPr>
              <w:t>n (%)</w:t>
            </w:r>
          </w:p>
        </w:tc>
        <w:tc>
          <w:tcPr>
            <w:tcW w:w="520" w:type="dxa"/>
            <w:vAlign w:val="bottom"/>
          </w:tcPr>
          <w:p>
            <w:pPr>
              <w:ind w:left="100"/>
              <w:spacing w:after="0"/>
              <w:rPr>
                <w:sz w:val="20"/>
                <w:szCs w:val="20"/>
                <w:color w:val="auto"/>
              </w:rPr>
            </w:pPr>
            <w:r>
              <w:rPr>
                <w:rFonts w:ascii="Arial" w:cs="Arial" w:eastAsia="Arial" w:hAnsi="Arial"/>
                <w:sz w:val="10"/>
                <w:szCs w:val="10"/>
                <w:b w:val="1"/>
                <w:bCs w:val="1"/>
                <w:color w:val="336699"/>
              </w:rPr>
              <w:t>n (%)</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336699"/>
              </w:rPr>
              <w:t>n (%)</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Any TRAE</w:t>
            </w:r>
            <w:r>
              <w:rPr>
                <w:rFonts w:ascii="Arial" w:cs="Arial" w:eastAsia="Arial" w:hAnsi="Arial"/>
                <w:sz w:val="8"/>
                <w:szCs w:val="8"/>
                <w:color w:val="auto"/>
              </w:rPr>
              <w:t>a</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1 (100)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1 (100)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2 (66.7)</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520" w:type="dxa"/>
            <w:vAlign w:val="bottom"/>
            <w:gridSpan w:val="2"/>
            <w:shd w:val="clear" w:color="auto" w:fill="E9F6F8"/>
          </w:tcPr>
          <w:p>
            <w:pPr>
              <w:jc w:val="center"/>
              <w:ind w:left="49"/>
              <w:spacing w:after="0"/>
              <w:rPr>
                <w:sz w:val="20"/>
                <w:szCs w:val="20"/>
                <w:color w:val="auto"/>
              </w:rPr>
            </w:pPr>
            <w:r>
              <w:rPr>
                <w:rFonts w:ascii="Arial" w:cs="Arial" w:eastAsia="Arial" w:hAnsi="Arial"/>
                <w:sz w:val="10"/>
                <w:szCs w:val="10"/>
                <w:color w:val="auto"/>
                <w:w w:val="98"/>
              </w:rPr>
              <w:t>2 (66.7)</w:t>
            </w: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28"/>
              <w:spacing w:after="0"/>
              <w:rPr>
                <w:sz w:val="20"/>
                <w:szCs w:val="20"/>
                <w:color w:val="auto"/>
              </w:rPr>
            </w:pPr>
            <w:r>
              <w:rPr>
                <w:rFonts w:ascii="Arial" w:cs="Arial" w:eastAsia="Arial" w:hAnsi="Arial"/>
                <w:sz w:val="10"/>
                <w:szCs w:val="10"/>
                <w:color w:val="auto"/>
              </w:rPr>
              <w:t>2 (66.7)</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2 (66.7)</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71"/>
              <w:spacing w:after="0"/>
              <w:rPr>
                <w:sz w:val="20"/>
                <w:szCs w:val="20"/>
                <w:color w:val="auto"/>
              </w:rPr>
            </w:pPr>
            <w:r>
              <w:rPr>
                <w:rFonts w:ascii="Arial" w:cs="Arial" w:eastAsia="Arial" w:hAnsi="Arial"/>
                <w:sz w:val="10"/>
                <w:szCs w:val="10"/>
                <w:color w:val="auto"/>
              </w:rPr>
              <w:t>2 (66.7)</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11 (64.7)</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Fatigue</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rPr>
              <w:t>1 (100)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1 (100)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28"/>
              <w:spacing w:after="0"/>
              <w:rPr>
                <w:sz w:val="20"/>
                <w:szCs w:val="20"/>
                <w:color w:val="auto"/>
              </w:rPr>
            </w:pPr>
            <w:r>
              <w:rPr>
                <w:rFonts w:ascii="Arial" w:cs="Arial" w:eastAsia="Arial" w:hAnsi="Arial"/>
                <w:sz w:val="10"/>
                <w:szCs w:val="10"/>
                <w:color w:val="auto"/>
              </w:rPr>
              <w:t>1 (33.3)</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71"/>
              <w:spacing w:after="0"/>
              <w:rPr>
                <w:sz w:val="20"/>
                <w:szCs w:val="20"/>
                <w:color w:val="auto"/>
              </w:rPr>
            </w:pPr>
            <w:r>
              <w:rPr>
                <w:rFonts w:ascii="Arial" w:cs="Arial" w:eastAsia="Arial" w:hAnsi="Arial"/>
                <w:sz w:val="10"/>
                <w:szCs w:val="10"/>
                <w:color w:val="auto"/>
              </w:rPr>
              <w:t>1 (33.3)</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w w:val="98"/>
              </w:rPr>
              <w:t>5 (29.4)</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Chills</w:t>
            </w:r>
          </w:p>
        </w:tc>
        <w:tc>
          <w:tcPr>
            <w:tcW w:w="56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28"/>
              <w:spacing w:after="0"/>
              <w:rPr>
                <w:sz w:val="20"/>
                <w:szCs w:val="20"/>
                <w:color w:val="auto"/>
              </w:rPr>
            </w:pPr>
            <w:r>
              <w:rPr>
                <w:rFonts w:ascii="Arial" w:cs="Arial" w:eastAsia="Arial" w:hAnsi="Arial"/>
                <w:sz w:val="10"/>
                <w:szCs w:val="10"/>
                <w:color w:val="auto"/>
              </w:rPr>
              <w:t>1 (33.3)</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w w:val="98"/>
              </w:rPr>
              <w:t>2 (11.7)</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Vomiting</w:t>
            </w:r>
          </w:p>
        </w:tc>
        <w:tc>
          <w:tcPr>
            <w:tcW w:w="560" w:type="dxa"/>
            <w:vAlign w:val="bottom"/>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71"/>
              <w:spacing w:after="0"/>
              <w:rPr>
                <w:sz w:val="20"/>
                <w:szCs w:val="20"/>
                <w:color w:val="auto"/>
              </w:rPr>
            </w:pPr>
            <w:r>
              <w:rPr>
                <w:rFonts w:ascii="Arial" w:cs="Arial" w:eastAsia="Arial" w:hAnsi="Arial"/>
                <w:sz w:val="10"/>
                <w:szCs w:val="10"/>
                <w:color w:val="auto"/>
              </w:rPr>
              <w:t>1 (33.3)</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w w:val="98"/>
              </w:rPr>
              <w:t>2 (11.7)</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Arthralgia</w:t>
            </w:r>
          </w:p>
        </w:tc>
        <w:tc>
          <w:tcPr>
            <w:tcW w:w="56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Axillary pain</w:t>
            </w:r>
          </w:p>
        </w:tc>
        <w:tc>
          <w:tcPr>
            <w:tcW w:w="560" w:type="dxa"/>
            <w:vAlign w:val="bottom"/>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Injection site reaction</w:t>
            </w:r>
          </w:p>
        </w:tc>
        <w:tc>
          <w:tcPr>
            <w:tcW w:w="56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2 (66.7)</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w w:val="98"/>
              </w:rPr>
              <w:t>2 (11.7)</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Myalgia</w:t>
            </w:r>
          </w:p>
        </w:tc>
        <w:tc>
          <w:tcPr>
            <w:tcW w:w="560" w:type="dxa"/>
            <w:vAlign w:val="bottom"/>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71"/>
              <w:spacing w:after="0"/>
              <w:rPr>
                <w:sz w:val="20"/>
                <w:szCs w:val="20"/>
                <w:color w:val="auto"/>
              </w:rPr>
            </w:pPr>
            <w:r>
              <w:rPr>
                <w:rFonts w:ascii="Arial" w:cs="Arial" w:eastAsia="Arial" w:hAnsi="Arial"/>
                <w:sz w:val="10"/>
                <w:szCs w:val="10"/>
                <w:color w:val="auto"/>
              </w:rPr>
              <w:t>1 (33.3)</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Nausea</w:t>
            </w:r>
          </w:p>
        </w:tc>
        <w:tc>
          <w:tcPr>
            <w:tcW w:w="56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71"/>
              <w:spacing w:after="0"/>
              <w:rPr>
                <w:sz w:val="20"/>
                <w:szCs w:val="20"/>
                <w:color w:val="auto"/>
              </w:rPr>
            </w:pPr>
            <w:r>
              <w:rPr>
                <w:rFonts w:ascii="Arial" w:cs="Arial" w:eastAsia="Arial" w:hAnsi="Arial"/>
                <w:sz w:val="10"/>
                <w:szCs w:val="10"/>
                <w:color w:val="auto"/>
              </w:rPr>
              <w:t>1 (33.3)</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Pruritis</w:t>
            </w:r>
          </w:p>
        </w:tc>
        <w:tc>
          <w:tcPr>
            <w:tcW w:w="560" w:type="dxa"/>
            <w:vAlign w:val="bottom"/>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Pyrexia</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1 (100)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rPr>
                <w:sz w:val="20"/>
                <w:szCs w:val="20"/>
                <w:color w:val="auto"/>
              </w:rPr>
            </w:pPr>
            <w:r>
              <w:rPr>
                <w:rFonts w:ascii="Arial" w:cs="Arial" w:eastAsia="Arial" w:hAnsi="Arial"/>
                <w:sz w:val="10"/>
                <w:szCs w:val="10"/>
                <w:color w:val="auto"/>
              </w:rPr>
              <w:t>Rash</w:t>
            </w:r>
          </w:p>
        </w:tc>
        <w:tc>
          <w:tcPr>
            <w:tcW w:w="560" w:type="dxa"/>
            <w:vAlign w:val="bottom"/>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tcPr>
          <w:p>
            <w:pPr>
              <w:jc w:val="center"/>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tcPr>
          <w:p>
            <w:pPr>
              <w:jc w:val="center"/>
              <w:spacing w:after="0"/>
              <w:rPr>
                <w:sz w:val="20"/>
                <w:szCs w:val="20"/>
                <w:color w:val="auto"/>
              </w:rPr>
            </w:pPr>
            <w:r>
              <w:rPr>
                <w:rFonts w:ascii="Arial" w:cs="Arial" w:eastAsia="Arial" w:hAnsi="Arial"/>
                <w:sz w:val="10"/>
                <w:szCs w:val="10"/>
                <w:color w:val="auto"/>
              </w:rPr>
              <w:t>0</w:t>
            </w:r>
          </w:p>
        </w:tc>
        <w:tc>
          <w:tcPr>
            <w:tcW w:w="560" w:type="dxa"/>
            <w:vAlign w:val="bottom"/>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28"/>
              <w:spacing w:after="0"/>
              <w:rPr>
                <w:sz w:val="20"/>
                <w:szCs w:val="20"/>
                <w:color w:val="auto"/>
              </w:rPr>
            </w:pPr>
            <w:r>
              <w:rPr>
                <w:rFonts w:ascii="Arial" w:cs="Arial" w:eastAsia="Arial" w:hAnsi="Arial"/>
                <w:sz w:val="10"/>
                <w:szCs w:val="10"/>
                <w:color w:val="auto"/>
              </w:rPr>
              <w:t>1 (33.3)</w:t>
            </w:r>
          </w:p>
        </w:tc>
        <w:tc>
          <w:tcPr>
            <w:tcW w:w="520" w:type="dxa"/>
            <w:vAlign w:val="bottom"/>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tcPr>
          <w:p>
            <w:pPr>
              <w:jc w:val="center"/>
              <w:ind w:right="29"/>
              <w:spacing w:after="0"/>
              <w:rPr>
                <w:sz w:val="20"/>
                <w:szCs w:val="20"/>
                <w:color w:val="auto"/>
              </w:rPr>
            </w:pPr>
            <w:r>
              <w:rPr>
                <w:rFonts w:ascii="Arial" w:cs="Arial" w:eastAsia="Arial" w:hAnsi="Arial"/>
                <w:sz w:val="10"/>
                <w:szCs w:val="10"/>
                <w:color w:val="auto"/>
              </w:rPr>
              <w:t>0</w:t>
            </w:r>
          </w:p>
        </w:tc>
        <w:tc>
          <w:tcPr>
            <w:tcW w:w="460" w:type="dxa"/>
            <w:vAlign w:val="bottom"/>
          </w:tcPr>
          <w:p>
            <w:pPr>
              <w:jc w:val="center"/>
              <w:spacing w:after="0"/>
              <w:rPr>
                <w:sz w:val="20"/>
                <w:szCs w:val="20"/>
                <w:color w:val="auto"/>
              </w:rPr>
            </w:pPr>
            <w:r>
              <w:rPr>
                <w:rFonts w:ascii="Arial" w:cs="Arial" w:eastAsia="Arial" w:hAnsi="Arial"/>
                <w:sz w:val="10"/>
                <w:szCs w:val="10"/>
                <w:color w:val="auto"/>
              </w:rPr>
              <w:t>0</w:t>
            </w:r>
          </w:p>
        </w:tc>
        <w:tc>
          <w:tcPr>
            <w:tcW w:w="660" w:type="dxa"/>
            <w:vAlign w:val="bottom"/>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tcPr>
          <w:p>
            <w:pPr>
              <w:jc w:val="center"/>
              <w:spacing w:after="0"/>
              <w:rPr>
                <w:sz w:val="20"/>
                <w:szCs w:val="20"/>
                <w:color w:val="auto"/>
              </w:rPr>
            </w:pPr>
            <w:r>
              <w:rPr>
                <w:rFonts w:ascii="Arial" w:cs="Arial" w:eastAsia="Arial" w:hAnsi="Arial"/>
                <w:sz w:val="10"/>
                <w:szCs w:val="10"/>
                <w:color w:val="auto"/>
              </w:rPr>
              <w:t>0</w:t>
            </w:r>
          </w:p>
        </w:tc>
        <w:tc>
          <w:tcPr>
            <w:tcW w:w="520" w:type="dxa"/>
            <w:vAlign w:val="bottom"/>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r>
        <w:trPr>
          <w:trHeight w:val="116"/>
        </w:trPr>
        <w:tc>
          <w:tcPr>
            <w:tcW w:w="1660" w:type="dxa"/>
            <w:vAlign w:val="bottom"/>
            <w:gridSpan w:val="2"/>
            <w:shd w:val="clear" w:color="auto" w:fill="E9F6F8"/>
          </w:tcPr>
          <w:p>
            <w:pPr>
              <w:spacing w:after="0"/>
              <w:rPr>
                <w:sz w:val="20"/>
                <w:szCs w:val="20"/>
                <w:color w:val="auto"/>
              </w:rPr>
            </w:pPr>
            <w:r>
              <w:rPr>
                <w:rFonts w:ascii="Arial" w:cs="Arial" w:eastAsia="Arial" w:hAnsi="Arial"/>
                <w:sz w:val="10"/>
                <w:szCs w:val="10"/>
                <w:color w:val="auto"/>
              </w:rPr>
              <w:t>Tumor pain</w:t>
            </w:r>
          </w:p>
        </w:tc>
        <w:tc>
          <w:tcPr>
            <w:tcW w:w="56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0</w:t>
            </w:r>
          </w:p>
        </w:tc>
        <w:tc>
          <w:tcPr>
            <w:tcW w:w="60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left="33"/>
              <w:spacing w:after="0"/>
              <w:rPr>
                <w:sz w:val="20"/>
                <w:szCs w:val="20"/>
                <w:color w:val="auto"/>
              </w:rPr>
            </w:pPr>
            <w:r>
              <w:rPr>
                <w:rFonts w:ascii="Arial" w:cs="Arial" w:eastAsia="Arial" w:hAnsi="Arial"/>
                <w:sz w:val="10"/>
                <w:szCs w:val="10"/>
                <w:color w:val="auto"/>
              </w:rPr>
              <w:t>0</w:t>
            </w:r>
          </w:p>
        </w:tc>
        <w:tc>
          <w:tcPr>
            <w:tcW w:w="7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6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w w:val="71"/>
              </w:rPr>
              <w:t>0</w:t>
            </w:r>
          </w:p>
        </w:tc>
        <w:tc>
          <w:tcPr>
            <w:tcW w:w="420" w:type="dxa"/>
            <w:vAlign w:val="bottom"/>
            <w:shd w:val="clear" w:color="auto" w:fill="E9F6F8"/>
          </w:tcPr>
          <w:p>
            <w:pPr>
              <w:jc w:val="center"/>
              <w:ind w:left="149"/>
              <w:spacing w:after="0"/>
              <w:rPr>
                <w:sz w:val="20"/>
                <w:szCs w:val="20"/>
                <w:color w:val="auto"/>
              </w:rPr>
            </w:pPr>
            <w:r>
              <w:rPr>
                <w:rFonts w:ascii="Arial" w:cs="Arial" w:eastAsia="Arial" w:hAnsi="Arial"/>
                <w:sz w:val="10"/>
                <w:szCs w:val="10"/>
                <w:color w:val="auto"/>
              </w:rPr>
              <w:t>0</w:t>
            </w:r>
          </w:p>
        </w:tc>
        <w:tc>
          <w:tcPr>
            <w:tcW w:w="100" w:type="dxa"/>
            <w:vAlign w:val="bottom"/>
            <w:shd w:val="clear" w:color="auto" w:fill="E9F6F8"/>
          </w:tcPr>
          <w:p>
            <w:pPr>
              <w:spacing w:after="0"/>
              <w:rPr>
                <w:sz w:val="10"/>
                <w:szCs w:val="10"/>
                <w:color w:val="auto"/>
              </w:rPr>
            </w:pPr>
          </w:p>
        </w:tc>
        <w:tc>
          <w:tcPr>
            <w:tcW w:w="200" w:type="dxa"/>
            <w:vAlign w:val="bottom"/>
            <w:shd w:val="clear" w:color="auto" w:fill="E9F6F8"/>
          </w:tcPr>
          <w:p>
            <w:pPr>
              <w:spacing w:after="0"/>
              <w:rPr>
                <w:sz w:val="10"/>
                <w:szCs w:val="10"/>
                <w:color w:val="auto"/>
              </w:rPr>
            </w:pPr>
          </w:p>
        </w:tc>
        <w:tc>
          <w:tcPr>
            <w:tcW w:w="540" w:type="dxa"/>
            <w:vAlign w:val="bottom"/>
            <w:shd w:val="clear" w:color="auto" w:fill="E9F6F8"/>
          </w:tcPr>
          <w:p>
            <w:pPr>
              <w:jc w:val="center"/>
              <w:ind w:right="2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8"/>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49"/>
              <w:spacing w:after="0"/>
              <w:rPr>
                <w:sz w:val="20"/>
                <w:szCs w:val="20"/>
                <w:color w:val="auto"/>
              </w:rPr>
            </w:pPr>
            <w:r>
              <w:rPr>
                <w:rFonts w:ascii="Arial" w:cs="Arial" w:eastAsia="Arial" w:hAnsi="Arial"/>
                <w:sz w:val="10"/>
                <w:szCs w:val="10"/>
                <w:color w:val="auto"/>
              </w:rPr>
              <w:t>0</w:t>
            </w:r>
          </w:p>
        </w:tc>
        <w:tc>
          <w:tcPr>
            <w:tcW w:w="74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(33.3)</w:t>
            </w:r>
          </w:p>
        </w:tc>
        <w:tc>
          <w:tcPr>
            <w:tcW w:w="46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660" w:type="dxa"/>
            <w:vAlign w:val="bottom"/>
            <w:shd w:val="clear" w:color="auto" w:fill="E9F6F8"/>
          </w:tcPr>
          <w:p>
            <w:pPr>
              <w:jc w:val="center"/>
              <w:ind w:left="91"/>
              <w:spacing w:after="0"/>
              <w:rPr>
                <w:sz w:val="20"/>
                <w:szCs w:val="20"/>
                <w:color w:val="auto"/>
              </w:rPr>
            </w:pPr>
            <w:r>
              <w:rPr>
                <w:rFonts w:ascii="Arial" w:cs="Arial" w:eastAsia="Arial" w:hAnsi="Arial"/>
                <w:sz w:val="10"/>
                <w:szCs w:val="10"/>
                <w:color w:val="auto"/>
              </w:rPr>
              <w:t>0</w:t>
            </w:r>
          </w:p>
        </w:tc>
        <w:tc>
          <w:tcPr>
            <w:tcW w:w="62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520" w:type="dxa"/>
            <w:vAlign w:val="bottom"/>
            <w:shd w:val="clear" w:color="auto" w:fill="E9F6F8"/>
          </w:tcPr>
          <w:p>
            <w:pPr>
              <w:jc w:val="center"/>
              <w:ind w:right="9"/>
              <w:spacing w:after="0"/>
              <w:rPr>
                <w:sz w:val="20"/>
                <w:szCs w:val="20"/>
                <w:color w:val="auto"/>
              </w:rPr>
            </w:pPr>
            <w:r>
              <w:rPr>
                <w:rFonts w:ascii="Arial" w:cs="Arial" w:eastAsia="Arial" w:hAnsi="Arial"/>
                <w:sz w:val="10"/>
                <w:szCs w:val="10"/>
                <w:color w:val="auto"/>
              </w:rPr>
              <w:t>1 (5.9)</w:t>
            </w:r>
          </w:p>
        </w:tc>
        <w:tc>
          <w:tcPr>
            <w:tcW w:w="380" w:type="dxa"/>
            <w:vAlign w:val="bottom"/>
            <w:shd w:val="clear" w:color="auto" w:fill="E9F6F8"/>
          </w:tcPr>
          <w:p>
            <w:pPr>
              <w:jc w:val="center"/>
              <w:spacing w:after="0"/>
              <w:rPr>
                <w:sz w:val="20"/>
                <w:szCs w:val="20"/>
                <w:color w:val="auto"/>
              </w:rPr>
            </w:pPr>
            <w:r>
              <w:rPr>
                <w:rFonts w:ascii="Arial" w:cs="Arial" w:eastAsia="Arial" w:hAnsi="Arial"/>
                <w:sz w:val="10"/>
                <w:szCs w:val="10"/>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a</w:t>
      </w:r>
      <w:r>
        <w:rPr>
          <w:rFonts w:ascii="Arial" w:cs="Arial" w:eastAsia="Arial" w:hAnsi="Arial"/>
          <w:sz w:val="10"/>
          <w:szCs w:val="10"/>
          <w:color w:val="auto"/>
        </w:rPr>
        <w:t>TRAE, treatment related adverse event; refers to a treatment emergent adverse event assessed as related to study treatment by both the investigator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336699"/>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Table 3. </w:t>
      </w:r>
      <w:r>
        <w:rPr>
          <w:rFonts w:ascii="Arial" w:cs="Arial" w:eastAsia="Arial" w:hAnsi="Arial"/>
          <w:sz w:val="17"/>
          <w:szCs w:val="17"/>
          <w:color w:val="336699"/>
        </w:rPr>
        <w:t>Frequency of patients with a treatment emergent AE</w:t>
      </w:r>
      <w:r>
        <w:rPr>
          <w:rFonts w:ascii="Arial" w:cs="Arial" w:eastAsia="Arial" w:hAnsi="Arial"/>
          <w:sz w:val="14"/>
          <w:szCs w:val="14"/>
          <w:color w:val="336699"/>
        </w:rPr>
        <w:t>a</w:t>
      </w:r>
      <w:r>
        <w:rPr>
          <w:rFonts w:ascii="Arial" w:cs="Arial" w:eastAsia="Arial" w:hAnsi="Arial"/>
          <w:sz w:val="17"/>
          <w:szCs w:val="17"/>
          <w:b w:val="1"/>
          <w:bCs w:val="1"/>
          <w:color w:val="336699"/>
        </w:rPr>
        <w:t xml:space="preserve"> </w:t>
      </w:r>
      <w:r>
        <w:rPr>
          <w:rFonts w:ascii="Arial" w:cs="Arial" w:eastAsia="Arial" w:hAnsi="Arial"/>
          <w:sz w:val="17"/>
          <w:szCs w:val="17"/>
          <w:color w:val="336699"/>
        </w:rPr>
        <w:t>related to SAR441000 and/or cemiplimab by dose group and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7"/>
          <w:szCs w:val="17"/>
          <w:b w:val="1"/>
          <w:bCs w:val="1"/>
          <w:color w:val="336699"/>
        </w:rPr>
        <w:t>Escalation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Borders>
              <w:top w:val="single" w:sz="8" w:color="99CCCC"/>
            </w:tcBorders>
          </w:tcPr>
          <w:p>
            <w:pPr>
              <w:spacing w:after="0"/>
              <w:rPr>
                <w:sz w:val="13"/>
                <w:szCs w:val="13"/>
                <w:color w:val="auto"/>
              </w:rPr>
            </w:pPr>
          </w:p>
        </w:tc>
        <w:tc>
          <w:tcPr>
            <w:tcW w:w="1740" w:type="dxa"/>
            <w:vAlign w:val="bottom"/>
            <w:tcBorders>
              <w:top w:val="single" w:sz="8" w:color="99CCCC"/>
            </w:tcBorders>
          </w:tcPr>
          <w:p>
            <w:pPr>
              <w:jc w:val="center"/>
              <w:ind w:left="1134"/>
              <w:spacing w:after="0" w:line="161" w:lineRule="exact"/>
              <w:rPr>
                <w:sz w:val="20"/>
                <w:szCs w:val="20"/>
                <w:color w:val="auto"/>
              </w:rPr>
            </w:pPr>
            <w:r>
              <w:rPr>
                <w:rFonts w:ascii="Arial" w:cs="Arial" w:eastAsia="Arial" w:hAnsi="Arial"/>
                <w:sz w:val="17"/>
                <w:szCs w:val="17"/>
                <w:b w:val="1"/>
                <w:bCs w:val="1"/>
                <w:color w:val="336699"/>
                <w:w w:val="99"/>
              </w:rPr>
              <w:t>DL4</w:t>
            </w:r>
          </w:p>
        </w:tc>
        <w:tc>
          <w:tcPr>
            <w:tcW w:w="980" w:type="dxa"/>
            <w:vAlign w:val="bottom"/>
            <w:tcBorders>
              <w:top w:val="single" w:sz="8" w:color="99CCCC"/>
            </w:tcBorders>
          </w:tcPr>
          <w:p>
            <w:pPr>
              <w:spacing w:after="0"/>
              <w:rPr>
                <w:sz w:val="13"/>
                <w:szCs w:val="13"/>
                <w:color w:val="auto"/>
              </w:rPr>
            </w:pPr>
          </w:p>
        </w:tc>
        <w:tc>
          <w:tcPr>
            <w:tcW w:w="1500" w:type="dxa"/>
            <w:vAlign w:val="bottom"/>
            <w:tcBorders>
              <w:top w:val="single" w:sz="8" w:color="99CCCC"/>
            </w:tcBorders>
          </w:tcPr>
          <w:p>
            <w:pPr>
              <w:jc w:val="center"/>
              <w:ind w:left="894"/>
              <w:spacing w:after="0" w:line="161" w:lineRule="exact"/>
              <w:rPr>
                <w:sz w:val="20"/>
                <w:szCs w:val="20"/>
                <w:color w:val="auto"/>
              </w:rPr>
            </w:pPr>
            <w:r>
              <w:rPr>
                <w:rFonts w:ascii="Arial" w:cs="Arial" w:eastAsia="Arial" w:hAnsi="Arial"/>
                <w:sz w:val="17"/>
                <w:szCs w:val="17"/>
                <w:b w:val="1"/>
                <w:bCs w:val="1"/>
                <w:color w:val="336699"/>
                <w:w w:val="99"/>
              </w:rPr>
              <w:t>DL5</w:t>
            </w:r>
          </w:p>
        </w:tc>
        <w:tc>
          <w:tcPr>
            <w:tcW w:w="980" w:type="dxa"/>
            <w:vAlign w:val="bottom"/>
            <w:tcBorders>
              <w:top w:val="single" w:sz="8" w:color="99CCCC"/>
            </w:tcBorders>
          </w:tcPr>
          <w:p>
            <w:pPr>
              <w:spacing w:after="0"/>
              <w:rPr>
                <w:sz w:val="13"/>
                <w:szCs w:val="13"/>
                <w:color w:val="auto"/>
              </w:rPr>
            </w:pPr>
          </w:p>
        </w:tc>
        <w:tc>
          <w:tcPr>
            <w:tcW w:w="1480" w:type="dxa"/>
            <w:vAlign w:val="bottom"/>
            <w:tcBorders>
              <w:top w:val="single" w:sz="8" w:color="99CCCC"/>
            </w:tcBorders>
          </w:tcPr>
          <w:p>
            <w:pPr>
              <w:jc w:val="center"/>
              <w:ind w:left="814"/>
              <w:spacing w:after="0" w:line="161" w:lineRule="exact"/>
              <w:rPr>
                <w:sz w:val="20"/>
                <w:szCs w:val="20"/>
                <w:color w:val="auto"/>
              </w:rPr>
            </w:pPr>
            <w:r>
              <w:rPr>
                <w:rFonts w:ascii="Arial" w:cs="Arial" w:eastAsia="Arial" w:hAnsi="Arial"/>
                <w:sz w:val="17"/>
                <w:szCs w:val="17"/>
                <w:b w:val="1"/>
                <w:bCs w:val="1"/>
                <w:color w:val="336699"/>
              </w:rPr>
              <w:t>All</w:t>
            </w:r>
          </w:p>
        </w:tc>
        <w:tc>
          <w:tcPr>
            <w:tcW w:w="660" w:type="dxa"/>
            <w:vAlign w:val="bottom"/>
            <w:tcBorders>
              <w:top w:val="single" w:sz="8" w:color="99CCC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740" w:type="dxa"/>
            <w:vAlign w:val="bottom"/>
            <w:tcBorders>
              <w:bottom w:val="single" w:sz="8" w:color="99CCCC"/>
            </w:tcBorders>
          </w:tcPr>
          <w:p>
            <w:pPr>
              <w:jc w:val="center"/>
              <w:ind w:left="1114"/>
              <w:spacing w:after="0"/>
              <w:rPr>
                <w:sz w:val="20"/>
                <w:szCs w:val="20"/>
                <w:color w:val="auto"/>
              </w:rPr>
            </w:pPr>
            <w:r>
              <w:rPr>
                <w:rFonts w:ascii="Arial" w:cs="Arial" w:eastAsia="Arial" w:hAnsi="Arial"/>
                <w:sz w:val="17"/>
                <w:szCs w:val="17"/>
                <w:b w:val="1"/>
                <w:bCs w:val="1"/>
                <w:color w:val="336699"/>
              </w:rPr>
              <w:t>(N=3)</w:t>
            </w:r>
          </w:p>
        </w:tc>
        <w:tc>
          <w:tcPr>
            <w:tcW w:w="980" w:type="dxa"/>
            <w:vAlign w:val="bottom"/>
            <w:tcBorders>
              <w:bottom w:val="single" w:sz="8" w:color="99CCCC"/>
            </w:tcBorders>
          </w:tcPr>
          <w:p>
            <w:pPr>
              <w:spacing w:after="0"/>
              <w:rPr>
                <w:sz w:val="20"/>
                <w:szCs w:val="20"/>
                <w:color w:val="auto"/>
              </w:rPr>
            </w:pPr>
          </w:p>
        </w:tc>
        <w:tc>
          <w:tcPr>
            <w:tcW w:w="1500" w:type="dxa"/>
            <w:vAlign w:val="bottom"/>
            <w:tcBorders>
              <w:bottom w:val="single" w:sz="8" w:color="99CCCC"/>
            </w:tcBorders>
          </w:tcPr>
          <w:p>
            <w:pPr>
              <w:jc w:val="center"/>
              <w:ind w:left="874"/>
              <w:spacing w:after="0"/>
              <w:rPr>
                <w:sz w:val="20"/>
                <w:szCs w:val="20"/>
                <w:color w:val="auto"/>
              </w:rPr>
            </w:pPr>
            <w:r>
              <w:rPr>
                <w:rFonts w:ascii="Arial" w:cs="Arial" w:eastAsia="Arial" w:hAnsi="Arial"/>
                <w:sz w:val="17"/>
                <w:szCs w:val="17"/>
                <w:b w:val="1"/>
                <w:bCs w:val="1"/>
                <w:color w:val="336699"/>
              </w:rPr>
              <w:t>(N=3)</w:t>
            </w:r>
          </w:p>
        </w:tc>
        <w:tc>
          <w:tcPr>
            <w:tcW w:w="980" w:type="dxa"/>
            <w:vAlign w:val="bottom"/>
            <w:tcBorders>
              <w:bottom w:val="single" w:sz="8" w:color="99CCCC"/>
            </w:tcBorders>
          </w:tcPr>
          <w:p>
            <w:pPr>
              <w:spacing w:after="0"/>
              <w:rPr>
                <w:sz w:val="20"/>
                <w:szCs w:val="20"/>
                <w:color w:val="auto"/>
              </w:rPr>
            </w:pPr>
          </w:p>
        </w:tc>
        <w:tc>
          <w:tcPr>
            <w:tcW w:w="1480" w:type="dxa"/>
            <w:vAlign w:val="bottom"/>
            <w:tcBorders>
              <w:bottom w:val="single" w:sz="8" w:color="99CCCC"/>
            </w:tcBorders>
          </w:tcPr>
          <w:p>
            <w:pPr>
              <w:jc w:val="center"/>
              <w:ind w:left="794"/>
              <w:spacing w:after="0"/>
              <w:rPr>
                <w:sz w:val="20"/>
                <w:szCs w:val="20"/>
                <w:color w:val="auto"/>
              </w:rPr>
            </w:pPr>
            <w:r>
              <w:rPr>
                <w:rFonts w:ascii="Arial" w:cs="Arial" w:eastAsia="Arial" w:hAnsi="Arial"/>
                <w:sz w:val="17"/>
                <w:szCs w:val="17"/>
                <w:b w:val="1"/>
                <w:bCs w:val="1"/>
                <w:color w:val="336699"/>
              </w:rPr>
              <w:t>(N=6)</w:t>
            </w:r>
          </w:p>
        </w:tc>
        <w:tc>
          <w:tcPr>
            <w:tcW w:w="660" w:type="dxa"/>
            <w:vAlign w:val="bottom"/>
            <w:tcBorders>
              <w:bottom w:val="single" w:sz="8" w:color="99CCCC"/>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vMerge w:val="restart"/>
          </w:tcPr>
          <w:p>
            <w:pPr>
              <w:jc w:val="center"/>
              <w:ind w:right="154"/>
              <w:spacing w:after="0"/>
              <w:rPr>
                <w:sz w:val="20"/>
                <w:szCs w:val="20"/>
                <w:color w:val="auto"/>
              </w:rPr>
            </w:pPr>
            <w:r>
              <w:rPr>
                <w:rFonts w:ascii="Arial" w:cs="Arial" w:eastAsia="Arial" w:hAnsi="Arial"/>
                <w:sz w:val="17"/>
                <w:szCs w:val="17"/>
                <w:b w:val="1"/>
                <w:bCs w:val="1"/>
                <w:color w:val="336699"/>
              </w:rPr>
              <w:t xml:space="preserve">Grade </w:t>
            </w:r>
            <w:r>
              <w:rPr>
                <w:rFonts w:ascii="Times New Roman" w:cs="Times New Roman" w:eastAsia="Times New Roman" w:hAnsi="Times New Roman"/>
                <w:sz w:val="17"/>
                <w:szCs w:val="17"/>
                <w:color w:val="336699"/>
              </w:rPr>
              <w:t>³</w:t>
            </w:r>
            <w:r>
              <w:rPr>
                <w:rFonts w:ascii="Arial" w:cs="Arial" w:eastAsia="Arial" w:hAnsi="Arial"/>
                <w:sz w:val="17"/>
                <w:szCs w:val="17"/>
                <w:b w:val="1"/>
                <w:bCs w:val="1"/>
                <w:color w:val="336699"/>
              </w:rPr>
              <w:t xml:space="preserve"> 3</w:t>
            </w:r>
          </w:p>
        </w:tc>
        <w:tc>
          <w:tcPr>
            <w:tcW w:w="1500" w:type="dxa"/>
            <w:vAlign w:val="bottom"/>
          </w:tcPr>
          <w:p>
            <w:pPr>
              <w:spacing w:after="0"/>
              <w:rPr>
                <w:sz w:val="15"/>
                <w:szCs w:val="15"/>
                <w:color w:val="auto"/>
              </w:rPr>
            </w:pPr>
          </w:p>
        </w:tc>
        <w:tc>
          <w:tcPr>
            <w:tcW w:w="980" w:type="dxa"/>
            <w:vAlign w:val="bottom"/>
            <w:vMerge w:val="restart"/>
          </w:tcPr>
          <w:p>
            <w:pPr>
              <w:jc w:val="center"/>
              <w:ind w:right="154"/>
              <w:spacing w:after="0"/>
              <w:rPr>
                <w:sz w:val="20"/>
                <w:szCs w:val="20"/>
                <w:color w:val="auto"/>
              </w:rPr>
            </w:pPr>
            <w:r>
              <w:rPr>
                <w:rFonts w:ascii="Arial" w:cs="Arial" w:eastAsia="Arial" w:hAnsi="Arial"/>
                <w:sz w:val="17"/>
                <w:szCs w:val="17"/>
                <w:b w:val="1"/>
                <w:bCs w:val="1"/>
                <w:color w:val="336699"/>
              </w:rPr>
              <w:t xml:space="preserve">Grade </w:t>
            </w:r>
            <w:r>
              <w:rPr>
                <w:rFonts w:ascii="Times New Roman" w:cs="Times New Roman" w:eastAsia="Times New Roman" w:hAnsi="Times New Roman"/>
                <w:sz w:val="17"/>
                <w:szCs w:val="17"/>
                <w:color w:val="336699"/>
              </w:rPr>
              <w:t>³</w:t>
            </w:r>
            <w:r>
              <w:rPr>
                <w:rFonts w:ascii="Arial" w:cs="Arial" w:eastAsia="Arial" w:hAnsi="Arial"/>
                <w:sz w:val="17"/>
                <w:szCs w:val="17"/>
                <w:b w:val="1"/>
                <w:bCs w:val="1"/>
                <w:color w:val="336699"/>
              </w:rPr>
              <w:t xml:space="preserve"> 3</w:t>
            </w:r>
          </w:p>
        </w:tc>
        <w:tc>
          <w:tcPr>
            <w:tcW w:w="1480" w:type="dxa"/>
            <w:vAlign w:val="bottom"/>
          </w:tcPr>
          <w:p>
            <w:pPr>
              <w:spacing w:after="0"/>
              <w:rPr>
                <w:sz w:val="15"/>
                <w:szCs w:val="15"/>
                <w:color w:val="auto"/>
              </w:rPr>
            </w:pPr>
          </w:p>
        </w:tc>
        <w:tc>
          <w:tcPr>
            <w:tcW w:w="660" w:type="dxa"/>
            <w:vAlign w:val="bottom"/>
          </w:tcPr>
          <w:p>
            <w:pPr>
              <w:jc w:val="center"/>
              <w:spacing w:after="0" w:line="174" w:lineRule="exact"/>
              <w:rPr>
                <w:sz w:val="20"/>
                <w:szCs w:val="20"/>
                <w:color w:val="auto"/>
              </w:rPr>
            </w:pPr>
            <w:r>
              <w:rPr>
                <w:rFonts w:ascii="Arial" w:cs="Arial" w:eastAsia="Arial" w:hAnsi="Arial"/>
                <w:sz w:val="17"/>
                <w:szCs w:val="17"/>
                <w:b w:val="1"/>
                <w:bCs w:val="1"/>
                <w:color w:val="336699"/>
              </w:rPr>
              <w:t xml:space="preserve">Grade </w:t>
            </w:r>
            <w:r>
              <w:rPr>
                <w:rFonts w:ascii="Times New Roman" w:cs="Times New Roman" w:eastAsia="Times New Roman" w:hAnsi="Times New Roman"/>
                <w:sz w:val="17"/>
                <w:szCs w:val="17"/>
                <w:color w:val="336699"/>
              </w:rPr>
              <w:t>³</w:t>
            </w: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740" w:type="dxa"/>
            <w:vAlign w:val="bottom"/>
          </w:tcPr>
          <w:p>
            <w:pPr>
              <w:jc w:val="center"/>
              <w:spacing w:after="0" w:line="193" w:lineRule="exact"/>
              <w:rPr>
                <w:sz w:val="20"/>
                <w:szCs w:val="20"/>
                <w:color w:val="auto"/>
              </w:rPr>
            </w:pPr>
            <w:r>
              <w:rPr>
                <w:rFonts w:ascii="Arial" w:cs="Arial" w:eastAsia="Arial" w:hAnsi="Arial"/>
                <w:sz w:val="17"/>
                <w:szCs w:val="17"/>
                <w:b w:val="1"/>
                <w:bCs w:val="1"/>
                <w:color w:val="336699"/>
              </w:rPr>
              <w:t>All grades</w:t>
            </w:r>
          </w:p>
        </w:tc>
        <w:tc>
          <w:tcPr>
            <w:tcW w:w="980" w:type="dxa"/>
            <w:vAlign w:val="bottom"/>
            <w:vMerge w:val="continue"/>
          </w:tcPr>
          <w:p>
            <w:pPr>
              <w:spacing w:after="0"/>
              <w:rPr>
                <w:sz w:val="16"/>
                <w:szCs w:val="16"/>
                <w:color w:val="auto"/>
              </w:rPr>
            </w:pPr>
          </w:p>
        </w:tc>
        <w:tc>
          <w:tcPr>
            <w:tcW w:w="1500" w:type="dxa"/>
            <w:vAlign w:val="bottom"/>
          </w:tcPr>
          <w:p>
            <w:pPr>
              <w:jc w:val="center"/>
              <w:ind w:right="154"/>
              <w:spacing w:after="0" w:line="193" w:lineRule="exact"/>
              <w:rPr>
                <w:sz w:val="20"/>
                <w:szCs w:val="20"/>
                <w:color w:val="auto"/>
              </w:rPr>
            </w:pPr>
            <w:r>
              <w:rPr>
                <w:rFonts w:ascii="Arial" w:cs="Arial" w:eastAsia="Arial" w:hAnsi="Arial"/>
                <w:sz w:val="17"/>
                <w:szCs w:val="17"/>
                <w:b w:val="1"/>
                <w:bCs w:val="1"/>
                <w:color w:val="336699"/>
                <w:w w:val="99"/>
              </w:rPr>
              <w:t>All grades</w:t>
            </w:r>
          </w:p>
        </w:tc>
        <w:tc>
          <w:tcPr>
            <w:tcW w:w="980" w:type="dxa"/>
            <w:vAlign w:val="bottom"/>
            <w:vMerge w:val="continue"/>
          </w:tcPr>
          <w:p>
            <w:pPr>
              <w:spacing w:after="0"/>
              <w:rPr>
                <w:sz w:val="16"/>
                <w:szCs w:val="16"/>
                <w:color w:val="auto"/>
              </w:rPr>
            </w:pPr>
          </w:p>
        </w:tc>
        <w:tc>
          <w:tcPr>
            <w:tcW w:w="1480" w:type="dxa"/>
            <w:vAlign w:val="bottom"/>
          </w:tcPr>
          <w:p>
            <w:pPr>
              <w:jc w:val="center"/>
              <w:ind w:right="134"/>
              <w:spacing w:after="0" w:line="193" w:lineRule="exact"/>
              <w:rPr>
                <w:sz w:val="20"/>
                <w:szCs w:val="20"/>
                <w:color w:val="auto"/>
              </w:rPr>
            </w:pPr>
            <w:r>
              <w:rPr>
                <w:rFonts w:ascii="Arial" w:cs="Arial" w:eastAsia="Arial" w:hAnsi="Arial"/>
                <w:sz w:val="17"/>
                <w:szCs w:val="17"/>
                <w:b w:val="1"/>
                <w:bCs w:val="1"/>
                <w:color w:val="336699"/>
                <w:w w:val="99"/>
              </w:rPr>
              <w:t>All grades</w:t>
            </w:r>
          </w:p>
        </w:tc>
        <w:tc>
          <w:tcPr>
            <w:tcW w:w="660" w:type="dxa"/>
            <w:vAlign w:val="bottom"/>
          </w:tcPr>
          <w:p>
            <w:pPr>
              <w:jc w:val="center"/>
              <w:spacing w:after="0" w:line="193" w:lineRule="exact"/>
              <w:rPr>
                <w:sz w:val="20"/>
                <w:szCs w:val="20"/>
                <w:color w:val="auto"/>
              </w:rPr>
            </w:pPr>
            <w:r>
              <w:rPr>
                <w:rFonts w:ascii="Arial" w:cs="Arial" w:eastAsia="Arial" w:hAnsi="Arial"/>
                <w:sz w:val="17"/>
                <w:szCs w:val="17"/>
                <w:b w:val="1"/>
                <w:bCs w:val="1"/>
                <w:color w:val="336699"/>
              </w:rPr>
              <w:t>3</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336699"/>
              </w:rPr>
              <w:t>n (%)</w:t>
            </w:r>
          </w:p>
        </w:tc>
        <w:tc>
          <w:tcPr>
            <w:tcW w:w="980" w:type="dxa"/>
            <w:vAlign w:val="bottom"/>
          </w:tcPr>
          <w:p>
            <w:pPr>
              <w:jc w:val="center"/>
              <w:ind w:right="154"/>
              <w:spacing w:after="0"/>
              <w:rPr>
                <w:sz w:val="20"/>
                <w:szCs w:val="20"/>
                <w:color w:val="auto"/>
              </w:rPr>
            </w:pPr>
            <w:r>
              <w:rPr>
                <w:rFonts w:ascii="Arial" w:cs="Arial" w:eastAsia="Arial" w:hAnsi="Arial"/>
                <w:sz w:val="17"/>
                <w:szCs w:val="17"/>
                <w:b w:val="1"/>
                <w:bCs w:val="1"/>
                <w:color w:val="336699"/>
              </w:rPr>
              <w:t>n (%)</w:t>
            </w:r>
          </w:p>
        </w:tc>
        <w:tc>
          <w:tcPr>
            <w:tcW w:w="1500" w:type="dxa"/>
            <w:vAlign w:val="bottom"/>
          </w:tcPr>
          <w:p>
            <w:pPr>
              <w:jc w:val="center"/>
              <w:ind w:right="154"/>
              <w:spacing w:after="0"/>
              <w:rPr>
                <w:sz w:val="20"/>
                <w:szCs w:val="20"/>
                <w:color w:val="auto"/>
              </w:rPr>
            </w:pPr>
            <w:r>
              <w:rPr>
                <w:rFonts w:ascii="Arial" w:cs="Arial" w:eastAsia="Arial" w:hAnsi="Arial"/>
                <w:sz w:val="17"/>
                <w:szCs w:val="17"/>
                <w:b w:val="1"/>
                <w:bCs w:val="1"/>
                <w:color w:val="336699"/>
              </w:rPr>
              <w:t>n (%)</w:t>
            </w:r>
          </w:p>
        </w:tc>
        <w:tc>
          <w:tcPr>
            <w:tcW w:w="980" w:type="dxa"/>
            <w:vAlign w:val="bottom"/>
          </w:tcPr>
          <w:p>
            <w:pPr>
              <w:jc w:val="center"/>
              <w:ind w:right="154"/>
              <w:spacing w:after="0"/>
              <w:rPr>
                <w:sz w:val="20"/>
                <w:szCs w:val="20"/>
                <w:color w:val="auto"/>
              </w:rPr>
            </w:pPr>
            <w:r>
              <w:rPr>
                <w:rFonts w:ascii="Arial" w:cs="Arial" w:eastAsia="Arial" w:hAnsi="Arial"/>
                <w:sz w:val="17"/>
                <w:szCs w:val="17"/>
                <w:b w:val="1"/>
                <w:bCs w:val="1"/>
                <w:color w:val="336699"/>
              </w:rPr>
              <w:t>n (%)</w:t>
            </w:r>
          </w:p>
        </w:tc>
        <w:tc>
          <w:tcPr>
            <w:tcW w:w="1480" w:type="dxa"/>
            <w:vAlign w:val="bottom"/>
          </w:tcPr>
          <w:p>
            <w:pPr>
              <w:jc w:val="center"/>
              <w:ind w:right="134"/>
              <w:spacing w:after="0"/>
              <w:rPr>
                <w:sz w:val="20"/>
                <w:szCs w:val="20"/>
                <w:color w:val="auto"/>
              </w:rPr>
            </w:pPr>
            <w:r>
              <w:rPr>
                <w:rFonts w:ascii="Arial" w:cs="Arial" w:eastAsia="Arial" w:hAnsi="Arial"/>
                <w:sz w:val="17"/>
                <w:szCs w:val="17"/>
                <w:b w:val="1"/>
                <w:bCs w:val="1"/>
                <w:color w:val="336699"/>
              </w:rPr>
              <w:t>n (%)</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336699"/>
              </w:rPr>
              <w:t>n (%)</w:t>
            </w:r>
          </w:p>
        </w:tc>
        <w:tc>
          <w:tcPr>
            <w:tcW w:w="0" w:type="dxa"/>
            <w:vAlign w:val="bottom"/>
          </w:tcPr>
          <w:p>
            <w:pPr>
              <w:spacing w:after="0"/>
              <w:rPr>
                <w:sz w:val="1"/>
                <w:szCs w:val="1"/>
                <w:color w:val="auto"/>
              </w:rPr>
            </w:pPr>
          </w:p>
        </w:tc>
      </w:tr>
      <w:tr>
        <w:trPr>
          <w:trHeight w:val="193"/>
        </w:trPr>
        <w:tc>
          <w:tcPr>
            <w:tcW w:w="3900" w:type="dxa"/>
            <w:vAlign w:val="bottom"/>
            <w:shd w:val="clear" w:color="auto" w:fill="E9F6F8"/>
          </w:tcPr>
          <w:p>
            <w:pPr>
              <w:spacing w:after="0" w:line="193" w:lineRule="exact"/>
              <w:rPr>
                <w:sz w:val="20"/>
                <w:szCs w:val="20"/>
                <w:color w:val="auto"/>
              </w:rPr>
            </w:pPr>
            <w:r>
              <w:rPr>
                <w:rFonts w:ascii="Arial" w:cs="Arial" w:eastAsia="Arial" w:hAnsi="Arial"/>
                <w:sz w:val="17"/>
                <w:szCs w:val="17"/>
                <w:color w:val="auto"/>
              </w:rPr>
              <w:t>Any TRAE</w:t>
            </w:r>
            <w:r>
              <w:rPr>
                <w:rFonts w:ascii="Arial" w:cs="Arial" w:eastAsia="Arial" w:hAnsi="Arial"/>
                <w:sz w:val="14"/>
                <w:szCs w:val="14"/>
                <w:color w:val="auto"/>
              </w:rPr>
              <w:t>a</w:t>
            </w:r>
          </w:p>
        </w:tc>
        <w:tc>
          <w:tcPr>
            <w:tcW w:w="174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2 (66.7)</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3 (100)</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shd w:val="clear" w:color="auto" w:fill="E9F6F8"/>
          </w:tcPr>
          <w:p>
            <w:pPr>
              <w:jc w:val="center"/>
              <w:ind w:right="114"/>
              <w:spacing w:after="0" w:line="193" w:lineRule="exact"/>
              <w:rPr>
                <w:sz w:val="20"/>
                <w:szCs w:val="20"/>
                <w:color w:val="auto"/>
              </w:rPr>
            </w:pPr>
            <w:r>
              <w:rPr>
                <w:rFonts w:ascii="Arial" w:cs="Arial" w:eastAsia="Arial" w:hAnsi="Arial"/>
                <w:sz w:val="17"/>
                <w:szCs w:val="17"/>
                <w:color w:val="auto"/>
              </w:rPr>
              <w:t>5 (83.3)</w:t>
            </w:r>
          </w:p>
        </w:tc>
        <w:tc>
          <w:tcPr>
            <w:tcW w:w="66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tcPr>
          <w:p>
            <w:pPr>
              <w:spacing w:after="0" w:line="193" w:lineRule="exact"/>
              <w:rPr>
                <w:sz w:val="20"/>
                <w:szCs w:val="20"/>
                <w:color w:val="auto"/>
              </w:rPr>
            </w:pPr>
            <w:r>
              <w:rPr>
                <w:rFonts w:ascii="Arial" w:cs="Arial" w:eastAsia="Arial" w:hAnsi="Arial"/>
                <w:sz w:val="17"/>
                <w:szCs w:val="17"/>
                <w:color w:val="auto"/>
              </w:rPr>
              <w:t>Fatigue</w:t>
            </w:r>
          </w:p>
        </w:tc>
        <w:tc>
          <w:tcPr>
            <w:tcW w:w="1740" w:type="dxa"/>
            <w:vAlign w:val="bottom"/>
          </w:tcPr>
          <w:p>
            <w:pPr>
              <w:jc w:val="center"/>
              <w:spacing w:after="0" w:line="193" w:lineRule="exact"/>
              <w:rPr>
                <w:sz w:val="20"/>
                <w:szCs w:val="20"/>
                <w:color w:val="auto"/>
              </w:rPr>
            </w:pPr>
            <w:r>
              <w:rPr>
                <w:rFonts w:ascii="Arial" w:cs="Arial" w:eastAsia="Arial" w:hAnsi="Arial"/>
                <w:sz w:val="17"/>
                <w:szCs w:val="17"/>
                <w:color w:val="auto"/>
              </w:rPr>
              <w:t>2 (66.7)</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3 (100)</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tcPr>
          <w:p>
            <w:pPr>
              <w:jc w:val="center"/>
              <w:ind w:right="114"/>
              <w:spacing w:after="0" w:line="193" w:lineRule="exact"/>
              <w:rPr>
                <w:sz w:val="20"/>
                <w:szCs w:val="20"/>
                <w:color w:val="auto"/>
              </w:rPr>
            </w:pPr>
            <w:r>
              <w:rPr>
                <w:rFonts w:ascii="Arial" w:cs="Arial" w:eastAsia="Arial" w:hAnsi="Arial"/>
                <w:sz w:val="17"/>
                <w:szCs w:val="17"/>
                <w:color w:val="auto"/>
              </w:rPr>
              <w:t>5 (83.3)</w:t>
            </w:r>
          </w:p>
        </w:tc>
        <w:tc>
          <w:tcPr>
            <w:tcW w:w="660" w:type="dxa"/>
            <w:vAlign w:val="bottom"/>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shd w:val="clear" w:color="auto" w:fill="E9F6F8"/>
          </w:tcPr>
          <w:p>
            <w:pPr>
              <w:spacing w:after="0" w:line="193" w:lineRule="exact"/>
              <w:rPr>
                <w:sz w:val="20"/>
                <w:szCs w:val="20"/>
                <w:color w:val="auto"/>
              </w:rPr>
            </w:pPr>
            <w:r>
              <w:rPr>
                <w:rFonts w:ascii="Arial" w:cs="Arial" w:eastAsia="Arial" w:hAnsi="Arial"/>
                <w:sz w:val="17"/>
                <w:szCs w:val="17"/>
                <w:color w:val="auto"/>
              </w:rPr>
              <w:t>Diarrhea</w:t>
            </w:r>
          </w:p>
        </w:tc>
        <w:tc>
          <w:tcPr>
            <w:tcW w:w="174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shd w:val="clear" w:color="auto" w:fill="E9F6F8"/>
          </w:tcPr>
          <w:p>
            <w:pPr>
              <w:jc w:val="center"/>
              <w:ind w:right="134"/>
              <w:spacing w:after="0" w:line="193" w:lineRule="exact"/>
              <w:rPr>
                <w:sz w:val="20"/>
                <w:szCs w:val="20"/>
                <w:color w:val="auto"/>
              </w:rPr>
            </w:pPr>
            <w:r>
              <w:rPr>
                <w:rFonts w:ascii="Arial" w:cs="Arial" w:eastAsia="Arial" w:hAnsi="Arial"/>
                <w:sz w:val="17"/>
                <w:szCs w:val="17"/>
                <w:color w:val="auto"/>
              </w:rPr>
              <w:t>2 (66.7)</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shd w:val="clear" w:color="auto" w:fill="E9F6F8"/>
          </w:tcPr>
          <w:p>
            <w:pPr>
              <w:jc w:val="center"/>
              <w:ind w:right="114"/>
              <w:spacing w:after="0" w:line="193" w:lineRule="exact"/>
              <w:rPr>
                <w:sz w:val="20"/>
                <w:szCs w:val="20"/>
                <w:color w:val="auto"/>
              </w:rPr>
            </w:pPr>
            <w:r>
              <w:rPr>
                <w:rFonts w:ascii="Arial" w:cs="Arial" w:eastAsia="Arial" w:hAnsi="Arial"/>
                <w:sz w:val="17"/>
                <w:szCs w:val="17"/>
                <w:color w:val="auto"/>
              </w:rPr>
              <w:t>2 (33.3)</w:t>
            </w:r>
          </w:p>
        </w:tc>
        <w:tc>
          <w:tcPr>
            <w:tcW w:w="66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tcPr>
          <w:p>
            <w:pPr>
              <w:spacing w:after="0" w:line="193" w:lineRule="exact"/>
              <w:rPr>
                <w:sz w:val="20"/>
                <w:szCs w:val="20"/>
                <w:color w:val="auto"/>
              </w:rPr>
            </w:pPr>
            <w:r>
              <w:rPr>
                <w:rFonts w:ascii="Arial" w:cs="Arial" w:eastAsia="Arial" w:hAnsi="Arial"/>
                <w:sz w:val="17"/>
                <w:szCs w:val="17"/>
                <w:color w:val="auto"/>
              </w:rPr>
              <w:t>Nausea</w:t>
            </w:r>
          </w:p>
        </w:tc>
        <w:tc>
          <w:tcPr>
            <w:tcW w:w="1740" w:type="dxa"/>
            <w:vAlign w:val="bottom"/>
          </w:tcPr>
          <w:p>
            <w:pPr>
              <w:jc w:val="center"/>
              <w:spacing w:after="0" w:line="193" w:lineRule="exact"/>
              <w:rPr>
                <w:sz w:val="20"/>
                <w:szCs w:val="20"/>
                <w:color w:val="auto"/>
              </w:rPr>
            </w:pPr>
            <w:r>
              <w:rPr>
                <w:rFonts w:ascii="Arial" w:cs="Arial" w:eastAsia="Arial" w:hAnsi="Arial"/>
                <w:sz w:val="17"/>
                <w:szCs w:val="17"/>
                <w:color w:val="auto"/>
              </w:rPr>
              <w:t>0</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tcPr>
          <w:p>
            <w:pPr>
              <w:jc w:val="center"/>
              <w:ind w:right="134"/>
              <w:spacing w:after="0" w:line="193" w:lineRule="exact"/>
              <w:rPr>
                <w:sz w:val="20"/>
                <w:szCs w:val="20"/>
                <w:color w:val="auto"/>
              </w:rPr>
            </w:pPr>
            <w:r>
              <w:rPr>
                <w:rFonts w:ascii="Arial" w:cs="Arial" w:eastAsia="Arial" w:hAnsi="Arial"/>
                <w:sz w:val="17"/>
                <w:szCs w:val="17"/>
                <w:color w:val="auto"/>
              </w:rPr>
              <w:t>2 (66.7)</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tcPr>
          <w:p>
            <w:pPr>
              <w:jc w:val="center"/>
              <w:ind w:right="114"/>
              <w:spacing w:after="0" w:line="193" w:lineRule="exact"/>
              <w:rPr>
                <w:sz w:val="20"/>
                <w:szCs w:val="20"/>
                <w:color w:val="auto"/>
              </w:rPr>
            </w:pPr>
            <w:r>
              <w:rPr>
                <w:rFonts w:ascii="Arial" w:cs="Arial" w:eastAsia="Arial" w:hAnsi="Arial"/>
                <w:sz w:val="17"/>
                <w:szCs w:val="17"/>
                <w:color w:val="auto"/>
              </w:rPr>
              <w:t>2 (33.3)</w:t>
            </w:r>
          </w:p>
        </w:tc>
        <w:tc>
          <w:tcPr>
            <w:tcW w:w="660" w:type="dxa"/>
            <w:vAlign w:val="bottom"/>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shd w:val="clear" w:color="auto" w:fill="E9F6F8"/>
          </w:tcPr>
          <w:p>
            <w:pPr>
              <w:spacing w:after="0" w:line="193" w:lineRule="exact"/>
              <w:rPr>
                <w:sz w:val="20"/>
                <w:szCs w:val="20"/>
                <w:color w:val="auto"/>
              </w:rPr>
            </w:pPr>
            <w:r>
              <w:rPr>
                <w:rFonts w:ascii="Arial" w:cs="Arial" w:eastAsia="Arial" w:hAnsi="Arial"/>
                <w:sz w:val="17"/>
                <w:szCs w:val="17"/>
                <w:color w:val="auto"/>
              </w:rPr>
              <w:t>Vomiting</w:t>
            </w:r>
          </w:p>
        </w:tc>
        <w:tc>
          <w:tcPr>
            <w:tcW w:w="174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shd w:val="clear" w:color="auto" w:fill="E9F6F8"/>
          </w:tcPr>
          <w:p>
            <w:pPr>
              <w:jc w:val="center"/>
              <w:ind w:right="134"/>
              <w:spacing w:after="0" w:line="193" w:lineRule="exact"/>
              <w:rPr>
                <w:sz w:val="20"/>
                <w:szCs w:val="20"/>
                <w:color w:val="auto"/>
              </w:rPr>
            </w:pPr>
            <w:r>
              <w:rPr>
                <w:rFonts w:ascii="Arial" w:cs="Arial" w:eastAsia="Arial" w:hAnsi="Arial"/>
                <w:sz w:val="17"/>
                <w:szCs w:val="17"/>
                <w:color w:val="auto"/>
              </w:rPr>
              <w:t>2 (66.7)</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shd w:val="clear" w:color="auto" w:fill="E9F6F8"/>
          </w:tcPr>
          <w:p>
            <w:pPr>
              <w:jc w:val="center"/>
              <w:ind w:right="114"/>
              <w:spacing w:after="0" w:line="193" w:lineRule="exact"/>
              <w:rPr>
                <w:sz w:val="20"/>
                <w:szCs w:val="20"/>
                <w:color w:val="auto"/>
              </w:rPr>
            </w:pPr>
            <w:r>
              <w:rPr>
                <w:rFonts w:ascii="Arial" w:cs="Arial" w:eastAsia="Arial" w:hAnsi="Arial"/>
                <w:sz w:val="17"/>
                <w:szCs w:val="17"/>
                <w:color w:val="auto"/>
              </w:rPr>
              <w:t>2 (33.3)</w:t>
            </w:r>
          </w:p>
        </w:tc>
        <w:tc>
          <w:tcPr>
            <w:tcW w:w="66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tcPr>
          <w:p>
            <w:pPr>
              <w:spacing w:after="0" w:line="193" w:lineRule="exact"/>
              <w:rPr>
                <w:sz w:val="20"/>
                <w:szCs w:val="20"/>
                <w:color w:val="auto"/>
              </w:rPr>
            </w:pPr>
            <w:r>
              <w:rPr>
                <w:rFonts w:ascii="Arial" w:cs="Arial" w:eastAsia="Arial" w:hAnsi="Arial"/>
                <w:sz w:val="17"/>
                <w:szCs w:val="17"/>
                <w:color w:val="auto"/>
              </w:rPr>
              <w:t>Dermatitis acneiform</w:t>
            </w:r>
            <w:r>
              <w:rPr>
                <w:rFonts w:ascii="Arial" w:cs="Arial" w:eastAsia="Arial" w:hAnsi="Arial"/>
                <w:sz w:val="14"/>
                <w:szCs w:val="14"/>
                <w:color w:val="auto"/>
              </w:rPr>
              <w:t>b</w:t>
            </w:r>
          </w:p>
        </w:tc>
        <w:tc>
          <w:tcPr>
            <w:tcW w:w="1740" w:type="dxa"/>
            <w:vAlign w:val="bottom"/>
          </w:tcPr>
          <w:p>
            <w:pPr>
              <w:jc w:val="center"/>
              <w:spacing w:after="0" w:line="193" w:lineRule="exact"/>
              <w:rPr>
                <w:sz w:val="20"/>
                <w:szCs w:val="20"/>
                <w:color w:val="auto"/>
              </w:rPr>
            </w:pPr>
            <w:r>
              <w:rPr>
                <w:rFonts w:ascii="Arial" w:cs="Arial" w:eastAsia="Arial" w:hAnsi="Arial"/>
                <w:sz w:val="17"/>
                <w:szCs w:val="17"/>
                <w:color w:val="auto"/>
              </w:rPr>
              <w:t>1 (33.3)</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980" w:type="dxa"/>
            <w:vAlign w:val="bottom"/>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tcPr>
          <w:p>
            <w:pPr>
              <w:jc w:val="center"/>
              <w:ind w:right="114"/>
              <w:spacing w:after="0" w:line="193" w:lineRule="exact"/>
              <w:rPr>
                <w:sz w:val="20"/>
                <w:szCs w:val="20"/>
                <w:color w:val="auto"/>
              </w:rPr>
            </w:pPr>
            <w:r>
              <w:rPr>
                <w:rFonts w:ascii="Arial" w:cs="Arial" w:eastAsia="Arial" w:hAnsi="Arial"/>
                <w:sz w:val="17"/>
                <w:szCs w:val="17"/>
                <w:color w:val="auto"/>
              </w:rPr>
              <w:t>1 (16.7)</w:t>
            </w:r>
          </w:p>
        </w:tc>
        <w:tc>
          <w:tcPr>
            <w:tcW w:w="660" w:type="dxa"/>
            <w:vAlign w:val="bottom"/>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3"/>
        </w:trPr>
        <w:tc>
          <w:tcPr>
            <w:tcW w:w="3900" w:type="dxa"/>
            <w:vAlign w:val="bottom"/>
            <w:shd w:val="clear" w:color="auto" w:fill="E9F6F8"/>
          </w:tcPr>
          <w:p>
            <w:pPr>
              <w:spacing w:after="0" w:line="193" w:lineRule="exact"/>
              <w:rPr>
                <w:sz w:val="20"/>
                <w:szCs w:val="20"/>
                <w:color w:val="auto"/>
              </w:rPr>
            </w:pPr>
            <w:r>
              <w:rPr>
                <w:rFonts w:ascii="Arial" w:cs="Arial" w:eastAsia="Arial" w:hAnsi="Arial"/>
                <w:sz w:val="17"/>
                <w:szCs w:val="17"/>
                <w:color w:val="auto"/>
              </w:rPr>
              <w:t>Decreased appetite</w:t>
            </w:r>
          </w:p>
        </w:tc>
        <w:tc>
          <w:tcPr>
            <w:tcW w:w="174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1 (33.3)</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50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980" w:type="dxa"/>
            <w:vAlign w:val="bottom"/>
            <w:shd w:val="clear" w:color="auto" w:fill="E9F6F8"/>
          </w:tcPr>
          <w:p>
            <w:pPr>
              <w:jc w:val="center"/>
              <w:ind w:right="154"/>
              <w:spacing w:after="0" w:line="193" w:lineRule="exact"/>
              <w:rPr>
                <w:sz w:val="20"/>
                <w:szCs w:val="20"/>
                <w:color w:val="auto"/>
              </w:rPr>
            </w:pPr>
            <w:r>
              <w:rPr>
                <w:rFonts w:ascii="Arial" w:cs="Arial" w:eastAsia="Arial" w:hAnsi="Arial"/>
                <w:sz w:val="17"/>
                <w:szCs w:val="17"/>
                <w:color w:val="auto"/>
              </w:rPr>
              <w:t>0</w:t>
            </w:r>
          </w:p>
        </w:tc>
        <w:tc>
          <w:tcPr>
            <w:tcW w:w="1480" w:type="dxa"/>
            <w:vAlign w:val="bottom"/>
            <w:shd w:val="clear" w:color="auto" w:fill="E9F6F8"/>
          </w:tcPr>
          <w:p>
            <w:pPr>
              <w:jc w:val="center"/>
              <w:ind w:right="114"/>
              <w:spacing w:after="0" w:line="193" w:lineRule="exact"/>
              <w:rPr>
                <w:sz w:val="20"/>
                <w:szCs w:val="20"/>
                <w:color w:val="auto"/>
              </w:rPr>
            </w:pPr>
            <w:r>
              <w:rPr>
                <w:rFonts w:ascii="Arial" w:cs="Arial" w:eastAsia="Arial" w:hAnsi="Arial"/>
                <w:sz w:val="17"/>
                <w:szCs w:val="17"/>
                <w:color w:val="auto"/>
              </w:rPr>
              <w:t>1 (16.7)</w:t>
            </w:r>
          </w:p>
        </w:tc>
        <w:tc>
          <w:tcPr>
            <w:tcW w:w="660" w:type="dxa"/>
            <w:vAlign w:val="bottom"/>
            <w:shd w:val="clear" w:color="auto" w:fill="E9F6F8"/>
          </w:tcPr>
          <w:p>
            <w:pPr>
              <w:jc w:val="center"/>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right="780"/>
        <w:spacing w:after="0" w:line="242" w:lineRule="auto"/>
        <w:rPr>
          <w:sz w:val="20"/>
          <w:szCs w:val="20"/>
          <w:color w:val="auto"/>
        </w:rPr>
      </w:pPr>
      <w:r>
        <w:rPr>
          <w:rFonts w:ascii="Arial" w:cs="Arial" w:eastAsia="Arial" w:hAnsi="Arial"/>
          <w:sz w:val="15"/>
          <w:szCs w:val="15"/>
          <w:color w:val="auto"/>
        </w:rPr>
        <w:t>a</w:t>
      </w:r>
      <w:r>
        <w:rPr>
          <w:rFonts w:ascii="Arial" w:cs="Arial" w:eastAsia="Arial" w:hAnsi="Arial"/>
          <w:sz w:val="17"/>
          <w:szCs w:val="17"/>
          <w:color w:val="auto"/>
        </w:rPr>
        <w:t>TRAE, treatment related adverse event; refers to a treatment emergent adverse event assessed as related to study treatment by both the</w:t>
      </w:r>
      <w:r>
        <w:rPr>
          <w:rFonts w:ascii="Arial" w:cs="Arial" w:eastAsia="Arial" w:hAnsi="Arial"/>
          <w:sz w:val="15"/>
          <w:szCs w:val="15"/>
          <w:color w:val="auto"/>
        </w:rPr>
        <w:t xml:space="preserve"> </w:t>
      </w:r>
      <w:r>
        <w:rPr>
          <w:rFonts w:ascii="Arial" w:cs="Arial" w:eastAsia="Arial" w:hAnsi="Arial"/>
          <w:sz w:val="17"/>
          <w:szCs w:val="17"/>
          <w:color w:val="auto"/>
        </w:rPr>
        <w:t>investigator and the sponsor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w:t>
      </w:r>
      <w:r>
        <w:rPr>
          <w:rFonts w:ascii="Arial" w:cs="Arial" w:eastAsia="Arial" w:hAnsi="Arial"/>
          <w:sz w:val="17"/>
          <w:szCs w:val="17"/>
          <w:color w:val="auto"/>
        </w:rPr>
        <w:t>Dermatitis acneiform included in the term rash for the summation of TRAEs occurring in both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color w:val="336699"/>
        </w:rPr>
        <w:t xml:space="preserve">Figure 2. </w:t>
      </w:r>
      <w:r>
        <w:rPr>
          <w:rFonts w:ascii="Arial" w:cs="Arial" w:eastAsia="Arial" w:hAnsi="Arial"/>
          <w:sz w:val="17"/>
          <w:szCs w:val="17"/>
          <w:color w:val="336699"/>
        </w:rPr>
        <w:t>Pharmacokinetic and pharmacodynamic markers in monotherapy-Maximum fold change from baseline measured at any cycle in plasma</w:t>
      </w:r>
      <w:r>
        <w:rPr>
          <w:rFonts w:ascii="Arial" w:cs="Arial" w:eastAsia="Arial" w:hAnsi="Arial"/>
          <w:sz w:val="17"/>
          <w:szCs w:val="17"/>
          <w:b w:val="1"/>
          <w:bCs w:val="1"/>
          <w:color w:val="336699"/>
        </w:rPr>
        <w:t xml:space="preserve"> </w:t>
      </w:r>
      <w:r>
        <w:rPr>
          <w:rFonts w:ascii="Arial" w:cs="Arial" w:eastAsia="Arial" w:hAnsi="Arial"/>
          <w:sz w:val="17"/>
          <w:szCs w:val="17"/>
          <w:color w:val="336699"/>
        </w:rPr>
        <w:t>for IL15 (a), IFNg (b), IP10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2219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BCC, basal cell cancer; CSCC, cutaneous squamous cell cancer; MCC, Merkel cell carcinoma; TNBC, triple negative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FFFFFF"/>
        </w:rPr>
        <w:t>CONCLUSIONS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676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676910"/>
                    </a:xfrm>
                    <a:prstGeom prst="rect">
                      <a:avLst/>
                    </a:prstGeom>
                    <a:noFill/>
                  </pic:spPr>
                </pic:pic>
              </a:graphicData>
            </a:graphic>
          </wp:anchor>
        </w:drawing>
      </w:r>
    </w:p>
    <w:p>
      <w:pPr>
        <w:spacing w:after="0" w:line="97" w:lineRule="exact"/>
        <w:rPr>
          <w:sz w:val="20"/>
          <w:szCs w:val="20"/>
          <w:color w:val="auto"/>
        </w:rPr>
      </w:pPr>
    </w:p>
    <w:p>
      <w:pPr>
        <w:ind w:left="400" w:hanging="162"/>
        <w:spacing w:after="0"/>
        <w:tabs>
          <w:tab w:leader="none" w:pos="400" w:val="left"/>
        </w:tabs>
        <w:numPr>
          <w:ilvl w:val="0"/>
          <w:numId w:val="32"/>
        </w:numPr>
        <w:rPr>
          <w:rFonts w:ascii="Arial" w:cs="Arial" w:eastAsia="Arial" w:hAnsi="Arial"/>
          <w:sz w:val="17"/>
          <w:szCs w:val="17"/>
          <w:color w:val="99CCCC"/>
        </w:rPr>
      </w:pPr>
      <w:r>
        <w:rPr>
          <w:rFonts w:ascii="Arial" w:cs="Arial" w:eastAsia="Arial" w:hAnsi="Arial"/>
          <w:sz w:val="17"/>
          <w:szCs w:val="17"/>
          <w:color w:val="auto"/>
        </w:rPr>
        <w:t>SAR441000 administered as monotherapy and in combination with cemiplimab was generally well tolerated</w:t>
      </w:r>
    </w:p>
    <w:p>
      <w:pPr>
        <w:spacing w:after="0" w:line="112" w:lineRule="exact"/>
        <w:rPr>
          <w:rFonts w:ascii="Arial" w:cs="Arial" w:eastAsia="Arial" w:hAnsi="Arial"/>
          <w:sz w:val="17"/>
          <w:szCs w:val="17"/>
          <w:color w:val="99CCCC"/>
        </w:rPr>
      </w:pPr>
    </w:p>
    <w:p>
      <w:pPr>
        <w:ind w:left="400" w:right="260" w:hanging="162"/>
        <w:spacing w:after="0" w:line="280" w:lineRule="auto"/>
        <w:tabs>
          <w:tab w:leader="none" w:pos="385" w:val="left"/>
        </w:tabs>
        <w:numPr>
          <w:ilvl w:val="0"/>
          <w:numId w:val="32"/>
        </w:numPr>
        <w:rPr>
          <w:rFonts w:ascii="Arial" w:cs="Arial" w:eastAsia="Arial" w:hAnsi="Arial"/>
          <w:sz w:val="17"/>
          <w:szCs w:val="17"/>
          <w:color w:val="99CCCC"/>
        </w:rPr>
      </w:pPr>
      <w:r>
        <w:rPr>
          <w:rFonts w:ascii="Arial" w:cs="Arial" w:eastAsia="Arial" w:hAnsi="Arial"/>
          <w:sz w:val="17"/>
          <w:szCs w:val="17"/>
          <w:color w:val="auto"/>
        </w:rPr>
        <w:t>In monotherapy, initial signals at DL6 and DL7 are suggestive of an immunomodulatory effect by downstream effector cytokines. These data support further clinical evaluation of SAR441000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gridSpan w:val="2"/>
            <w:shd w:val="clear" w:color="auto" w:fill="336699"/>
          </w:tcPr>
          <w:p>
            <w:pPr>
              <w:ind w:left="200"/>
              <w:spacing w:after="0"/>
              <w:rPr>
                <w:sz w:val="20"/>
                <w:szCs w:val="20"/>
                <w:color w:val="auto"/>
              </w:rPr>
            </w:pPr>
            <w:r>
              <w:rPr>
                <w:rFonts w:ascii="Arial" w:cs="Arial" w:eastAsia="Arial" w:hAnsi="Arial"/>
                <w:sz w:val="12"/>
                <w:szCs w:val="12"/>
                <w:b w:val="1"/>
                <w:bCs w:val="1"/>
                <w:color w:val="FFFFFF"/>
              </w:rPr>
              <w:t>ACKNOWLEDGMENTS</w:t>
            </w:r>
          </w:p>
        </w:tc>
        <w:tc>
          <w:tcPr>
            <w:tcW w:w="120" w:type="dxa"/>
            <w:vAlign w:val="bottom"/>
            <w:shd w:val="clear" w:color="auto" w:fill="336699"/>
          </w:tcPr>
          <w:p>
            <w:pPr>
              <w:ind w:left="40"/>
              <w:spacing w:after="0"/>
              <w:rPr>
                <w:sz w:val="20"/>
                <w:szCs w:val="20"/>
                <w:color w:val="auto"/>
              </w:rPr>
            </w:pPr>
            <w:r>
              <w:rPr>
                <w:rFonts w:ascii="Arial" w:cs="Arial" w:eastAsia="Arial" w:hAnsi="Arial"/>
                <w:sz w:val="12"/>
                <w:szCs w:val="12"/>
                <w:color w:val="FFFFFF"/>
              </w:rPr>
              <w:t>•</w:t>
            </w:r>
          </w:p>
        </w:tc>
        <w:tc>
          <w:tcPr>
            <w:tcW w:w="2220" w:type="dxa"/>
            <w:vAlign w:val="bottom"/>
            <w:shd w:val="clear" w:color="auto" w:fill="336699"/>
          </w:tcPr>
          <w:p>
            <w:pPr>
              <w:ind w:left="40"/>
              <w:spacing w:after="0"/>
              <w:rPr>
                <w:sz w:val="20"/>
                <w:szCs w:val="20"/>
                <w:color w:val="auto"/>
              </w:rPr>
            </w:pPr>
            <w:r>
              <w:rPr>
                <w:rFonts w:ascii="Arial" w:cs="Arial" w:eastAsia="Arial" w:hAnsi="Arial"/>
                <w:sz w:val="12"/>
                <w:szCs w:val="12"/>
                <w:color w:val="FFFFFF"/>
              </w:rPr>
              <w:t>Strategic oversight, study design and</w:t>
            </w:r>
          </w:p>
        </w:tc>
        <w:tc>
          <w:tcPr>
            <w:tcW w:w="2220" w:type="dxa"/>
            <w:vAlign w:val="bottom"/>
            <w:shd w:val="clear" w:color="auto" w:fill="336699"/>
          </w:tcPr>
          <w:p>
            <w:pPr>
              <w:ind w:left="60"/>
              <w:spacing w:after="0"/>
              <w:rPr>
                <w:sz w:val="20"/>
                <w:szCs w:val="20"/>
                <w:color w:val="auto"/>
              </w:rPr>
            </w:pPr>
            <w:r>
              <w:rPr>
                <w:rFonts w:ascii="Arial" w:cs="Arial" w:eastAsia="Arial" w:hAnsi="Arial"/>
                <w:sz w:val="12"/>
                <w:szCs w:val="12"/>
                <w:b w:val="1"/>
                <w:bCs w:val="1"/>
                <w:color w:val="FFFFFF"/>
              </w:rPr>
              <w:t>DISCLOSURE</w:t>
            </w:r>
          </w:p>
        </w:tc>
        <w:tc>
          <w:tcPr>
            <w:tcW w:w="2220" w:type="dxa"/>
            <w:vAlign w:val="bottom"/>
            <w:shd w:val="clear" w:color="auto" w:fill="336699"/>
          </w:tcPr>
          <w:p>
            <w:pPr>
              <w:ind w:left="220"/>
              <w:spacing w:after="0"/>
              <w:rPr>
                <w:sz w:val="20"/>
                <w:szCs w:val="20"/>
                <w:color w:val="auto"/>
              </w:rPr>
            </w:pPr>
            <w:r>
              <w:rPr>
                <w:rFonts w:ascii="Arial" w:cs="Arial" w:eastAsia="Arial" w:hAnsi="Arial"/>
                <w:sz w:val="12"/>
                <w:szCs w:val="12"/>
                <w:b w:val="1"/>
                <w:bCs w:val="1"/>
                <w:color w:val="FFFFFF"/>
              </w:rPr>
              <w:t>REFERENCE</w:t>
            </w:r>
          </w:p>
        </w:tc>
        <w:tc>
          <w:tcPr>
            <w:tcW w:w="2180" w:type="dxa"/>
            <w:vAlign w:val="bottom"/>
            <w:shd w:val="clear" w:color="auto" w:fill="336699"/>
          </w:tcPr>
          <w:p>
            <w:pPr>
              <w:ind w:left="160"/>
              <w:spacing w:after="0"/>
              <w:rPr>
                <w:sz w:val="20"/>
                <w:szCs w:val="20"/>
                <w:color w:val="auto"/>
              </w:rPr>
            </w:pPr>
            <w:r>
              <w:rPr>
                <w:rFonts w:ascii="Arial" w:cs="Arial" w:eastAsia="Arial" w:hAnsi="Arial"/>
                <w:sz w:val="12"/>
                <w:szCs w:val="12"/>
                <w:color w:val="FFFFFF"/>
              </w:rPr>
              <w:t>The study was approved by each</w:t>
            </w:r>
          </w:p>
        </w:tc>
      </w:tr>
      <w:tr>
        <w:trPr>
          <w:trHeight w:val="130"/>
        </w:trPr>
        <w:tc>
          <w:tcPr>
            <w:tcW w:w="280" w:type="dxa"/>
            <w:vAlign w:val="bottom"/>
            <w:shd w:val="clear" w:color="auto" w:fill="336699"/>
          </w:tcPr>
          <w:p>
            <w:pPr>
              <w:ind w:left="200"/>
              <w:spacing w:after="0" w:line="130" w:lineRule="exact"/>
              <w:rPr>
                <w:sz w:val="20"/>
                <w:szCs w:val="20"/>
                <w:color w:val="auto"/>
              </w:rPr>
            </w:pPr>
            <w:r>
              <w:rPr>
                <w:rFonts w:ascii="Arial" w:cs="Arial" w:eastAsia="Arial" w:hAnsi="Arial"/>
                <w:sz w:val="12"/>
                <w:szCs w:val="12"/>
                <w:color w:val="FFFFFF"/>
              </w:rPr>
              <w:t>•</w:t>
            </w:r>
          </w:p>
        </w:tc>
        <w:tc>
          <w:tcPr>
            <w:tcW w:w="2000" w:type="dxa"/>
            <w:vAlign w:val="bottom"/>
            <w:shd w:val="clear" w:color="auto" w:fill="336699"/>
          </w:tcPr>
          <w:p>
            <w:pPr>
              <w:ind w:left="40"/>
              <w:spacing w:after="0" w:line="130" w:lineRule="exact"/>
              <w:rPr>
                <w:sz w:val="20"/>
                <w:szCs w:val="20"/>
                <w:color w:val="auto"/>
              </w:rPr>
            </w:pPr>
            <w:r>
              <w:rPr>
                <w:rFonts w:ascii="Arial" w:cs="Arial" w:eastAsia="Arial" w:hAnsi="Arial"/>
                <w:sz w:val="12"/>
                <w:szCs w:val="12"/>
                <w:color w:val="FFFFFF"/>
              </w:rPr>
              <w:t>Patients and investigators at</w:t>
            </w:r>
          </w:p>
        </w:tc>
        <w:tc>
          <w:tcPr>
            <w:tcW w:w="120" w:type="dxa"/>
            <w:vAlign w:val="bottom"/>
            <w:shd w:val="clear" w:color="auto" w:fill="336699"/>
          </w:tcPr>
          <w:p>
            <w:pPr>
              <w:spacing w:after="0"/>
              <w:rPr>
                <w:sz w:val="11"/>
                <w:szCs w:val="11"/>
                <w:color w:val="auto"/>
              </w:rPr>
            </w:pPr>
          </w:p>
        </w:tc>
        <w:tc>
          <w:tcPr>
            <w:tcW w:w="2220" w:type="dxa"/>
            <w:vAlign w:val="bottom"/>
            <w:shd w:val="clear" w:color="auto" w:fill="336699"/>
          </w:tcPr>
          <w:p>
            <w:pPr>
              <w:ind w:left="40"/>
              <w:spacing w:after="0" w:line="130" w:lineRule="exact"/>
              <w:rPr>
                <w:sz w:val="20"/>
                <w:szCs w:val="20"/>
                <w:color w:val="auto"/>
              </w:rPr>
            </w:pPr>
            <w:r>
              <w:rPr>
                <w:rFonts w:ascii="Arial" w:cs="Arial" w:eastAsia="Arial" w:hAnsi="Arial"/>
                <w:sz w:val="12"/>
                <w:szCs w:val="12"/>
                <w:color w:val="FFFFFF"/>
              </w:rPr>
              <w:t>logistics support was provided by</w:t>
            </w:r>
          </w:p>
        </w:tc>
        <w:tc>
          <w:tcPr>
            <w:tcW w:w="2220" w:type="dxa"/>
            <w:vAlign w:val="bottom"/>
            <w:shd w:val="clear" w:color="auto" w:fill="336699"/>
          </w:tcPr>
          <w:p>
            <w:pPr>
              <w:ind w:left="60"/>
              <w:spacing w:after="0" w:line="130" w:lineRule="exact"/>
              <w:rPr>
                <w:sz w:val="20"/>
                <w:szCs w:val="20"/>
                <w:color w:val="auto"/>
              </w:rPr>
            </w:pPr>
            <w:r>
              <w:rPr>
                <w:rFonts w:ascii="Arial" w:cs="Arial" w:eastAsia="Arial" w:hAnsi="Arial"/>
                <w:sz w:val="12"/>
                <w:szCs w:val="12"/>
                <w:color w:val="FFFFFF"/>
              </w:rPr>
              <w:t>Dr. Oliver Bechter has received</w:t>
            </w:r>
          </w:p>
        </w:tc>
        <w:tc>
          <w:tcPr>
            <w:tcW w:w="2220" w:type="dxa"/>
            <w:vAlign w:val="bottom"/>
            <w:shd w:val="clear" w:color="auto" w:fill="336699"/>
          </w:tcPr>
          <w:p>
            <w:pPr>
              <w:ind w:left="220"/>
              <w:spacing w:after="0" w:line="130" w:lineRule="exact"/>
              <w:rPr>
                <w:sz w:val="20"/>
                <w:szCs w:val="20"/>
                <w:color w:val="auto"/>
              </w:rPr>
            </w:pPr>
            <w:r>
              <w:rPr>
                <w:rFonts w:ascii="Arial" w:cs="Arial" w:eastAsia="Arial" w:hAnsi="Arial"/>
                <w:sz w:val="12"/>
                <w:szCs w:val="12"/>
                <w:b w:val="1"/>
                <w:bCs w:val="1"/>
                <w:color w:val="FFFFFF"/>
              </w:rPr>
              <w:t xml:space="preserve">1. </w:t>
            </w:r>
            <w:r>
              <w:rPr>
                <w:rFonts w:ascii="Arial" w:cs="Arial" w:eastAsia="Arial" w:hAnsi="Arial"/>
                <w:sz w:val="12"/>
                <w:szCs w:val="12"/>
                <w:color w:val="FFFFFF"/>
              </w:rPr>
              <w:t>Sahin U, Karikó K, Türeci O,</w:t>
            </w:r>
          </w:p>
        </w:tc>
        <w:tc>
          <w:tcPr>
            <w:tcW w:w="2180" w:type="dxa"/>
            <w:vAlign w:val="bottom"/>
            <w:shd w:val="clear" w:color="auto" w:fill="336699"/>
          </w:tcPr>
          <w:p>
            <w:pPr>
              <w:ind w:left="160"/>
              <w:spacing w:after="0" w:line="130" w:lineRule="exact"/>
              <w:rPr>
                <w:sz w:val="20"/>
                <w:szCs w:val="20"/>
                <w:color w:val="auto"/>
              </w:rPr>
            </w:pPr>
            <w:r>
              <w:rPr>
                <w:rFonts w:ascii="Arial" w:cs="Arial" w:eastAsia="Arial" w:hAnsi="Arial"/>
                <w:sz w:val="12"/>
                <w:szCs w:val="12"/>
                <w:color w:val="FFFFFF"/>
              </w:rPr>
              <w:t>participating Institution’s Ethics or</w:t>
            </w:r>
          </w:p>
        </w:tc>
      </w:tr>
      <w:tr>
        <w:trPr>
          <w:trHeight w:val="128"/>
        </w:trPr>
        <w:tc>
          <w:tcPr>
            <w:tcW w:w="280" w:type="dxa"/>
            <w:vAlign w:val="bottom"/>
            <w:shd w:val="clear" w:color="auto" w:fill="336699"/>
          </w:tcPr>
          <w:p>
            <w:pPr>
              <w:spacing w:after="0"/>
              <w:rPr>
                <w:sz w:val="11"/>
                <w:szCs w:val="11"/>
                <w:color w:val="auto"/>
              </w:rPr>
            </w:pPr>
          </w:p>
        </w:tc>
        <w:tc>
          <w:tcPr>
            <w:tcW w:w="200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participating sites</w:t>
            </w:r>
          </w:p>
        </w:tc>
        <w:tc>
          <w:tcPr>
            <w:tcW w:w="120" w:type="dxa"/>
            <w:vAlign w:val="bottom"/>
            <w:shd w:val="clear" w:color="auto" w:fill="336699"/>
          </w:tcPr>
          <w:p>
            <w:pPr>
              <w:spacing w:after="0"/>
              <w:rPr>
                <w:sz w:val="11"/>
                <w:szCs w:val="11"/>
                <w:color w:val="auto"/>
              </w:rPr>
            </w:pPr>
          </w:p>
        </w:tc>
        <w:tc>
          <w:tcPr>
            <w:tcW w:w="222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Nicolas Acquavella, MD</w:t>
            </w:r>
          </w:p>
        </w:tc>
        <w:tc>
          <w:tcPr>
            <w:tcW w:w="2220" w:type="dxa"/>
            <w:vAlign w:val="bottom"/>
            <w:shd w:val="clear" w:color="auto" w:fill="336699"/>
          </w:tcPr>
          <w:p>
            <w:pPr>
              <w:ind w:left="60"/>
              <w:spacing w:after="0" w:line="129" w:lineRule="exact"/>
              <w:rPr>
                <w:sz w:val="20"/>
                <w:szCs w:val="20"/>
                <w:color w:val="auto"/>
              </w:rPr>
            </w:pPr>
            <w:r>
              <w:rPr>
                <w:rFonts w:ascii="Arial" w:cs="Arial" w:eastAsia="Arial" w:hAnsi="Arial"/>
                <w:sz w:val="12"/>
                <w:szCs w:val="12"/>
                <w:color w:val="FFFFFF"/>
              </w:rPr>
              <w:t>consultancy honorarium from Sanofi</w:t>
            </w:r>
          </w:p>
        </w:tc>
        <w:tc>
          <w:tcPr>
            <w:tcW w:w="2220" w:type="dxa"/>
            <w:vAlign w:val="bottom"/>
            <w:shd w:val="clear" w:color="auto" w:fill="336699"/>
          </w:tcPr>
          <w:p>
            <w:pPr>
              <w:ind w:left="220"/>
              <w:spacing w:after="0" w:line="129" w:lineRule="exact"/>
              <w:rPr>
                <w:sz w:val="20"/>
                <w:szCs w:val="20"/>
                <w:color w:val="auto"/>
              </w:rPr>
            </w:pPr>
            <w:r>
              <w:rPr>
                <w:rFonts w:ascii="Arial" w:cs="Arial" w:eastAsia="Arial" w:hAnsi="Arial"/>
                <w:sz w:val="12"/>
                <w:szCs w:val="12"/>
                <w:color w:val="FFFFFF"/>
              </w:rPr>
              <w:t>mRNA-based therapeutics--</w:t>
            </w:r>
          </w:p>
        </w:tc>
        <w:tc>
          <w:tcPr>
            <w:tcW w:w="2180" w:type="dxa"/>
            <w:vAlign w:val="bottom"/>
            <w:shd w:val="clear" w:color="auto" w:fill="336699"/>
          </w:tcPr>
          <w:p>
            <w:pPr>
              <w:ind w:left="160"/>
              <w:spacing w:after="0" w:line="129" w:lineRule="exact"/>
              <w:rPr>
                <w:sz w:val="20"/>
                <w:szCs w:val="20"/>
                <w:color w:val="auto"/>
              </w:rPr>
            </w:pPr>
            <w:r>
              <w:rPr>
                <w:rFonts w:ascii="Arial" w:cs="Arial" w:eastAsia="Arial" w:hAnsi="Arial"/>
                <w:sz w:val="12"/>
                <w:szCs w:val="12"/>
                <w:color w:val="FFFFFF"/>
              </w:rPr>
              <w:t>Institutional Review Board(s) and</w:t>
            </w:r>
          </w:p>
        </w:tc>
      </w:tr>
      <w:tr>
        <w:trPr>
          <w:trHeight w:val="128"/>
        </w:trPr>
        <w:tc>
          <w:tcPr>
            <w:tcW w:w="280" w:type="dxa"/>
            <w:vAlign w:val="bottom"/>
            <w:shd w:val="clear" w:color="auto" w:fill="336699"/>
          </w:tcPr>
          <w:p>
            <w:pPr>
              <w:ind w:left="200"/>
              <w:spacing w:after="0" w:line="129" w:lineRule="exact"/>
              <w:rPr>
                <w:sz w:val="20"/>
                <w:szCs w:val="20"/>
                <w:color w:val="auto"/>
              </w:rPr>
            </w:pPr>
            <w:r>
              <w:rPr>
                <w:rFonts w:ascii="Arial" w:cs="Arial" w:eastAsia="Arial" w:hAnsi="Arial"/>
                <w:sz w:val="12"/>
                <w:szCs w:val="12"/>
                <w:color w:val="FFFFFF"/>
              </w:rPr>
              <w:t>•</w:t>
            </w:r>
          </w:p>
        </w:tc>
        <w:tc>
          <w:tcPr>
            <w:tcW w:w="200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Research and analyses were</w:t>
            </w:r>
          </w:p>
        </w:tc>
        <w:tc>
          <w:tcPr>
            <w:tcW w:w="12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w:t>
            </w:r>
          </w:p>
        </w:tc>
        <w:tc>
          <w:tcPr>
            <w:tcW w:w="222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Editorial support was provided by</w:t>
            </w:r>
          </w:p>
        </w:tc>
        <w:tc>
          <w:tcPr>
            <w:tcW w:w="2220" w:type="dxa"/>
            <w:vAlign w:val="bottom"/>
            <w:shd w:val="clear" w:color="auto" w:fill="336699"/>
          </w:tcPr>
          <w:p>
            <w:pPr>
              <w:spacing w:after="0"/>
              <w:rPr>
                <w:sz w:val="11"/>
                <w:szCs w:val="11"/>
                <w:color w:val="auto"/>
              </w:rPr>
            </w:pPr>
          </w:p>
        </w:tc>
        <w:tc>
          <w:tcPr>
            <w:tcW w:w="2220" w:type="dxa"/>
            <w:vAlign w:val="bottom"/>
            <w:shd w:val="clear" w:color="auto" w:fill="336699"/>
          </w:tcPr>
          <w:p>
            <w:pPr>
              <w:ind w:left="220"/>
              <w:spacing w:after="0" w:line="129" w:lineRule="exact"/>
              <w:rPr>
                <w:sz w:val="20"/>
                <w:szCs w:val="20"/>
                <w:color w:val="auto"/>
              </w:rPr>
            </w:pPr>
            <w:r>
              <w:rPr>
                <w:rFonts w:ascii="Arial" w:cs="Arial" w:eastAsia="Arial" w:hAnsi="Arial"/>
                <w:sz w:val="12"/>
                <w:szCs w:val="12"/>
                <w:color w:val="FFFFFF"/>
              </w:rPr>
              <w:t>developing a new class of drugs.</w:t>
            </w:r>
          </w:p>
        </w:tc>
        <w:tc>
          <w:tcPr>
            <w:tcW w:w="2180" w:type="dxa"/>
            <w:vAlign w:val="bottom"/>
            <w:shd w:val="clear" w:color="auto" w:fill="336699"/>
          </w:tcPr>
          <w:p>
            <w:pPr>
              <w:ind w:left="160"/>
              <w:spacing w:after="0" w:line="129" w:lineRule="exact"/>
              <w:rPr>
                <w:sz w:val="20"/>
                <w:szCs w:val="20"/>
                <w:color w:val="auto"/>
              </w:rPr>
            </w:pPr>
            <w:r>
              <w:rPr>
                <w:rFonts w:ascii="Arial" w:cs="Arial" w:eastAsia="Arial" w:hAnsi="Arial"/>
                <w:sz w:val="12"/>
                <w:szCs w:val="12"/>
                <w:color w:val="FFFFFF"/>
              </w:rPr>
              <w:t>each patient provided signed</w:t>
            </w:r>
          </w:p>
        </w:tc>
      </w:tr>
      <w:tr>
        <w:trPr>
          <w:trHeight w:val="128"/>
        </w:trPr>
        <w:tc>
          <w:tcPr>
            <w:tcW w:w="280" w:type="dxa"/>
            <w:vAlign w:val="bottom"/>
            <w:shd w:val="clear" w:color="auto" w:fill="336699"/>
          </w:tcPr>
          <w:p>
            <w:pPr>
              <w:spacing w:after="0"/>
              <w:rPr>
                <w:sz w:val="11"/>
                <w:szCs w:val="11"/>
                <w:color w:val="auto"/>
              </w:rPr>
            </w:pPr>
          </w:p>
        </w:tc>
        <w:tc>
          <w:tcPr>
            <w:tcW w:w="200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supported by Sanofi and BioNTech</w:t>
            </w:r>
          </w:p>
        </w:tc>
        <w:tc>
          <w:tcPr>
            <w:tcW w:w="120" w:type="dxa"/>
            <w:vAlign w:val="bottom"/>
            <w:shd w:val="clear" w:color="auto" w:fill="336699"/>
          </w:tcPr>
          <w:p>
            <w:pPr>
              <w:spacing w:after="0"/>
              <w:rPr>
                <w:sz w:val="11"/>
                <w:szCs w:val="11"/>
                <w:color w:val="auto"/>
              </w:rPr>
            </w:pPr>
          </w:p>
        </w:tc>
        <w:tc>
          <w:tcPr>
            <w:tcW w:w="222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Michelle Daniels, MD of inScience</w:t>
            </w:r>
          </w:p>
        </w:tc>
        <w:tc>
          <w:tcPr>
            <w:tcW w:w="2220" w:type="dxa"/>
            <w:vAlign w:val="bottom"/>
            <w:shd w:val="clear" w:color="auto" w:fill="336699"/>
          </w:tcPr>
          <w:p>
            <w:pPr>
              <w:spacing w:after="0"/>
              <w:rPr>
                <w:sz w:val="11"/>
                <w:szCs w:val="11"/>
                <w:color w:val="auto"/>
              </w:rPr>
            </w:pPr>
          </w:p>
        </w:tc>
        <w:tc>
          <w:tcPr>
            <w:tcW w:w="2220" w:type="dxa"/>
            <w:vAlign w:val="bottom"/>
            <w:shd w:val="clear" w:color="auto" w:fill="336699"/>
          </w:tcPr>
          <w:p>
            <w:pPr>
              <w:ind w:left="220"/>
              <w:spacing w:after="0" w:line="129" w:lineRule="exact"/>
              <w:rPr>
                <w:sz w:val="20"/>
                <w:szCs w:val="20"/>
                <w:color w:val="auto"/>
              </w:rPr>
            </w:pPr>
            <w:r>
              <w:rPr>
                <w:rFonts w:ascii="Arial" w:cs="Arial" w:eastAsia="Arial" w:hAnsi="Arial"/>
                <w:sz w:val="12"/>
                <w:szCs w:val="12"/>
                <w:i w:val="1"/>
                <w:iCs w:val="1"/>
                <w:color w:val="FFFFFF"/>
              </w:rPr>
              <w:t>Nat Rev Drug Discov</w:t>
            </w:r>
            <w:r>
              <w:rPr>
                <w:rFonts w:ascii="Arial" w:cs="Arial" w:eastAsia="Arial" w:hAnsi="Arial"/>
                <w:sz w:val="12"/>
                <w:szCs w:val="12"/>
                <w:color w:val="FFFFFF"/>
              </w:rPr>
              <w:t>. 13, 759-780</w:t>
            </w:r>
          </w:p>
        </w:tc>
        <w:tc>
          <w:tcPr>
            <w:tcW w:w="2180" w:type="dxa"/>
            <w:vAlign w:val="bottom"/>
            <w:shd w:val="clear" w:color="auto" w:fill="336699"/>
          </w:tcPr>
          <w:p>
            <w:pPr>
              <w:ind w:left="160"/>
              <w:spacing w:after="0" w:line="129" w:lineRule="exact"/>
              <w:rPr>
                <w:sz w:val="20"/>
                <w:szCs w:val="20"/>
                <w:color w:val="auto"/>
              </w:rPr>
            </w:pPr>
            <w:r>
              <w:rPr>
                <w:rFonts w:ascii="Arial" w:cs="Arial" w:eastAsia="Arial" w:hAnsi="Arial"/>
                <w:sz w:val="12"/>
                <w:szCs w:val="12"/>
                <w:color w:val="FFFFFF"/>
              </w:rPr>
              <w:t>informed consent to participate in the</w:t>
            </w:r>
          </w:p>
        </w:tc>
      </w:tr>
      <w:tr>
        <w:trPr>
          <w:trHeight w:val="128"/>
        </w:trPr>
        <w:tc>
          <w:tcPr>
            <w:tcW w:w="280" w:type="dxa"/>
            <w:vAlign w:val="bottom"/>
            <w:shd w:val="clear" w:color="auto" w:fill="336699"/>
          </w:tcPr>
          <w:p>
            <w:pPr>
              <w:ind w:left="200"/>
              <w:spacing w:after="0" w:line="129" w:lineRule="exact"/>
              <w:rPr>
                <w:sz w:val="20"/>
                <w:szCs w:val="20"/>
                <w:color w:val="auto"/>
              </w:rPr>
            </w:pPr>
            <w:r>
              <w:rPr>
                <w:rFonts w:ascii="Arial" w:cs="Arial" w:eastAsia="Arial" w:hAnsi="Arial"/>
                <w:sz w:val="12"/>
                <w:szCs w:val="12"/>
                <w:color w:val="FFFFFF"/>
              </w:rPr>
              <w:t>•</w:t>
            </w:r>
          </w:p>
        </w:tc>
        <w:tc>
          <w:tcPr>
            <w:tcW w:w="200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The authors were responsible for all</w:t>
            </w:r>
          </w:p>
        </w:tc>
        <w:tc>
          <w:tcPr>
            <w:tcW w:w="120" w:type="dxa"/>
            <w:vAlign w:val="bottom"/>
            <w:shd w:val="clear" w:color="auto" w:fill="336699"/>
          </w:tcPr>
          <w:p>
            <w:pPr>
              <w:spacing w:after="0"/>
              <w:rPr>
                <w:sz w:val="11"/>
                <w:szCs w:val="11"/>
                <w:color w:val="auto"/>
              </w:rPr>
            </w:pPr>
          </w:p>
        </w:tc>
        <w:tc>
          <w:tcPr>
            <w:tcW w:w="2220" w:type="dxa"/>
            <w:vAlign w:val="bottom"/>
            <w:shd w:val="clear" w:color="auto" w:fill="336699"/>
          </w:tcPr>
          <w:p>
            <w:pPr>
              <w:ind w:left="40"/>
              <w:spacing w:after="0" w:line="129" w:lineRule="exact"/>
              <w:rPr>
                <w:sz w:val="20"/>
                <w:szCs w:val="20"/>
                <w:color w:val="auto"/>
              </w:rPr>
            </w:pPr>
            <w:r>
              <w:rPr>
                <w:rFonts w:ascii="Arial" w:cs="Arial" w:eastAsia="Arial" w:hAnsi="Arial"/>
                <w:sz w:val="12"/>
                <w:szCs w:val="12"/>
                <w:color w:val="FFFFFF"/>
              </w:rPr>
              <w:t>Communications, funded by Sanofi</w:t>
            </w:r>
          </w:p>
        </w:tc>
        <w:tc>
          <w:tcPr>
            <w:tcW w:w="2220" w:type="dxa"/>
            <w:vAlign w:val="bottom"/>
            <w:shd w:val="clear" w:color="auto" w:fill="336699"/>
          </w:tcPr>
          <w:p>
            <w:pPr>
              <w:spacing w:after="0"/>
              <w:rPr>
                <w:sz w:val="11"/>
                <w:szCs w:val="11"/>
                <w:color w:val="auto"/>
              </w:rPr>
            </w:pPr>
          </w:p>
        </w:tc>
        <w:tc>
          <w:tcPr>
            <w:tcW w:w="2220" w:type="dxa"/>
            <w:vAlign w:val="bottom"/>
            <w:shd w:val="clear" w:color="auto" w:fill="336699"/>
          </w:tcPr>
          <w:p>
            <w:pPr>
              <w:ind w:left="220"/>
              <w:spacing w:after="0" w:line="129" w:lineRule="exact"/>
              <w:rPr>
                <w:sz w:val="20"/>
                <w:szCs w:val="20"/>
                <w:color w:val="auto"/>
              </w:rPr>
            </w:pPr>
            <w:r>
              <w:rPr>
                <w:rFonts w:ascii="Arial" w:cs="Arial" w:eastAsia="Arial" w:hAnsi="Arial"/>
                <w:sz w:val="12"/>
                <w:szCs w:val="12"/>
                <w:color w:val="FFFFFF"/>
              </w:rPr>
              <w:t>(2014).</w:t>
            </w:r>
          </w:p>
        </w:tc>
        <w:tc>
          <w:tcPr>
            <w:tcW w:w="2180" w:type="dxa"/>
            <w:vAlign w:val="bottom"/>
            <w:shd w:val="clear" w:color="auto" w:fill="336699"/>
          </w:tcPr>
          <w:p>
            <w:pPr>
              <w:ind w:left="160"/>
              <w:spacing w:after="0" w:line="129" w:lineRule="exact"/>
              <w:rPr>
                <w:sz w:val="20"/>
                <w:szCs w:val="20"/>
                <w:color w:val="auto"/>
              </w:rPr>
            </w:pPr>
            <w:r>
              <w:rPr>
                <w:rFonts w:ascii="Arial" w:cs="Arial" w:eastAsia="Arial" w:hAnsi="Arial"/>
                <w:sz w:val="12"/>
                <w:szCs w:val="12"/>
                <w:color w:val="FFFFFF"/>
              </w:rPr>
              <w:t>study.</w:t>
            </w:r>
          </w:p>
        </w:tc>
      </w:tr>
      <w:tr>
        <w:trPr>
          <w:trHeight w:val="160"/>
        </w:trPr>
        <w:tc>
          <w:tcPr>
            <w:tcW w:w="280" w:type="dxa"/>
            <w:vAlign w:val="bottom"/>
            <w:shd w:val="clear" w:color="auto" w:fill="336699"/>
          </w:tcPr>
          <w:p>
            <w:pPr>
              <w:spacing w:after="0"/>
              <w:rPr>
                <w:sz w:val="13"/>
                <w:szCs w:val="13"/>
                <w:color w:val="auto"/>
              </w:rPr>
            </w:pPr>
          </w:p>
        </w:tc>
        <w:tc>
          <w:tcPr>
            <w:tcW w:w="2000" w:type="dxa"/>
            <w:vAlign w:val="bottom"/>
            <w:shd w:val="clear" w:color="auto" w:fill="336699"/>
          </w:tcPr>
          <w:p>
            <w:pPr>
              <w:ind w:left="40"/>
              <w:spacing w:after="0"/>
              <w:rPr>
                <w:sz w:val="20"/>
                <w:szCs w:val="20"/>
                <w:color w:val="auto"/>
              </w:rPr>
            </w:pPr>
            <w:r>
              <w:rPr>
                <w:rFonts w:ascii="Arial" w:cs="Arial" w:eastAsia="Arial" w:hAnsi="Arial"/>
                <w:sz w:val="12"/>
                <w:szCs w:val="12"/>
                <w:color w:val="FFFFFF"/>
              </w:rPr>
              <w:t>content and editorial decisions</w:t>
            </w:r>
          </w:p>
        </w:tc>
        <w:tc>
          <w:tcPr>
            <w:tcW w:w="1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180" w:type="dxa"/>
            <w:vAlign w:val="bottom"/>
            <w:shd w:val="clear" w:color="auto" w:fill="336699"/>
          </w:tcPr>
          <w:p>
            <w:pPr>
              <w:spacing w:after="0"/>
              <w:rPr>
                <w:sz w:val="13"/>
                <w:szCs w:val="13"/>
                <w:color w:val="auto"/>
              </w:rPr>
            </w:pPr>
          </w:p>
        </w:tc>
      </w:tr>
      <w:tr>
        <w:trPr>
          <w:trHeight w:val="249"/>
        </w:trPr>
        <w:tc>
          <w:tcPr>
            <w:tcW w:w="4620" w:type="dxa"/>
            <w:vAlign w:val="bottom"/>
            <w:gridSpan w:val="4"/>
            <w:shd w:val="clear" w:color="auto" w:fill="336699"/>
          </w:tcPr>
          <w:p>
            <w:pPr>
              <w:ind w:left="200"/>
              <w:spacing w:after="0"/>
              <w:rPr>
                <w:sz w:val="20"/>
                <w:szCs w:val="20"/>
                <w:color w:val="auto"/>
              </w:rPr>
            </w:pPr>
            <w:r>
              <w:rPr>
                <w:rFonts w:ascii="Arial" w:cs="Arial" w:eastAsia="Arial" w:hAnsi="Arial"/>
                <w:sz w:val="12"/>
                <w:szCs w:val="12"/>
                <w:b w:val="1"/>
                <w:bCs w:val="1"/>
                <w:color w:val="FFFFFF"/>
              </w:rPr>
              <w:t>Presented at the SITC 2020 Virtual Scientific Program. November 9–14, 2020;</w:t>
            </w:r>
          </w:p>
        </w:tc>
        <w:tc>
          <w:tcPr>
            <w:tcW w:w="2220" w:type="dxa"/>
            <w:vAlign w:val="bottom"/>
            <w:shd w:val="clear" w:color="auto" w:fill="336699"/>
          </w:tcPr>
          <w:p>
            <w:pPr>
              <w:spacing w:after="0"/>
              <w:rPr>
                <w:sz w:val="21"/>
                <w:szCs w:val="21"/>
                <w:color w:val="auto"/>
              </w:rPr>
            </w:pPr>
          </w:p>
        </w:tc>
        <w:tc>
          <w:tcPr>
            <w:tcW w:w="2220" w:type="dxa"/>
            <w:vAlign w:val="bottom"/>
            <w:shd w:val="clear" w:color="auto" w:fill="336699"/>
          </w:tcPr>
          <w:p>
            <w:pPr>
              <w:spacing w:after="0"/>
              <w:rPr>
                <w:sz w:val="21"/>
                <w:szCs w:val="21"/>
                <w:color w:val="auto"/>
              </w:rPr>
            </w:pPr>
          </w:p>
        </w:tc>
        <w:tc>
          <w:tcPr>
            <w:tcW w:w="2180" w:type="dxa"/>
            <w:vAlign w:val="bottom"/>
            <w:shd w:val="clear" w:color="auto" w:fill="336699"/>
          </w:tcPr>
          <w:p>
            <w:pPr>
              <w:ind w:left="160"/>
              <w:spacing w:after="0"/>
              <w:rPr>
                <w:sz w:val="20"/>
                <w:szCs w:val="20"/>
                <w:color w:val="auto"/>
              </w:rPr>
            </w:pPr>
            <w:r>
              <w:rPr>
                <w:rFonts w:ascii="Arial" w:cs="Arial" w:eastAsia="Arial" w:hAnsi="Arial"/>
                <w:sz w:val="12"/>
                <w:szCs w:val="12"/>
                <w:color w:val="FFFFFF"/>
              </w:rPr>
              <w:t>For any medical questions please</w:t>
            </w:r>
          </w:p>
        </w:tc>
      </w:tr>
      <w:tr>
        <w:trPr>
          <w:trHeight w:val="130"/>
        </w:trPr>
        <w:tc>
          <w:tcPr>
            <w:tcW w:w="2280" w:type="dxa"/>
            <w:vAlign w:val="bottom"/>
            <w:gridSpan w:val="2"/>
            <w:shd w:val="clear" w:color="auto" w:fill="336699"/>
          </w:tcPr>
          <w:p>
            <w:pPr>
              <w:ind w:left="200"/>
              <w:spacing w:after="0" w:line="130" w:lineRule="exact"/>
              <w:rPr>
                <w:sz w:val="20"/>
                <w:szCs w:val="20"/>
                <w:color w:val="auto"/>
              </w:rPr>
            </w:pPr>
            <w:r>
              <w:rPr>
                <w:rFonts w:ascii="Arial" w:cs="Arial" w:eastAsia="Arial" w:hAnsi="Arial"/>
                <w:sz w:val="12"/>
                <w:szCs w:val="12"/>
                <w:b w:val="1"/>
                <w:bCs w:val="1"/>
                <w:color w:val="FFFFFF"/>
              </w:rPr>
              <w:t>Poster 391</w:t>
            </w:r>
          </w:p>
        </w:tc>
        <w:tc>
          <w:tcPr>
            <w:tcW w:w="120" w:type="dxa"/>
            <w:vAlign w:val="bottom"/>
            <w:shd w:val="clear" w:color="auto" w:fill="336699"/>
          </w:tcPr>
          <w:p>
            <w:pPr>
              <w:spacing w:after="0"/>
              <w:rPr>
                <w:sz w:val="11"/>
                <w:szCs w:val="11"/>
                <w:color w:val="auto"/>
              </w:rPr>
            </w:pPr>
          </w:p>
        </w:tc>
        <w:tc>
          <w:tcPr>
            <w:tcW w:w="2220" w:type="dxa"/>
            <w:vAlign w:val="bottom"/>
            <w:shd w:val="clear" w:color="auto" w:fill="336699"/>
          </w:tcPr>
          <w:p>
            <w:pPr>
              <w:spacing w:after="0"/>
              <w:rPr>
                <w:sz w:val="11"/>
                <w:szCs w:val="11"/>
                <w:color w:val="auto"/>
              </w:rPr>
            </w:pPr>
          </w:p>
        </w:tc>
        <w:tc>
          <w:tcPr>
            <w:tcW w:w="2220" w:type="dxa"/>
            <w:vAlign w:val="bottom"/>
            <w:shd w:val="clear" w:color="auto" w:fill="336699"/>
          </w:tcPr>
          <w:p>
            <w:pPr>
              <w:spacing w:after="0"/>
              <w:rPr>
                <w:sz w:val="11"/>
                <w:szCs w:val="11"/>
                <w:color w:val="auto"/>
              </w:rPr>
            </w:pPr>
          </w:p>
        </w:tc>
        <w:tc>
          <w:tcPr>
            <w:tcW w:w="2220" w:type="dxa"/>
            <w:vAlign w:val="bottom"/>
            <w:shd w:val="clear" w:color="auto" w:fill="336699"/>
          </w:tcPr>
          <w:p>
            <w:pPr>
              <w:spacing w:after="0"/>
              <w:rPr>
                <w:sz w:val="11"/>
                <w:szCs w:val="11"/>
                <w:color w:val="auto"/>
              </w:rPr>
            </w:pPr>
          </w:p>
        </w:tc>
        <w:tc>
          <w:tcPr>
            <w:tcW w:w="2180" w:type="dxa"/>
            <w:vAlign w:val="bottom"/>
            <w:shd w:val="clear" w:color="auto" w:fill="336699"/>
          </w:tcPr>
          <w:p>
            <w:pPr>
              <w:ind w:left="160"/>
              <w:spacing w:after="0" w:line="130" w:lineRule="exact"/>
              <w:rPr>
                <w:sz w:val="20"/>
                <w:szCs w:val="20"/>
                <w:color w:val="auto"/>
              </w:rPr>
            </w:pPr>
            <w:r>
              <w:rPr>
                <w:rFonts w:ascii="Arial" w:cs="Arial" w:eastAsia="Arial" w:hAnsi="Arial"/>
                <w:sz w:val="12"/>
                <w:szCs w:val="12"/>
                <w:color w:val="FFFFFF"/>
              </w:rPr>
              <w:t>contact Oliver Bechter:</w:t>
            </w:r>
          </w:p>
        </w:tc>
      </w:tr>
      <w:tr>
        <w:trPr>
          <w:trHeight w:val="160"/>
        </w:trPr>
        <w:tc>
          <w:tcPr>
            <w:tcW w:w="280" w:type="dxa"/>
            <w:vAlign w:val="bottom"/>
            <w:shd w:val="clear" w:color="auto" w:fill="336699"/>
          </w:tcPr>
          <w:p>
            <w:pPr>
              <w:spacing w:after="0"/>
              <w:rPr>
                <w:sz w:val="13"/>
                <w:szCs w:val="13"/>
                <w:color w:val="auto"/>
              </w:rPr>
            </w:pPr>
          </w:p>
        </w:tc>
        <w:tc>
          <w:tcPr>
            <w:tcW w:w="2000" w:type="dxa"/>
            <w:vAlign w:val="bottom"/>
            <w:shd w:val="clear" w:color="auto" w:fill="336699"/>
          </w:tcPr>
          <w:p>
            <w:pPr>
              <w:spacing w:after="0"/>
              <w:rPr>
                <w:sz w:val="13"/>
                <w:szCs w:val="13"/>
                <w:color w:val="auto"/>
              </w:rPr>
            </w:pPr>
          </w:p>
        </w:tc>
        <w:tc>
          <w:tcPr>
            <w:tcW w:w="1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220" w:type="dxa"/>
            <w:vAlign w:val="bottom"/>
            <w:shd w:val="clear" w:color="auto" w:fill="336699"/>
          </w:tcPr>
          <w:p>
            <w:pPr>
              <w:spacing w:after="0"/>
              <w:rPr>
                <w:sz w:val="13"/>
                <w:szCs w:val="13"/>
                <w:color w:val="auto"/>
              </w:rPr>
            </w:pPr>
          </w:p>
        </w:tc>
        <w:tc>
          <w:tcPr>
            <w:tcW w:w="2180" w:type="dxa"/>
            <w:vAlign w:val="bottom"/>
            <w:shd w:val="clear" w:color="auto" w:fill="336699"/>
          </w:tcPr>
          <w:p>
            <w:pPr>
              <w:ind w:left="160"/>
              <w:spacing w:after="0"/>
              <w:rPr>
                <w:sz w:val="20"/>
                <w:szCs w:val="20"/>
                <w:color w:val="auto"/>
              </w:rPr>
            </w:pPr>
            <w:r>
              <w:rPr>
                <w:rFonts w:ascii="Arial" w:cs="Arial" w:eastAsia="Arial" w:hAnsi="Arial"/>
                <w:sz w:val="12"/>
                <w:szCs w:val="12"/>
                <w:color w:val="FFFFFF"/>
              </w:rPr>
              <w:t>oliver.bechter@uzleuven.be</w:t>
            </w:r>
          </w:p>
        </w:tc>
      </w:tr>
      <w:tr>
        <w:trPr>
          <w:trHeight w:val="52"/>
        </w:trPr>
        <w:tc>
          <w:tcPr>
            <w:tcW w:w="280" w:type="dxa"/>
            <w:vAlign w:val="bottom"/>
            <w:shd w:val="clear" w:color="auto" w:fill="336699"/>
          </w:tcPr>
          <w:p>
            <w:pPr>
              <w:spacing w:after="0"/>
              <w:rPr>
                <w:sz w:val="4"/>
                <w:szCs w:val="4"/>
                <w:color w:val="auto"/>
              </w:rPr>
            </w:pPr>
          </w:p>
        </w:tc>
        <w:tc>
          <w:tcPr>
            <w:tcW w:w="2000" w:type="dxa"/>
            <w:vAlign w:val="bottom"/>
            <w:shd w:val="clear" w:color="auto" w:fill="336699"/>
          </w:tcPr>
          <w:p>
            <w:pPr>
              <w:spacing w:after="0"/>
              <w:rPr>
                <w:sz w:val="4"/>
                <w:szCs w:val="4"/>
                <w:color w:val="auto"/>
              </w:rPr>
            </w:pPr>
          </w:p>
        </w:tc>
        <w:tc>
          <w:tcPr>
            <w:tcW w:w="120" w:type="dxa"/>
            <w:vAlign w:val="bottom"/>
            <w:shd w:val="clear" w:color="auto" w:fill="336699"/>
          </w:tcPr>
          <w:p>
            <w:pPr>
              <w:spacing w:after="0"/>
              <w:rPr>
                <w:sz w:val="4"/>
                <w:szCs w:val="4"/>
                <w:color w:val="auto"/>
              </w:rPr>
            </w:pPr>
          </w:p>
        </w:tc>
        <w:tc>
          <w:tcPr>
            <w:tcW w:w="2220" w:type="dxa"/>
            <w:vAlign w:val="bottom"/>
            <w:shd w:val="clear" w:color="auto" w:fill="336699"/>
          </w:tcPr>
          <w:p>
            <w:pPr>
              <w:spacing w:after="0"/>
              <w:rPr>
                <w:sz w:val="4"/>
                <w:szCs w:val="4"/>
                <w:color w:val="auto"/>
              </w:rPr>
            </w:pPr>
          </w:p>
        </w:tc>
        <w:tc>
          <w:tcPr>
            <w:tcW w:w="2220" w:type="dxa"/>
            <w:vAlign w:val="bottom"/>
            <w:shd w:val="clear" w:color="auto" w:fill="336699"/>
          </w:tcPr>
          <w:p>
            <w:pPr>
              <w:spacing w:after="0"/>
              <w:rPr>
                <w:sz w:val="4"/>
                <w:szCs w:val="4"/>
                <w:color w:val="auto"/>
              </w:rPr>
            </w:pPr>
          </w:p>
        </w:tc>
        <w:tc>
          <w:tcPr>
            <w:tcW w:w="2220" w:type="dxa"/>
            <w:vAlign w:val="bottom"/>
            <w:shd w:val="clear" w:color="auto" w:fill="336699"/>
          </w:tcPr>
          <w:p>
            <w:pPr>
              <w:spacing w:after="0"/>
              <w:rPr>
                <w:sz w:val="4"/>
                <w:szCs w:val="4"/>
                <w:color w:val="auto"/>
              </w:rPr>
            </w:pPr>
          </w:p>
        </w:tc>
        <w:tc>
          <w:tcPr>
            <w:tcW w:w="2180" w:type="dxa"/>
            <w:vAlign w:val="bottom"/>
            <w:shd w:val="clear" w:color="auto" w:fill="336699"/>
          </w:tcPr>
          <w:p>
            <w:pPr>
              <w:spacing w:after="0"/>
              <w:rPr>
                <w:sz w:val="4"/>
                <w:szCs w:val="4"/>
                <w:color w:val="auto"/>
              </w:rPr>
            </w:pPr>
          </w:p>
        </w:tc>
      </w:tr>
    </w:tbl>
    <w:p>
      <w:pPr>
        <w:sectPr>
          <w:pgSz w:w="11900" w:h="16838" w:orient="portrait"/>
          <w:cols w:equalWidth="0" w:num="1">
            <w:col w:w="11240"/>
          </w:cols>
          <w:pgMar w:left="320" w:top="256" w:right="339" w:bottom="1440" w:gutter="0" w:footer="0" w:header="0"/>
        </w:sectPr>
      </w:pPr>
    </w:p>
    <w:bookmarkStart w:id="25" w:name="page26"/>
    <w:bookmarkEnd w:id="25"/>
    <w:p>
      <w:pPr>
        <w:jc w:val="center"/>
        <w:ind w:left="380" w:right="440"/>
        <w:spacing w:after="0" w:line="273" w:lineRule="auto"/>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1666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1666875"/>
                    </a:xfrm>
                    <a:prstGeom prst="rect">
                      <a:avLst/>
                    </a:prstGeom>
                    <a:noFill/>
                  </pic:spPr>
                </pic:pic>
              </a:graphicData>
            </a:graphic>
          </wp:anchor>
        </w:drawing>
        <w:t xml:space="preserve">A Personal Neoantigen Vaccine NEO-PV-01, in Combination with Chemotherapy and Pembrolizumab, Induces Broad </w:t>
      </w:r>
      <w:r>
        <w:rPr>
          <w:rFonts w:ascii="Arial" w:cs="Arial" w:eastAsia="Arial" w:hAnsi="Arial"/>
          <w:sz w:val="24"/>
          <w:szCs w:val="24"/>
          <w:b w:val="1"/>
          <w:bCs w:val="1"/>
          <w:i w:val="1"/>
          <w:iCs w:val="1"/>
          <w:color w:val="FFFFFF"/>
        </w:rPr>
        <w:t>De Novo</w:t>
      </w:r>
      <w:r>
        <w:rPr>
          <w:rFonts w:ascii="Arial" w:cs="Arial" w:eastAsia="Arial" w:hAnsi="Arial"/>
          <w:sz w:val="24"/>
          <w:szCs w:val="24"/>
          <w:b w:val="1"/>
          <w:bCs w:val="1"/>
          <w:color w:val="FFFFFF"/>
        </w:rPr>
        <w:t xml:space="preserve"> Immune Responses in First-Line Non-Squamous NSCLC</w:t>
      </w:r>
    </w:p>
    <w:p>
      <w:pPr>
        <w:spacing w:after="0" w:line="81" w:lineRule="exact"/>
        <w:rPr>
          <w:sz w:val="20"/>
          <w:szCs w:val="20"/>
          <w:color w:val="auto"/>
        </w:rPr>
      </w:pPr>
    </w:p>
    <w:p>
      <w:pPr>
        <w:jc w:val="center"/>
        <w:ind w:left="400" w:right="160"/>
        <w:spacing w:after="0" w:line="257" w:lineRule="auto"/>
        <w:rPr>
          <w:sz w:val="20"/>
          <w:szCs w:val="20"/>
          <w:color w:val="auto"/>
        </w:rPr>
      </w:pPr>
      <w:r>
        <w:rPr>
          <w:rFonts w:ascii="Arial" w:cs="Arial" w:eastAsia="Arial" w:hAnsi="Arial"/>
          <w:sz w:val="17"/>
          <w:szCs w:val="17"/>
          <w:b w:val="1"/>
          <w:bCs w:val="1"/>
          <w:color w:val="FFFFFF"/>
        </w:rPr>
        <w:t>Mark M. Awad</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David R. Spigel</w:t>
      </w:r>
      <w:r>
        <w:rPr>
          <w:rFonts w:ascii="Arial" w:cs="Arial" w:eastAsia="Arial" w:hAnsi="Arial"/>
          <w:sz w:val="14"/>
          <w:szCs w:val="14"/>
          <w:b w:val="1"/>
          <w:bCs w:val="1"/>
          <w:color w:val="FFFFFF"/>
        </w:rPr>
        <w:t>2</w:t>
      </w:r>
      <w:r>
        <w:rPr>
          <w:rFonts w:ascii="Arial" w:cs="Arial" w:eastAsia="Arial" w:hAnsi="Arial"/>
          <w:sz w:val="17"/>
          <w:szCs w:val="17"/>
          <w:b w:val="1"/>
          <w:bCs w:val="1"/>
          <w:color w:val="FFFFFF"/>
        </w:rPr>
        <w:t>, Edward B. Garon</w:t>
      </w:r>
      <w:r>
        <w:rPr>
          <w:rFonts w:ascii="Arial" w:cs="Arial" w:eastAsia="Arial" w:hAnsi="Arial"/>
          <w:sz w:val="14"/>
          <w:szCs w:val="14"/>
          <w:b w:val="1"/>
          <w:bCs w:val="1"/>
          <w:color w:val="FFFFFF"/>
        </w:rPr>
        <w:t>3</w:t>
      </w:r>
      <w:r>
        <w:rPr>
          <w:rFonts w:ascii="Arial" w:cs="Arial" w:eastAsia="Arial" w:hAnsi="Arial"/>
          <w:sz w:val="17"/>
          <w:szCs w:val="17"/>
          <w:b w:val="1"/>
          <w:bCs w:val="1"/>
          <w:color w:val="FFFFFF"/>
        </w:rPr>
        <w:t>, Saiama Waqar</w:t>
      </w:r>
      <w:r>
        <w:rPr>
          <w:rFonts w:ascii="Arial" w:cs="Arial" w:eastAsia="Arial" w:hAnsi="Arial"/>
          <w:sz w:val="14"/>
          <w:szCs w:val="14"/>
          <w:b w:val="1"/>
          <w:bCs w:val="1"/>
          <w:color w:val="FFFFFF"/>
        </w:rPr>
        <w:t>4</w:t>
      </w:r>
      <w:r>
        <w:rPr>
          <w:rFonts w:ascii="Arial" w:cs="Arial" w:eastAsia="Arial" w:hAnsi="Arial"/>
          <w:sz w:val="17"/>
          <w:szCs w:val="17"/>
          <w:b w:val="1"/>
          <w:bCs w:val="1"/>
          <w:color w:val="FFFFFF"/>
        </w:rPr>
        <w:t>, Aaron Lisberg</w:t>
      </w:r>
      <w:r>
        <w:rPr>
          <w:rFonts w:ascii="Arial" w:cs="Arial" w:eastAsia="Arial" w:hAnsi="Arial"/>
          <w:sz w:val="14"/>
          <w:szCs w:val="14"/>
          <w:b w:val="1"/>
          <w:bCs w:val="1"/>
          <w:color w:val="FFFFFF"/>
        </w:rPr>
        <w:t>3</w:t>
      </w:r>
      <w:r>
        <w:rPr>
          <w:rFonts w:ascii="Arial" w:cs="Arial" w:eastAsia="Arial" w:hAnsi="Arial"/>
          <w:sz w:val="17"/>
          <w:szCs w:val="17"/>
          <w:b w:val="1"/>
          <w:bCs w:val="1"/>
          <w:color w:val="FFFFFF"/>
        </w:rPr>
        <w:t>, Melissa Moles</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Jennifer Tepper</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April Lamb</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Amy Wanamaker</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Zak Khondker</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John Srouji</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Jesse Dong</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Asaf Poran</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Kristen Balogh</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Meghan Bushway</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Mark DeMario</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Lakshmi Srinivasan</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Richard B. Gaynor</w:t>
      </w:r>
      <w:r>
        <w:rPr>
          <w:rFonts w:ascii="Arial" w:cs="Arial" w:eastAsia="Arial" w:hAnsi="Arial"/>
          <w:sz w:val="14"/>
          <w:szCs w:val="14"/>
          <w:b w:val="1"/>
          <w:bCs w:val="1"/>
          <w:color w:val="FFFFFF"/>
        </w:rPr>
        <w:t>5</w:t>
      </w:r>
      <w:r>
        <w:rPr>
          <w:rFonts w:ascii="Arial" w:cs="Arial" w:eastAsia="Arial" w:hAnsi="Arial"/>
          <w:sz w:val="17"/>
          <w:szCs w:val="17"/>
          <w:b w:val="1"/>
          <w:bCs w:val="1"/>
          <w:color w:val="FFFFFF"/>
        </w:rPr>
        <w:t>, Ramaswamy Govindan</w:t>
      </w:r>
      <w:r>
        <w:rPr>
          <w:rFonts w:ascii="Arial" w:cs="Arial" w:eastAsia="Arial" w:hAnsi="Arial"/>
          <w:sz w:val="14"/>
          <w:szCs w:val="14"/>
          <w:b w:val="1"/>
          <w:bCs w:val="1"/>
          <w:color w:val="FFFFFF"/>
        </w:rPr>
        <w:t>4</w:t>
      </w:r>
    </w:p>
    <w:p>
      <w:pPr>
        <w:spacing w:after="0" w:line="2" w:lineRule="exact"/>
        <w:rPr>
          <w:sz w:val="20"/>
          <w:szCs w:val="20"/>
          <w:color w:val="auto"/>
        </w:rPr>
      </w:pPr>
    </w:p>
    <w:p>
      <w:pPr>
        <w:jc w:val="center"/>
        <w:ind w:left="380" w:right="280"/>
        <w:spacing w:after="0" w:line="265" w:lineRule="auto"/>
        <w:rPr>
          <w:sz w:val="20"/>
          <w:szCs w:val="20"/>
          <w:color w:val="auto"/>
        </w:rPr>
      </w:pPr>
      <w:r>
        <w:rPr>
          <w:rFonts w:ascii="Arial" w:cs="Arial" w:eastAsia="Arial" w:hAnsi="Arial"/>
          <w:sz w:val="15"/>
          <w:szCs w:val="15"/>
          <w:b w:val="1"/>
          <w:bCs w:val="1"/>
          <w:color w:val="FFFFFF"/>
        </w:rPr>
        <w:t>1</w:t>
      </w:r>
      <w:r>
        <w:rPr>
          <w:rFonts w:ascii="Arial" w:cs="Arial" w:eastAsia="Arial" w:hAnsi="Arial"/>
          <w:sz w:val="17"/>
          <w:szCs w:val="17"/>
          <w:b w:val="1"/>
          <w:bCs w:val="1"/>
          <w:color w:val="FFFFFF"/>
        </w:rPr>
        <w:t>Dana Farber Cancer Institute, Brigham and Women’s Hospital, and Harvard Medical School, Boston, MA;</w:t>
      </w:r>
      <w:r>
        <w:rPr>
          <w:rFonts w:ascii="Arial" w:cs="Arial" w:eastAsia="Arial" w:hAnsi="Arial"/>
          <w:sz w:val="15"/>
          <w:szCs w:val="15"/>
          <w:b w:val="1"/>
          <w:bCs w:val="1"/>
          <w:color w:val="FFFFFF"/>
        </w:rPr>
        <w:t xml:space="preserve"> 2</w:t>
      </w:r>
      <w:r>
        <w:rPr>
          <w:rFonts w:ascii="Arial" w:cs="Arial" w:eastAsia="Arial" w:hAnsi="Arial"/>
          <w:sz w:val="17"/>
          <w:szCs w:val="17"/>
          <w:b w:val="1"/>
          <w:bCs w:val="1"/>
          <w:color w:val="FFFFFF"/>
        </w:rPr>
        <w:t>The Sarah Cannon</w:t>
      </w:r>
      <w:r>
        <w:rPr>
          <w:rFonts w:ascii="Arial" w:cs="Arial" w:eastAsia="Arial" w:hAnsi="Arial"/>
          <w:sz w:val="15"/>
          <w:szCs w:val="15"/>
          <w:b w:val="1"/>
          <w:bCs w:val="1"/>
          <w:color w:val="FFFFFF"/>
        </w:rPr>
        <w:t xml:space="preserve"> </w:t>
      </w:r>
      <w:r>
        <w:rPr>
          <w:rFonts w:ascii="Arial" w:cs="Arial" w:eastAsia="Arial" w:hAnsi="Arial"/>
          <w:sz w:val="17"/>
          <w:szCs w:val="17"/>
          <w:b w:val="1"/>
          <w:bCs w:val="1"/>
          <w:color w:val="FFFFFF"/>
        </w:rPr>
        <w:t xml:space="preserve">Research Institute, Tennessee Oncology, PLLC, Nashville, TN; </w:t>
      </w:r>
      <w:r>
        <w:rPr>
          <w:rFonts w:ascii="Arial" w:cs="Arial" w:eastAsia="Arial" w:hAnsi="Arial"/>
          <w:sz w:val="14"/>
          <w:szCs w:val="14"/>
          <w:b w:val="1"/>
          <w:bCs w:val="1"/>
          <w:color w:val="FFFFFF"/>
        </w:rPr>
        <w:t>3</w:t>
      </w:r>
      <w:r>
        <w:rPr>
          <w:rFonts w:ascii="Arial" w:cs="Arial" w:eastAsia="Arial" w:hAnsi="Arial"/>
          <w:sz w:val="17"/>
          <w:szCs w:val="17"/>
          <w:b w:val="1"/>
          <w:bCs w:val="1"/>
          <w:color w:val="FFFFFF"/>
        </w:rPr>
        <w:t xml:space="preserve">Department of Medicine, University of California Los Angeles, Los Angeles, CA; </w:t>
      </w:r>
      <w:r>
        <w:rPr>
          <w:rFonts w:ascii="Arial" w:cs="Arial" w:eastAsia="Arial" w:hAnsi="Arial"/>
          <w:sz w:val="14"/>
          <w:szCs w:val="14"/>
          <w:b w:val="1"/>
          <w:bCs w:val="1"/>
          <w:color w:val="FFFFFF"/>
        </w:rPr>
        <w:t>4</w:t>
      </w:r>
      <w:r>
        <w:rPr>
          <w:rFonts w:ascii="Arial" w:cs="Arial" w:eastAsia="Arial" w:hAnsi="Arial"/>
          <w:sz w:val="17"/>
          <w:szCs w:val="17"/>
          <w:b w:val="1"/>
          <w:bCs w:val="1"/>
          <w:color w:val="FFFFFF"/>
        </w:rPr>
        <w:t>Washington University School of Medicine, St Louis, MO; 5BioNTech US Inc., Cambridge, MA</w:t>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867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71" w:lineRule="exact"/>
        <w:rPr>
          <w:sz w:val="20"/>
          <w:szCs w:val="20"/>
          <w:color w:val="auto"/>
        </w:rPr>
      </w:pPr>
    </w:p>
    <w:p>
      <w:pPr>
        <w:ind w:left="200" w:hanging="197"/>
        <w:spacing w:after="0"/>
        <w:tabs>
          <w:tab w:leader="none" w:pos="200" w:val="left"/>
        </w:tabs>
        <w:numPr>
          <w:ilvl w:val="0"/>
          <w:numId w:val="33"/>
        </w:numPr>
        <w:rPr>
          <w:rFonts w:ascii="Arial" w:cs="Arial" w:eastAsia="Arial" w:hAnsi="Arial"/>
          <w:sz w:val="17"/>
          <w:szCs w:val="17"/>
          <w:color w:val="045A63"/>
        </w:rPr>
      </w:pPr>
      <w:r>
        <w:rPr>
          <w:rFonts w:ascii="Arial" w:cs="Arial" w:eastAsia="Arial" w:hAnsi="Arial"/>
          <w:sz w:val="17"/>
          <w:szCs w:val="17"/>
          <w:color w:val="auto"/>
        </w:rPr>
        <w:t>Checkpoint inhibitors have been important therapeutic modalities for the treatment of NSCLC, either alone or in combination with chemotherapy.</w:t>
      </w:r>
      <w:r>
        <w:rPr>
          <w:rFonts w:ascii="Arial" w:cs="Arial" w:eastAsia="Arial" w:hAnsi="Arial"/>
          <w:sz w:val="14"/>
          <w:szCs w:val="14"/>
          <w:color w:val="auto"/>
        </w:rPr>
        <w:t>1</w:t>
      </w:r>
    </w:p>
    <w:p>
      <w:pPr>
        <w:spacing w:after="0" w:line="35" w:lineRule="exact"/>
        <w:rPr>
          <w:rFonts w:ascii="Arial" w:cs="Arial" w:eastAsia="Arial" w:hAnsi="Arial"/>
          <w:sz w:val="17"/>
          <w:szCs w:val="17"/>
          <w:color w:val="045A63"/>
        </w:rPr>
      </w:pPr>
    </w:p>
    <w:p>
      <w:pPr>
        <w:ind w:left="200" w:hanging="197"/>
        <w:spacing w:after="0"/>
        <w:tabs>
          <w:tab w:leader="none" w:pos="200" w:val="left"/>
        </w:tabs>
        <w:numPr>
          <w:ilvl w:val="0"/>
          <w:numId w:val="33"/>
        </w:numPr>
        <w:rPr>
          <w:rFonts w:ascii="Arial" w:cs="Arial" w:eastAsia="Arial" w:hAnsi="Arial"/>
          <w:sz w:val="17"/>
          <w:szCs w:val="17"/>
          <w:color w:val="045A63"/>
        </w:rPr>
      </w:pPr>
      <w:r>
        <w:rPr>
          <w:rFonts w:ascii="Arial" w:cs="Arial" w:eastAsia="Arial" w:hAnsi="Arial"/>
          <w:sz w:val="17"/>
          <w:szCs w:val="17"/>
          <w:color w:val="auto"/>
        </w:rPr>
        <w:t>Clinical outcomes with checkpoint inhibitors correlate with tumor mutational burden that generate neoantigens.</w:t>
      </w:r>
      <w:r>
        <w:rPr>
          <w:rFonts w:ascii="Arial" w:cs="Arial" w:eastAsia="Arial" w:hAnsi="Arial"/>
          <w:sz w:val="14"/>
          <w:szCs w:val="14"/>
          <w:color w:val="auto"/>
        </w:rPr>
        <w:t>2-4</w:t>
      </w:r>
    </w:p>
    <w:p>
      <w:pPr>
        <w:spacing w:after="0" w:line="35" w:lineRule="exact"/>
        <w:rPr>
          <w:rFonts w:ascii="Arial" w:cs="Arial" w:eastAsia="Arial" w:hAnsi="Arial"/>
          <w:sz w:val="17"/>
          <w:szCs w:val="17"/>
          <w:color w:val="045A63"/>
        </w:rPr>
      </w:pPr>
    </w:p>
    <w:p>
      <w:pPr>
        <w:ind w:left="200" w:right="600" w:hanging="197"/>
        <w:spacing w:after="0" w:line="260" w:lineRule="auto"/>
        <w:tabs>
          <w:tab w:leader="none" w:pos="200" w:val="left"/>
        </w:tabs>
        <w:numPr>
          <w:ilvl w:val="0"/>
          <w:numId w:val="33"/>
        </w:numPr>
        <w:rPr>
          <w:rFonts w:ascii="Arial" w:cs="Arial" w:eastAsia="Arial" w:hAnsi="Arial"/>
          <w:sz w:val="17"/>
          <w:szCs w:val="17"/>
          <w:color w:val="045A63"/>
        </w:rPr>
      </w:pPr>
      <w:r>
        <w:rPr>
          <w:rFonts w:ascii="Arial" w:cs="Arial" w:eastAsia="Arial" w:hAnsi="Arial"/>
          <w:sz w:val="17"/>
          <w:szCs w:val="17"/>
          <w:color w:val="auto"/>
        </w:rPr>
        <w:t>NEO-PV-01 is a personal neoantigen vaccine candidate custom-designed and manufactured specifically for the mutational profile of each individual’s tumor (Figure 1).</w:t>
      </w:r>
      <w:r>
        <w:rPr>
          <w:rFonts w:ascii="Arial" w:cs="Arial" w:eastAsia="Arial" w:hAnsi="Arial"/>
          <w:sz w:val="14"/>
          <w:szCs w:val="14"/>
          <w:color w:val="auto"/>
        </w:rPr>
        <w:t>5</w:t>
      </w:r>
    </w:p>
    <w:p>
      <w:pPr>
        <w:ind w:left="200" w:right="380" w:hanging="197"/>
        <w:spacing w:after="0" w:line="260" w:lineRule="auto"/>
        <w:tabs>
          <w:tab w:leader="none" w:pos="200" w:val="left"/>
        </w:tabs>
        <w:numPr>
          <w:ilvl w:val="0"/>
          <w:numId w:val="33"/>
        </w:numPr>
        <w:rPr>
          <w:rFonts w:ascii="Arial" w:cs="Arial" w:eastAsia="Arial" w:hAnsi="Arial"/>
          <w:sz w:val="17"/>
          <w:szCs w:val="17"/>
          <w:color w:val="045A63"/>
        </w:rPr>
      </w:pPr>
      <w:r>
        <w:rPr>
          <w:rFonts w:ascii="Arial" w:cs="Arial" w:eastAsia="Arial" w:hAnsi="Arial"/>
          <w:sz w:val="17"/>
          <w:szCs w:val="17"/>
          <w:color w:val="auto"/>
        </w:rPr>
        <w:t>NEO-PV-01 is composed of a mixture of up to 20 unique neoantigen peptides of 14-35 amino acids in length, each at a concentration of 400 µg/mL.</w:t>
      </w:r>
    </w:p>
    <w:p>
      <w:pPr>
        <w:ind w:left="440" w:right="100" w:hanging="219"/>
        <w:spacing w:after="0" w:line="260" w:lineRule="auto"/>
        <w:tabs>
          <w:tab w:leader="none" w:pos="4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Peptides are pooled together in four groups of up to five peptides each, and mixed with the adjuvant polyinosinic-polycytidylic acid-polylysine carboxymethylcellulose (poly-ICLC) at the time of administration.</w:t>
      </w:r>
    </w:p>
    <w:p>
      <w:pPr>
        <w:ind w:left="440" w:right="1060" w:hanging="219"/>
        <w:spacing w:after="0" w:line="280" w:lineRule="auto"/>
        <w:tabs>
          <w:tab w:leader="none" w:pos="4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 a Phase 1B clinical trial of NEO-PV-01, seven vaccine doses are administered over a 3-month period post-chemotherapy and pembrolizumab.</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1: </w:t>
      </w:r>
      <w:r>
        <w:rPr>
          <w:rFonts w:ascii="Arial" w:cs="Arial" w:eastAsia="Arial" w:hAnsi="Arial"/>
          <w:sz w:val="17"/>
          <w:szCs w:val="17"/>
          <w:b w:val="1"/>
          <w:bCs w:val="1"/>
          <w:color w:val="000000"/>
        </w:rPr>
        <w:t>Neoantigens Are Key Targets of Tumor-Directed T cell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color w:val="399A7A"/>
        </w:rPr>
        <w:t>NT-002 Study Design</w:t>
      </w:r>
    </w:p>
    <w:p>
      <w:pPr>
        <w:spacing w:after="0" w:line="104"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NT-002 is a Phase 1B trial of NEO-PV-01 in combination with chemotherapy and pembrolizumab, in first-line therapy in patients with advanced or metastatic non-squamous NSCLC (NCT03380871). Target enrollment = 15 patients across 4 US sites.</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399A7A"/>
        </w:rPr>
        <w:t>Objectives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Primary: </w:t>
      </w:r>
      <w:r>
        <w:rPr>
          <w:rFonts w:ascii="Arial" w:cs="Arial" w:eastAsia="Arial" w:hAnsi="Arial"/>
          <w:sz w:val="17"/>
          <w:szCs w:val="17"/>
          <w:color w:val="000000"/>
        </w:rPr>
        <w:t>To evaluate the safety of NEO-PV-01 with pembrolizumab and carboplatin and pemetrexed.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Secondary: </w:t>
      </w:r>
      <w:r>
        <w:rPr>
          <w:rFonts w:ascii="Arial" w:cs="Arial" w:eastAsia="Arial" w:hAnsi="Arial"/>
          <w:sz w:val="17"/>
          <w:szCs w:val="17"/>
          <w:color w:val="000000"/>
        </w:rPr>
        <w:t>To determine clinical efficacy, assessed by objective response rate (ORR), progression-free survival (PFS), and overall survival (OS).</w:t>
      </w:r>
    </w:p>
    <w:p>
      <w:pPr>
        <w:spacing w:after="0" w:line="100"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045A63"/>
        </w:rPr>
        <w:t xml:space="preserve">Exploratory: </w:t>
      </w:r>
      <w:r>
        <w:rPr>
          <w:rFonts w:ascii="Arial" w:cs="Arial" w:eastAsia="Arial" w:hAnsi="Arial"/>
          <w:sz w:val="17"/>
          <w:szCs w:val="17"/>
          <w:color w:val="000000"/>
        </w:rPr>
        <w:t>To characterize immune responses in the periphery and in the tumor, assessing for durability, presence of epitope spread, ability to kill</w:t>
      </w:r>
      <w:r>
        <w:rPr>
          <w:rFonts w:ascii="Arial" w:cs="Arial" w:eastAsia="Arial" w:hAnsi="Arial"/>
          <w:sz w:val="17"/>
          <w:szCs w:val="17"/>
          <w:b w:val="1"/>
          <w:bCs w:val="1"/>
          <w:color w:val="045A63"/>
        </w:rPr>
        <w:t xml:space="preserve"> </w:t>
      </w:r>
      <w:r>
        <w:rPr>
          <w:rFonts w:ascii="Arial" w:cs="Arial" w:eastAsia="Arial" w:hAnsi="Arial"/>
          <w:sz w:val="17"/>
          <w:szCs w:val="17"/>
          <w:color w:val="000000"/>
        </w:rPr>
        <w:t>tumor, and tumor cellularity.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2: </w:t>
      </w:r>
      <w:r>
        <w:rPr>
          <w:rFonts w:ascii="Arial" w:cs="Arial" w:eastAsia="Arial" w:hAnsi="Arial"/>
          <w:sz w:val="17"/>
          <w:szCs w:val="17"/>
          <w:b w:val="1"/>
          <w:bCs w:val="1"/>
          <w:color w:val="000000"/>
        </w:rPr>
        <w:t>NT-002 Study Schema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547995" cy="2480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47995" cy="2480310"/>
                    </a:xfrm>
                    <a:prstGeom prst="rect">
                      <a:avLst/>
                    </a:prstGeom>
                    <a:noFill/>
                  </pic:spPr>
                </pic:pic>
              </a:graphicData>
            </a:graphic>
          </wp:anchor>
        </w:drawing>
      </w:r>
    </w:p>
    <w:p>
      <w:pPr>
        <w:sectPr>
          <w:pgSz w:w="11900" w:h="16838" w:orient="portrait"/>
          <w:cols w:equalWidth="0" w:num="1">
            <w:col w:w="11180"/>
          </w:cols>
          <w:pgMar w:left="320" w:top="364"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color w:val="045A63"/>
        </w:rPr>
        <w:t xml:space="preserve">Top: </w:t>
      </w:r>
      <w:r>
        <w:rPr>
          <w:rFonts w:ascii="Arial" w:cs="Arial" w:eastAsia="Arial" w:hAnsi="Arial"/>
          <w:sz w:val="17"/>
          <w:szCs w:val="17"/>
          <w:color w:val="045A63"/>
        </w:rPr>
        <w:t>Treatment with pembrolizumab + pemetrexed + carboplatin was initiated at Week 0 x 4 cycles. NEO-PV-01 was administered between Weeks</w:t>
      </w:r>
      <w:r>
        <w:rPr>
          <w:rFonts w:ascii="Arial" w:cs="Arial" w:eastAsia="Arial" w:hAnsi="Arial"/>
          <w:sz w:val="17"/>
          <w:szCs w:val="17"/>
          <w:b w:val="1"/>
          <w:bCs w:val="1"/>
          <w:color w:val="045A63"/>
        </w:rPr>
        <w:t xml:space="preserve"> </w:t>
      </w:r>
      <w:r>
        <w:rPr>
          <w:rFonts w:ascii="Arial" w:cs="Arial" w:eastAsia="Arial" w:hAnsi="Arial"/>
          <w:sz w:val="17"/>
          <w:szCs w:val="17"/>
          <w:color w:val="045A63"/>
        </w:rPr>
        <w:t xml:space="preserve">12 and 24, after which pembrolizumab was continued as monotherapy for up to 2 years. </w:t>
      </w:r>
      <w:r>
        <w:rPr>
          <w:rFonts w:ascii="Arial" w:cs="Arial" w:eastAsia="Arial" w:hAnsi="Arial"/>
          <w:sz w:val="17"/>
          <w:szCs w:val="17"/>
          <w:b w:val="1"/>
          <w:bCs w:val="1"/>
          <w:color w:val="045A63"/>
        </w:rPr>
        <w:t>Bottom:</w:t>
      </w:r>
      <w:r>
        <w:rPr>
          <w:rFonts w:ascii="Arial" w:cs="Arial" w:eastAsia="Arial" w:hAnsi="Arial"/>
          <w:sz w:val="17"/>
          <w:szCs w:val="17"/>
          <w:color w:val="045A63"/>
        </w:rPr>
        <w:t xml:space="preserve"> Study patient cohorts. 38 patients initiated study treatments (ITT population), 21 and 16 patients initiated and completed NEO-PV-01 treatment, comprising the Vaccinated (VAX) group and Per Protocol study cohorts, respectively.</w:t>
      </w:r>
    </w:p>
    <w:p>
      <w:pPr>
        <w:sectPr>
          <w:pgSz w:w="11900" w:h="16838" w:orient="portrait"/>
          <w:cols w:equalWidth="0" w:num="1">
            <w:col w:w="11180"/>
          </w:cols>
          <w:pgMar w:left="320" w:top="364" w:right="399" w:bottom="0" w:gutter="0" w:footer="0" w:header="0"/>
          <w:type w:val="continuous"/>
        </w:sectPr>
      </w:pPr>
    </w:p>
    <w:bookmarkStart w:id="26" w:name="page27"/>
    <w:bookmarkEnd w:id="26"/>
    <w:p>
      <w:pPr>
        <w:spacing w:after="0"/>
        <w:rPr>
          <w:sz w:val="20"/>
          <w:szCs w:val="20"/>
          <w:color w:val="auto"/>
        </w:rPr>
      </w:pPr>
      <w:r>
        <w:rPr>
          <w:rFonts w:ascii="Arial" w:cs="Arial" w:eastAsia="Arial" w:hAnsi="Arial"/>
          <w:sz w:val="21"/>
          <w:szCs w:val="21"/>
          <w:b w:val="1"/>
          <w:bCs w:val="1"/>
          <w:color w:val="399A7A"/>
        </w:rPr>
        <w:t>Methods</w:t>
      </w:r>
    </w:p>
    <w:p>
      <w:pPr>
        <w:spacing w:after="0" w:line="65" w:lineRule="exact"/>
        <w:rPr>
          <w:sz w:val="20"/>
          <w:szCs w:val="20"/>
          <w:color w:val="auto"/>
        </w:rPr>
      </w:pPr>
    </w:p>
    <w:p>
      <w:pPr>
        <w:ind w:left="200" w:right="120" w:hanging="197"/>
        <w:spacing w:after="0" w:line="276" w:lineRule="auto"/>
        <w:tabs>
          <w:tab w:leader="none" w:pos="200" w:val="left"/>
        </w:tabs>
        <w:numPr>
          <w:ilvl w:val="0"/>
          <w:numId w:val="34"/>
        </w:numPr>
        <w:rPr>
          <w:rFonts w:ascii="Arial" w:cs="Arial" w:eastAsia="Arial" w:hAnsi="Arial"/>
          <w:sz w:val="17"/>
          <w:szCs w:val="17"/>
          <w:color w:val="045A63"/>
        </w:rPr>
      </w:pPr>
      <w:r>
        <w:rPr>
          <w:rFonts w:ascii="Arial" w:cs="Arial" w:eastAsia="Arial" w:hAnsi="Arial"/>
          <w:sz w:val="17"/>
          <w:szCs w:val="17"/>
          <w:color w:val="auto"/>
        </w:rPr>
        <w:t>Patients received 12 weeks of pembrolizumab (Q3W) plus carboplatin and pemetrexed. NEO-PV-01 was then given subcutaneously in a prime-boost format spanning 12 weeks, followed by pembrolizumab only for up to 2 years.</w:t>
      </w:r>
    </w:p>
    <w:p>
      <w:pPr>
        <w:ind w:left="200" w:right="600" w:hanging="197"/>
        <w:spacing w:after="0" w:line="276" w:lineRule="auto"/>
        <w:tabs>
          <w:tab w:leader="none" w:pos="200" w:val="left"/>
        </w:tabs>
        <w:numPr>
          <w:ilvl w:val="0"/>
          <w:numId w:val="34"/>
        </w:numPr>
        <w:rPr>
          <w:rFonts w:ascii="Arial" w:cs="Arial" w:eastAsia="Arial" w:hAnsi="Arial"/>
          <w:sz w:val="17"/>
          <w:szCs w:val="17"/>
          <w:color w:val="045A63"/>
        </w:rPr>
      </w:pPr>
      <w:r>
        <w:rPr>
          <w:rFonts w:ascii="Arial" w:cs="Arial" w:eastAsia="Arial" w:hAnsi="Arial"/>
          <w:sz w:val="17"/>
          <w:szCs w:val="17"/>
          <w:color w:val="auto"/>
        </w:rPr>
        <w:t>Comprehensive comparisons of baseline and serial molecular and immunological characteristics between patients with vs. without PFS-9 (defined as 9-month PFS) were performed.</w:t>
      </w:r>
    </w:p>
    <w:p>
      <w:pPr>
        <w:ind w:left="200" w:right="440" w:hanging="197"/>
        <w:spacing w:after="0" w:line="276" w:lineRule="auto"/>
        <w:tabs>
          <w:tab w:leader="none" w:pos="200" w:val="left"/>
        </w:tabs>
        <w:numPr>
          <w:ilvl w:val="0"/>
          <w:numId w:val="34"/>
        </w:numPr>
        <w:rPr>
          <w:rFonts w:ascii="Arial" w:cs="Arial" w:eastAsia="Arial" w:hAnsi="Arial"/>
          <w:sz w:val="17"/>
          <w:szCs w:val="17"/>
          <w:color w:val="045A63"/>
        </w:rPr>
      </w:pPr>
      <w:r>
        <w:rPr>
          <w:rFonts w:ascii="Arial" w:cs="Arial" w:eastAsia="Arial" w:hAnsi="Arial"/>
          <w:sz w:val="17"/>
          <w:szCs w:val="17"/>
          <w:color w:val="auto"/>
        </w:rPr>
        <w:t>All patients who initiated pembrolizumab and chemotherapy (ITT set) were analyzed for safety and efficacy. Subset analysis of efficacy was performed on patients who received at least one dose of NEO-PV-01 vaccine (VAX group).</w:t>
      </w:r>
    </w:p>
    <w:p>
      <w:pPr>
        <w:ind w:left="200" w:right="220" w:hanging="197"/>
        <w:spacing w:after="0" w:line="258" w:lineRule="auto"/>
        <w:tabs>
          <w:tab w:leader="none" w:pos="200" w:val="left"/>
        </w:tabs>
        <w:numPr>
          <w:ilvl w:val="0"/>
          <w:numId w:val="34"/>
        </w:numPr>
        <w:rPr>
          <w:rFonts w:ascii="Arial" w:cs="Arial" w:eastAsia="Arial" w:hAnsi="Arial"/>
          <w:sz w:val="17"/>
          <w:szCs w:val="17"/>
          <w:color w:val="045A63"/>
        </w:rPr>
      </w:pPr>
      <w:r>
        <w:rPr>
          <w:rFonts w:ascii="Arial" w:cs="Arial" w:eastAsia="Arial" w:hAnsi="Arial"/>
          <w:sz w:val="17"/>
          <w:szCs w:val="17"/>
          <w:color w:val="auto"/>
        </w:rPr>
        <w:t>Peripheral blood samples were evaluated for the presence of neoantigen-specific T cell responses by IFN-y ELISpot, intracellular cytokine staining, multi-parameter surface and functional phenotyping by FACS, and presence of cytolytic properties. Tumor biopsies were analyzed for multiple immune and tumor markers by immunohistochemistry, gene expression and whole exome sequencing.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Abbreviations: </w:t>
      </w:r>
      <w:r>
        <w:rPr>
          <w:rFonts w:ascii="Arial" w:cs="Arial" w:eastAsia="Arial" w:hAnsi="Arial"/>
          <w:sz w:val="17"/>
          <w:szCs w:val="17"/>
          <w:color w:val="000000"/>
        </w:rPr>
        <w:t>AE = adverse event; ANC = absolute neutrophil count; CBR = clinical benefit rate; CPI = checkpoint inhibitor;</w:t>
      </w:r>
    </w:p>
    <w:p>
      <w:pPr>
        <w:spacing w:after="0" w:line="2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ELISpot = Enzyme-Linked ImmunoSpot; FACS = fluorescence-activated cell sorting; FFPE = formalin-fixed paraffin embedded; IFN-y = interferon-y; IHC = immunohistochemistry; ITT = intent-to-treat; NE = not evaluated; NR = not reached; NSCLC = non-small cell lung cancer; ORR = objective response rate; OS = overall survival; PBMC = peripheral blood mononuclear cell; PD = progressive disease; PD-1 = programmed cell death protein 1; PD-L1 = programmed death ligand 1; PFS = progression-free survival; poly-ICLC = polyinosinic-polycytidylic acid-polylysine carboxymethylcellulose; PR = partial response; Q3W = every three weeks; SAE = serious adverse event; SD = stable disease; TMB = tumor mutational burden.</w:t>
      </w:r>
    </w:p>
    <w:p>
      <w:pPr>
        <w:sectPr>
          <w:pgSz w:w="11900" w:h="16838" w:orient="portrait"/>
          <w:cols w:equalWidth="0" w:num="1">
            <w:col w:w="11180"/>
          </w:cols>
          <w:pgMar w:left="320" w:top="105" w:right="399" w:bottom="1440" w:gutter="0" w:footer="0" w:header="0"/>
        </w:sectPr>
      </w:pPr>
    </w:p>
    <w:bookmarkStart w:id="27" w:name="page28"/>
    <w:bookmarkEnd w:id="27"/>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180" cy="24765"/>
                    </a:xfrm>
                    <a:prstGeom prst="rect">
                      <a:avLst/>
                    </a:prstGeom>
                    <a:noFill/>
                  </pic:spPr>
                </pic:pic>
              </a:graphicData>
            </a:graphic>
          </wp:anchor>
        </w:drawing>
        <w:drawing>
          <wp:inline distT="0" distB="0" distL="0" distR="0">
            <wp:extent cx="65405" cy="1797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05" cy="179705"/>
                    </a:xfrm>
                    <a:prstGeom prst="rect">
                      <a:avLst/>
                    </a:prstGeom>
                    <a:noFill/>
                    <a:ln>
                      <a:noFill/>
                    </a:ln>
                  </pic:spPr>
                </pic:pic>
              </a:graphicData>
            </a:graphic>
          </wp:inline>
        </w:drawing>
      </w:r>
      <w:r>
        <w:rPr>
          <w:rFonts w:ascii="Arial" w:cs="Arial" w:eastAsia="Arial" w:hAnsi="Arial"/>
          <w:sz w:val="21"/>
          <w:szCs w:val="21"/>
          <w:b w:val="1"/>
          <w:bCs w:val="1"/>
          <w:color w:val="FFFFFF"/>
        </w:rPr>
        <w:t>NEO-PV-01 + Pembrolizumab and Chemotherapy was Well-Tolerated and Leads to Broad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Table 1: </w:t>
      </w:r>
      <w:r>
        <w:rPr>
          <w:rFonts w:ascii="Arial" w:cs="Arial" w:eastAsia="Arial" w:hAnsi="Arial"/>
          <w:sz w:val="17"/>
          <w:szCs w:val="17"/>
          <w:b w:val="1"/>
          <w:bCs w:val="1"/>
          <w:color w:val="000000"/>
        </w:rPr>
        <w:t>Patient Demographics and Baseline Disease Characteristics</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880" w:type="dxa"/>
            <w:vAlign w:val="bottom"/>
            <w:tcBorders>
              <w:left w:val="single" w:sz="8" w:color="045A63"/>
              <w:right w:val="single" w:sz="8" w:color="045A63"/>
            </w:tcBorders>
            <w:shd w:val="clear" w:color="auto" w:fill="045A63"/>
          </w:tcPr>
          <w:p>
            <w:pPr>
              <w:spacing w:after="0"/>
              <w:rPr>
                <w:sz w:val="16"/>
                <w:szCs w:val="16"/>
                <w:color w:val="auto"/>
              </w:rPr>
            </w:pPr>
          </w:p>
        </w:tc>
        <w:tc>
          <w:tcPr>
            <w:tcW w:w="980" w:type="dxa"/>
            <w:vAlign w:val="bottom"/>
            <w:shd w:val="clear" w:color="auto" w:fill="045A63"/>
          </w:tcPr>
          <w:p>
            <w:pPr>
              <w:spacing w:after="0"/>
              <w:rPr>
                <w:sz w:val="16"/>
                <w:szCs w:val="16"/>
                <w:color w:val="auto"/>
              </w:rPr>
            </w:pPr>
          </w:p>
        </w:tc>
        <w:tc>
          <w:tcPr>
            <w:tcW w:w="1200" w:type="dxa"/>
            <w:vAlign w:val="bottom"/>
            <w:tcBorders>
              <w:right w:val="single" w:sz="8" w:color="045A63"/>
            </w:tcBorders>
            <w:shd w:val="clear" w:color="auto" w:fill="045A63"/>
          </w:tcPr>
          <w:p>
            <w:pPr>
              <w:ind w:left="20"/>
              <w:spacing w:after="0"/>
              <w:rPr>
                <w:sz w:val="20"/>
                <w:szCs w:val="20"/>
                <w:color w:val="auto"/>
              </w:rPr>
            </w:pPr>
            <w:r>
              <w:rPr>
                <w:rFonts w:ascii="Arial" w:cs="Arial" w:eastAsia="Arial" w:hAnsi="Arial"/>
                <w:sz w:val="17"/>
                <w:szCs w:val="17"/>
                <w:b w:val="1"/>
                <w:bCs w:val="1"/>
                <w:color w:val="FFFFFF"/>
              </w:rPr>
              <w:t>ITT</w:t>
            </w:r>
          </w:p>
        </w:tc>
        <w:tc>
          <w:tcPr>
            <w:tcW w:w="1000" w:type="dxa"/>
            <w:vAlign w:val="bottom"/>
            <w:shd w:val="clear" w:color="auto" w:fill="045A63"/>
          </w:tcPr>
          <w:p>
            <w:pPr>
              <w:spacing w:after="0"/>
              <w:rPr>
                <w:sz w:val="16"/>
                <w:szCs w:val="16"/>
                <w:color w:val="auto"/>
              </w:rPr>
            </w:pPr>
          </w:p>
        </w:tc>
        <w:tc>
          <w:tcPr>
            <w:tcW w:w="1180" w:type="dxa"/>
            <w:vAlign w:val="bottom"/>
            <w:shd w:val="clear" w:color="auto" w:fill="045A63"/>
          </w:tcPr>
          <w:p>
            <w:pPr>
              <w:ind w:left="20"/>
              <w:spacing w:after="0"/>
              <w:rPr>
                <w:sz w:val="20"/>
                <w:szCs w:val="20"/>
                <w:color w:val="auto"/>
              </w:rPr>
            </w:pPr>
            <w:r>
              <w:rPr>
                <w:rFonts w:ascii="Arial" w:cs="Arial" w:eastAsia="Arial" w:hAnsi="Arial"/>
                <w:sz w:val="17"/>
                <w:szCs w:val="17"/>
                <w:b w:val="1"/>
                <w:bCs w:val="1"/>
                <w:color w:val="FFFFFF"/>
              </w:rPr>
              <w:t>VAX</w:t>
            </w:r>
          </w:p>
        </w:tc>
        <w:tc>
          <w:tcPr>
            <w:tcW w:w="20" w:type="dxa"/>
            <w:vAlign w:val="bottom"/>
          </w:tcPr>
          <w:p>
            <w:pPr>
              <w:spacing w:after="0"/>
              <w:rPr>
                <w:sz w:val="16"/>
                <w:szCs w:val="16"/>
                <w:color w:val="auto"/>
              </w:rPr>
            </w:pPr>
          </w:p>
        </w:tc>
      </w:tr>
      <w:tr>
        <w:trPr>
          <w:trHeight w:val="218"/>
        </w:trPr>
        <w:tc>
          <w:tcPr>
            <w:tcW w:w="6880" w:type="dxa"/>
            <w:vAlign w:val="bottom"/>
            <w:tcBorders>
              <w:left w:val="single" w:sz="8" w:color="045A63"/>
              <w:bottom w:val="single" w:sz="8" w:color="336699"/>
              <w:right w:val="single" w:sz="8" w:color="045A63"/>
            </w:tcBorders>
            <w:shd w:val="clear" w:color="auto" w:fill="045A63"/>
          </w:tcPr>
          <w:p>
            <w:pPr>
              <w:spacing w:after="0"/>
              <w:rPr>
                <w:sz w:val="18"/>
                <w:szCs w:val="18"/>
                <w:color w:val="auto"/>
              </w:rPr>
            </w:pPr>
          </w:p>
        </w:tc>
        <w:tc>
          <w:tcPr>
            <w:tcW w:w="2180" w:type="dxa"/>
            <w:vAlign w:val="bottom"/>
            <w:tcBorders>
              <w:bottom w:val="single" w:sz="8" w:color="336699"/>
              <w:right w:val="single" w:sz="8" w:color="045A63"/>
            </w:tcBorders>
            <w:gridSpan w:val="2"/>
            <w:shd w:val="clear" w:color="auto" w:fill="045A63"/>
          </w:tcPr>
          <w:p>
            <w:pPr>
              <w:jc w:val="right"/>
              <w:ind w:right="654"/>
              <w:spacing w:after="0"/>
              <w:rPr>
                <w:sz w:val="20"/>
                <w:szCs w:val="20"/>
                <w:color w:val="auto"/>
              </w:rPr>
            </w:pPr>
            <w:r>
              <w:rPr>
                <w:rFonts w:ascii="Arial" w:cs="Arial" w:eastAsia="Arial" w:hAnsi="Arial"/>
                <w:sz w:val="17"/>
                <w:szCs w:val="17"/>
                <w:b w:val="1"/>
                <w:bCs w:val="1"/>
                <w:color w:val="FFFFFF"/>
              </w:rPr>
              <w:t>(N = 38)</w:t>
            </w:r>
          </w:p>
        </w:tc>
        <w:tc>
          <w:tcPr>
            <w:tcW w:w="2180" w:type="dxa"/>
            <w:vAlign w:val="bottom"/>
            <w:tcBorders>
              <w:bottom w:val="single" w:sz="8" w:color="336699"/>
            </w:tcBorders>
            <w:gridSpan w:val="2"/>
            <w:shd w:val="clear" w:color="auto" w:fill="045A63"/>
          </w:tcPr>
          <w:p>
            <w:pPr>
              <w:ind w:left="880"/>
              <w:spacing w:after="0"/>
              <w:rPr>
                <w:sz w:val="20"/>
                <w:szCs w:val="20"/>
                <w:color w:val="auto"/>
              </w:rPr>
            </w:pPr>
            <w:r>
              <w:rPr>
                <w:rFonts w:ascii="Arial" w:cs="Arial" w:eastAsia="Arial" w:hAnsi="Arial"/>
                <w:sz w:val="17"/>
                <w:szCs w:val="17"/>
                <w:b w:val="1"/>
                <w:bCs w:val="1"/>
                <w:color w:val="FFFFFF"/>
              </w:rPr>
              <w:t>(N = 21)</w:t>
            </w:r>
          </w:p>
        </w:tc>
        <w:tc>
          <w:tcPr>
            <w:tcW w:w="20" w:type="dxa"/>
            <w:vAlign w:val="bottom"/>
            <w:tcBorders>
              <w:bottom w:val="single" w:sz="8" w:color="336699"/>
            </w:tcBorders>
          </w:tcPr>
          <w:p>
            <w:pPr>
              <w:spacing w:after="0"/>
              <w:rPr>
                <w:sz w:val="18"/>
                <w:szCs w:val="18"/>
                <w:color w:val="auto"/>
              </w:rPr>
            </w:pPr>
          </w:p>
        </w:tc>
      </w:tr>
      <w:tr>
        <w:trPr>
          <w:trHeight w:val="186"/>
        </w:trPr>
        <w:tc>
          <w:tcPr>
            <w:tcW w:w="6880" w:type="dxa"/>
            <w:vAlign w:val="bottom"/>
            <w:tcBorders>
              <w:left w:val="single" w:sz="8" w:color="336699"/>
              <w:bottom w:val="single" w:sz="8" w:color="336699"/>
              <w:right w:val="single" w:sz="8" w:color="336699"/>
            </w:tcBorders>
            <w:shd w:val="clear" w:color="auto" w:fill="DFE6EA"/>
          </w:tcPr>
          <w:p>
            <w:pPr>
              <w:ind w:left="160"/>
              <w:spacing w:after="0" w:line="185" w:lineRule="exact"/>
              <w:rPr>
                <w:sz w:val="20"/>
                <w:szCs w:val="20"/>
                <w:color w:val="auto"/>
              </w:rPr>
            </w:pPr>
            <w:r>
              <w:rPr>
                <w:rFonts w:ascii="Arial" w:cs="Arial" w:eastAsia="Arial" w:hAnsi="Arial"/>
                <w:sz w:val="17"/>
                <w:szCs w:val="17"/>
                <w:color w:val="auto"/>
              </w:rPr>
              <w:t>Median Age (years)</w:t>
            </w:r>
          </w:p>
        </w:tc>
        <w:tc>
          <w:tcPr>
            <w:tcW w:w="2180" w:type="dxa"/>
            <w:vAlign w:val="bottom"/>
            <w:tcBorders>
              <w:bottom w:val="single" w:sz="8" w:color="336699"/>
              <w:right w:val="single" w:sz="8" w:color="336699"/>
            </w:tcBorders>
            <w:gridSpan w:val="2"/>
            <w:shd w:val="clear" w:color="auto" w:fill="DFE6EA"/>
          </w:tcPr>
          <w:p>
            <w:pPr>
              <w:jc w:val="center"/>
              <w:spacing w:after="0" w:line="185" w:lineRule="exact"/>
              <w:rPr>
                <w:sz w:val="20"/>
                <w:szCs w:val="20"/>
                <w:color w:val="auto"/>
              </w:rPr>
            </w:pPr>
            <w:r>
              <w:rPr>
                <w:rFonts w:ascii="Arial" w:cs="Arial" w:eastAsia="Arial" w:hAnsi="Arial"/>
                <w:sz w:val="17"/>
                <w:szCs w:val="17"/>
                <w:color w:val="auto"/>
                <w:w w:val="99"/>
              </w:rPr>
              <w:t>62.5 (56-73)</w:t>
            </w:r>
          </w:p>
        </w:tc>
        <w:tc>
          <w:tcPr>
            <w:tcW w:w="1000" w:type="dxa"/>
            <w:vAlign w:val="bottom"/>
            <w:tcBorders>
              <w:bottom w:val="single" w:sz="8" w:color="336699"/>
            </w:tcBorders>
            <w:shd w:val="clear" w:color="auto" w:fill="DFE6EA"/>
          </w:tcPr>
          <w:p>
            <w:pPr>
              <w:jc w:val="right"/>
              <w:spacing w:after="0" w:line="185" w:lineRule="exact"/>
              <w:rPr>
                <w:sz w:val="20"/>
                <w:szCs w:val="20"/>
                <w:color w:val="auto"/>
              </w:rPr>
            </w:pPr>
            <w:r>
              <w:rPr>
                <w:rFonts w:ascii="Arial" w:cs="Arial" w:eastAsia="Arial" w:hAnsi="Arial"/>
                <w:sz w:val="17"/>
                <w:szCs w:val="17"/>
                <w:color w:val="auto"/>
              </w:rPr>
              <w:t>63</w:t>
            </w:r>
          </w:p>
        </w:tc>
        <w:tc>
          <w:tcPr>
            <w:tcW w:w="1180" w:type="dxa"/>
            <w:vAlign w:val="bottom"/>
            <w:tcBorders>
              <w:bottom w:val="single" w:sz="8" w:color="336699"/>
            </w:tcBorders>
            <w:shd w:val="clear" w:color="auto" w:fill="DFE6EA"/>
          </w:tcPr>
          <w:p>
            <w:pPr>
              <w:ind w:left="20"/>
              <w:spacing w:after="0" w:line="185" w:lineRule="exact"/>
              <w:rPr>
                <w:sz w:val="20"/>
                <w:szCs w:val="20"/>
                <w:color w:val="auto"/>
              </w:rPr>
            </w:pPr>
            <w:r>
              <w:rPr>
                <w:rFonts w:ascii="Arial" w:cs="Arial" w:eastAsia="Arial" w:hAnsi="Arial"/>
                <w:sz w:val="17"/>
                <w:szCs w:val="17"/>
                <w:color w:val="auto"/>
              </w:rPr>
              <w:t>(56-69)</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tcPr>
          <w:p>
            <w:pPr>
              <w:ind w:left="160"/>
              <w:spacing w:after="0" w:line="185" w:lineRule="exact"/>
              <w:rPr>
                <w:sz w:val="20"/>
                <w:szCs w:val="20"/>
                <w:color w:val="auto"/>
              </w:rPr>
            </w:pPr>
            <w:r>
              <w:rPr>
                <w:rFonts w:ascii="Arial" w:cs="Arial" w:eastAsia="Arial" w:hAnsi="Arial"/>
                <w:sz w:val="17"/>
                <w:szCs w:val="17"/>
                <w:color w:val="auto"/>
              </w:rPr>
              <w:t>Sex M/F, n (%)</w:t>
            </w:r>
          </w:p>
        </w:tc>
        <w:tc>
          <w:tcPr>
            <w:tcW w:w="2180" w:type="dxa"/>
            <w:vAlign w:val="bottom"/>
            <w:tcBorders>
              <w:bottom w:val="single" w:sz="8" w:color="336699"/>
              <w:right w:val="single" w:sz="8" w:color="336699"/>
            </w:tcBorders>
            <w:gridSpan w:val="2"/>
          </w:tcPr>
          <w:p>
            <w:pPr>
              <w:jc w:val="right"/>
              <w:ind w:right="274"/>
              <w:spacing w:after="0" w:line="185" w:lineRule="exact"/>
              <w:rPr>
                <w:sz w:val="20"/>
                <w:szCs w:val="20"/>
                <w:color w:val="auto"/>
              </w:rPr>
            </w:pPr>
            <w:r>
              <w:rPr>
                <w:rFonts w:ascii="Arial" w:cs="Arial" w:eastAsia="Arial" w:hAnsi="Arial"/>
                <w:sz w:val="17"/>
                <w:szCs w:val="17"/>
                <w:color w:val="auto"/>
              </w:rPr>
              <w:t>15 (39%) /23 (61%)</w:t>
            </w:r>
          </w:p>
        </w:tc>
        <w:tc>
          <w:tcPr>
            <w:tcW w:w="2180" w:type="dxa"/>
            <w:vAlign w:val="bottom"/>
            <w:tcBorders>
              <w:bottom w:val="single" w:sz="8" w:color="336699"/>
            </w:tcBorders>
            <w:gridSpan w:val="2"/>
          </w:tcPr>
          <w:p>
            <w:pPr>
              <w:jc w:val="center"/>
              <w:ind w:left="94"/>
              <w:spacing w:after="0" w:line="185" w:lineRule="exact"/>
              <w:rPr>
                <w:sz w:val="20"/>
                <w:szCs w:val="20"/>
                <w:color w:val="auto"/>
              </w:rPr>
            </w:pPr>
            <w:r>
              <w:rPr>
                <w:rFonts w:ascii="Arial" w:cs="Arial" w:eastAsia="Arial" w:hAnsi="Arial"/>
                <w:sz w:val="17"/>
                <w:szCs w:val="17"/>
                <w:color w:val="auto"/>
              </w:rPr>
              <w:t>7 (33%) / 14 (67%)</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shd w:val="clear" w:color="auto" w:fill="DFE6EA"/>
          </w:tcPr>
          <w:p>
            <w:pPr>
              <w:ind w:left="160"/>
              <w:spacing w:after="0" w:line="185" w:lineRule="exact"/>
              <w:rPr>
                <w:sz w:val="20"/>
                <w:szCs w:val="20"/>
                <w:color w:val="auto"/>
              </w:rPr>
            </w:pPr>
            <w:r>
              <w:rPr>
                <w:rFonts w:ascii="Arial" w:cs="Arial" w:eastAsia="Arial" w:hAnsi="Arial"/>
                <w:sz w:val="17"/>
                <w:szCs w:val="17"/>
                <w:color w:val="auto"/>
              </w:rPr>
              <w:t>Prior therapy, n (%)</w:t>
            </w:r>
          </w:p>
        </w:tc>
        <w:tc>
          <w:tcPr>
            <w:tcW w:w="980" w:type="dxa"/>
            <w:vAlign w:val="bottom"/>
            <w:tcBorders>
              <w:bottom w:val="single" w:sz="8" w:color="336699"/>
            </w:tcBorders>
            <w:shd w:val="clear" w:color="auto" w:fill="DFE6EA"/>
          </w:tcPr>
          <w:p>
            <w:pPr>
              <w:jc w:val="right"/>
              <w:spacing w:after="0" w:line="185" w:lineRule="exact"/>
              <w:rPr>
                <w:sz w:val="20"/>
                <w:szCs w:val="20"/>
                <w:color w:val="auto"/>
              </w:rPr>
            </w:pPr>
            <w:r>
              <w:rPr>
                <w:rFonts w:ascii="Arial" w:cs="Arial" w:eastAsia="Arial" w:hAnsi="Arial"/>
                <w:sz w:val="17"/>
                <w:szCs w:val="17"/>
                <w:color w:val="auto"/>
              </w:rPr>
              <w:t>3</w:t>
            </w:r>
          </w:p>
        </w:tc>
        <w:tc>
          <w:tcPr>
            <w:tcW w:w="1200" w:type="dxa"/>
            <w:vAlign w:val="bottom"/>
            <w:tcBorders>
              <w:bottom w:val="single" w:sz="8" w:color="336699"/>
              <w:right w:val="single" w:sz="8" w:color="336699"/>
            </w:tcBorders>
            <w:shd w:val="clear" w:color="auto" w:fill="DFE6EA"/>
          </w:tcPr>
          <w:p>
            <w:pPr>
              <w:ind w:left="40"/>
              <w:spacing w:after="0" w:line="185" w:lineRule="exact"/>
              <w:rPr>
                <w:sz w:val="20"/>
                <w:szCs w:val="20"/>
                <w:color w:val="auto"/>
              </w:rPr>
            </w:pPr>
            <w:r>
              <w:rPr>
                <w:rFonts w:ascii="Arial" w:cs="Arial" w:eastAsia="Arial" w:hAnsi="Arial"/>
                <w:sz w:val="17"/>
                <w:szCs w:val="17"/>
                <w:color w:val="auto"/>
              </w:rPr>
              <w:t>(8%)</w:t>
            </w:r>
          </w:p>
        </w:tc>
        <w:tc>
          <w:tcPr>
            <w:tcW w:w="1000" w:type="dxa"/>
            <w:vAlign w:val="bottom"/>
            <w:tcBorders>
              <w:bottom w:val="single" w:sz="8" w:color="336699"/>
            </w:tcBorders>
            <w:shd w:val="clear" w:color="auto" w:fill="DFE6EA"/>
          </w:tcPr>
          <w:p>
            <w:pPr>
              <w:spacing w:after="0"/>
              <w:rPr>
                <w:sz w:val="16"/>
                <w:szCs w:val="16"/>
                <w:color w:val="auto"/>
              </w:rPr>
            </w:pPr>
          </w:p>
        </w:tc>
        <w:tc>
          <w:tcPr>
            <w:tcW w:w="1180" w:type="dxa"/>
            <w:vAlign w:val="bottom"/>
            <w:tcBorders>
              <w:bottom w:val="single" w:sz="8" w:color="336699"/>
            </w:tcBorders>
            <w:shd w:val="clear" w:color="auto" w:fill="DFE6EA"/>
          </w:tcPr>
          <w:p>
            <w:pPr>
              <w:jc w:val="center"/>
              <w:ind w:right="734"/>
              <w:spacing w:after="0" w:line="185" w:lineRule="exact"/>
              <w:rPr>
                <w:sz w:val="20"/>
                <w:szCs w:val="20"/>
                <w:color w:val="auto"/>
              </w:rPr>
            </w:pPr>
            <w:r>
              <w:rPr>
                <w:rFonts w:ascii="Arial" w:cs="Arial" w:eastAsia="Arial" w:hAnsi="Arial"/>
                <w:sz w:val="17"/>
                <w:szCs w:val="17"/>
                <w:color w:val="auto"/>
                <w:w w:val="97"/>
              </w:rPr>
              <w:t>0%</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tcPr>
          <w:p>
            <w:pPr>
              <w:ind w:left="160"/>
              <w:spacing w:after="0" w:line="185" w:lineRule="exact"/>
              <w:rPr>
                <w:sz w:val="20"/>
                <w:szCs w:val="20"/>
                <w:color w:val="auto"/>
              </w:rPr>
            </w:pPr>
            <w:r>
              <w:rPr>
                <w:rFonts w:ascii="Arial" w:cs="Arial" w:eastAsia="Arial" w:hAnsi="Arial"/>
                <w:sz w:val="17"/>
                <w:szCs w:val="17"/>
                <w:color w:val="auto"/>
              </w:rPr>
              <w:t>Stage IV, n (%)</w:t>
            </w:r>
          </w:p>
        </w:tc>
        <w:tc>
          <w:tcPr>
            <w:tcW w:w="980" w:type="dxa"/>
            <w:vAlign w:val="bottom"/>
            <w:tcBorders>
              <w:bottom w:val="single" w:sz="8" w:color="336699"/>
            </w:tcBorders>
          </w:tcPr>
          <w:p>
            <w:pPr>
              <w:jc w:val="right"/>
              <w:spacing w:after="0" w:line="185" w:lineRule="exact"/>
              <w:rPr>
                <w:sz w:val="20"/>
                <w:szCs w:val="20"/>
                <w:color w:val="auto"/>
              </w:rPr>
            </w:pPr>
            <w:r>
              <w:rPr>
                <w:rFonts w:ascii="Arial" w:cs="Arial" w:eastAsia="Arial" w:hAnsi="Arial"/>
                <w:sz w:val="17"/>
                <w:szCs w:val="17"/>
                <w:color w:val="auto"/>
              </w:rPr>
              <w:t>33</w:t>
            </w:r>
          </w:p>
        </w:tc>
        <w:tc>
          <w:tcPr>
            <w:tcW w:w="1200" w:type="dxa"/>
            <w:vAlign w:val="bottom"/>
            <w:tcBorders>
              <w:bottom w:val="single" w:sz="8" w:color="336699"/>
              <w:right w:val="single" w:sz="8" w:color="336699"/>
            </w:tcBorders>
          </w:tcPr>
          <w:p>
            <w:pPr>
              <w:ind w:left="40"/>
              <w:spacing w:after="0" w:line="185" w:lineRule="exact"/>
              <w:rPr>
                <w:sz w:val="20"/>
                <w:szCs w:val="20"/>
                <w:color w:val="auto"/>
              </w:rPr>
            </w:pPr>
            <w:r>
              <w:rPr>
                <w:rFonts w:ascii="Arial" w:cs="Arial" w:eastAsia="Arial" w:hAnsi="Arial"/>
                <w:sz w:val="17"/>
                <w:szCs w:val="17"/>
                <w:color w:val="auto"/>
              </w:rPr>
              <w:t>(87%)</w:t>
            </w:r>
          </w:p>
        </w:tc>
        <w:tc>
          <w:tcPr>
            <w:tcW w:w="1000" w:type="dxa"/>
            <w:vAlign w:val="bottom"/>
            <w:tcBorders>
              <w:bottom w:val="single" w:sz="8" w:color="336699"/>
            </w:tcBorders>
          </w:tcPr>
          <w:p>
            <w:pPr>
              <w:jc w:val="right"/>
              <w:spacing w:after="0" w:line="185" w:lineRule="exact"/>
              <w:rPr>
                <w:sz w:val="20"/>
                <w:szCs w:val="20"/>
                <w:color w:val="auto"/>
              </w:rPr>
            </w:pPr>
            <w:r>
              <w:rPr>
                <w:rFonts w:ascii="Arial" w:cs="Arial" w:eastAsia="Arial" w:hAnsi="Arial"/>
                <w:sz w:val="17"/>
                <w:szCs w:val="17"/>
                <w:color w:val="auto"/>
              </w:rPr>
              <w:t>21</w:t>
            </w:r>
          </w:p>
        </w:tc>
        <w:tc>
          <w:tcPr>
            <w:tcW w:w="1180" w:type="dxa"/>
            <w:vAlign w:val="bottom"/>
            <w:tcBorders>
              <w:bottom w:val="single" w:sz="8" w:color="336699"/>
            </w:tcBorders>
          </w:tcPr>
          <w:p>
            <w:pPr>
              <w:ind w:left="20"/>
              <w:spacing w:after="0" w:line="185" w:lineRule="exact"/>
              <w:rPr>
                <w:sz w:val="20"/>
                <w:szCs w:val="20"/>
                <w:color w:val="auto"/>
              </w:rPr>
            </w:pPr>
            <w:r>
              <w:rPr>
                <w:rFonts w:ascii="Arial" w:cs="Arial" w:eastAsia="Arial" w:hAnsi="Arial"/>
                <w:sz w:val="17"/>
                <w:szCs w:val="17"/>
                <w:color w:val="auto"/>
              </w:rPr>
              <w:t>(100%)</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shd w:val="clear" w:color="auto" w:fill="DFE6EA"/>
          </w:tcPr>
          <w:p>
            <w:pPr>
              <w:ind w:left="160"/>
              <w:spacing w:after="0" w:line="185" w:lineRule="exact"/>
              <w:rPr>
                <w:sz w:val="20"/>
                <w:szCs w:val="20"/>
                <w:color w:val="auto"/>
              </w:rPr>
            </w:pPr>
            <w:r>
              <w:rPr>
                <w:rFonts w:ascii="Arial" w:cs="Arial" w:eastAsia="Arial" w:hAnsi="Arial"/>
                <w:sz w:val="17"/>
                <w:szCs w:val="17"/>
                <w:color w:val="auto"/>
              </w:rPr>
              <w:t>Median TMB (range)</w:t>
            </w:r>
          </w:p>
        </w:tc>
        <w:tc>
          <w:tcPr>
            <w:tcW w:w="980" w:type="dxa"/>
            <w:vAlign w:val="bottom"/>
            <w:tcBorders>
              <w:bottom w:val="single" w:sz="8" w:color="336699"/>
            </w:tcBorders>
            <w:shd w:val="clear" w:color="auto" w:fill="DFE6EA"/>
          </w:tcPr>
          <w:p>
            <w:pPr>
              <w:jc w:val="right"/>
              <w:spacing w:after="0" w:line="185" w:lineRule="exact"/>
              <w:rPr>
                <w:sz w:val="20"/>
                <w:szCs w:val="20"/>
                <w:color w:val="auto"/>
              </w:rPr>
            </w:pPr>
            <w:r>
              <w:rPr>
                <w:rFonts w:ascii="Arial" w:cs="Arial" w:eastAsia="Arial" w:hAnsi="Arial"/>
                <w:sz w:val="17"/>
                <w:szCs w:val="17"/>
                <w:color w:val="auto"/>
              </w:rPr>
              <w:t>141</w:t>
            </w:r>
          </w:p>
        </w:tc>
        <w:tc>
          <w:tcPr>
            <w:tcW w:w="1200" w:type="dxa"/>
            <w:vAlign w:val="bottom"/>
            <w:tcBorders>
              <w:bottom w:val="single" w:sz="8" w:color="336699"/>
              <w:right w:val="single" w:sz="8" w:color="336699"/>
            </w:tcBorders>
            <w:shd w:val="clear" w:color="auto" w:fill="DFE6EA"/>
          </w:tcPr>
          <w:p>
            <w:pPr>
              <w:ind w:left="40"/>
              <w:spacing w:after="0" w:line="185" w:lineRule="exact"/>
              <w:rPr>
                <w:sz w:val="20"/>
                <w:szCs w:val="20"/>
                <w:color w:val="auto"/>
              </w:rPr>
            </w:pPr>
            <w:r>
              <w:rPr>
                <w:rFonts w:ascii="Arial" w:cs="Arial" w:eastAsia="Arial" w:hAnsi="Arial"/>
                <w:sz w:val="17"/>
                <w:szCs w:val="17"/>
                <w:color w:val="auto"/>
              </w:rPr>
              <w:t>(2,776)</w:t>
            </w:r>
          </w:p>
        </w:tc>
        <w:tc>
          <w:tcPr>
            <w:tcW w:w="1000" w:type="dxa"/>
            <w:vAlign w:val="bottom"/>
            <w:tcBorders>
              <w:bottom w:val="single" w:sz="8" w:color="336699"/>
            </w:tcBorders>
            <w:shd w:val="clear" w:color="auto" w:fill="DFE6EA"/>
          </w:tcPr>
          <w:p>
            <w:pPr>
              <w:jc w:val="right"/>
              <w:spacing w:after="0" w:line="185" w:lineRule="exact"/>
              <w:rPr>
                <w:sz w:val="20"/>
                <w:szCs w:val="20"/>
                <w:color w:val="auto"/>
              </w:rPr>
            </w:pPr>
            <w:r>
              <w:rPr>
                <w:rFonts w:ascii="Arial" w:cs="Arial" w:eastAsia="Arial" w:hAnsi="Arial"/>
                <w:sz w:val="17"/>
                <w:szCs w:val="17"/>
                <w:color w:val="auto"/>
              </w:rPr>
              <w:t>279</w:t>
            </w:r>
          </w:p>
        </w:tc>
        <w:tc>
          <w:tcPr>
            <w:tcW w:w="1180" w:type="dxa"/>
            <w:vAlign w:val="bottom"/>
            <w:tcBorders>
              <w:bottom w:val="single" w:sz="8" w:color="336699"/>
            </w:tcBorders>
            <w:shd w:val="clear" w:color="auto" w:fill="DFE6EA"/>
          </w:tcPr>
          <w:p>
            <w:pPr>
              <w:ind w:left="20"/>
              <w:spacing w:after="0" w:line="185" w:lineRule="exact"/>
              <w:rPr>
                <w:sz w:val="20"/>
                <w:szCs w:val="20"/>
                <w:color w:val="auto"/>
              </w:rPr>
            </w:pPr>
            <w:r>
              <w:rPr>
                <w:rFonts w:ascii="Arial" w:cs="Arial" w:eastAsia="Arial" w:hAnsi="Arial"/>
                <w:sz w:val="17"/>
                <w:szCs w:val="17"/>
                <w:color w:val="auto"/>
              </w:rPr>
              <w:t>(96,776)</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tcPr>
          <w:p>
            <w:pPr>
              <w:ind w:left="160"/>
              <w:spacing w:after="0" w:line="185" w:lineRule="exact"/>
              <w:rPr>
                <w:sz w:val="20"/>
                <w:szCs w:val="20"/>
                <w:color w:val="auto"/>
              </w:rPr>
            </w:pPr>
            <w:r>
              <w:rPr>
                <w:rFonts w:ascii="Arial" w:cs="Arial" w:eastAsia="Arial" w:hAnsi="Arial"/>
                <w:sz w:val="17"/>
                <w:szCs w:val="17"/>
                <w:color w:val="auto"/>
              </w:rPr>
              <w:t>Smokers (current or prior), %</w:t>
            </w:r>
          </w:p>
        </w:tc>
        <w:tc>
          <w:tcPr>
            <w:tcW w:w="2180" w:type="dxa"/>
            <w:vAlign w:val="bottom"/>
            <w:tcBorders>
              <w:bottom w:val="single" w:sz="8" w:color="336699"/>
              <w:right w:val="single" w:sz="8" w:color="336699"/>
            </w:tcBorders>
            <w:gridSpan w:val="2"/>
          </w:tcPr>
          <w:p>
            <w:pPr>
              <w:jc w:val="center"/>
              <w:spacing w:after="0" w:line="185" w:lineRule="exact"/>
              <w:rPr>
                <w:sz w:val="20"/>
                <w:szCs w:val="20"/>
                <w:color w:val="auto"/>
              </w:rPr>
            </w:pPr>
            <w:r>
              <w:rPr>
                <w:rFonts w:ascii="Arial" w:cs="Arial" w:eastAsia="Arial" w:hAnsi="Arial"/>
                <w:sz w:val="17"/>
                <w:szCs w:val="17"/>
                <w:color w:val="auto"/>
              </w:rPr>
              <w:t>82%</w:t>
            </w:r>
          </w:p>
        </w:tc>
        <w:tc>
          <w:tcPr>
            <w:tcW w:w="1000" w:type="dxa"/>
            <w:vAlign w:val="bottom"/>
            <w:tcBorders>
              <w:bottom w:val="single" w:sz="8" w:color="336699"/>
            </w:tcBorders>
          </w:tcPr>
          <w:p>
            <w:pPr>
              <w:spacing w:after="0"/>
              <w:rPr>
                <w:sz w:val="16"/>
                <w:szCs w:val="16"/>
                <w:color w:val="auto"/>
              </w:rPr>
            </w:pPr>
          </w:p>
        </w:tc>
        <w:tc>
          <w:tcPr>
            <w:tcW w:w="1180" w:type="dxa"/>
            <w:vAlign w:val="bottom"/>
            <w:tcBorders>
              <w:bottom w:val="single" w:sz="8" w:color="336699"/>
            </w:tcBorders>
          </w:tcPr>
          <w:p>
            <w:pPr>
              <w:jc w:val="center"/>
              <w:ind w:right="734"/>
              <w:spacing w:after="0" w:line="185" w:lineRule="exact"/>
              <w:rPr>
                <w:sz w:val="20"/>
                <w:szCs w:val="20"/>
                <w:color w:val="auto"/>
              </w:rPr>
            </w:pPr>
            <w:r>
              <w:rPr>
                <w:rFonts w:ascii="Arial" w:cs="Arial" w:eastAsia="Arial" w:hAnsi="Arial"/>
                <w:sz w:val="17"/>
                <w:szCs w:val="17"/>
                <w:color w:val="auto"/>
              </w:rPr>
              <w:t>95%</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63"/>
        </w:trPr>
        <w:tc>
          <w:tcPr>
            <w:tcW w:w="6880" w:type="dxa"/>
            <w:vAlign w:val="bottom"/>
            <w:tcBorders>
              <w:left w:val="single" w:sz="8" w:color="336699"/>
              <w:right w:val="single" w:sz="8" w:color="336699"/>
            </w:tcBorders>
            <w:shd w:val="clear" w:color="auto" w:fill="DFE6EA"/>
          </w:tcPr>
          <w:p>
            <w:pPr>
              <w:ind w:left="160"/>
              <w:spacing w:after="0" w:line="163" w:lineRule="exact"/>
              <w:rPr>
                <w:sz w:val="20"/>
                <w:szCs w:val="20"/>
                <w:color w:val="auto"/>
              </w:rPr>
            </w:pPr>
            <w:r>
              <w:rPr>
                <w:rFonts w:ascii="Arial" w:cs="Arial" w:eastAsia="Arial" w:hAnsi="Arial"/>
                <w:sz w:val="17"/>
                <w:szCs w:val="17"/>
                <w:color w:val="auto"/>
              </w:rPr>
              <w:t>Tumor PD-L1 expression, n (%)*</w:t>
            </w:r>
          </w:p>
        </w:tc>
        <w:tc>
          <w:tcPr>
            <w:tcW w:w="980" w:type="dxa"/>
            <w:vAlign w:val="bottom"/>
            <w:shd w:val="clear" w:color="auto" w:fill="DFE6EA"/>
          </w:tcPr>
          <w:p>
            <w:pPr>
              <w:spacing w:after="0"/>
              <w:rPr>
                <w:sz w:val="14"/>
                <w:szCs w:val="14"/>
                <w:color w:val="auto"/>
              </w:rPr>
            </w:pPr>
          </w:p>
        </w:tc>
        <w:tc>
          <w:tcPr>
            <w:tcW w:w="1200" w:type="dxa"/>
            <w:vAlign w:val="bottom"/>
            <w:tcBorders>
              <w:right w:val="single" w:sz="8" w:color="336699"/>
            </w:tcBorders>
            <w:shd w:val="clear" w:color="auto" w:fill="DFE6EA"/>
          </w:tcPr>
          <w:p>
            <w:pPr>
              <w:spacing w:after="0"/>
              <w:rPr>
                <w:sz w:val="14"/>
                <w:szCs w:val="14"/>
                <w:color w:val="auto"/>
              </w:rPr>
            </w:pPr>
          </w:p>
        </w:tc>
        <w:tc>
          <w:tcPr>
            <w:tcW w:w="1000" w:type="dxa"/>
            <w:vAlign w:val="bottom"/>
            <w:shd w:val="clear" w:color="auto" w:fill="DFE6EA"/>
          </w:tcPr>
          <w:p>
            <w:pPr>
              <w:spacing w:after="0"/>
              <w:rPr>
                <w:sz w:val="14"/>
                <w:szCs w:val="14"/>
                <w:color w:val="auto"/>
              </w:rPr>
            </w:pPr>
          </w:p>
        </w:tc>
        <w:tc>
          <w:tcPr>
            <w:tcW w:w="1180" w:type="dxa"/>
            <w:vAlign w:val="bottom"/>
            <w:shd w:val="clear" w:color="auto" w:fill="DFE6EA"/>
          </w:tcPr>
          <w:p>
            <w:pPr>
              <w:spacing w:after="0"/>
              <w:rPr>
                <w:sz w:val="14"/>
                <w:szCs w:val="14"/>
                <w:color w:val="auto"/>
              </w:rPr>
            </w:pPr>
          </w:p>
        </w:tc>
        <w:tc>
          <w:tcPr>
            <w:tcW w:w="20" w:type="dxa"/>
            <w:vAlign w:val="bottom"/>
            <w:shd w:val="clear" w:color="auto" w:fill="336699"/>
          </w:tcPr>
          <w:p>
            <w:pPr>
              <w:spacing w:after="0"/>
              <w:rPr>
                <w:sz w:val="14"/>
                <w:szCs w:val="14"/>
                <w:color w:val="auto"/>
              </w:rPr>
            </w:pPr>
          </w:p>
        </w:tc>
      </w:tr>
      <w:tr>
        <w:trPr>
          <w:trHeight w:val="193"/>
        </w:trPr>
        <w:tc>
          <w:tcPr>
            <w:tcW w:w="6880" w:type="dxa"/>
            <w:vAlign w:val="bottom"/>
            <w:tcBorders>
              <w:left w:val="single" w:sz="8" w:color="336699"/>
              <w:right w:val="single" w:sz="8" w:color="336699"/>
            </w:tcBorders>
            <w:shd w:val="clear" w:color="auto" w:fill="DFE6EA"/>
          </w:tcPr>
          <w:p>
            <w:pPr>
              <w:ind w:left="320"/>
              <w:spacing w:after="0" w:line="193" w:lineRule="exact"/>
              <w:rPr>
                <w:sz w:val="20"/>
                <w:szCs w:val="20"/>
                <w:color w:val="auto"/>
              </w:rPr>
            </w:pPr>
            <w:r>
              <w:rPr>
                <w:rFonts w:ascii="Arial" w:cs="Arial" w:eastAsia="Arial" w:hAnsi="Arial"/>
                <w:sz w:val="17"/>
                <w:szCs w:val="17"/>
                <w:color w:val="auto"/>
              </w:rPr>
              <w:t>&lt; 1%</w:t>
            </w:r>
          </w:p>
        </w:tc>
        <w:tc>
          <w:tcPr>
            <w:tcW w:w="2180" w:type="dxa"/>
            <w:vAlign w:val="bottom"/>
            <w:tcBorders>
              <w:right w:val="single" w:sz="8" w:color="336699"/>
            </w:tcBorders>
            <w:gridSpan w:val="2"/>
            <w:shd w:val="clear" w:color="auto" w:fill="DFE6EA"/>
          </w:tcPr>
          <w:p>
            <w:pPr>
              <w:jc w:val="center"/>
              <w:spacing w:after="0" w:line="193" w:lineRule="exact"/>
              <w:rPr>
                <w:sz w:val="20"/>
                <w:szCs w:val="20"/>
                <w:color w:val="auto"/>
              </w:rPr>
            </w:pPr>
            <w:r>
              <w:rPr>
                <w:rFonts w:ascii="Arial" w:cs="Arial" w:eastAsia="Arial" w:hAnsi="Arial"/>
                <w:sz w:val="17"/>
                <w:szCs w:val="17"/>
                <w:color w:val="auto"/>
                <w:w w:val="98"/>
              </w:rPr>
              <w:t>11 (42%)</w:t>
            </w:r>
          </w:p>
        </w:tc>
        <w:tc>
          <w:tcPr>
            <w:tcW w:w="1000" w:type="dxa"/>
            <w:vAlign w:val="bottom"/>
            <w:shd w:val="clear" w:color="auto" w:fill="DFE6EA"/>
          </w:tcPr>
          <w:p>
            <w:pPr>
              <w:jc w:val="right"/>
              <w:spacing w:after="0" w:line="193" w:lineRule="exact"/>
              <w:rPr>
                <w:sz w:val="20"/>
                <w:szCs w:val="20"/>
                <w:color w:val="auto"/>
              </w:rPr>
            </w:pPr>
            <w:r>
              <w:rPr>
                <w:rFonts w:ascii="Arial" w:cs="Arial" w:eastAsia="Arial" w:hAnsi="Arial"/>
                <w:sz w:val="17"/>
                <w:szCs w:val="17"/>
                <w:color w:val="auto"/>
              </w:rPr>
              <w:t>9</w:t>
            </w:r>
          </w:p>
        </w:tc>
        <w:tc>
          <w:tcPr>
            <w:tcW w:w="1180" w:type="dxa"/>
            <w:vAlign w:val="bottom"/>
            <w:shd w:val="clear" w:color="auto" w:fill="DFE6EA"/>
          </w:tcPr>
          <w:p>
            <w:pPr>
              <w:ind w:left="20"/>
              <w:spacing w:after="0" w:line="193" w:lineRule="exact"/>
              <w:rPr>
                <w:sz w:val="20"/>
                <w:szCs w:val="20"/>
                <w:color w:val="auto"/>
              </w:rPr>
            </w:pPr>
            <w:r>
              <w:rPr>
                <w:rFonts w:ascii="Arial" w:cs="Arial" w:eastAsia="Arial" w:hAnsi="Arial"/>
                <w:sz w:val="17"/>
                <w:szCs w:val="17"/>
                <w:color w:val="auto"/>
              </w:rPr>
              <w:t>(43%)</w:t>
            </w:r>
          </w:p>
        </w:tc>
        <w:tc>
          <w:tcPr>
            <w:tcW w:w="20" w:type="dxa"/>
            <w:vAlign w:val="bottom"/>
            <w:shd w:val="clear" w:color="auto" w:fill="336699"/>
          </w:tcPr>
          <w:p>
            <w:pPr>
              <w:spacing w:after="0"/>
              <w:rPr>
                <w:sz w:val="16"/>
                <w:szCs w:val="16"/>
                <w:color w:val="auto"/>
              </w:rPr>
            </w:pPr>
          </w:p>
        </w:tc>
      </w:tr>
      <w:tr>
        <w:trPr>
          <w:trHeight w:val="206"/>
        </w:trPr>
        <w:tc>
          <w:tcPr>
            <w:tcW w:w="6880" w:type="dxa"/>
            <w:vAlign w:val="bottom"/>
            <w:tcBorders>
              <w:left w:val="single" w:sz="8" w:color="336699"/>
              <w:right w:val="single" w:sz="8" w:color="336699"/>
            </w:tcBorders>
            <w:shd w:val="clear" w:color="auto" w:fill="DFE6EA"/>
          </w:tcPr>
          <w:p>
            <w:pPr>
              <w:ind w:left="320"/>
              <w:spacing w:after="0"/>
              <w:rPr>
                <w:sz w:val="20"/>
                <w:szCs w:val="20"/>
                <w:color w:val="auto"/>
              </w:rPr>
            </w:pPr>
            <w:r>
              <w:rPr>
                <w:rFonts w:ascii="Times New Roman" w:cs="Times New Roman" w:eastAsia="Times New Roman" w:hAnsi="Times New Roman"/>
                <w:sz w:val="17"/>
                <w:szCs w:val="17"/>
                <w:color w:val="auto"/>
              </w:rPr>
              <w:t>³</w:t>
            </w:r>
            <w:r>
              <w:rPr>
                <w:rFonts w:ascii="Arial" w:cs="Arial" w:eastAsia="Arial" w:hAnsi="Arial"/>
                <w:sz w:val="17"/>
                <w:szCs w:val="17"/>
                <w:color w:val="auto"/>
              </w:rPr>
              <w:t>1%–&lt;50%</w:t>
            </w:r>
          </w:p>
        </w:tc>
        <w:tc>
          <w:tcPr>
            <w:tcW w:w="980" w:type="dxa"/>
            <w:vAlign w:val="bottom"/>
            <w:shd w:val="clear" w:color="auto" w:fill="DFE6EA"/>
          </w:tcPr>
          <w:p>
            <w:pPr>
              <w:jc w:val="right"/>
              <w:spacing w:after="0"/>
              <w:rPr>
                <w:sz w:val="20"/>
                <w:szCs w:val="20"/>
                <w:color w:val="auto"/>
              </w:rPr>
            </w:pPr>
            <w:r>
              <w:rPr>
                <w:rFonts w:ascii="Arial" w:cs="Arial" w:eastAsia="Arial" w:hAnsi="Arial"/>
                <w:sz w:val="17"/>
                <w:szCs w:val="17"/>
                <w:color w:val="auto"/>
              </w:rPr>
              <w:t>12</w:t>
            </w:r>
          </w:p>
        </w:tc>
        <w:tc>
          <w:tcPr>
            <w:tcW w:w="1200" w:type="dxa"/>
            <w:vAlign w:val="bottom"/>
            <w:tcBorders>
              <w:right w:val="single" w:sz="8" w:color="336699"/>
            </w:tcBorders>
            <w:shd w:val="clear" w:color="auto" w:fill="DFE6EA"/>
          </w:tcPr>
          <w:p>
            <w:pPr>
              <w:ind w:left="40"/>
              <w:spacing w:after="0"/>
              <w:rPr>
                <w:sz w:val="20"/>
                <w:szCs w:val="20"/>
                <w:color w:val="auto"/>
              </w:rPr>
            </w:pPr>
            <w:r>
              <w:rPr>
                <w:rFonts w:ascii="Arial" w:cs="Arial" w:eastAsia="Arial" w:hAnsi="Arial"/>
                <w:sz w:val="17"/>
                <w:szCs w:val="17"/>
                <w:color w:val="auto"/>
              </w:rPr>
              <w:t>(46%)</w:t>
            </w:r>
          </w:p>
        </w:tc>
        <w:tc>
          <w:tcPr>
            <w:tcW w:w="2180" w:type="dxa"/>
            <w:vAlign w:val="bottom"/>
            <w:gridSpan w:val="2"/>
            <w:shd w:val="clear" w:color="auto" w:fill="DFE6EA"/>
          </w:tcPr>
          <w:p>
            <w:pPr>
              <w:jc w:val="center"/>
              <w:ind w:left="94"/>
              <w:spacing w:after="0"/>
              <w:rPr>
                <w:sz w:val="20"/>
                <w:szCs w:val="20"/>
                <w:color w:val="auto"/>
              </w:rPr>
            </w:pPr>
            <w:r>
              <w:rPr>
                <w:rFonts w:ascii="Arial" w:cs="Arial" w:eastAsia="Arial" w:hAnsi="Arial"/>
                <w:sz w:val="17"/>
                <w:szCs w:val="17"/>
                <w:color w:val="auto"/>
                <w:w w:val="98"/>
              </w:rPr>
              <w:t>10 (47%)</w:t>
            </w:r>
          </w:p>
        </w:tc>
        <w:tc>
          <w:tcPr>
            <w:tcW w:w="20" w:type="dxa"/>
            <w:vAlign w:val="bottom"/>
            <w:shd w:val="clear" w:color="auto" w:fill="336699"/>
          </w:tcPr>
          <w:p>
            <w:pPr>
              <w:spacing w:after="0"/>
              <w:rPr>
                <w:sz w:val="17"/>
                <w:szCs w:val="17"/>
                <w:color w:val="auto"/>
              </w:rPr>
            </w:pPr>
          </w:p>
        </w:tc>
      </w:tr>
      <w:tr>
        <w:trPr>
          <w:trHeight w:val="228"/>
        </w:trPr>
        <w:tc>
          <w:tcPr>
            <w:tcW w:w="6880" w:type="dxa"/>
            <w:vAlign w:val="bottom"/>
            <w:tcBorders>
              <w:left w:val="single" w:sz="8" w:color="336699"/>
              <w:bottom w:val="single" w:sz="8" w:color="336699"/>
              <w:right w:val="single" w:sz="8" w:color="336699"/>
            </w:tcBorders>
            <w:shd w:val="clear" w:color="auto" w:fill="DFE6EA"/>
          </w:tcPr>
          <w:p>
            <w:pPr>
              <w:ind w:left="320"/>
              <w:spacing w:after="0"/>
              <w:rPr>
                <w:sz w:val="20"/>
                <w:szCs w:val="20"/>
                <w:color w:val="auto"/>
              </w:rPr>
            </w:pPr>
            <w:r>
              <w:rPr>
                <w:rFonts w:ascii="Times New Roman" w:cs="Times New Roman" w:eastAsia="Times New Roman" w:hAnsi="Times New Roman"/>
                <w:sz w:val="17"/>
                <w:szCs w:val="17"/>
                <w:color w:val="auto"/>
              </w:rPr>
              <w:t xml:space="preserve">³ </w:t>
            </w:r>
            <w:r>
              <w:rPr>
                <w:rFonts w:ascii="Arial" w:cs="Arial" w:eastAsia="Arial" w:hAnsi="Arial"/>
                <w:sz w:val="17"/>
                <w:szCs w:val="17"/>
                <w:color w:val="auto"/>
              </w:rPr>
              <w:t>50%</w:t>
            </w:r>
          </w:p>
        </w:tc>
        <w:tc>
          <w:tcPr>
            <w:tcW w:w="2180" w:type="dxa"/>
            <w:vAlign w:val="bottom"/>
            <w:tcBorders>
              <w:bottom w:val="single" w:sz="8" w:color="336699"/>
              <w:right w:val="single" w:sz="8" w:color="336699"/>
            </w:tcBorders>
            <w:gridSpan w:val="2"/>
            <w:shd w:val="clear" w:color="auto" w:fill="DFE6EA"/>
          </w:tcPr>
          <w:p>
            <w:pPr>
              <w:jc w:val="center"/>
              <w:spacing w:after="0"/>
              <w:rPr>
                <w:sz w:val="20"/>
                <w:szCs w:val="20"/>
                <w:color w:val="auto"/>
              </w:rPr>
            </w:pPr>
            <w:r>
              <w:rPr>
                <w:rFonts w:ascii="Arial" w:cs="Arial" w:eastAsia="Arial" w:hAnsi="Arial"/>
                <w:sz w:val="17"/>
                <w:szCs w:val="17"/>
                <w:color w:val="auto"/>
              </w:rPr>
              <w:t>3 (12%)</w:t>
            </w:r>
          </w:p>
        </w:tc>
        <w:tc>
          <w:tcPr>
            <w:tcW w:w="1000" w:type="dxa"/>
            <w:vAlign w:val="bottom"/>
            <w:tcBorders>
              <w:bottom w:val="single" w:sz="8" w:color="336699"/>
            </w:tcBorders>
            <w:shd w:val="clear" w:color="auto" w:fill="DFE6EA"/>
          </w:tcPr>
          <w:p>
            <w:pPr>
              <w:jc w:val="right"/>
              <w:spacing w:after="0"/>
              <w:rPr>
                <w:sz w:val="20"/>
                <w:szCs w:val="20"/>
                <w:color w:val="auto"/>
              </w:rPr>
            </w:pPr>
            <w:r>
              <w:rPr>
                <w:rFonts w:ascii="Arial" w:cs="Arial" w:eastAsia="Arial" w:hAnsi="Arial"/>
                <w:sz w:val="17"/>
                <w:szCs w:val="17"/>
                <w:color w:val="auto"/>
              </w:rPr>
              <w:t>2</w:t>
            </w:r>
          </w:p>
        </w:tc>
        <w:tc>
          <w:tcPr>
            <w:tcW w:w="1180" w:type="dxa"/>
            <w:vAlign w:val="bottom"/>
            <w:tcBorders>
              <w:bottom w:val="single" w:sz="8" w:color="336699"/>
            </w:tcBorders>
            <w:shd w:val="clear" w:color="auto" w:fill="DFE6EA"/>
          </w:tcPr>
          <w:p>
            <w:pPr>
              <w:ind w:left="20"/>
              <w:spacing w:after="0"/>
              <w:rPr>
                <w:sz w:val="20"/>
                <w:szCs w:val="20"/>
                <w:color w:val="auto"/>
              </w:rPr>
            </w:pPr>
            <w:r>
              <w:rPr>
                <w:rFonts w:ascii="Arial" w:cs="Arial" w:eastAsia="Arial" w:hAnsi="Arial"/>
                <w:sz w:val="17"/>
                <w:szCs w:val="17"/>
                <w:color w:val="auto"/>
              </w:rPr>
              <w:t>(10%)</w:t>
            </w:r>
          </w:p>
        </w:tc>
        <w:tc>
          <w:tcPr>
            <w:tcW w:w="20" w:type="dxa"/>
            <w:vAlign w:val="bottom"/>
            <w:tcBorders>
              <w:bottom w:val="single" w:sz="8" w:color="336699"/>
            </w:tcBorders>
            <w:shd w:val="clear" w:color="auto" w:fill="336699"/>
          </w:tcPr>
          <w:p>
            <w:pPr>
              <w:spacing w:after="0"/>
              <w:rPr>
                <w:sz w:val="19"/>
                <w:szCs w:val="19"/>
                <w:color w:val="auto"/>
              </w:rPr>
            </w:pPr>
          </w:p>
        </w:tc>
      </w:tr>
      <w:tr>
        <w:trPr>
          <w:trHeight w:val="186"/>
        </w:trPr>
        <w:tc>
          <w:tcPr>
            <w:tcW w:w="6880" w:type="dxa"/>
            <w:vAlign w:val="bottom"/>
            <w:tcBorders>
              <w:left w:val="single" w:sz="8" w:color="336699"/>
              <w:bottom w:val="single" w:sz="8" w:color="336699"/>
              <w:right w:val="single" w:sz="8" w:color="336699"/>
            </w:tcBorders>
          </w:tcPr>
          <w:p>
            <w:pPr>
              <w:ind w:left="160"/>
              <w:spacing w:after="0" w:line="185" w:lineRule="exact"/>
              <w:rPr>
                <w:sz w:val="20"/>
                <w:szCs w:val="20"/>
                <w:color w:val="auto"/>
              </w:rPr>
            </w:pPr>
            <w:r>
              <w:rPr>
                <w:rFonts w:ascii="Arial" w:cs="Arial" w:eastAsia="Arial" w:hAnsi="Arial"/>
                <w:sz w:val="17"/>
                <w:szCs w:val="17"/>
                <w:color w:val="auto"/>
              </w:rPr>
              <w:t>Median sum of target lesions (cm)</w:t>
            </w:r>
          </w:p>
        </w:tc>
        <w:tc>
          <w:tcPr>
            <w:tcW w:w="980" w:type="dxa"/>
            <w:vAlign w:val="bottom"/>
            <w:tcBorders>
              <w:bottom w:val="single" w:sz="8" w:color="336699"/>
            </w:tcBorders>
          </w:tcPr>
          <w:p>
            <w:pPr>
              <w:spacing w:after="0"/>
              <w:rPr>
                <w:sz w:val="16"/>
                <w:szCs w:val="16"/>
                <w:color w:val="auto"/>
              </w:rPr>
            </w:pPr>
          </w:p>
        </w:tc>
        <w:tc>
          <w:tcPr>
            <w:tcW w:w="1200" w:type="dxa"/>
            <w:vAlign w:val="bottom"/>
            <w:tcBorders>
              <w:bottom w:val="single" w:sz="8" w:color="336699"/>
              <w:right w:val="single" w:sz="8" w:color="336699"/>
            </w:tcBorders>
          </w:tcPr>
          <w:p>
            <w:pPr>
              <w:jc w:val="center"/>
              <w:ind w:right="834"/>
              <w:spacing w:after="0" w:line="185" w:lineRule="exact"/>
              <w:rPr>
                <w:sz w:val="20"/>
                <w:szCs w:val="20"/>
                <w:color w:val="auto"/>
              </w:rPr>
            </w:pPr>
            <w:r>
              <w:rPr>
                <w:rFonts w:ascii="Arial" w:cs="Arial" w:eastAsia="Arial" w:hAnsi="Arial"/>
                <w:sz w:val="17"/>
                <w:szCs w:val="17"/>
                <w:color w:val="auto"/>
              </w:rPr>
              <w:t>8.6</w:t>
            </w:r>
          </w:p>
        </w:tc>
        <w:tc>
          <w:tcPr>
            <w:tcW w:w="1000" w:type="dxa"/>
            <w:vAlign w:val="bottom"/>
            <w:tcBorders>
              <w:bottom w:val="single" w:sz="8" w:color="336699"/>
            </w:tcBorders>
          </w:tcPr>
          <w:p>
            <w:pPr>
              <w:spacing w:after="0"/>
              <w:rPr>
                <w:sz w:val="16"/>
                <w:szCs w:val="16"/>
                <w:color w:val="auto"/>
              </w:rPr>
            </w:pPr>
          </w:p>
        </w:tc>
        <w:tc>
          <w:tcPr>
            <w:tcW w:w="1180" w:type="dxa"/>
            <w:vAlign w:val="bottom"/>
            <w:tcBorders>
              <w:bottom w:val="single" w:sz="8" w:color="336699"/>
            </w:tcBorders>
          </w:tcPr>
          <w:p>
            <w:pPr>
              <w:jc w:val="center"/>
              <w:ind w:right="734"/>
              <w:spacing w:after="0" w:line="185" w:lineRule="exact"/>
              <w:rPr>
                <w:sz w:val="20"/>
                <w:szCs w:val="20"/>
                <w:color w:val="auto"/>
              </w:rPr>
            </w:pPr>
            <w:r>
              <w:rPr>
                <w:rFonts w:ascii="Arial" w:cs="Arial" w:eastAsia="Arial" w:hAnsi="Arial"/>
                <w:sz w:val="17"/>
                <w:szCs w:val="17"/>
                <w:color w:val="auto"/>
              </w:rPr>
              <w:t>8.3</w:t>
            </w:r>
          </w:p>
        </w:tc>
        <w:tc>
          <w:tcPr>
            <w:tcW w:w="20" w:type="dxa"/>
            <w:vAlign w:val="bottom"/>
            <w:tcBorders>
              <w:bottom w:val="single" w:sz="8" w:color="336699"/>
            </w:tcBorders>
            <w:shd w:val="clear" w:color="auto" w:fill="336699"/>
          </w:tcPr>
          <w:p>
            <w:pPr>
              <w:spacing w:after="0"/>
              <w:rPr>
                <w:sz w:val="16"/>
                <w:szCs w:val="16"/>
                <w:color w:val="auto"/>
              </w:rPr>
            </w:pPr>
          </w:p>
        </w:tc>
      </w:tr>
      <w:tr>
        <w:trPr>
          <w:trHeight w:val="186"/>
        </w:trPr>
        <w:tc>
          <w:tcPr>
            <w:tcW w:w="6880" w:type="dxa"/>
            <w:vAlign w:val="bottom"/>
            <w:tcBorders>
              <w:left w:val="single" w:sz="8" w:color="336699"/>
              <w:bottom w:val="single" w:sz="8" w:color="336699"/>
              <w:right w:val="single" w:sz="8" w:color="336699"/>
            </w:tcBorders>
            <w:shd w:val="clear" w:color="auto" w:fill="DFE6EA"/>
          </w:tcPr>
          <w:p>
            <w:pPr>
              <w:ind w:left="160"/>
              <w:spacing w:after="0" w:line="185" w:lineRule="exact"/>
              <w:rPr>
                <w:sz w:val="20"/>
                <w:szCs w:val="20"/>
                <w:color w:val="auto"/>
              </w:rPr>
            </w:pPr>
            <w:r>
              <w:rPr>
                <w:rFonts w:ascii="Arial" w:cs="Arial" w:eastAsia="Arial" w:hAnsi="Arial"/>
                <w:sz w:val="17"/>
                <w:szCs w:val="17"/>
                <w:color w:val="auto"/>
              </w:rPr>
              <w:t>ECOG 0/1, n (%)</w:t>
            </w:r>
          </w:p>
        </w:tc>
        <w:tc>
          <w:tcPr>
            <w:tcW w:w="2180" w:type="dxa"/>
            <w:vAlign w:val="bottom"/>
            <w:tcBorders>
              <w:bottom w:val="single" w:sz="8" w:color="336699"/>
              <w:right w:val="single" w:sz="8" w:color="336699"/>
            </w:tcBorders>
            <w:gridSpan w:val="2"/>
            <w:shd w:val="clear" w:color="auto" w:fill="DFE6EA"/>
          </w:tcPr>
          <w:p>
            <w:pPr>
              <w:jc w:val="center"/>
              <w:spacing w:after="0" w:line="185" w:lineRule="exact"/>
              <w:rPr>
                <w:sz w:val="20"/>
                <w:szCs w:val="20"/>
                <w:color w:val="auto"/>
              </w:rPr>
            </w:pPr>
            <w:r>
              <w:rPr>
                <w:rFonts w:ascii="Arial" w:cs="Arial" w:eastAsia="Arial" w:hAnsi="Arial"/>
                <w:sz w:val="17"/>
                <w:szCs w:val="17"/>
                <w:color w:val="auto"/>
                <w:w w:val="99"/>
              </w:rPr>
              <w:t>11 (29%) / 27 (71%)</w:t>
            </w:r>
          </w:p>
        </w:tc>
        <w:tc>
          <w:tcPr>
            <w:tcW w:w="2180" w:type="dxa"/>
            <w:vAlign w:val="bottom"/>
            <w:tcBorders>
              <w:bottom w:val="single" w:sz="8" w:color="336699"/>
            </w:tcBorders>
            <w:gridSpan w:val="2"/>
            <w:shd w:val="clear" w:color="auto" w:fill="DFE6EA"/>
          </w:tcPr>
          <w:p>
            <w:pPr>
              <w:jc w:val="center"/>
              <w:ind w:left="94"/>
              <w:spacing w:after="0" w:line="185" w:lineRule="exact"/>
              <w:rPr>
                <w:sz w:val="20"/>
                <w:szCs w:val="20"/>
                <w:color w:val="auto"/>
              </w:rPr>
            </w:pPr>
            <w:r>
              <w:rPr>
                <w:rFonts w:ascii="Arial" w:cs="Arial" w:eastAsia="Arial" w:hAnsi="Arial"/>
                <w:sz w:val="17"/>
                <w:szCs w:val="17"/>
                <w:color w:val="auto"/>
              </w:rPr>
              <w:t>7 (33%) / 14 (67%)</w:t>
            </w:r>
          </w:p>
        </w:tc>
        <w:tc>
          <w:tcPr>
            <w:tcW w:w="20" w:type="dxa"/>
            <w:vAlign w:val="bottom"/>
            <w:tcBorders>
              <w:bottom w:val="single" w:sz="8" w:color="336699"/>
            </w:tcBorders>
            <w:shd w:val="clear" w:color="auto" w:fill="336699"/>
          </w:tcPr>
          <w:p>
            <w:pPr>
              <w:spacing w:after="0"/>
              <w:rPr>
                <w:sz w:val="16"/>
                <w:szCs w:val="16"/>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*Tumor PD-L1 expression NA for 12 of 38 ITT patients</w:t>
      </w:r>
    </w:p>
    <w:p>
      <w:pPr>
        <w:spacing w:after="0" w:line="100"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color w:val="045A63"/>
        </w:rPr>
        <w:t>Baseline characteristics for ITT and VAX group patients. Female patients were more common in both groups. Age, ECOG performance status, baseline tumor burden, and tumor PD-L1 expression levels were comparable for ITT and VAX groups.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40" w:type="dxa"/>
            <w:vAlign w:val="bottom"/>
          </w:tcPr>
          <w:p>
            <w:pPr>
              <w:spacing w:after="0"/>
              <w:rPr>
                <w:sz w:val="20"/>
                <w:szCs w:val="20"/>
                <w:color w:val="auto"/>
              </w:rPr>
            </w:pPr>
            <w:r>
              <w:rPr>
                <w:rFonts w:ascii="Arial" w:cs="Arial" w:eastAsia="Arial" w:hAnsi="Arial"/>
                <w:sz w:val="17"/>
                <w:szCs w:val="17"/>
                <w:b w:val="1"/>
                <w:bCs w:val="1"/>
                <w:color w:val="045A63"/>
              </w:rPr>
              <w:t xml:space="preserve">Table 2: </w:t>
            </w:r>
            <w:r>
              <w:rPr>
                <w:rFonts w:ascii="Arial" w:cs="Arial" w:eastAsia="Arial" w:hAnsi="Arial"/>
                <w:sz w:val="17"/>
                <w:szCs w:val="17"/>
                <w:b w:val="1"/>
                <w:bCs w:val="1"/>
                <w:color w:val="000000"/>
              </w:rPr>
              <w:t>NT-002 Safety Profile</w:t>
            </w: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
        </w:trPr>
        <w:tc>
          <w:tcPr>
            <w:tcW w:w="5540" w:type="dxa"/>
            <w:vAlign w:val="bottom"/>
          </w:tcPr>
          <w:p>
            <w:pPr>
              <w:spacing w:after="0"/>
              <w:rPr>
                <w:sz w:val="7"/>
                <w:szCs w:val="7"/>
                <w:color w:val="auto"/>
              </w:rPr>
            </w:pPr>
          </w:p>
        </w:tc>
        <w:tc>
          <w:tcPr>
            <w:tcW w:w="1800" w:type="dxa"/>
            <w:vAlign w:val="bottom"/>
            <w:gridSpan w:val="2"/>
          </w:tcPr>
          <w:p>
            <w:pPr>
              <w:spacing w:after="0"/>
              <w:rPr>
                <w:sz w:val="7"/>
                <w:szCs w:val="7"/>
                <w:color w:val="auto"/>
              </w:rPr>
            </w:pPr>
          </w:p>
        </w:tc>
        <w:tc>
          <w:tcPr>
            <w:tcW w:w="1800" w:type="dxa"/>
            <w:vAlign w:val="bottom"/>
            <w:gridSpan w:val="2"/>
          </w:tcPr>
          <w:p>
            <w:pPr>
              <w:spacing w:after="0"/>
              <w:rPr>
                <w:sz w:val="7"/>
                <w:szCs w:val="7"/>
                <w:color w:val="auto"/>
              </w:rPr>
            </w:pPr>
          </w:p>
        </w:tc>
        <w:tc>
          <w:tcPr>
            <w:tcW w:w="2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168"/>
        </w:trPr>
        <w:tc>
          <w:tcPr>
            <w:tcW w:w="5540" w:type="dxa"/>
            <w:vAlign w:val="bottom"/>
            <w:tcBorders>
              <w:left w:val="single" w:sz="8" w:color="045A63"/>
              <w:right w:val="single" w:sz="8" w:color="045A63"/>
            </w:tcBorders>
            <w:shd w:val="clear" w:color="auto" w:fill="045A63"/>
          </w:tcPr>
          <w:p>
            <w:pPr>
              <w:spacing w:after="0"/>
              <w:rPr>
                <w:sz w:val="14"/>
                <w:szCs w:val="14"/>
                <w:color w:val="auto"/>
              </w:rPr>
            </w:pPr>
          </w:p>
        </w:tc>
        <w:tc>
          <w:tcPr>
            <w:tcW w:w="1800" w:type="dxa"/>
            <w:vAlign w:val="bottom"/>
            <w:tcBorders>
              <w:right w:val="single" w:sz="8" w:color="045A63"/>
            </w:tcBorders>
            <w:gridSpan w:val="2"/>
            <w:shd w:val="clear" w:color="auto" w:fill="045A63"/>
          </w:tcPr>
          <w:p>
            <w:pPr>
              <w:ind w:left="260"/>
              <w:spacing w:after="0" w:line="168" w:lineRule="exact"/>
              <w:rPr>
                <w:sz w:val="20"/>
                <w:szCs w:val="20"/>
                <w:color w:val="auto"/>
              </w:rPr>
            </w:pPr>
            <w:r>
              <w:rPr>
                <w:rFonts w:ascii="Arial" w:cs="Arial" w:eastAsia="Arial" w:hAnsi="Arial"/>
                <w:sz w:val="17"/>
                <w:szCs w:val="17"/>
                <w:b w:val="1"/>
                <w:bCs w:val="1"/>
                <w:color w:val="FFFFFF"/>
              </w:rPr>
              <w:t>Post-Treatment</w:t>
            </w:r>
          </w:p>
        </w:tc>
        <w:tc>
          <w:tcPr>
            <w:tcW w:w="1800" w:type="dxa"/>
            <w:vAlign w:val="bottom"/>
            <w:tcBorders>
              <w:right w:val="single" w:sz="8" w:color="045A63"/>
            </w:tcBorders>
            <w:gridSpan w:val="2"/>
            <w:shd w:val="clear" w:color="auto" w:fill="045A63"/>
          </w:tcPr>
          <w:p>
            <w:pPr>
              <w:jc w:val="center"/>
              <w:spacing w:after="0" w:line="168" w:lineRule="exact"/>
              <w:rPr>
                <w:sz w:val="20"/>
                <w:szCs w:val="20"/>
                <w:color w:val="auto"/>
              </w:rPr>
            </w:pPr>
            <w:r>
              <w:rPr>
                <w:rFonts w:ascii="Arial" w:cs="Arial" w:eastAsia="Arial" w:hAnsi="Arial"/>
                <w:sz w:val="17"/>
                <w:szCs w:val="17"/>
                <w:b w:val="1"/>
                <w:bCs w:val="1"/>
                <w:color w:val="FFFFFF"/>
                <w:w w:val="98"/>
              </w:rPr>
              <w:t>Pre-Vaccine</w:t>
            </w:r>
          </w:p>
        </w:tc>
        <w:tc>
          <w:tcPr>
            <w:tcW w:w="2100" w:type="dxa"/>
            <w:vAlign w:val="bottom"/>
            <w:gridSpan w:val="2"/>
            <w:shd w:val="clear" w:color="auto" w:fill="045A63"/>
          </w:tcPr>
          <w:p>
            <w:pPr>
              <w:ind w:left="560"/>
              <w:spacing w:after="0" w:line="168" w:lineRule="exact"/>
              <w:rPr>
                <w:sz w:val="20"/>
                <w:szCs w:val="20"/>
                <w:color w:val="auto"/>
              </w:rPr>
            </w:pPr>
            <w:r>
              <w:rPr>
                <w:rFonts w:ascii="Arial" w:cs="Arial" w:eastAsia="Arial" w:hAnsi="Arial"/>
                <w:sz w:val="17"/>
                <w:szCs w:val="17"/>
                <w:b w:val="1"/>
                <w:bCs w:val="1"/>
                <w:color w:val="FFFFFF"/>
              </w:rPr>
              <w:t>Post-Vaccine</w:t>
            </w:r>
          </w:p>
        </w:tc>
        <w:tc>
          <w:tcPr>
            <w:tcW w:w="20" w:type="dxa"/>
            <w:vAlign w:val="bottom"/>
          </w:tcPr>
          <w:p>
            <w:pPr>
              <w:spacing w:after="0"/>
              <w:rPr>
                <w:sz w:val="14"/>
                <w:szCs w:val="14"/>
                <w:color w:val="auto"/>
              </w:rPr>
            </w:pPr>
          </w:p>
        </w:tc>
      </w:tr>
      <w:tr>
        <w:trPr>
          <w:trHeight w:val="218"/>
        </w:trPr>
        <w:tc>
          <w:tcPr>
            <w:tcW w:w="5540" w:type="dxa"/>
            <w:vAlign w:val="bottom"/>
            <w:tcBorders>
              <w:left w:val="single" w:sz="8" w:color="045A63"/>
              <w:right w:val="single" w:sz="8" w:color="045A63"/>
            </w:tcBorders>
            <w:shd w:val="clear" w:color="auto" w:fill="045A63"/>
          </w:tcPr>
          <w:p>
            <w:pPr>
              <w:spacing w:after="0"/>
              <w:rPr>
                <w:sz w:val="18"/>
                <w:szCs w:val="18"/>
                <w:color w:val="auto"/>
              </w:rPr>
            </w:pPr>
          </w:p>
        </w:tc>
        <w:tc>
          <w:tcPr>
            <w:tcW w:w="1800" w:type="dxa"/>
            <w:vAlign w:val="bottom"/>
            <w:tcBorders>
              <w:right w:val="single" w:sz="8" w:color="045A63"/>
            </w:tcBorders>
            <w:gridSpan w:val="2"/>
            <w:shd w:val="clear" w:color="auto" w:fill="045A63"/>
          </w:tcPr>
          <w:p>
            <w:pPr>
              <w:ind w:left="240"/>
              <w:spacing w:after="0"/>
              <w:rPr>
                <w:sz w:val="20"/>
                <w:szCs w:val="20"/>
                <w:color w:val="auto"/>
              </w:rPr>
            </w:pPr>
            <w:r>
              <w:rPr>
                <w:rFonts w:ascii="Arial" w:cs="Arial" w:eastAsia="Arial" w:hAnsi="Arial"/>
                <w:sz w:val="17"/>
                <w:szCs w:val="17"/>
                <w:b w:val="1"/>
                <w:bCs w:val="1"/>
                <w:color w:val="FFFFFF"/>
              </w:rPr>
              <w:t>(ITT Set, N = 38)</w:t>
            </w:r>
          </w:p>
        </w:tc>
        <w:tc>
          <w:tcPr>
            <w:tcW w:w="1800" w:type="dxa"/>
            <w:vAlign w:val="bottom"/>
            <w:tcBorders>
              <w:right w:val="single" w:sz="8" w:color="045A63"/>
            </w:tcBorders>
            <w:gridSpan w:val="2"/>
            <w:shd w:val="clear" w:color="auto" w:fill="045A63"/>
          </w:tcPr>
          <w:p>
            <w:pPr>
              <w:jc w:val="center"/>
              <w:spacing w:after="0"/>
              <w:rPr>
                <w:sz w:val="20"/>
                <w:szCs w:val="20"/>
                <w:color w:val="auto"/>
              </w:rPr>
            </w:pPr>
            <w:r>
              <w:rPr>
                <w:rFonts w:ascii="Arial" w:cs="Arial" w:eastAsia="Arial" w:hAnsi="Arial"/>
                <w:sz w:val="17"/>
                <w:szCs w:val="17"/>
                <w:b w:val="1"/>
                <w:bCs w:val="1"/>
                <w:color w:val="FFFFFF"/>
                <w:w w:val="99"/>
              </w:rPr>
              <w:t>(ITT Set, N = 38)</w:t>
            </w:r>
          </w:p>
        </w:tc>
        <w:tc>
          <w:tcPr>
            <w:tcW w:w="2100" w:type="dxa"/>
            <w:vAlign w:val="bottom"/>
            <w:gridSpan w:val="2"/>
            <w:shd w:val="clear" w:color="auto" w:fill="045A63"/>
          </w:tcPr>
          <w:p>
            <w:pPr>
              <w:ind w:left="240"/>
              <w:spacing w:after="0"/>
              <w:rPr>
                <w:sz w:val="20"/>
                <w:szCs w:val="20"/>
                <w:color w:val="auto"/>
              </w:rPr>
            </w:pPr>
            <w:r>
              <w:rPr>
                <w:rFonts w:ascii="Arial" w:cs="Arial" w:eastAsia="Arial" w:hAnsi="Arial"/>
                <w:sz w:val="17"/>
                <w:szCs w:val="17"/>
                <w:b w:val="1"/>
                <w:bCs w:val="1"/>
                <w:color w:val="FFFFFF"/>
              </w:rPr>
              <w:t>(VAX Group, N = 21)</w:t>
            </w:r>
          </w:p>
        </w:tc>
        <w:tc>
          <w:tcPr>
            <w:tcW w:w="20" w:type="dxa"/>
            <w:vAlign w:val="bottom"/>
          </w:tcPr>
          <w:p>
            <w:pPr>
              <w:spacing w:after="0"/>
              <w:rPr>
                <w:sz w:val="18"/>
                <w:szCs w:val="18"/>
                <w:color w:val="auto"/>
              </w:rPr>
            </w:pPr>
          </w:p>
        </w:tc>
      </w:tr>
      <w:tr>
        <w:trPr>
          <w:trHeight w:val="170"/>
        </w:trPr>
        <w:tc>
          <w:tcPr>
            <w:tcW w:w="5540" w:type="dxa"/>
            <w:vAlign w:val="bottom"/>
            <w:tcBorders>
              <w:left w:val="single" w:sz="8" w:color="336699"/>
              <w:right w:val="single" w:sz="8" w:color="336699"/>
            </w:tcBorders>
            <w:shd w:val="clear" w:color="auto" w:fill="DFE6EA"/>
          </w:tcPr>
          <w:p>
            <w:pPr>
              <w:ind w:left="160"/>
              <w:spacing w:after="0" w:line="170" w:lineRule="exact"/>
              <w:rPr>
                <w:sz w:val="20"/>
                <w:szCs w:val="20"/>
                <w:color w:val="auto"/>
              </w:rPr>
            </w:pPr>
            <w:r>
              <w:rPr>
                <w:rFonts w:ascii="Arial" w:cs="Arial" w:eastAsia="Arial" w:hAnsi="Arial"/>
                <w:sz w:val="17"/>
                <w:szCs w:val="17"/>
                <w:b w:val="1"/>
                <w:bCs w:val="1"/>
                <w:color w:val="auto"/>
              </w:rPr>
              <w:t>Adverse Events (AEs)</w:t>
            </w:r>
          </w:p>
        </w:tc>
        <w:tc>
          <w:tcPr>
            <w:tcW w:w="720" w:type="dxa"/>
            <w:vAlign w:val="bottom"/>
            <w:shd w:val="clear" w:color="auto" w:fill="DFE6EA"/>
          </w:tcPr>
          <w:p>
            <w:pPr>
              <w:jc w:val="right"/>
              <w:spacing w:after="0" w:line="170" w:lineRule="exact"/>
              <w:rPr>
                <w:sz w:val="20"/>
                <w:szCs w:val="20"/>
                <w:color w:val="auto"/>
              </w:rPr>
            </w:pPr>
            <w:r>
              <w:rPr>
                <w:rFonts w:ascii="Arial" w:cs="Arial" w:eastAsia="Arial" w:hAnsi="Arial"/>
                <w:sz w:val="17"/>
                <w:szCs w:val="17"/>
                <w:color w:val="auto"/>
              </w:rPr>
              <w:t>37</w:t>
            </w:r>
          </w:p>
        </w:tc>
        <w:tc>
          <w:tcPr>
            <w:tcW w:w="1080" w:type="dxa"/>
            <w:vAlign w:val="bottom"/>
            <w:tcBorders>
              <w:right w:val="single" w:sz="8" w:color="336699"/>
            </w:tcBorders>
            <w:shd w:val="clear" w:color="auto" w:fill="DFE6EA"/>
          </w:tcPr>
          <w:p>
            <w:pPr>
              <w:ind w:left="40"/>
              <w:spacing w:after="0" w:line="170" w:lineRule="exact"/>
              <w:rPr>
                <w:sz w:val="20"/>
                <w:szCs w:val="20"/>
                <w:color w:val="auto"/>
              </w:rPr>
            </w:pPr>
            <w:r>
              <w:rPr>
                <w:rFonts w:ascii="Arial" w:cs="Arial" w:eastAsia="Arial" w:hAnsi="Arial"/>
                <w:sz w:val="17"/>
                <w:szCs w:val="17"/>
                <w:color w:val="auto"/>
              </w:rPr>
              <w:t>(97.4%)</w:t>
            </w:r>
          </w:p>
        </w:tc>
        <w:tc>
          <w:tcPr>
            <w:tcW w:w="720" w:type="dxa"/>
            <w:vAlign w:val="bottom"/>
            <w:shd w:val="clear" w:color="auto" w:fill="DFE6EA"/>
          </w:tcPr>
          <w:p>
            <w:pPr>
              <w:jc w:val="right"/>
              <w:spacing w:after="0" w:line="170" w:lineRule="exact"/>
              <w:rPr>
                <w:sz w:val="20"/>
                <w:szCs w:val="20"/>
                <w:color w:val="auto"/>
              </w:rPr>
            </w:pPr>
            <w:r>
              <w:rPr>
                <w:rFonts w:ascii="Arial" w:cs="Arial" w:eastAsia="Arial" w:hAnsi="Arial"/>
                <w:sz w:val="17"/>
                <w:szCs w:val="17"/>
                <w:color w:val="auto"/>
              </w:rPr>
              <w:t>37</w:t>
            </w:r>
          </w:p>
        </w:tc>
        <w:tc>
          <w:tcPr>
            <w:tcW w:w="1080" w:type="dxa"/>
            <w:vAlign w:val="bottom"/>
            <w:tcBorders>
              <w:right w:val="single" w:sz="8" w:color="336699"/>
            </w:tcBorders>
            <w:shd w:val="clear" w:color="auto" w:fill="DFE6EA"/>
          </w:tcPr>
          <w:p>
            <w:pPr>
              <w:ind w:left="40"/>
              <w:spacing w:after="0" w:line="170" w:lineRule="exact"/>
              <w:rPr>
                <w:sz w:val="20"/>
                <w:szCs w:val="20"/>
                <w:color w:val="auto"/>
              </w:rPr>
            </w:pPr>
            <w:r>
              <w:rPr>
                <w:rFonts w:ascii="Arial" w:cs="Arial" w:eastAsia="Arial" w:hAnsi="Arial"/>
                <w:sz w:val="17"/>
                <w:szCs w:val="17"/>
                <w:color w:val="auto"/>
              </w:rPr>
              <w:t>(97.4%)</w:t>
            </w:r>
          </w:p>
        </w:tc>
        <w:tc>
          <w:tcPr>
            <w:tcW w:w="880" w:type="dxa"/>
            <w:vAlign w:val="bottom"/>
            <w:shd w:val="clear" w:color="auto" w:fill="DFE6EA"/>
          </w:tcPr>
          <w:p>
            <w:pPr>
              <w:jc w:val="right"/>
              <w:spacing w:after="0" w:line="170" w:lineRule="exact"/>
              <w:rPr>
                <w:sz w:val="20"/>
                <w:szCs w:val="20"/>
                <w:color w:val="auto"/>
              </w:rPr>
            </w:pPr>
            <w:r>
              <w:rPr>
                <w:rFonts w:ascii="Arial" w:cs="Arial" w:eastAsia="Arial" w:hAnsi="Arial"/>
                <w:sz w:val="17"/>
                <w:szCs w:val="17"/>
                <w:color w:val="auto"/>
              </w:rPr>
              <w:t>20</w:t>
            </w:r>
          </w:p>
        </w:tc>
        <w:tc>
          <w:tcPr>
            <w:tcW w:w="1220" w:type="dxa"/>
            <w:vAlign w:val="bottom"/>
            <w:shd w:val="clear" w:color="auto" w:fill="DFE6EA"/>
          </w:tcPr>
          <w:p>
            <w:pPr>
              <w:ind w:left="20"/>
              <w:spacing w:after="0" w:line="170" w:lineRule="exact"/>
              <w:rPr>
                <w:sz w:val="20"/>
                <w:szCs w:val="20"/>
                <w:color w:val="auto"/>
              </w:rPr>
            </w:pPr>
            <w:r>
              <w:rPr>
                <w:rFonts w:ascii="Arial" w:cs="Arial" w:eastAsia="Arial" w:hAnsi="Arial"/>
                <w:sz w:val="17"/>
                <w:szCs w:val="17"/>
                <w:color w:val="auto"/>
              </w:rPr>
              <w:t>(95.2%)</w:t>
            </w:r>
          </w:p>
        </w:tc>
        <w:tc>
          <w:tcPr>
            <w:tcW w:w="20" w:type="dxa"/>
            <w:vAlign w:val="bottom"/>
            <w:shd w:val="clear" w:color="auto" w:fill="336699"/>
          </w:tcPr>
          <w:p>
            <w:pPr>
              <w:spacing w:after="0"/>
              <w:rPr>
                <w:sz w:val="14"/>
                <w:szCs w:val="14"/>
                <w:color w:val="auto"/>
              </w:rPr>
            </w:pPr>
          </w:p>
        </w:tc>
      </w:tr>
      <w:tr>
        <w:trPr>
          <w:trHeight w:val="206"/>
        </w:trPr>
        <w:tc>
          <w:tcPr>
            <w:tcW w:w="5540" w:type="dxa"/>
            <w:vAlign w:val="bottom"/>
            <w:tcBorders>
              <w:left w:val="single" w:sz="8" w:color="336699"/>
              <w:right w:val="single" w:sz="8" w:color="336699"/>
            </w:tcBorders>
            <w:shd w:val="clear" w:color="auto" w:fill="DFE6EA"/>
          </w:tcPr>
          <w:p>
            <w:pPr>
              <w:ind w:left="320"/>
              <w:spacing w:after="0"/>
              <w:rPr>
                <w:sz w:val="20"/>
                <w:szCs w:val="20"/>
                <w:color w:val="auto"/>
              </w:rPr>
            </w:pPr>
            <w:r>
              <w:rPr>
                <w:rFonts w:ascii="Arial" w:cs="Arial" w:eastAsia="Arial" w:hAnsi="Arial"/>
                <w:sz w:val="17"/>
                <w:szCs w:val="17"/>
                <w:color w:val="auto"/>
              </w:rPr>
              <w:t xml:space="preserve">Serious or Grade </w:t>
            </w:r>
            <w:r>
              <w:rPr>
                <w:rFonts w:ascii="Times New Roman" w:cs="Times New Roman" w:eastAsia="Times New Roman" w:hAnsi="Times New Roman"/>
                <w:sz w:val="17"/>
                <w:szCs w:val="17"/>
                <w:color w:val="auto"/>
              </w:rPr>
              <w:t>³</w:t>
            </w:r>
            <w:r>
              <w:rPr>
                <w:rFonts w:ascii="Arial" w:cs="Arial" w:eastAsia="Arial" w:hAnsi="Arial"/>
                <w:sz w:val="17"/>
                <w:szCs w:val="17"/>
                <w:color w:val="auto"/>
              </w:rPr>
              <w:t xml:space="preserve"> 3 AE</w:t>
            </w:r>
          </w:p>
        </w:tc>
        <w:tc>
          <w:tcPr>
            <w:tcW w:w="720" w:type="dxa"/>
            <w:vAlign w:val="bottom"/>
            <w:shd w:val="clear" w:color="auto" w:fill="DFE6EA"/>
          </w:tcPr>
          <w:p>
            <w:pPr>
              <w:jc w:val="right"/>
              <w:spacing w:after="0"/>
              <w:rPr>
                <w:sz w:val="20"/>
                <w:szCs w:val="20"/>
                <w:color w:val="auto"/>
              </w:rPr>
            </w:pPr>
            <w:r>
              <w:rPr>
                <w:rFonts w:ascii="Arial" w:cs="Arial" w:eastAsia="Arial" w:hAnsi="Arial"/>
                <w:sz w:val="17"/>
                <w:szCs w:val="17"/>
                <w:color w:val="auto"/>
              </w:rPr>
              <w:t>22</w:t>
            </w:r>
          </w:p>
        </w:tc>
        <w:tc>
          <w:tcPr>
            <w:tcW w:w="1080" w:type="dxa"/>
            <w:vAlign w:val="bottom"/>
            <w:tcBorders>
              <w:right w:val="single" w:sz="8" w:color="336699"/>
            </w:tcBorders>
            <w:shd w:val="clear" w:color="auto" w:fill="DFE6EA"/>
          </w:tcPr>
          <w:p>
            <w:pPr>
              <w:ind w:left="40"/>
              <w:spacing w:after="0"/>
              <w:rPr>
                <w:sz w:val="20"/>
                <w:szCs w:val="20"/>
                <w:color w:val="auto"/>
              </w:rPr>
            </w:pPr>
            <w:r>
              <w:rPr>
                <w:rFonts w:ascii="Arial" w:cs="Arial" w:eastAsia="Arial" w:hAnsi="Arial"/>
                <w:sz w:val="17"/>
                <w:szCs w:val="17"/>
                <w:color w:val="auto"/>
              </w:rPr>
              <w:t>(57.9%)</w:t>
            </w:r>
          </w:p>
        </w:tc>
        <w:tc>
          <w:tcPr>
            <w:tcW w:w="720" w:type="dxa"/>
            <w:vAlign w:val="bottom"/>
            <w:shd w:val="clear" w:color="auto" w:fill="DFE6EA"/>
          </w:tcPr>
          <w:p>
            <w:pPr>
              <w:jc w:val="right"/>
              <w:spacing w:after="0"/>
              <w:rPr>
                <w:sz w:val="20"/>
                <w:szCs w:val="20"/>
                <w:color w:val="auto"/>
              </w:rPr>
            </w:pPr>
            <w:r>
              <w:rPr>
                <w:rFonts w:ascii="Arial" w:cs="Arial" w:eastAsia="Arial" w:hAnsi="Arial"/>
                <w:sz w:val="17"/>
                <w:szCs w:val="17"/>
                <w:color w:val="auto"/>
              </w:rPr>
              <w:t>18</w:t>
            </w:r>
          </w:p>
        </w:tc>
        <w:tc>
          <w:tcPr>
            <w:tcW w:w="1080" w:type="dxa"/>
            <w:vAlign w:val="bottom"/>
            <w:tcBorders>
              <w:right w:val="single" w:sz="8" w:color="336699"/>
            </w:tcBorders>
            <w:shd w:val="clear" w:color="auto" w:fill="DFE6EA"/>
          </w:tcPr>
          <w:p>
            <w:pPr>
              <w:ind w:left="40"/>
              <w:spacing w:after="0"/>
              <w:rPr>
                <w:sz w:val="20"/>
                <w:szCs w:val="20"/>
                <w:color w:val="auto"/>
              </w:rPr>
            </w:pPr>
            <w:r>
              <w:rPr>
                <w:rFonts w:ascii="Arial" w:cs="Arial" w:eastAsia="Arial" w:hAnsi="Arial"/>
                <w:sz w:val="17"/>
                <w:szCs w:val="17"/>
                <w:color w:val="auto"/>
              </w:rPr>
              <w:t>(47.4%)</w:t>
            </w:r>
          </w:p>
        </w:tc>
        <w:tc>
          <w:tcPr>
            <w:tcW w:w="2100" w:type="dxa"/>
            <w:vAlign w:val="bottom"/>
            <w:gridSpan w:val="2"/>
            <w:shd w:val="clear" w:color="auto" w:fill="DFE6EA"/>
          </w:tcPr>
          <w:p>
            <w:pPr>
              <w:jc w:val="center"/>
              <w:spacing w:after="0"/>
              <w:rPr>
                <w:sz w:val="20"/>
                <w:szCs w:val="20"/>
                <w:color w:val="auto"/>
              </w:rPr>
            </w:pPr>
            <w:r>
              <w:rPr>
                <w:rFonts w:ascii="Arial" w:cs="Arial" w:eastAsia="Arial" w:hAnsi="Arial"/>
                <w:sz w:val="17"/>
                <w:szCs w:val="17"/>
                <w:color w:val="auto"/>
              </w:rPr>
              <w:t>9 (42.9%)</w:t>
            </w:r>
          </w:p>
        </w:tc>
        <w:tc>
          <w:tcPr>
            <w:tcW w:w="20" w:type="dxa"/>
            <w:vAlign w:val="bottom"/>
            <w:shd w:val="clear" w:color="auto" w:fill="336699"/>
          </w:tcPr>
          <w:p>
            <w:pPr>
              <w:spacing w:after="0"/>
              <w:rPr>
                <w:sz w:val="17"/>
                <w:szCs w:val="17"/>
                <w:color w:val="auto"/>
              </w:rPr>
            </w:pPr>
          </w:p>
        </w:tc>
      </w:tr>
      <w:tr>
        <w:trPr>
          <w:trHeight w:val="193"/>
        </w:trPr>
        <w:tc>
          <w:tcPr>
            <w:tcW w:w="5540" w:type="dxa"/>
            <w:vAlign w:val="bottom"/>
            <w:tcBorders>
              <w:left w:val="single" w:sz="8" w:color="336699"/>
              <w:right w:val="single" w:sz="8" w:color="336699"/>
            </w:tcBorders>
            <w:shd w:val="clear" w:color="auto" w:fill="DFE6EA"/>
          </w:tcPr>
          <w:p>
            <w:pPr>
              <w:ind w:left="500"/>
              <w:spacing w:after="0" w:line="193" w:lineRule="exact"/>
              <w:rPr>
                <w:sz w:val="20"/>
                <w:szCs w:val="20"/>
                <w:color w:val="auto"/>
              </w:rPr>
            </w:pPr>
            <w:r>
              <w:rPr>
                <w:rFonts w:ascii="Arial" w:cs="Arial" w:eastAsia="Arial" w:hAnsi="Arial"/>
                <w:sz w:val="17"/>
                <w:szCs w:val="17"/>
                <w:color w:val="auto"/>
              </w:rPr>
              <w:t>Serious AE</w:t>
            </w:r>
          </w:p>
        </w:tc>
        <w:tc>
          <w:tcPr>
            <w:tcW w:w="720" w:type="dxa"/>
            <w:vAlign w:val="bottom"/>
            <w:shd w:val="clear" w:color="auto" w:fill="DFE6EA"/>
          </w:tcPr>
          <w:p>
            <w:pPr>
              <w:jc w:val="right"/>
              <w:spacing w:after="0" w:line="193" w:lineRule="exact"/>
              <w:rPr>
                <w:sz w:val="20"/>
                <w:szCs w:val="20"/>
                <w:color w:val="auto"/>
              </w:rPr>
            </w:pPr>
            <w:r>
              <w:rPr>
                <w:rFonts w:ascii="Arial" w:cs="Arial" w:eastAsia="Arial" w:hAnsi="Arial"/>
                <w:sz w:val="17"/>
                <w:szCs w:val="17"/>
                <w:color w:val="auto"/>
              </w:rPr>
              <w:t>15</w:t>
            </w:r>
          </w:p>
        </w:tc>
        <w:tc>
          <w:tcPr>
            <w:tcW w:w="1080" w:type="dxa"/>
            <w:vAlign w:val="bottom"/>
            <w:tcBorders>
              <w:right w:val="single" w:sz="8" w:color="336699"/>
            </w:tcBorders>
            <w:shd w:val="clear" w:color="auto" w:fill="DFE6EA"/>
          </w:tcPr>
          <w:p>
            <w:pPr>
              <w:ind w:left="40"/>
              <w:spacing w:after="0" w:line="193" w:lineRule="exact"/>
              <w:rPr>
                <w:sz w:val="20"/>
                <w:szCs w:val="20"/>
                <w:color w:val="auto"/>
              </w:rPr>
            </w:pPr>
            <w:r>
              <w:rPr>
                <w:rFonts w:ascii="Arial" w:cs="Arial" w:eastAsia="Arial" w:hAnsi="Arial"/>
                <w:sz w:val="17"/>
                <w:szCs w:val="17"/>
                <w:color w:val="auto"/>
              </w:rPr>
              <w:t>(39.5%)</w:t>
            </w:r>
          </w:p>
        </w:tc>
        <w:tc>
          <w:tcPr>
            <w:tcW w:w="1800" w:type="dxa"/>
            <w:vAlign w:val="bottom"/>
            <w:tcBorders>
              <w:right w:val="single" w:sz="8" w:color="336699"/>
            </w:tcBorders>
            <w:gridSpan w:val="2"/>
            <w:shd w:val="clear" w:color="auto" w:fill="DFE6EA"/>
          </w:tcPr>
          <w:p>
            <w:pPr>
              <w:jc w:val="center"/>
              <w:spacing w:after="0" w:line="193" w:lineRule="exact"/>
              <w:rPr>
                <w:sz w:val="20"/>
                <w:szCs w:val="20"/>
                <w:color w:val="auto"/>
              </w:rPr>
            </w:pPr>
            <w:r>
              <w:rPr>
                <w:rFonts w:ascii="Arial" w:cs="Arial" w:eastAsia="Arial" w:hAnsi="Arial"/>
                <w:sz w:val="17"/>
                <w:szCs w:val="17"/>
                <w:color w:val="auto"/>
                <w:w w:val="98"/>
              </w:rPr>
              <w:t>11 (28.9%)</w:t>
            </w:r>
          </w:p>
        </w:tc>
        <w:tc>
          <w:tcPr>
            <w:tcW w:w="2100" w:type="dxa"/>
            <w:vAlign w:val="bottom"/>
            <w:gridSpan w:val="2"/>
            <w:shd w:val="clear" w:color="auto" w:fill="DFE6EA"/>
          </w:tcPr>
          <w:p>
            <w:pPr>
              <w:jc w:val="center"/>
              <w:spacing w:after="0" w:line="193" w:lineRule="exact"/>
              <w:rPr>
                <w:sz w:val="20"/>
                <w:szCs w:val="20"/>
                <w:color w:val="auto"/>
              </w:rPr>
            </w:pPr>
            <w:r>
              <w:rPr>
                <w:rFonts w:ascii="Arial" w:cs="Arial" w:eastAsia="Arial" w:hAnsi="Arial"/>
                <w:sz w:val="17"/>
                <w:szCs w:val="17"/>
                <w:color w:val="auto"/>
              </w:rPr>
              <w:t>6 (28.6%)</w:t>
            </w:r>
          </w:p>
        </w:tc>
        <w:tc>
          <w:tcPr>
            <w:tcW w:w="20" w:type="dxa"/>
            <w:vAlign w:val="bottom"/>
            <w:shd w:val="clear" w:color="auto" w:fill="336699"/>
          </w:tcPr>
          <w:p>
            <w:pPr>
              <w:spacing w:after="0"/>
              <w:rPr>
                <w:sz w:val="16"/>
                <w:szCs w:val="16"/>
                <w:color w:val="auto"/>
              </w:rPr>
            </w:pPr>
          </w:p>
        </w:tc>
      </w:tr>
      <w:tr>
        <w:trPr>
          <w:trHeight w:val="193"/>
        </w:trPr>
        <w:tc>
          <w:tcPr>
            <w:tcW w:w="5540" w:type="dxa"/>
            <w:vAlign w:val="bottom"/>
            <w:tcBorders>
              <w:left w:val="single" w:sz="8" w:color="336699"/>
              <w:right w:val="single" w:sz="8" w:color="336699"/>
            </w:tcBorders>
            <w:shd w:val="clear" w:color="auto" w:fill="DFE6EA"/>
          </w:tcPr>
          <w:p>
            <w:pPr>
              <w:ind w:left="320"/>
              <w:spacing w:after="0" w:line="193" w:lineRule="exact"/>
              <w:rPr>
                <w:sz w:val="20"/>
                <w:szCs w:val="20"/>
                <w:color w:val="auto"/>
              </w:rPr>
            </w:pPr>
            <w:r>
              <w:rPr>
                <w:rFonts w:ascii="Arial" w:cs="Arial" w:eastAsia="Arial" w:hAnsi="Arial"/>
                <w:sz w:val="17"/>
                <w:szCs w:val="17"/>
                <w:color w:val="auto"/>
              </w:rPr>
              <w:t>Leading to any drug discontinuation</w:t>
            </w:r>
          </w:p>
        </w:tc>
        <w:tc>
          <w:tcPr>
            <w:tcW w:w="1800" w:type="dxa"/>
            <w:vAlign w:val="bottom"/>
            <w:tcBorders>
              <w:right w:val="single" w:sz="8" w:color="336699"/>
            </w:tcBorders>
            <w:gridSpan w:val="2"/>
            <w:shd w:val="clear" w:color="auto" w:fill="DFE6EA"/>
          </w:tcPr>
          <w:p>
            <w:pPr>
              <w:jc w:val="center"/>
              <w:spacing w:after="0" w:line="193" w:lineRule="exact"/>
              <w:rPr>
                <w:sz w:val="20"/>
                <w:szCs w:val="20"/>
                <w:color w:val="auto"/>
              </w:rPr>
            </w:pPr>
            <w:r>
              <w:rPr>
                <w:rFonts w:ascii="Arial" w:cs="Arial" w:eastAsia="Arial" w:hAnsi="Arial"/>
                <w:sz w:val="17"/>
                <w:szCs w:val="17"/>
                <w:color w:val="auto"/>
              </w:rPr>
              <w:t>5 (13.2%)</w:t>
            </w:r>
          </w:p>
        </w:tc>
        <w:tc>
          <w:tcPr>
            <w:tcW w:w="720" w:type="dxa"/>
            <w:vAlign w:val="bottom"/>
            <w:shd w:val="clear" w:color="auto" w:fill="DFE6EA"/>
          </w:tcPr>
          <w:p>
            <w:pPr>
              <w:jc w:val="right"/>
              <w:spacing w:after="0" w:line="193" w:lineRule="exact"/>
              <w:rPr>
                <w:sz w:val="20"/>
                <w:szCs w:val="20"/>
                <w:color w:val="auto"/>
              </w:rPr>
            </w:pPr>
            <w:r>
              <w:rPr>
                <w:rFonts w:ascii="Arial" w:cs="Arial" w:eastAsia="Arial" w:hAnsi="Arial"/>
                <w:sz w:val="17"/>
                <w:szCs w:val="17"/>
                <w:color w:val="auto"/>
              </w:rPr>
              <w:t>3</w:t>
            </w:r>
          </w:p>
        </w:tc>
        <w:tc>
          <w:tcPr>
            <w:tcW w:w="1080" w:type="dxa"/>
            <w:vAlign w:val="bottom"/>
            <w:tcBorders>
              <w:right w:val="single" w:sz="8" w:color="336699"/>
            </w:tcBorders>
            <w:shd w:val="clear" w:color="auto" w:fill="DFE6EA"/>
          </w:tcPr>
          <w:p>
            <w:pPr>
              <w:ind w:left="40"/>
              <w:spacing w:after="0" w:line="193" w:lineRule="exact"/>
              <w:rPr>
                <w:sz w:val="20"/>
                <w:szCs w:val="20"/>
                <w:color w:val="auto"/>
              </w:rPr>
            </w:pPr>
            <w:r>
              <w:rPr>
                <w:rFonts w:ascii="Arial" w:cs="Arial" w:eastAsia="Arial" w:hAnsi="Arial"/>
                <w:sz w:val="17"/>
                <w:szCs w:val="17"/>
                <w:color w:val="auto"/>
              </w:rPr>
              <w:t>(7.9%)</w:t>
            </w:r>
          </w:p>
        </w:tc>
        <w:tc>
          <w:tcPr>
            <w:tcW w:w="880" w:type="dxa"/>
            <w:vAlign w:val="bottom"/>
            <w:shd w:val="clear" w:color="auto" w:fill="DFE6EA"/>
          </w:tcPr>
          <w:p>
            <w:pPr>
              <w:jc w:val="right"/>
              <w:spacing w:after="0" w:line="193" w:lineRule="exact"/>
              <w:rPr>
                <w:sz w:val="20"/>
                <w:szCs w:val="20"/>
                <w:color w:val="auto"/>
              </w:rPr>
            </w:pPr>
            <w:r>
              <w:rPr>
                <w:rFonts w:ascii="Arial" w:cs="Arial" w:eastAsia="Arial" w:hAnsi="Arial"/>
                <w:sz w:val="17"/>
                <w:szCs w:val="17"/>
                <w:color w:val="auto"/>
              </w:rPr>
              <w:t>2</w:t>
            </w:r>
          </w:p>
        </w:tc>
        <w:tc>
          <w:tcPr>
            <w:tcW w:w="1220" w:type="dxa"/>
            <w:vAlign w:val="bottom"/>
            <w:shd w:val="clear" w:color="auto" w:fill="DFE6EA"/>
          </w:tcPr>
          <w:p>
            <w:pPr>
              <w:ind w:left="20"/>
              <w:spacing w:after="0" w:line="193" w:lineRule="exact"/>
              <w:rPr>
                <w:sz w:val="20"/>
                <w:szCs w:val="20"/>
                <w:color w:val="auto"/>
              </w:rPr>
            </w:pPr>
            <w:r>
              <w:rPr>
                <w:rFonts w:ascii="Arial" w:cs="Arial" w:eastAsia="Arial" w:hAnsi="Arial"/>
                <w:sz w:val="17"/>
                <w:szCs w:val="17"/>
                <w:color w:val="auto"/>
              </w:rPr>
              <w:t>(9.5%)</w:t>
            </w:r>
          </w:p>
        </w:tc>
        <w:tc>
          <w:tcPr>
            <w:tcW w:w="20" w:type="dxa"/>
            <w:vAlign w:val="bottom"/>
            <w:shd w:val="clear" w:color="auto" w:fill="336699"/>
          </w:tcPr>
          <w:p>
            <w:pPr>
              <w:spacing w:after="0"/>
              <w:rPr>
                <w:sz w:val="16"/>
                <w:szCs w:val="16"/>
                <w:color w:val="auto"/>
              </w:rPr>
            </w:pPr>
          </w:p>
        </w:tc>
      </w:tr>
      <w:tr>
        <w:trPr>
          <w:trHeight w:val="216"/>
        </w:trPr>
        <w:tc>
          <w:tcPr>
            <w:tcW w:w="5540" w:type="dxa"/>
            <w:vAlign w:val="bottom"/>
            <w:tcBorders>
              <w:left w:val="single" w:sz="8" w:color="336699"/>
              <w:bottom w:val="single" w:sz="8" w:color="336699"/>
              <w:right w:val="single" w:sz="8" w:color="336699"/>
            </w:tcBorders>
            <w:shd w:val="clear" w:color="auto" w:fill="DFE6EA"/>
          </w:tcPr>
          <w:p>
            <w:pPr>
              <w:ind w:left="320"/>
              <w:spacing w:after="0"/>
              <w:rPr>
                <w:sz w:val="20"/>
                <w:szCs w:val="20"/>
                <w:color w:val="auto"/>
              </w:rPr>
            </w:pPr>
            <w:r>
              <w:rPr>
                <w:rFonts w:ascii="Arial" w:cs="Arial" w:eastAsia="Arial" w:hAnsi="Arial"/>
                <w:sz w:val="17"/>
                <w:szCs w:val="17"/>
                <w:color w:val="auto"/>
              </w:rPr>
              <w:t>Leading to death</w:t>
            </w:r>
          </w:p>
        </w:tc>
        <w:tc>
          <w:tcPr>
            <w:tcW w:w="720" w:type="dxa"/>
            <w:vAlign w:val="bottom"/>
            <w:tcBorders>
              <w:bottom w:val="single" w:sz="8" w:color="336699"/>
            </w:tcBorders>
            <w:shd w:val="clear" w:color="auto" w:fill="DFE6EA"/>
          </w:tcPr>
          <w:p>
            <w:pPr>
              <w:spacing w:after="0"/>
              <w:rPr>
                <w:sz w:val="18"/>
                <w:szCs w:val="18"/>
                <w:color w:val="auto"/>
              </w:rPr>
            </w:pPr>
          </w:p>
        </w:tc>
        <w:tc>
          <w:tcPr>
            <w:tcW w:w="1080" w:type="dxa"/>
            <w:vAlign w:val="bottom"/>
            <w:tcBorders>
              <w:bottom w:val="single" w:sz="8" w:color="336699"/>
              <w:right w:val="single" w:sz="8" w:color="336699"/>
            </w:tcBorders>
            <w:shd w:val="clear" w:color="auto" w:fill="DFE6EA"/>
          </w:tcPr>
          <w:p>
            <w:pPr>
              <w:jc w:val="center"/>
              <w:ind w:right="574"/>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36699"/>
            </w:tcBorders>
            <w:shd w:val="clear" w:color="auto" w:fill="DFE6EA"/>
          </w:tcPr>
          <w:p>
            <w:pPr>
              <w:spacing w:after="0"/>
              <w:rPr>
                <w:sz w:val="18"/>
                <w:szCs w:val="18"/>
                <w:color w:val="auto"/>
              </w:rPr>
            </w:pPr>
          </w:p>
        </w:tc>
        <w:tc>
          <w:tcPr>
            <w:tcW w:w="1080" w:type="dxa"/>
            <w:vAlign w:val="bottom"/>
            <w:tcBorders>
              <w:bottom w:val="single" w:sz="8" w:color="336699"/>
              <w:right w:val="single" w:sz="8" w:color="336699"/>
            </w:tcBorders>
            <w:shd w:val="clear" w:color="auto" w:fill="DFE6EA"/>
          </w:tcPr>
          <w:p>
            <w:pPr>
              <w:jc w:val="center"/>
              <w:ind w:right="574"/>
              <w:spacing w:after="0"/>
              <w:rPr>
                <w:sz w:val="20"/>
                <w:szCs w:val="20"/>
                <w:color w:val="auto"/>
              </w:rPr>
            </w:pPr>
            <w:r>
              <w:rPr>
                <w:rFonts w:ascii="Arial" w:cs="Arial" w:eastAsia="Arial" w:hAnsi="Arial"/>
                <w:sz w:val="17"/>
                <w:szCs w:val="17"/>
                <w:color w:val="auto"/>
              </w:rPr>
              <w:t>0</w:t>
            </w:r>
          </w:p>
        </w:tc>
        <w:tc>
          <w:tcPr>
            <w:tcW w:w="880" w:type="dxa"/>
            <w:vAlign w:val="bottom"/>
            <w:tcBorders>
              <w:bottom w:val="single" w:sz="8" w:color="336699"/>
            </w:tcBorders>
            <w:shd w:val="clear" w:color="auto" w:fill="DFE6EA"/>
          </w:tcPr>
          <w:p>
            <w:pPr>
              <w:spacing w:after="0"/>
              <w:rPr>
                <w:sz w:val="18"/>
                <w:szCs w:val="18"/>
                <w:color w:val="auto"/>
              </w:rPr>
            </w:pPr>
          </w:p>
        </w:tc>
        <w:tc>
          <w:tcPr>
            <w:tcW w:w="1220" w:type="dxa"/>
            <w:vAlign w:val="bottom"/>
            <w:tcBorders>
              <w:bottom w:val="single" w:sz="8" w:color="336699"/>
            </w:tcBorders>
            <w:shd w:val="clear" w:color="auto" w:fill="DFE6EA"/>
          </w:tcPr>
          <w:p>
            <w:pPr>
              <w:jc w:val="center"/>
              <w:ind w:right="734"/>
              <w:spacing w:after="0"/>
              <w:rPr>
                <w:sz w:val="20"/>
                <w:szCs w:val="20"/>
                <w:color w:val="auto"/>
              </w:rPr>
            </w:pPr>
            <w:r>
              <w:rPr>
                <w:rFonts w:ascii="Arial" w:cs="Arial" w:eastAsia="Arial" w:hAnsi="Arial"/>
                <w:sz w:val="17"/>
                <w:szCs w:val="17"/>
                <w:color w:val="auto"/>
                <w:w w:val="84"/>
              </w:rPr>
              <w:t>0</w:t>
            </w:r>
          </w:p>
        </w:tc>
        <w:tc>
          <w:tcPr>
            <w:tcW w:w="20" w:type="dxa"/>
            <w:vAlign w:val="bottom"/>
            <w:tcBorders>
              <w:bottom w:val="single" w:sz="8" w:color="336699"/>
            </w:tcBorders>
            <w:shd w:val="clear" w:color="auto" w:fill="336699"/>
          </w:tcPr>
          <w:p>
            <w:pPr>
              <w:spacing w:after="0"/>
              <w:rPr>
                <w:sz w:val="18"/>
                <w:szCs w:val="18"/>
                <w:color w:val="auto"/>
              </w:rPr>
            </w:pPr>
          </w:p>
        </w:tc>
      </w:tr>
      <w:tr>
        <w:trPr>
          <w:trHeight w:val="163"/>
        </w:trPr>
        <w:tc>
          <w:tcPr>
            <w:tcW w:w="5540" w:type="dxa"/>
            <w:vAlign w:val="bottom"/>
            <w:tcBorders>
              <w:left w:val="single" w:sz="8" w:color="336699"/>
              <w:right w:val="single" w:sz="8" w:color="336699"/>
            </w:tcBorders>
          </w:tcPr>
          <w:p>
            <w:pPr>
              <w:ind w:left="160"/>
              <w:spacing w:after="0" w:line="163" w:lineRule="exact"/>
              <w:rPr>
                <w:sz w:val="20"/>
                <w:szCs w:val="20"/>
                <w:color w:val="auto"/>
              </w:rPr>
            </w:pPr>
            <w:r>
              <w:rPr>
                <w:rFonts w:ascii="Arial" w:cs="Arial" w:eastAsia="Arial" w:hAnsi="Arial"/>
                <w:sz w:val="17"/>
                <w:szCs w:val="17"/>
                <w:b w:val="1"/>
                <w:bCs w:val="1"/>
                <w:color w:val="auto"/>
              </w:rPr>
              <w:t>AEs Related to any drug</w:t>
            </w:r>
          </w:p>
        </w:tc>
        <w:tc>
          <w:tcPr>
            <w:tcW w:w="720" w:type="dxa"/>
            <w:vAlign w:val="bottom"/>
          </w:tcPr>
          <w:p>
            <w:pPr>
              <w:jc w:val="right"/>
              <w:spacing w:after="0" w:line="163" w:lineRule="exact"/>
              <w:rPr>
                <w:sz w:val="20"/>
                <w:szCs w:val="20"/>
                <w:color w:val="auto"/>
              </w:rPr>
            </w:pPr>
            <w:r>
              <w:rPr>
                <w:rFonts w:ascii="Arial" w:cs="Arial" w:eastAsia="Arial" w:hAnsi="Arial"/>
                <w:sz w:val="17"/>
                <w:szCs w:val="17"/>
                <w:color w:val="auto"/>
              </w:rPr>
              <w:t>33</w:t>
            </w:r>
          </w:p>
        </w:tc>
        <w:tc>
          <w:tcPr>
            <w:tcW w:w="1080" w:type="dxa"/>
            <w:vAlign w:val="bottom"/>
            <w:tcBorders>
              <w:right w:val="single" w:sz="8" w:color="336699"/>
            </w:tcBorders>
          </w:tcPr>
          <w:p>
            <w:pPr>
              <w:ind w:left="40"/>
              <w:spacing w:after="0" w:line="163" w:lineRule="exact"/>
              <w:rPr>
                <w:sz w:val="20"/>
                <w:szCs w:val="20"/>
                <w:color w:val="auto"/>
              </w:rPr>
            </w:pPr>
            <w:r>
              <w:rPr>
                <w:rFonts w:ascii="Arial" w:cs="Arial" w:eastAsia="Arial" w:hAnsi="Arial"/>
                <w:sz w:val="17"/>
                <w:szCs w:val="17"/>
                <w:color w:val="auto"/>
              </w:rPr>
              <w:t>(86.8%)</w:t>
            </w:r>
          </w:p>
        </w:tc>
        <w:tc>
          <w:tcPr>
            <w:tcW w:w="720" w:type="dxa"/>
            <w:vAlign w:val="bottom"/>
          </w:tcPr>
          <w:p>
            <w:pPr>
              <w:jc w:val="right"/>
              <w:spacing w:after="0" w:line="163" w:lineRule="exact"/>
              <w:rPr>
                <w:sz w:val="20"/>
                <w:szCs w:val="20"/>
                <w:color w:val="auto"/>
              </w:rPr>
            </w:pPr>
            <w:r>
              <w:rPr>
                <w:rFonts w:ascii="Arial" w:cs="Arial" w:eastAsia="Arial" w:hAnsi="Arial"/>
                <w:sz w:val="17"/>
                <w:szCs w:val="17"/>
                <w:color w:val="auto"/>
              </w:rPr>
              <w:t>32</w:t>
            </w:r>
          </w:p>
        </w:tc>
        <w:tc>
          <w:tcPr>
            <w:tcW w:w="1080" w:type="dxa"/>
            <w:vAlign w:val="bottom"/>
            <w:tcBorders>
              <w:right w:val="single" w:sz="8" w:color="336699"/>
            </w:tcBorders>
          </w:tcPr>
          <w:p>
            <w:pPr>
              <w:ind w:left="40"/>
              <w:spacing w:after="0" w:line="163" w:lineRule="exact"/>
              <w:rPr>
                <w:sz w:val="20"/>
                <w:szCs w:val="20"/>
                <w:color w:val="auto"/>
              </w:rPr>
            </w:pPr>
            <w:r>
              <w:rPr>
                <w:rFonts w:ascii="Arial" w:cs="Arial" w:eastAsia="Arial" w:hAnsi="Arial"/>
                <w:sz w:val="17"/>
                <w:szCs w:val="17"/>
                <w:color w:val="auto"/>
              </w:rPr>
              <w:t>(84.2%)</w:t>
            </w:r>
          </w:p>
        </w:tc>
        <w:tc>
          <w:tcPr>
            <w:tcW w:w="880" w:type="dxa"/>
            <w:vAlign w:val="bottom"/>
          </w:tcPr>
          <w:p>
            <w:pPr>
              <w:jc w:val="right"/>
              <w:spacing w:after="0" w:line="163" w:lineRule="exact"/>
              <w:rPr>
                <w:sz w:val="20"/>
                <w:szCs w:val="20"/>
                <w:color w:val="auto"/>
              </w:rPr>
            </w:pPr>
            <w:r>
              <w:rPr>
                <w:rFonts w:ascii="Arial" w:cs="Arial" w:eastAsia="Arial" w:hAnsi="Arial"/>
                <w:sz w:val="17"/>
                <w:szCs w:val="17"/>
                <w:color w:val="auto"/>
              </w:rPr>
              <w:t>17</w:t>
            </w:r>
          </w:p>
        </w:tc>
        <w:tc>
          <w:tcPr>
            <w:tcW w:w="1220" w:type="dxa"/>
            <w:vAlign w:val="bottom"/>
          </w:tcPr>
          <w:p>
            <w:pPr>
              <w:ind w:left="20"/>
              <w:spacing w:after="0" w:line="163" w:lineRule="exact"/>
              <w:rPr>
                <w:sz w:val="20"/>
                <w:szCs w:val="20"/>
                <w:color w:val="auto"/>
              </w:rPr>
            </w:pPr>
            <w:r>
              <w:rPr>
                <w:rFonts w:ascii="Arial" w:cs="Arial" w:eastAsia="Arial" w:hAnsi="Arial"/>
                <w:sz w:val="17"/>
                <w:szCs w:val="17"/>
                <w:color w:val="auto"/>
              </w:rPr>
              <w:t>(81.0%)</w:t>
            </w:r>
          </w:p>
        </w:tc>
        <w:tc>
          <w:tcPr>
            <w:tcW w:w="20" w:type="dxa"/>
            <w:vAlign w:val="bottom"/>
            <w:shd w:val="clear" w:color="auto" w:fill="336699"/>
          </w:tcPr>
          <w:p>
            <w:pPr>
              <w:spacing w:after="0"/>
              <w:rPr>
                <w:sz w:val="14"/>
                <w:szCs w:val="14"/>
                <w:color w:val="auto"/>
              </w:rPr>
            </w:pPr>
          </w:p>
        </w:tc>
      </w:tr>
      <w:tr>
        <w:trPr>
          <w:trHeight w:val="206"/>
        </w:trPr>
        <w:tc>
          <w:tcPr>
            <w:tcW w:w="5540" w:type="dxa"/>
            <w:vAlign w:val="bottom"/>
            <w:tcBorders>
              <w:left w:val="single" w:sz="8" w:color="336699"/>
              <w:right w:val="single" w:sz="8" w:color="336699"/>
            </w:tcBorders>
          </w:tcPr>
          <w:p>
            <w:pPr>
              <w:ind w:left="320"/>
              <w:spacing w:after="0"/>
              <w:rPr>
                <w:sz w:val="20"/>
                <w:szCs w:val="20"/>
                <w:color w:val="auto"/>
              </w:rPr>
            </w:pPr>
            <w:r>
              <w:rPr>
                <w:rFonts w:ascii="Arial" w:cs="Arial" w:eastAsia="Arial" w:hAnsi="Arial"/>
                <w:sz w:val="17"/>
                <w:szCs w:val="17"/>
                <w:color w:val="auto"/>
              </w:rPr>
              <w:t xml:space="preserve">Serious or Grade </w:t>
            </w:r>
            <w:r>
              <w:rPr>
                <w:rFonts w:ascii="Times New Roman" w:cs="Times New Roman" w:eastAsia="Times New Roman" w:hAnsi="Times New Roman"/>
                <w:sz w:val="17"/>
                <w:szCs w:val="17"/>
                <w:color w:val="auto"/>
              </w:rPr>
              <w:t>³</w:t>
            </w:r>
            <w:r>
              <w:rPr>
                <w:rFonts w:ascii="Arial" w:cs="Arial" w:eastAsia="Arial" w:hAnsi="Arial"/>
                <w:sz w:val="17"/>
                <w:szCs w:val="17"/>
                <w:color w:val="auto"/>
              </w:rPr>
              <w:t xml:space="preserve"> 3 AE</w:t>
            </w:r>
          </w:p>
        </w:tc>
        <w:tc>
          <w:tcPr>
            <w:tcW w:w="1800" w:type="dxa"/>
            <w:vAlign w:val="bottom"/>
            <w:tcBorders>
              <w:right w:val="single" w:sz="8" w:color="336699"/>
            </w:tcBorders>
            <w:gridSpan w:val="2"/>
          </w:tcPr>
          <w:p>
            <w:pPr>
              <w:jc w:val="center"/>
              <w:spacing w:after="0"/>
              <w:rPr>
                <w:sz w:val="20"/>
                <w:szCs w:val="20"/>
                <w:color w:val="auto"/>
              </w:rPr>
            </w:pPr>
            <w:r>
              <w:rPr>
                <w:rFonts w:ascii="Arial" w:cs="Arial" w:eastAsia="Arial" w:hAnsi="Arial"/>
                <w:sz w:val="17"/>
                <w:szCs w:val="17"/>
                <w:color w:val="auto"/>
              </w:rPr>
              <w:t>8 (21.1%)</w:t>
            </w:r>
          </w:p>
        </w:tc>
        <w:tc>
          <w:tcPr>
            <w:tcW w:w="1800" w:type="dxa"/>
            <w:vAlign w:val="bottom"/>
            <w:tcBorders>
              <w:right w:val="single" w:sz="8" w:color="336699"/>
            </w:tcBorders>
            <w:gridSpan w:val="2"/>
          </w:tcPr>
          <w:p>
            <w:pPr>
              <w:jc w:val="center"/>
              <w:spacing w:after="0"/>
              <w:rPr>
                <w:sz w:val="20"/>
                <w:szCs w:val="20"/>
                <w:color w:val="auto"/>
              </w:rPr>
            </w:pPr>
            <w:r>
              <w:rPr>
                <w:rFonts w:ascii="Arial" w:cs="Arial" w:eastAsia="Arial" w:hAnsi="Arial"/>
                <w:sz w:val="17"/>
                <w:szCs w:val="17"/>
                <w:color w:val="auto"/>
              </w:rPr>
              <w:t>7 (18.4%)</w:t>
            </w: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220" w:type="dxa"/>
            <w:vAlign w:val="bottom"/>
          </w:tcPr>
          <w:p>
            <w:pPr>
              <w:ind w:left="20"/>
              <w:spacing w:after="0"/>
              <w:rPr>
                <w:sz w:val="20"/>
                <w:szCs w:val="20"/>
                <w:color w:val="auto"/>
              </w:rPr>
            </w:pPr>
            <w:r>
              <w:rPr>
                <w:rFonts w:ascii="Arial" w:cs="Arial" w:eastAsia="Arial" w:hAnsi="Arial"/>
                <w:sz w:val="17"/>
                <w:szCs w:val="17"/>
                <w:color w:val="auto"/>
              </w:rPr>
              <w:t>(9.5%)</w:t>
            </w:r>
          </w:p>
        </w:tc>
        <w:tc>
          <w:tcPr>
            <w:tcW w:w="20" w:type="dxa"/>
            <w:vAlign w:val="bottom"/>
            <w:shd w:val="clear" w:color="auto" w:fill="336699"/>
          </w:tcPr>
          <w:p>
            <w:pPr>
              <w:spacing w:after="0"/>
              <w:rPr>
                <w:sz w:val="17"/>
                <w:szCs w:val="17"/>
                <w:color w:val="auto"/>
              </w:rPr>
            </w:pPr>
          </w:p>
        </w:tc>
      </w:tr>
      <w:tr>
        <w:trPr>
          <w:trHeight w:val="193"/>
        </w:trPr>
        <w:tc>
          <w:tcPr>
            <w:tcW w:w="5540" w:type="dxa"/>
            <w:vAlign w:val="bottom"/>
            <w:tcBorders>
              <w:left w:val="single" w:sz="8" w:color="336699"/>
              <w:right w:val="single" w:sz="8" w:color="336699"/>
            </w:tcBorders>
          </w:tcPr>
          <w:p>
            <w:pPr>
              <w:ind w:left="500"/>
              <w:spacing w:after="0" w:line="193" w:lineRule="exact"/>
              <w:rPr>
                <w:sz w:val="20"/>
                <w:szCs w:val="20"/>
                <w:color w:val="auto"/>
              </w:rPr>
            </w:pPr>
            <w:r>
              <w:rPr>
                <w:rFonts w:ascii="Arial" w:cs="Arial" w:eastAsia="Arial" w:hAnsi="Arial"/>
                <w:sz w:val="17"/>
                <w:szCs w:val="17"/>
                <w:color w:val="auto"/>
              </w:rPr>
              <w:t>Serious AE</w:t>
            </w:r>
          </w:p>
        </w:tc>
        <w:tc>
          <w:tcPr>
            <w:tcW w:w="1800" w:type="dxa"/>
            <w:vAlign w:val="bottom"/>
            <w:tcBorders>
              <w:right w:val="single" w:sz="8" w:color="336699"/>
            </w:tcBorders>
            <w:gridSpan w:val="2"/>
          </w:tcPr>
          <w:p>
            <w:pPr>
              <w:jc w:val="center"/>
              <w:spacing w:after="0" w:line="193" w:lineRule="exact"/>
              <w:rPr>
                <w:sz w:val="20"/>
                <w:szCs w:val="20"/>
                <w:color w:val="auto"/>
              </w:rPr>
            </w:pPr>
            <w:r>
              <w:rPr>
                <w:rFonts w:ascii="Arial" w:cs="Arial" w:eastAsia="Arial" w:hAnsi="Arial"/>
                <w:sz w:val="17"/>
                <w:szCs w:val="17"/>
                <w:color w:val="auto"/>
              </w:rPr>
              <w:t>4 (10.5%)</w:t>
            </w:r>
          </w:p>
        </w:tc>
        <w:tc>
          <w:tcPr>
            <w:tcW w:w="720" w:type="dxa"/>
            <w:vAlign w:val="bottom"/>
          </w:tcPr>
          <w:p>
            <w:pPr>
              <w:jc w:val="right"/>
              <w:spacing w:after="0" w:line="193" w:lineRule="exact"/>
              <w:rPr>
                <w:sz w:val="20"/>
                <w:szCs w:val="20"/>
                <w:color w:val="auto"/>
              </w:rPr>
            </w:pPr>
            <w:r>
              <w:rPr>
                <w:rFonts w:ascii="Arial" w:cs="Arial" w:eastAsia="Arial" w:hAnsi="Arial"/>
                <w:sz w:val="17"/>
                <w:szCs w:val="17"/>
                <w:color w:val="auto"/>
              </w:rPr>
              <w:t>3</w:t>
            </w:r>
          </w:p>
        </w:tc>
        <w:tc>
          <w:tcPr>
            <w:tcW w:w="1080" w:type="dxa"/>
            <w:vAlign w:val="bottom"/>
            <w:tcBorders>
              <w:right w:val="single" w:sz="8" w:color="336699"/>
            </w:tcBorders>
          </w:tcPr>
          <w:p>
            <w:pPr>
              <w:ind w:left="40"/>
              <w:spacing w:after="0" w:line="193" w:lineRule="exact"/>
              <w:rPr>
                <w:sz w:val="20"/>
                <w:szCs w:val="20"/>
                <w:color w:val="auto"/>
              </w:rPr>
            </w:pPr>
            <w:r>
              <w:rPr>
                <w:rFonts w:ascii="Arial" w:cs="Arial" w:eastAsia="Arial" w:hAnsi="Arial"/>
                <w:sz w:val="17"/>
                <w:szCs w:val="17"/>
                <w:color w:val="auto"/>
              </w:rPr>
              <w:t>(7.9%)</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1</w:t>
            </w:r>
          </w:p>
        </w:tc>
        <w:tc>
          <w:tcPr>
            <w:tcW w:w="1220" w:type="dxa"/>
            <w:vAlign w:val="bottom"/>
          </w:tcPr>
          <w:p>
            <w:pPr>
              <w:ind w:left="20"/>
              <w:spacing w:after="0" w:line="193" w:lineRule="exact"/>
              <w:rPr>
                <w:sz w:val="20"/>
                <w:szCs w:val="20"/>
                <w:color w:val="auto"/>
              </w:rPr>
            </w:pPr>
            <w:r>
              <w:rPr>
                <w:rFonts w:ascii="Arial" w:cs="Arial" w:eastAsia="Arial" w:hAnsi="Arial"/>
                <w:sz w:val="17"/>
                <w:szCs w:val="17"/>
                <w:color w:val="auto"/>
              </w:rPr>
              <w:t>(4.8%)</w:t>
            </w:r>
          </w:p>
        </w:tc>
        <w:tc>
          <w:tcPr>
            <w:tcW w:w="20" w:type="dxa"/>
            <w:vAlign w:val="bottom"/>
            <w:shd w:val="clear" w:color="auto" w:fill="336699"/>
          </w:tcPr>
          <w:p>
            <w:pPr>
              <w:spacing w:after="0"/>
              <w:rPr>
                <w:sz w:val="16"/>
                <w:szCs w:val="16"/>
                <w:color w:val="auto"/>
              </w:rPr>
            </w:pPr>
          </w:p>
        </w:tc>
      </w:tr>
      <w:tr>
        <w:trPr>
          <w:trHeight w:val="193"/>
        </w:trPr>
        <w:tc>
          <w:tcPr>
            <w:tcW w:w="5540" w:type="dxa"/>
            <w:vAlign w:val="bottom"/>
            <w:tcBorders>
              <w:left w:val="single" w:sz="8" w:color="336699"/>
              <w:right w:val="single" w:sz="8" w:color="336699"/>
            </w:tcBorders>
          </w:tcPr>
          <w:p>
            <w:pPr>
              <w:ind w:left="320"/>
              <w:spacing w:after="0" w:line="193" w:lineRule="exact"/>
              <w:rPr>
                <w:sz w:val="20"/>
                <w:szCs w:val="20"/>
                <w:color w:val="auto"/>
              </w:rPr>
            </w:pPr>
            <w:r>
              <w:rPr>
                <w:rFonts w:ascii="Arial" w:cs="Arial" w:eastAsia="Arial" w:hAnsi="Arial"/>
                <w:sz w:val="17"/>
                <w:szCs w:val="17"/>
                <w:color w:val="auto"/>
              </w:rPr>
              <w:t>Leading to any drug discontinuation</w:t>
            </w:r>
          </w:p>
        </w:tc>
        <w:tc>
          <w:tcPr>
            <w:tcW w:w="720" w:type="dxa"/>
            <w:vAlign w:val="bottom"/>
          </w:tcPr>
          <w:p>
            <w:pPr>
              <w:jc w:val="right"/>
              <w:spacing w:after="0" w:line="193" w:lineRule="exact"/>
              <w:rPr>
                <w:sz w:val="20"/>
                <w:szCs w:val="20"/>
                <w:color w:val="auto"/>
              </w:rPr>
            </w:pPr>
            <w:r>
              <w:rPr>
                <w:rFonts w:ascii="Arial" w:cs="Arial" w:eastAsia="Arial" w:hAnsi="Arial"/>
                <w:sz w:val="17"/>
                <w:szCs w:val="17"/>
                <w:color w:val="auto"/>
              </w:rPr>
              <w:t>2</w:t>
            </w:r>
          </w:p>
        </w:tc>
        <w:tc>
          <w:tcPr>
            <w:tcW w:w="1080" w:type="dxa"/>
            <w:vAlign w:val="bottom"/>
            <w:tcBorders>
              <w:right w:val="single" w:sz="8" w:color="336699"/>
            </w:tcBorders>
          </w:tcPr>
          <w:p>
            <w:pPr>
              <w:ind w:left="40"/>
              <w:spacing w:after="0" w:line="193" w:lineRule="exact"/>
              <w:rPr>
                <w:sz w:val="20"/>
                <w:szCs w:val="20"/>
                <w:color w:val="auto"/>
              </w:rPr>
            </w:pPr>
            <w:r>
              <w:rPr>
                <w:rFonts w:ascii="Arial" w:cs="Arial" w:eastAsia="Arial" w:hAnsi="Arial"/>
                <w:sz w:val="17"/>
                <w:szCs w:val="17"/>
                <w:color w:val="auto"/>
              </w:rPr>
              <w:t>(5.3%)</w:t>
            </w:r>
          </w:p>
        </w:tc>
        <w:tc>
          <w:tcPr>
            <w:tcW w:w="720" w:type="dxa"/>
            <w:vAlign w:val="bottom"/>
          </w:tcPr>
          <w:p>
            <w:pPr>
              <w:jc w:val="right"/>
              <w:spacing w:after="0" w:line="193" w:lineRule="exact"/>
              <w:rPr>
                <w:sz w:val="20"/>
                <w:szCs w:val="20"/>
                <w:color w:val="auto"/>
              </w:rPr>
            </w:pPr>
            <w:r>
              <w:rPr>
                <w:rFonts w:ascii="Arial" w:cs="Arial" w:eastAsia="Arial" w:hAnsi="Arial"/>
                <w:sz w:val="17"/>
                <w:szCs w:val="17"/>
                <w:color w:val="auto"/>
              </w:rPr>
              <w:t>2</w:t>
            </w:r>
          </w:p>
        </w:tc>
        <w:tc>
          <w:tcPr>
            <w:tcW w:w="1080" w:type="dxa"/>
            <w:vAlign w:val="bottom"/>
            <w:tcBorders>
              <w:right w:val="single" w:sz="8" w:color="336699"/>
            </w:tcBorders>
          </w:tcPr>
          <w:p>
            <w:pPr>
              <w:ind w:left="40"/>
              <w:spacing w:after="0" w:line="193" w:lineRule="exact"/>
              <w:rPr>
                <w:sz w:val="20"/>
                <w:szCs w:val="20"/>
                <w:color w:val="auto"/>
              </w:rPr>
            </w:pPr>
            <w:r>
              <w:rPr>
                <w:rFonts w:ascii="Arial" w:cs="Arial" w:eastAsia="Arial" w:hAnsi="Arial"/>
                <w:sz w:val="17"/>
                <w:szCs w:val="17"/>
                <w:color w:val="auto"/>
              </w:rPr>
              <w:t>(5.3%)</w:t>
            </w:r>
          </w:p>
        </w:tc>
        <w:tc>
          <w:tcPr>
            <w:tcW w:w="880" w:type="dxa"/>
            <w:vAlign w:val="bottom"/>
          </w:tcPr>
          <w:p>
            <w:pPr>
              <w:spacing w:after="0"/>
              <w:rPr>
                <w:sz w:val="16"/>
                <w:szCs w:val="16"/>
                <w:color w:val="auto"/>
              </w:rPr>
            </w:pPr>
          </w:p>
        </w:tc>
        <w:tc>
          <w:tcPr>
            <w:tcW w:w="1220" w:type="dxa"/>
            <w:vAlign w:val="bottom"/>
          </w:tcPr>
          <w:p>
            <w:pPr>
              <w:jc w:val="center"/>
              <w:ind w:right="734"/>
              <w:spacing w:after="0" w:line="193" w:lineRule="exact"/>
              <w:rPr>
                <w:sz w:val="20"/>
                <w:szCs w:val="20"/>
                <w:color w:val="auto"/>
              </w:rPr>
            </w:pPr>
            <w:r>
              <w:rPr>
                <w:rFonts w:ascii="Arial" w:cs="Arial" w:eastAsia="Arial" w:hAnsi="Arial"/>
                <w:sz w:val="17"/>
                <w:szCs w:val="17"/>
                <w:color w:val="auto"/>
                <w:w w:val="84"/>
              </w:rPr>
              <w:t>0</w:t>
            </w:r>
          </w:p>
        </w:tc>
        <w:tc>
          <w:tcPr>
            <w:tcW w:w="20" w:type="dxa"/>
            <w:vAlign w:val="bottom"/>
            <w:shd w:val="clear" w:color="auto" w:fill="336699"/>
          </w:tcPr>
          <w:p>
            <w:pPr>
              <w:spacing w:after="0"/>
              <w:rPr>
                <w:sz w:val="16"/>
                <w:szCs w:val="16"/>
                <w:color w:val="auto"/>
              </w:rPr>
            </w:pPr>
          </w:p>
        </w:tc>
      </w:tr>
      <w:tr>
        <w:trPr>
          <w:trHeight w:val="216"/>
        </w:trPr>
        <w:tc>
          <w:tcPr>
            <w:tcW w:w="5540" w:type="dxa"/>
            <w:vAlign w:val="bottom"/>
            <w:tcBorders>
              <w:left w:val="single" w:sz="8" w:color="336699"/>
              <w:bottom w:val="single" w:sz="8" w:color="336699"/>
              <w:right w:val="single" w:sz="8" w:color="336699"/>
            </w:tcBorders>
          </w:tcPr>
          <w:p>
            <w:pPr>
              <w:ind w:left="320"/>
              <w:spacing w:after="0"/>
              <w:rPr>
                <w:sz w:val="20"/>
                <w:szCs w:val="20"/>
                <w:color w:val="auto"/>
              </w:rPr>
            </w:pPr>
            <w:r>
              <w:rPr>
                <w:rFonts w:ascii="Arial" w:cs="Arial" w:eastAsia="Arial" w:hAnsi="Arial"/>
                <w:sz w:val="17"/>
                <w:szCs w:val="17"/>
                <w:color w:val="auto"/>
              </w:rPr>
              <w:t>Leading to death</w:t>
            </w:r>
          </w:p>
        </w:tc>
        <w:tc>
          <w:tcPr>
            <w:tcW w:w="720" w:type="dxa"/>
            <w:vAlign w:val="bottom"/>
            <w:tcBorders>
              <w:bottom w:val="single" w:sz="8" w:color="336699"/>
            </w:tcBorders>
          </w:tcPr>
          <w:p>
            <w:pPr>
              <w:spacing w:after="0"/>
              <w:rPr>
                <w:sz w:val="18"/>
                <w:szCs w:val="18"/>
                <w:color w:val="auto"/>
              </w:rPr>
            </w:pPr>
          </w:p>
        </w:tc>
        <w:tc>
          <w:tcPr>
            <w:tcW w:w="1080" w:type="dxa"/>
            <w:vAlign w:val="bottom"/>
            <w:tcBorders>
              <w:bottom w:val="single" w:sz="8" w:color="336699"/>
              <w:right w:val="single" w:sz="8" w:color="336699"/>
            </w:tcBorders>
          </w:tcPr>
          <w:p>
            <w:pPr>
              <w:jc w:val="center"/>
              <w:ind w:right="574"/>
              <w:spacing w:after="0"/>
              <w:rPr>
                <w:sz w:val="20"/>
                <w:szCs w:val="20"/>
                <w:color w:val="auto"/>
              </w:rPr>
            </w:pPr>
            <w:r>
              <w:rPr>
                <w:rFonts w:ascii="Arial" w:cs="Arial" w:eastAsia="Arial" w:hAnsi="Arial"/>
                <w:sz w:val="17"/>
                <w:szCs w:val="17"/>
                <w:color w:val="auto"/>
              </w:rPr>
              <w:t>0</w:t>
            </w:r>
          </w:p>
        </w:tc>
        <w:tc>
          <w:tcPr>
            <w:tcW w:w="720" w:type="dxa"/>
            <w:vAlign w:val="bottom"/>
            <w:tcBorders>
              <w:bottom w:val="single" w:sz="8" w:color="336699"/>
            </w:tcBorders>
          </w:tcPr>
          <w:p>
            <w:pPr>
              <w:spacing w:after="0"/>
              <w:rPr>
                <w:sz w:val="18"/>
                <w:szCs w:val="18"/>
                <w:color w:val="auto"/>
              </w:rPr>
            </w:pPr>
          </w:p>
        </w:tc>
        <w:tc>
          <w:tcPr>
            <w:tcW w:w="1080" w:type="dxa"/>
            <w:vAlign w:val="bottom"/>
            <w:tcBorders>
              <w:bottom w:val="single" w:sz="8" w:color="336699"/>
              <w:right w:val="single" w:sz="8" w:color="336699"/>
            </w:tcBorders>
          </w:tcPr>
          <w:p>
            <w:pPr>
              <w:jc w:val="center"/>
              <w:ind w:right="574"/>
              <w:spacing w:after="0"/>
              <w:rPr>
                <w:sz w:val="20"/>
                <w:szCs w:val="20"/>
                <w:color w:val="auto"/>
              </w:rPr>
            </w:pPr>
            <w:r>
              <w:rPr>
                <w:rFonts w:ascii="Arial" w:cs="Arial" w:eastAsia="Arial" w:hAnsi="Arial"/>
                <w:sz w:val="17"/>
                <w:szCs w:val="17"/>
                <w:color w:val="auto"/>
              </w:rPr>
              <w:t>0</w:t>
            </w:r>
          </w:p>
        </w:tc>
        <w:tc>
          <w:tcPr>
            <w:tcW w:w="880" w:type="dxa"/>
            <w:vAlign w:val="bottom"/>
            <w:tcBorders>
              <w:bottom w:val="single" w:sz="8" w:color="336699"/>
            </w:tcBorders>
          </w:tcPr>
          <w:p>
            <w:pPr>
              <w:spacing w:after="0"/>
              <w:rPr>
                <w:sz w:val="18"/>
                <w:szCs w:val="18"/>
                <w:color w:val="auto"/>
              </w:rPr>
            </w:pPr>
          </w:p>
        </w:tc>
        <w:tc>
          <w:tcPr>
            <w:tcW w:w="1220" w:type="dxa"/>
            <w:vAlign w:val="bottom"/>
            <w:tcBorders>
              <w:bottom w:val="single" w:sz="8" w:color="336699"/>
            </w:tcBorders>
          </w:tcPr>
          <w:p>
            <w:pPr>
              <w:jc w:val="center"/>
              <w:ind w:right="734"/>
              <w:spacing w:after="0"/>
              <w:rPr>
                <w:sz w:val="20"/>
                <w:szCs w:val="20"/>
                <w:color w:val="auto"/>
              </w:rPr>
            </w:pPr>
            <w:r>
              <w:rPr>
                <w:rFonts w:ascii="Arial" w:cs="Arial" w:eastAsia="Arial" w:hAnsi="Arial"/>
                <w:sz w:val="17"/>
                <w:szCs w:val="17"/>
                <w:color w:val="auto"/>
                <w:w w:val="84"/>
              </w:rPr>
              <w:t>0</w:t>
            </w:r>
          </w:p>
        </w:tc>
        <w:tc>
          <w:tcPr>
            <w:tcW w:w="20" w:type="dxa"/>
            <w:vAlign w:val="bottom"/>
            <w:tcBorders>
              <w:bottom w:val="single" w:sz="8" w:color="336699"/>
            </w:tcBorders>
            <w:shd w:val="clear" w:color="auto" w:fill="336699"/>
          </w:tcPr>
          <w:p>
            <w:pPr>
              <w:spacing w:after="0"/>
              <w:rPr>
                <w:sz w:val="18"/>
                <w:szCs w:val="18"/>
                <w:color w:val="auto"/>
              </w:rPr>
            </w:pPr>
          </w:p>
        </w:tc>
      </w:tr>
    </w:tbl>
    <w:p>
      <w:pPr>
        <w:spacing w:after="0" w:line="80" w:lineRule="exact"/>
        <w:rPr>
          <w:sz w:val="20"/>
          <w:szCs w:val="20"/>
          <w:color w:val="auto"/>
        </w:rPr>
      </w:pPr>
    </w:p>
    <w:p>
      <w:pPr>
        <w:ind w:right="1220"/>
        <w:spacing w:after="0" w:line="280" w:lineRule="auto"/>
        <w:rPr>
          <w:sz w:val="20"/>
          <w:szCs w:val="20"/>
          <w:color w:val="auto"/>
        </w:rPr>
      </w:pPr>
      <w:r>
        <w:rPr>
          <w:rFonts w:ascii="Arial" w:cs="Arial" w:eastAsia="Arial" w:hAnsi="Arial"/>
          <w:sz w:val="17"/>
          <w:szCs w:val="17"/>
          <w:color w:val="045A63"/>
        </w:rPr>
        <w:t>AE frequencies for ITT and VAX group patients. Discontinuation due to related AEs was reported for 5.3% of patients overall, with no discontinuations for related AEs in the VAX group. No Grade 5 events were reported.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399A7A"/>
        </w:rPr>
        <w:t>NT-002 Safety Summary</w:t>
      </w:r>
    </w:p>
    <w:p>
      <w:pPr>
        <w:spacing w:after="0" w:line="65" w:lineRule="exact"/>
        <w:rPr>
          <w:sz w:val="20"/>
          <w:szCs w:val="20"/>
          <w:color w:val="auto"/>
        </w:rPr>
      </w:pP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52-week data available for ITT set (N = 38) and VAX group (N = 21).</w:t>
      </w:r>
    </w:p>
    <w:p>
      <w:pPr>
        <w:spacing w:after="0" w:line="61" w:lineRule="exact"/>
        <w:rPr>
          <w:rFonts w:ascii="Arial" w:cs="Arial" w:eastAsia="Arial" w:hAnsi="Arial"/>
          <w:sz w:val="17"/>
          <w:szCs w:val="17"/>
          <w:color w:val="045A63"/>
        </w:rPr>
      </w:pPr>
    </w:p>
    <w:p>
      <w:pPr>
        <w:ind w:left="200" w:right="180" w:hanging="197"/>
        <w:spacing w:after="0" w:line="283" w:lineRule="auto"/>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 xml:space="preserve">Related AE profile is consistent with </w:t>
      </w:r>
      <w:r>
        <w:rPr>
          <w:rFonts w:ascii="Times New Roman" w:cs="Times New Roman" w:eastAsia="Times New Roman" w:hAnsi="Times New Roman"/>
          <w:sz w:val="17"/>
          <w:szCs w:val="17"/>
          <w:color w:val="auto"/>
        </w:rPr>
        <w:t>a</w:t>
      </w:r>
      <w:r>
        <w:rPr>
          <w:rFonts w:ascii="Arial" w:cs="Arial" w:eastAsia="Arial" w:hAnsi="Arial"/>
          <w:sz w:val="17"/>
          <w:szCs w:val="17"/>
          <w:color w:val="auto"/>
        </w:rPr>
        <w:t>PD-1 + chemotherapy treatment. Most frequent related events included nausea, emesis, diarrhea, fatigue, ANC, and anemia.</w:t>
      </w: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Only related AE with clear increased incidence in VAX group is injection site reaction: 6 patients (29%) experienced low grade, transient events.</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Low incidence of treatment-related SAEs, overall (4 patients in ITT, 10%) and for VAX group (1 patient, &lt; 5%).</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Discontinuations due to related AEs were uncommon (2 patients, 5.3%).</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No Grade 5 events.</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5"/>
        </w:numPr>
        <w:rPr>
          <w:rFonts w:ascii="Arial" w:cs="Arial" w:eastAsia="Arial" w:hAnsi="Arial"/>
          <w:sz w:val="17"/>
          <w:szCs w:val="17"/>
          <w:color w:val="045A63"/>
        </w:rPr>
      </w:pPr>
      <w:r>
        <w:rPr>
          <w:rFonts w:ascii="Arial" w:cs="Arial" w:eastAsia="Arial" w:hAnsi="Arial"/>
          <w:sz w:val="17"/>
          <w:szCs w:val="17"/>
          <w:color w:val="auto"/>
        </w:rPr>
        <w:t>No new NT-002 safety signals with 52-week data.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3: </w:t>
      </w:r>
      <w:r>
        <w:rPr>
          <w:rFonts w:ascii="Arial" w:cs="Arial" w:eastAsia="Arial" w:hAnsi="Arial"/>
          <w:sz w:val="17"/>
          <w:szCs w:val="17"/>
          <w:b w:val="1"/>
          <w:bCs w:val="1"/>
          <w:color w:val="000000"/>
        </w:rPr>
        <w:t>RECIST 1.1 Response in the VAX Group Pre- and Post-Vaccination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87630</wp:posOffset>
            </wp:positionV>
            <wp:extent cx="5547995" cy="23660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4799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60"/>
        <w:spacing w:after="0" w:line="280" w:lineRule="auto"/>
        <w:rPr>
          <w:sz w:val="20"/>
          <w:szCs w:val="20"/>
          <w:color w:val="auto"/>
        </w:rPr>
      </w:pPr>
      <w:r>
        <w:rPr>
          <w:rFonts w:ascii="Arial" w:cs="Arial" w:eastAsia="Arial" w:hAnsi="Arial"/>
          <w:sz w:val="17"/>
          <w:szCs w:val="17"/>
          <w:color w:val="045A63"/>
        </w:rPr>
        <w:t>Waterfall plot of best radiographic change (%) in sum of target lesions by patients who received at least one dose of NEO-PV-01: narrow bars represent best change pre-NEO-PV-01; wider bars represent the overall best change on study.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4: </w:t>
      </w:r>
      <w:r>
        <w:rPr>
          <w:rFonts w:ascii="Arial" w:cs="Arial" w:eastAsia="Arial" w:hAnsi="Arial"/>
          <w:sz w:val="17"/>
          <w:szCs w:val="17"/>
          <w:b w:val="1"/>
          <w:bCs w:val="1"/>
          <w:color w:val="000000"/>
        </w:rPr>
        <w:t>Change in Sum of Target Lesions over Time in ITT Set</w:t>
      </w:r>
    </w:p>
    <w:p>
      <w:pPr>
        <w:sectPr>
          <w:pgSz w:w="11900" w:h="16838" w:orient="portrait"/>
          <w:cols w:equalWidth="0" w:num="1">
            <w:col w:w="11260"/>
          </w:cols>
          <w:pgMar w:left="320" w:top="236" w:right="319" w:bottom="995"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1004570</wp:posOffset>
            </wp:positionH>
            <wp:positionV relativeFrom="page">
              <wp:posOffset>88900</wp:posOffset>
            </wp:positionV>
            <wp:extent cx="5547995" cy="259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547995" cy="259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045A63"/>
        </w:rPr>
        <w:t>Spider plot of all radiographic changes (%) in sum of target lesions from initiation of pembrolizumab treatment by patient: unfilled circles represent imaging timepoints prior to receiving NEO-PV-01; filled circles represent imaging timepoints after initiating NEO-PV-01. Nine patients had no post-baseline tumor assessment (excluded from analysis).</w:t>
      </w:r>
    </w:p>
    <w:p>
      <w:pPr>
        <w:sectPr>
          <w:pgSz w:w="11900" w:h="16838" w:orient="portrait"/>
          <w:cols w:equalWidth="0" w:num="1">
            <w:col w:w="11020"/>
          </w:cols>
          <w:pgMar w:left="320" w:top="1440" w:right="5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045A63"/>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Figure 5: </w:t>
      </w:r>
      <w:r>
        <w:rPr>
          <w:rFonts w:ascii="Arial" w:cs="Arial" w:eastAsia="Arial" w:hAnsi="Arial"/>
          <w:sz w:val="17"/>
          <w:szCs w:val="17"/>
          <w:b w:val="1"/>
          <w:bCs w:val="1"/>
          <w:color w:val="000000"/>
        </w:rPr>
        <w:t>Progression-Free and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87630</wp:posOffset>
            </wp:positionV>
            <wp:extent cx="5547995" cy="3075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47995" cy="307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045A63"/>
        </w:rPr>
        <w:t>Kaplan-Meier (KM) estimates of PFS (top) and OS (bottom) in ITT set and VAX group. Green shading denotes the vaccination period. NR = not reached.</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gridSpan w:val="3"/>
          </w:tcPr>
          <w:p>
            <w:pPr>
              <w:spacing w:after="0"/>
              <w:rPr>
                <w:sz w:val="20"/>
                <w:szCs w:val="20"/>
                <w:color w:val="auto"/>
              </w:rPr>
            </w:pPr>
            <w:r>
              <w:rPr>
                <w:rFonts w:ascii="Arial" w:cs="Arial" w:eastAsia="Arial" w:hAnsi="Arial"/>
                <w:sz w:val="17"/>
                <w:szCs w:val="17"/>
                <w:b w:val="1"/>
                <w:bCs w:val="1"/>
                <w:color w:val="045A63"/>
              </w:rPr>
              <w:t xml:space="preserve">Table 3: </w:t>
            </w:r>
            <w:r>
              <w:rPr>
                <w:rFonts w:ascii="Arial" w:cs="Arial" w:eastAsia="Arial" w:hAnsi="Arial"/>
                <w:sz w:val="17"/>
                <w:szCs w:val="17"/>
                <w:b w:val="1"/>
                <w:bCs w:val="1"/>
                <w:color w:val="000000"/>
              </w:rPr>
              <w:t>Exploratory Analyses of Gender and TMB Subgroups</w:t>
            </w:r>
          </w:p>
        </w:tc>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60" w:type="dxa"/>
            <w:vAlign w:val="bottom"/>
            <w:tcBorders>
              <w:left w:val="single" w:sz="8" w:color="045A63"/>
              <w:right w:val="single" w:sz="8" w:color="045A63"/>
            </w:tcBorders>
            <w:vMerge w:val="restart"/>
            <w:shd w:val="clear" w:color="auto" w:fill="045A63"/>
          </w:tcPr>
          <w:p>
            <w:pPr>
              <w:ind w:left="140"/>
              <w:spacing w:after="0"/>
              <w:rPr>
                <w:sz w:val="20"/>
                <w:szCs w:val="20"/>
                <w:color w:val="auto"/>
              </w:rPr>
            </w:pPr>
            <w:r>
              <w:rPr>
                <w:rFonts w:ascii="Arial" w:cs="Arial" w:eastAsia="Arial" w:hAnsi="Arial"/>
                <w:sz w:val="17"/>
                <w:szCs w:val="17"/>
                <w:b w:val="1"/>
                <w:bCs w:val="1"/>
                <w:color w:val="FFFFFF"/>
              </w:rPr>
              <w:t>Sex</w:t>
            </w:r>
          </w:p>
        </w:tc>
        <w:tc>
          <w:tcPr>
            <w:tcW w:w="44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w w:val="97"/>
              </w:rPr>
              <w:t>N</w:t>
            </w:r>
          </w:p>
        </w:tc>
        <w:tc>
          <w:tcPr>
            <w:tcW w:w="304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rPr>
              <w:t>Female</w:t>
            </w:r>
          </w:p>
        </w:tc>
        <w:tc>
          <w:tcPr>
            <w:tcW w:w="282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rPr>
              <w:t>Male</w:t>
            </w:r>
          </w:p>
        </w:tc>
        <w:tc>
          <w:tcPr>
            <w:tcW w:w="1460" w:type="dxa"/>
            <w:vAlign w:val="bottom"/>
            <w:tcBorders>
              <w:right w:val="single" w:sz="8" w:color="045A63"/>
            </w:tcBorders>
            <w:shd w:val="clear" w:color="auto" w:fill="045A63"/>
          </w:tcPr>
          <w:p>
            <w:pPr>
              <w:jc w:val="center"/>
              <w:spacing w:after="0" w:line="194" w:lineRule="exact"/>
              <w:rPr>
                <w:sz w:val="20"/>
                <w:szCs w:val="20"/>
                <w:color w:val="auto"/>
              </w:rPr>
            </w:pPr>
            <w:r>
              <w:rPr>
                <w:rFonts w:ascii="Arial" w:cs="Arial" w:eastAsia="Arial" w:hAnsi="Arial"/>
                <w:sz w:val="17"/>
                <w:szCs w:val="17"/>
                <w:b w:val="1"/>
                <w:bCs w:val="1"/>
                <w:color w:val="FFFFFF"/>
              </w:rPr>
              <w:t>Hazard Ratio</w:t>
            </w:r>
          </w:p>
        </w:tc>
        <w:tc>
          <w:tcPr>
            <w:tcW w:w="1340" w:type="dxa"/>
            <w:vAlign w:val="bottom"/>
            <w:tcBorders>
              <w:right w:val="single" w:sz="8" w:color="336699"/>
            </w:tcBorders>
            <w:vMerge w:val="restart"/>
            <w:shd w:val="clear" w:color="auto" w:fill="045A63"/>
          </w:tcPr>
          <w:p>
            <w:pPr>
              <w:ind w:left="340"/>
              <w:spacing w:after="0"/>
              <w:rPr>
                <w:sz w:val="20"/>
                <w:szCs w:val="20"/>
                <w:color w:val="auto"/>
              </w:rPr>
            </w:pPr>
            <w:r>
              <w:rPr>
                <w:rFonts w:ascii="Arial" w:cs="Arial" w:eastAsia="Arial" w:hAnsi="Arial"/>
                <w:sz w:val="17"/>
                <w:szCs w:val="17"/>
                <w:b w:val="1"/>
                <w:bCs w:val="1"/>
                <w:color w:val="FFFFFF"/>
              </w:rPr>
              <w:t>P-value</w:t>
            </w:r>
          </w:p>
        </w:tc>
        <w:tc>
          <w:tcPr>
            <w:tcW w:w="0" w:type="dxa"/>
            <w:vAlign w:val="bottom"/>
          </w:tcPr>
          <w:p>
            <w:pPr>
              <w:spacing w:after="0"/>
              <w:rPr>
                <w:sz w:val="1"/>
                <w:szCs w:val="1"/>
                <w:color w:val="auto"/>
              </w:rPr>
            </w:pPr>
          </w:p>
        </w:tc>
      </w:tr>
      <w:tr>
        <w:trPr>
          <w:trHeight w:val="153"/>
        </w:trPr>
        <w:tc>
          <w:tcPr>
            <w:tcW w:w="2160" w:type="dxa"/>
            <w:vAlign w:val="bottom"/>
            <w:tcBorders>
              <w:left w:val="single" w:sz="8" w:color="045A63"/>
              <w:right w:val="single" w:sz="8" w:color="045A63"/>
            </w:tcBorders>
            <w:vMerge w:val="continue"/>
            <w:shd w:val="clear" w:color="auto" w:fill="045A63"/>
          </w:tcPr>
          <w:p>
            <w:pPr>
              <w:spacing w:after="0"/>
              <w:rPr>
                <w:sz w:val="13"/>
                <w:szCs w:val="13"/>
                <w:color w:val="auto"/>
              </w:rPr>
            </w:pPr>
          </w:p>
        </w:tc>
        <w:tc>
          <w:tcPr>
            <w:tcW w:w="440" w:type="dxa"/>
            <w:vAlign w:val="bottom"/>
            <w:tcBorders>
              <w:right w:val="single" w:sz="8" w:color="045A63"/>
            </w:tcBorders>
            <w:vMerge w:val="continue"/>
            <w:shd w:val="clear" w:color="auto" w:fill="045A63"/>
          </w:tcPr>
          <w:p>
            <w:pPr>
              <w:spacing w:after="0"/>
              <w:rPr>
                <w:sz w:val="13"/>
                <w:szCs w:val="13"/>
                <w:color w:val="auto"/>
              </w:rPr>
            </w:pPr>
          </w:p>
        </w:tc>
        <w:tc>
          <w:tcPr>
            <w:tcW w:w="3040" w:type="dxa"/>
            <w:vAlign w:val="bottom"/>
            <w:tcBorders>
              <w:right w:val="single" w:sz="8" w:color="045A63"/>
            </w:tcBorders>
            <w:vMerge w:val="continue"/>
            <w:shd w:val="clear" w:color="auto" w:fill="045A63"/>
          </w:tcPr>
          <w:p>
            <w:pPr>
              <w:spacing w:after="0"/>
              <w:rPr>
                <w:sz w:val="13"/>
                <w:szCs w:val="13"/>
                <w:color w:val="auto"/>
              </w:rPr>
            </w:pPr>
          </w:p>
        </w:tc>
        <w:tc>
          <w:tcPr>
            <w:tcW w:w="2820" w:type="dxa"/>
            <w:vAlign w:val="bottom"/>
            <w:tcBorders>
              <w:right w:val="single" w:sz="8" w:color="045A63"/>
            </w:tcBorders>
            <w:vMerge w:val="continue"/>
            <w:shd w:val="clear" w:color="auto" w:fill="045A63"/>
          </w:tcPr>
          <w:p>
            <w:pPr>
              <w:spacing w:after="0"/>
              <w:rPr>
                <w:sz w:val="13"/>
                <w:szCs w:val="13"/>
                <w:color w:val="auto"/>
              </w:rPr>
            </w:pPr>
          </w:p>
        </w:tc>
        <w:tc>
          <w:tcPr>
            <w:tcW w:w="146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rPr>
              <w:t>(95% CI)</w:t>
            </w:r>
          </w:p>
        </w:tc>
        <w:tc>
          <w:tcPr>
            <w:tcW w:w="1340" w:type="dxa"/>
            <w:vAlign w:val="bottom"/>
            <w:tcBorders>
              <w:right w:val="single" w:sz="8" w:color="336699"/>
            </w:tcBorders>
            <w:vMerge w:val="continue"/>
            <w:shd w:val="clear" w:color="auto" w:fill="045A63"/>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160" w:type="dxa"/>
            <w:vAlign w:val="bottom"/>
            <w:tcBorders>
              <w:left w:val="single" w:sz="8" w:color="045A63"/>
              <w:right w:val="single" w:sz="8" w:color="045A63"/>
            </w:tcBorders>
            <w:shd w:val="clear" w:color="auto" w:fill="045A63"/>
          </w:tcPr>
          <w:p>
            <w:pPr>
              <w:spacing w:after="0"/>
              <w:rPr>
                <w:sz w:val="10"/>
                <w:szCs w:val="10"/>
                <w:color w:val="auto"/>
              </w:rPr>
            </w:pPr>
          </w:p>
        </w:tc>
        <w:tc>
          <w:tcPr>
            <w:tcW w:w="440" w:type="dxa"/>
            <w:vAlign w:val="bottom"/>
            <w:tcBorders>
              <w:right w:val="single" w:sz="8" w:color="045A63"/>
            </w:tcBorders>
            <w:shd w:val="clear" w:color="auto" w:fill="045A63"/>
          </w:tcPr>
          <w:p>
            <w:pPr>
              <w:spacing w:after="0"/>
              <w:rPr>
                <w:sz w:val="10"/>
                <w:szCs w:val="10"/>
                <w:color w:val="auto"/>
              </w:rPr>
            </w:pPr>
          </w:p>
        </w:tc>
        <w:tc>
          <w:tcPr>
            <w:tcW w:w="3040" w:type="dxa"/>
            <w:vAlign w:val="bottom"/>
            <w:tcBorders>
              <w:right w:val="single" w:sz="8" w:color="045A63"/>
            </w:tcBorders>
            <w:shd w:val="clear" w:color="auto" w:fill="045A63"/>
          </w:tcPr>
          <w:p>
            <w:pPr>
              <w:spacing w:after="0"/>
              <w:rPr>
                <w:sz w:val="10"/>
                <w:szCs w:val="10"/>
                <w:color w:val="auto"/>
              </w:rPr>
            </w:pPr>
          </w:p>
        </w:tc>
        <w:tc>
          <w:tcPr>
            <w:tcW w:w="2820" w:type="dxa"/>
            <w:vAlign w:val="bottom"/>
            <w:tcBorders>
              <w:right w:val="single" w:sz="8" w:color="045A63"/>
            </w:tcBorders>
            <w:shd w:val="clear" w:color="auto" w:fill="045A63"/>
          </w:tcPr>
          <w:p>
            <w:pPr>
              <w:spacing w:after="0"/>
              <w:rPr>
                <w:sz w:val="10"/>
                <w:szCs w:val="10"/>
                <w:color w:val="auto"/>
              </w:rPr>
            </w:pPr>
          </w:p>
        </w:tc>
        <w:tc>
          <w:tcPr>
            <w:tcW w:w="1460" w:type="dxa"/>
            <w:vAlign w:val="bottom"/>
            <w:tcBorders>
              <w:right w:val="single" w:sz="8" w:color="045A63"/>
            </w:tcBorders>
            <w:vMerge w:val="continue"/>
            <w:shd w:val="clear" w:color="auto" w:fill="045A63"/>
          </w:tcPr>
          <w:p>
            <w:pPr>
              <w:spacing w:after="0"/>
              <w:rPr>
                <w:sz w:val="10"/>
                <w:szCs w:val="10"/>
                <w:color w:val="auto"/>
              </w:rPr>
            </w:pPr>
          </w:p>
        </w:tc>
        <w:tc>
          <w:tcPr>
            <w:tcW w:w="1340" w:type="dxa"/>
            <w:vAlign w:val="bottom"/>
            <w:tcBorders>
              <w:right w:val="single" w:sz="8" w:color="336699"/>
            </w:tcBorders>
            <w:shd w:val="clear" w:color="auto" w:fill="045A63"/>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60" w:type="dxa"/>
            <w:vAlign w:val="bottom"/>
            <w:tcBorders>
              <w:left w:val="single" w:sz="8" w:color="336699"/>
              <w:right w:val="single" w:sz="8" w:color="336699"/>
            </w:tcBorders>
            <w:vMerge w:val="restart"/>
            <w:shd w:val="clear" w:color="auto" w:fill="DFE6EA"/>
          </w:tcPr>
          <w:p>
            <w:pPr>
              <w:ind w:left="160"/>
              <w:spacing w:after="0"/>
              <w:rPr>
                <w:sz w:val="20"/>
                <w:szCs w:val="20"/>
                <w:color w:val="auto"/>
              </w:rPr>
            </w:pPr>
            <w:r>
              <w:rPr>
                <w:rFonts w:ascii="Arial" w:cs="Arial" w:eastAsia="Arial" w:hAnsi="Arial"/>
                <w:sz w:val="17"/>
                <w:szCs w:val="17"/>
                <w:color w:val="auto"/>
              </w:rPr>
              <w:t>ITT</w:t>
            </w:r>
          </w:p>
        </w:tc>
        <w:tc>
          <w:tcPr>
            <w:tcW w:w="4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w w:val="94"/>
              </w:rPr>
              <w:t>38</w:t>
            </w:r>
          </w:p>
        </w:tc>
        <w:tc>
          <w:tcPr>
            <w:tcW w:w="3040" w:type="dxa"/>
            <w:vAlign w:val="bottom"/>
            <w:tcBorders>
              <w:right w:val="single" w:sz="8" w:color="336699"/>
            </w:tcBorders>
            <w:shd w:val="clear" w:color="auto" w:fill="DFE6EA"/>
          </w:tcPr>
          <w:p>
            <w:pPr>
              <w:jc w:val="center"/>
              <w:spacing w:after="0" w:line="170" w:lineRule="exact"/>
              <w:rPr>
                <w:sz w:val="20"/>
                <w:szCs w:val="20"/>
                <w:color w:val="auto"/>
              </w:rPr>
            </w:pPr>
            <w:r>
              <w:rPr>
                <w:rFonts w:ascii="Arial" w:cs="Arial" w:eastAsia="Arial" w:hAnsi="Arial"/>
                <w:sz w:val="17"/>
                <w:szCs w:val="17"/>
                <w:color w:val="auto"/>
              </w:rPr>
              <w:t>(N = 23)</w:t>
            </w:r>
          </w:p>
        </w:tc>
        <w:tc>
          <w:tcPr>
            <w:tcW w:w="2820" w:type="dxa"/>
            <w:vAlign w:val="bottom"/>
            <w:tcBorders>
              <w:right w:val="single" w:sz="8" w:color="336699"/>
            </w:tcBorders>
            <w:shd w:val="clear" w:color="auto" w:fill="DFE6EA"/>
          </w:tcPr>
          <w:p>
            <w:pPr>
              <w:jc w:val="center"/>
              <w:spacing w:after="0" w:line="170" w:lineRule="exact"/>
              <w:rPr>
                <w:sz w:val="20"/>
                <w:szCs w:val="20"/>
                <w:color w:val="auto"/>
              </w:rPr>
            </w:pPr>
            <w:r>
              <w:rPr>
                <w:rFonts w:ascii="Arial" w:cs="Arial" w:eastAsia="Arial" w:hAnsi="Arial"/>
                <w:sz w:val="17"/>
                <w:szCs w:val="17"/>
                <w:color w:val="auto"/>
              </w:rPr>
              <w:t>(N = 15)</w:t>
            </w:r>
          </w:p>
        </w:tc>
        <w:tc>
          <w:tcPr>
            <w:tcW w:w="146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1.3 (0.5, 3.2)</w:t>
            </w:r>
          </w:p>
        </w:tc>
        <w:tc>
          <w:tcPr>
            <w:tcW w:w="13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141"/>
        </w:trPr>
        <w:tc>
          <w:tcPr>
            <w:tcW w:w="2160" w:type="dxa"/>
            <w:vAlign w:val="bottom"/>
            <w:tcBorders>
              <w:left w:val="single" w:sz="8" w:color="336699"/>
              <w:right w:val="single" w:sz="8" w:color="336699"/>
            </w:tcBorders>
            <w:vMerge w:val="continue"/>
            <w:shd w:val="clear" w:color="auto" w:fill="DFE6EA"/>
          </w:tcPr>
          <w:p>
            <w:pPr>
              <w:spacing w:after="0"/>
              <w:rPr>
                <w:sz w:val="12"/>
                <w:szCs w:val="12"/>
                <w:color w:val="auto"/>
              </w:rPr>
            </w:pPr>
          </w:p>
        </w:tc>
        <w:tc>
          <w:tcPr>
            <w:tcW w:w="440" w:type="dxa"/>
            <w:vAlign w:val="bottom"/>
            <w:tcBorders>
              <w:right w:val="single" w:sz="8" w:color="336699"/>
            </w:tcBorders>
            <w:vMerge w:val="continue"/>
            <w:shd w:val="clear" w:color="auto" w:fill="DFE6EA"/>
          </w:tcPr>
          <w:p>
            <w:pPr>
              <w:spacing w:after="0"/>
              <w:rPr>
                <w:sz w:val="12"/>
                <w:szCs w:val="12"/>
                <w:color w:val="auto"/>
              </w:rPr>
            </w:pPr>
          </w:p>
        </w:tc>
        <w:tc>
          <w:tcPr>
            <w:tcW w:w="30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Median = 6.5 months</w:t>
            </w:r>
          </w:p>
        </w:tc>
        <w:tc>
          <w:tcPr>
            <w:tcW w:w="282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w w:val="99"/>
              </w:rPr>
              <w:t>Median = 11.8 months</w:t>
            </w:r>
          </w:p>
        </w:tc>
        <w:tc>
          <w:tcPr>
            <w:tcW w:w="1460" w:type="dxa"/>
            <w:vAlign w:val="bottom"/>
            <w:tcBorders>
              <w:right w:val="single" w:sz="8" w:color="336699"/>
            </w:tcBorders>
            <w:vMerge w:val="continue"/>
            <w:shd w:val="clear" w:color="auto" w:fill="DFE6EA"/>
          </w:tcPr>
          <w:p>
            <w:pPr>
              <w:spacing w:after="0"/>
              <w:rPr>
                <w:sz w:val="12"/>
                <w:szCs w:val="12"/>
                <w:color w:val="auto"/>
              </w:rPr>
            </w:pPr>
          </w:p>
        </w:tc>
        <w:tc>
          <w:tcPr>
            <w:tcW w:w="1340" w:type="dxa"/>
            <w:vAlign w:val="bottom"/>
            <w:tcBorders>
              <w:right w:val="single" w:sz="8" w:color="336699"/>
            </w:tcBorders>
            <w:vMerge w:val="continue"/>
            <w:shd w:val="clear" w:color="auto" w:fill="DFE6EA"/>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160" w:type="dxa"/>
            <w:vAlign w:val="bottom"/>
            <w:tcBorders>
              <w:left w:val="single" w:sz="8" w:color="336699"/>
              <w:bottom w:val="single" w:sz="8" w:color="336699"/>
              <w:right w:val="single" w:sz="8" w:color="336699"/>
            </w:tcBorders>
            <w:shd w:val="clear" w:color="auto" w:fill="DFE6EA"/>
          </w:tcPr>
          <w:p>
            <w:pPr>
              <w:spacing w:after="0"/>
              <w:rPr>
                <w:sz w:val="7"/>
                <w:szCs w:val="7"/>
                <w:color w:val="auto"/>
              </w:rPr>
            </w:pPr>
          </w:p>
        </w:tc>
        <w:tc>
          <w:tcPr>
            <w:tcW w:w="440" w:type="dxa"/>
            <w:vAlign w:val="bottom"/>
            <w:tcBorders>
              <w:bottom w:val="single" w:sz="8" w:color="336699"/>
              <w:right w:val="single" w:sz="8" w:color="336699"/>
            </w:tcBorders>
            <w:shd w:val="clear" w:color="auto" w:fill="DFE6EA"/>
          </w:tcPr>
          <w:p>
            <w:pPr>
              <w:spacing w:after="0"/>
              <w:rPr>
                <w:sz w:val="7"/>
                <w:szCs w:val="7"/>
                <w:color w:val="auto"/>
              </w:rPr>
            </w:pPr>
          </w:p>
        </w:tc>
        <w:tc>
          <w:tcPr>
            <w:tcW w:w="3040" w:type="dxa"/>
            <w:vAlign w:val="bottom"/>
            <w:tcBorders>
              <w:bottom w:val="single" w:sz="8" w:color="336699"/>
              <w:right w:val="single" w:sz="8" w:color="336699"/>
            </w:tcBorders>
            <w:vMerge w:val="continue"/>
            <w:shd w:val="clear" w:color="auto" w:fill="DFE6EA"/>
          </w:tcPr>
          <w:p>
            <w:pPr>
              <w:spacing w:after="0"/>
              <w:rPr>
                <w:sz w:val="7"/>
                <w:szCs w:val="7"/>
                <w:color w:val="auto"/>
              </w:rPr>
            </w:pPr>
          </w:p>
        </w:tc>
        <w:tc>
          <w:tcPr>
            <w:tcW w:w="2820" w:type="dxa"/>
            <w:vAlign w:val="bottom"/>
            <w:tcBorders>
              <w:bottom w:val="single" w:sz="8" w:color="336699"/>
              <w:right w:val="single" w:sz="8" w:color="336699"/>
            </w:tcBorders>
            <w:vMerge w:val="continue"/>
            <w:shd w:val="clear" w:color="auto" w:fill="DFE6EA"/>
          </w:tcPr>
          <w:p>
            <w:pPr>
              <w:spacing w:after="0"/>
              <w:rPr>
                <w:sz w:val="7"/>
                <w:szCs w:val="7"/>
                <w:color w:val="auto"/>
              </w:rPr>
            </w:pPr>
          </w:p>
        </w:tc>
        <w:tc>
          <w:tcPr>
            <w:tcW w:w="1460" w:type="dxa"/>
            <w:vAlign w:val="bottom"/>
            <w:tcBorders>
              <w:bottom w:val="single" w:sz="8" w:color="336699"/>
              <w:right w:val="single" w:sz="8" w:color="336699"/>
            </w:tcBorders>
            <w:shd w:val="clear" w:color="auto" w:fill="DFE6EA"/>
          </w:tcPr>
          <w:p>
            <w:pPr>
              <w:spacing w:after="0"/>
              <w:rPr>
                <w:sz w:val="7"/>
                <w:szCs w:val="7"/>
                <w:color w:val="auto"/>
              </w:rPr>
            </w:pPr>
          </w:p>
        </w:tc>
        <w:tc>
          <w:tcPr>
            <w:tcW w:w="1340" w:type="dxa"/>
            <w:vAlign w:val="bottom"/>
            <w:tcBorders>
              <w:bottom w:val="single" w:sz="8" w:color="336699"/>
              <w:right w:val="single" w:sz="8" w:color="336699"/>
            </w:tcBorders>
            <w:shd w:val="clear" w:color="auto" w:fill="DFE6EA"/>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160" w:type="dxa"/>
            <w:vAlign w:val="bottom"/>
            <w:tcBorders>
              <w:left w:val="single" w:sz="8" w:color="336699"/>
              <w:right w:val="single" w:sz="8" w:color="336699"/>
            </w:tcBorders>
          </w:tcPr>
          <w:p>
            <w:pPr>
              <w:ind w:left="160"/>
              <w:spacing w:after="0" w:line="163" w:lineRule="exact"/>
              <w:rPr>
                <w:sz w:val="20"/>
                <w:szCs w:val="20"/>
                <w:color w:val="auto"/>
              </w:rPr>
            </w:pPr>
            <w:r>
              <w:rPr>
                <w:rFonts w:ascii="Arial" w:cs="Arial" w:eastAsia="Arial" w:hAnsi="Arial"/>
                <w:sz w:val="17"/>
                <w:szCs w:val="17"/>
                <w:color w:val="auto"/>
              </w:rPr>
              <w:t>VAX</w:t>
            </w:r>
          </w:p>
        </w:tc>
        <w:tc>
          <w:tcPr>
            <w:tcW w:w="4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w w:val="94"/>
              </w:rPr>
              <w:t>21</w:t>
            </w:r>
          </w:p>
        </w:tc>
        <w:tc>
          <w:tcPr>
            <w:tcW w:w="30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(N = 14)</w:t>
            </w:r>
          </w:p>
        </w:tc>
        <w:tc>
          <w:tcPr>
            <w:tcW w:w="282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(N=7)</w:t>
            </w:r>
          </w:p>
        </w:tc>
        <w:tc>
          <w:tcPr>
            <w:tcW w:w="146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1.8 (0.6, 5.9)</w:t>
            </w:r>
          </w:p>
        </w:tc>
        <w:tc>
          <w:tcPr>
            <w:tcW w:w="13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28"/>
        </w:trPr>
        <w:tc>
          <w:tcPr>
            <w:tcW w:w="2160" w:type="dxa"/>
            <w:vAlign w:val="bottom"/>
            <w:tcBorders>
              <w:left w:val="single" w:sz="8" w:color="336699"/>
              <w:bottom w:val="single" w:sz="8" w:color="336699"/>
              <w:right w:val="single" w:sz="8" w:color="336699"/>
            </w:tcBorders>
          </w:tcPr>
          <w:p>
            <w:pPr>
              <w:spacing w:after="0"/>
              <w:rPr>
                <w:sz w:val="19"/>
                <w:szCs w:val="19"/>
                <w:color w:val="auto"/>
              </w:rPr>
            </w:pPr>
          </w:p>
        </w:tc>
        <w:tc>
          <w:tcPr>
            <w:tcW w:w="440" w:type="dxa"/>
            <w:vAlign w:val="bottom"/>
            <w:tcBorders>
              <w:bottom w:val="single" w:sz="8" w:color="336699"/>
              <w:right w:val="single" w:sz="8" w:color="336699"/>
            </w:tcBorders>
          </w:tcPr>
          <w:p>
            <w:pPr>
              <w:spacing w:after="0"/>
              <w:rPr>
                <w:sz w:val="19"/>
                <w:szCs w:val="19"/>
                <w:color w:val="auto"/>
              </w:rPr>
            </w:pPr>
          </w:p>
        </w:tc>
        <w:tc>
          <w:tcPr>
            <w:tcW w:w="3040" w:type="dxa"/>
            <w:vAlign w:val="bottom"/>
            <w:tcBorders>
              <w:bottom w:val="single" w:sz="8" w:color="336699"/>
              <w:right w:val="single" w:sz="8" w:color="336699"/>
            </w:tcBorders>
          </w:tcPr>
          <w:p>
            <w:pPr>
              <w:jc w:val="center"/>
              <w:spacing w:after="0"/>
              <w:rPr>
                <w:sz w:val="20"/>
                <w:szCs w:val="20"/>
                <w:color w:val="auto"/>
              </w:rPr>
            </w:pPr>
            <w:r>
              <w:rPr>
                <w:rFonts w:ascii="Arial" w:cs="Arial" w:eastAsia="Arial" w:hAnsi="Arial"/>
                <w:sz w:val="17"/>
                <w:szCs w:val="17"/>
                <w:color w:val="auto"/>
              </w:rPr>
              <w:t>Median = 6.3 months</w:t>
            </w:r>
          </w:p>
        </w:tc>
        <w:tc>
          <w:tcPr>
            <w:tcW w:w="2820" w:type="dxa"/>
            <w:vAlign w:val="bottom"/>
            <w:tcBorders>
              <w:bottom w:val="single" w:sz="8" w:color="336699"/>
              <w:right w:val="single" w:sz="8" w:color="336699"/>
            </w:tcBorders>
          </w:tcPr>
          <w:p>
            <w:pPr>
              <w:jc w:val="center"/>
              <w:spacing w:after="0"/>
              <w:rPr>
                <w:sz w:val="20"/>
                <w:szCs w:val="20"/>
                <w:color w:val="auto"/>
              </w:rPr>
            </w:pPr>
            <w:r>
              <w:rPr>
                <w:rFonts w:ascii="Arial" w:cs="Arial" w:eastAsia="Arial" w:hAnsi="Arial"/>
                <w:sz w:val="17"/>
                <w:szCs w:val="17"/>
                <w:color w:val="auto"/>
              </w:rPr>
              <w:t>Median = 16.8 months</w:t>
            </w:r>
          </w:p>
        </w:tc>
        <w:tc>
          <w:tcPr>
            <w:tcW w:w="1460" w:type="dxa"/>
            <w:vAlign w:val="bottom"/>
            <w:tcBorders>
              <w:bottom w:val="single" w:sz="8" w:color="336699"/>
              <w:right w:val="single" w:sz="8" w:color="336699"/>
            </w:tcBorders>
          </w:tcPr>
          <w:p>
            <w:pPr>
              <w:spacing w:after="0"/>
              <w:rPr>
                <w:sz w:val="19"/>
                <w:szCs w:val="19"/>
                <w:color w:val="auto"/>
              </w:rPr>
            </w:pPr>
          </w:p>
        </w:tc>
        <w:tc>
          <w:tcPr>
            <w:tcW w:w="1340" w:type="dxa"/>
            <w:vAlign w:val="bottom"/>
            <w:tcBorders>
              <w:bottom w:val="single" w:sz="8" w:color="336699"/>
              <w:right w:val="single" w:sz="8" w:color="336699"/>
            </w:tcBorders>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160" w:type="dxa"/>
            <w:vAlign w:val="bottom"/>
            <w:tcBorders>
              <w:left w:val="single" w:sz="8" w:color="045A63"/>
              <w:right w:val="single" w:sz="8" w:color="045A63"/>
            </w:tcBorders>
            <w:vMerge w:val="restart"/>
            <w:shd w:val="clear" w:color="auto" w:fill="045A63"/>
          </w:tcPr>
          <w:p>
            <w:pPr>
              <w:ind w:left="140"/>
              <w:spacing w:after="0"/>
              <w:rPr>
                <w:sz w:val="20"/>
                <w:szCs w:val="20"/>
                <w:color w:val="auto"/>
              </w:rPr>
            </w:pPr>
            <w:r>
              <w:rPr>
                <w:rFonts w:ascii="Arial" w:cs="Arial" w:eastAsia="Arial" w:hAnsi="Arial"/>
                <w:sz w:val="17"/>
                <w:szCs w:val="17"/>
                <w:b w:val="1"/>
                <w:bCs w:val="1"/>
                <w:color w:val="FFFFFF"/>
              </w:rPr>
              <w:t>TMB</w:t>
            </w:r>
          </w:p>
        </w:tc>
        <w:tc>
          <w:tcPr>
            <w:tcW w:w="44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w w:val="97"/>
              </w:rPr>
              <w:t>N</w:t>
            </w:r>
          </w:p>
        </w:tc>
        <w:tc>
          <w:tcPr>
            <w:tcW w:w="304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w w:val="99"/>
              </w:rPr>
              <w:t>TMB &lt; 200</w:t>
            </w:r>
          </w:p>
        </w:tc>
        <w:tc>
          <w:tcPr>
            <w:tcW w:w="282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rPr>
              <w:t xml:space="preserve">TMB </w:t>
            </w:r>
            <w:r>
              <w:rPr>
                <w:rFonts w:ascii="Times New Roman" w:cs="Times New Roman" w:eastAsia="Times New Roman" w:hAnsi="Times New Roman"/>
                <w:sz w:val="17"/>
                <w:szCs w:val="17"/>
                <w:b w:val="1"/>
                <w:bCs w:val="1"/>
                <w:color w:val="FFFFFF"/>
              </w:rPr>
              <w:t>³</w:t>
            </w:r>
            <w:r>
              <w:rPr>
                <w:rFonts w:ascii="Arial" w:cs="Arial" w:eastAsia="Arial" w:hAnsi="Arial"/>
                <w:sz w:val="17"/>
                <w:szCs w:val="17"/>
                <w:b w:val="1"/>
                <w:bCs w:val="1"/>
                <w:color w:val="FFFFFF"/>
              </w:rPr>
              <w:t xml:space="preserve"> 200</w:t>
            </w:r>
          </w:p>
        </w:tc>
        <w:tc>
          <w:tcPr>
            <w:tcW w:w="1460" w:type="dxa"/>
            <w:vAlign w:val="bottom"/>
            <w:tcBorders>
              <w:right w:val="single" w:sz="8" w:color="045A63"/>
            </w:tcBorders>
            <w:shd w:val="clear" w:color="auto" w:fill="045A63"/>
          </w:tcPr>
          <w:p>
            <w:pPr>
              <w:jc w:val="center"/>
              <w:spacing w:after="0" w:line="194" w:lineRule="exact"/>
              <w:rPr>
                <w:sz w:val="20"/>
                <w:szCs w:val="20"/>
                <w:color w:val="auto"/>
              </w:rPr>
            </w:pPr>
            <w:r>
              <w:rPr>
                <w:rFonts w:ascii="Arial" w:cs="Arial" w:eastAsia="Arial" w:hAnsi="Arial"/>
                <w:sz w:val="17"/>
                <w:szCs w:val="17"/>
                <w:b w:val="1"/>
                <w:bCs w:val="1"/>
                <w:color w:val="FFFFFF"/>
              </w:rPr>
              <w:t>Hazard Ratio</w:t>
            </w:r>
          </w:p>
        </w:tc>
        <w:tc>
          <w:tcPr>
            <w:tcW w:w="1340" w:type="dxa"/>
            <w:vAlign w:val="bottom"/>
            <w:tcBorders>
              <w:right w:val="single" w:sz="8" w:color="336699"/>
            </w:tcBorders>
            <w:vMerge w:val="restart"/>
            <w:shd w:val="clear" w:color="auto" w:fill="045A63"/>
          </w:tcPr>
          <w:p>
            <w:pPr>
              <w:ind w:left="340"/>
              <w:spacing w:after="0"/>
              <w:rPr>
                <w:sz w:val="20"/>
                <w:szCs w:val="20"/>
                <w:color w:val="auto"/>
              </w:rPr>
            </w:pPr>
            <w:r>
              <w:rPr>
                <w:rFonts w:ascii="Arial" w:cs="Arial" w:eastAsia="Arial" w:hAnsi="Arial"/>
                <w:sz w:val="17"/>
                <w:szCs w:val="17"/>
                <w:b w:val="1"/>
                <w:bCs w:val="1"/>
                <w:color w:val="FFFFFF"/>
              </w:rPr>
              <w:t>P-value</w:t>
            </w:r>
          </w:p>
        </w:tc>
        <w:tc>
          <w:tcPr>
            <w:tcW w:w="0" w:type="dxa"/>
            <w:vAlign w:val="bottom"/>
          </w:tcPr>
          <w:p>
            <w:pPr>
              <w:spacing w:after="0"/>
              <w:rPr>
                <w:sz w:val="1"/>
                <w:szCs w:val="1"/>
                <w:color w:val="auto"/>
              </w:rPr>
            </w:pPr>
          </w:p>
        </w:tc>
      </w:tr>
      <w:tr>
        <w:trPr>
          <w:trHeight w:val="153"/>
        </w:trPr>
        <w:tc>
          <w:tcPr>
            <w:tcW w:w="2160" w:type="dxa"/>
            <w:vAlign w:val="bottom"/>
            <w:tcBorders>
              <w:left w:val="single" w:sz="8" w:color="045A63"/>
              <w:right w:val="single" w:sz="8" w:color="045A63"/>
            </w:tcBorders>
            <w:vMerge w:val="continue"/>
            <w:shd w:val="clear" w:color="auto" w:fill="045A63"/>
          </w:tcPr>
          <w:p>
            <w:pPr>
              <w:spacing w:after="0"/>
              <w:rPr>
                <w:sz w:val="13"/>
                <w:szCs w:val="13"/>
                <w:color w:val="auto"/>
              </w:rPr>
            </w:pPr>
          </w:p>
        </w:tc>
        <w:tc>
          <w:tcPr>
            <w:tcW w:w="440" w:type="dxa"/>
            <w:vAlign w:val="bottom"/>
            <w:tcBorders>
              <w:right w:val="single" w:sz="8" w:color="045A63"/>
            </w:tcBorders>
            <w:vMerge w:val="continue"/>
            <w:shd w:val="clear" w:color="auto" w:fill="045A63"/>
          </w:tcPr>
          <w:p>
            <w:pPr>
              <w:spacing w:after="0"/>
              <w:rPr>
                <w:sz w:val="13"/>
                <w:szCs w:val="13"/>
                <w:color w:val="auto"/>
              </w:rPr>
            </w:pPr>
          </w:p>
        </w:tc>
        <w:tc>
          <w:tcPr>
            <w:tcW w:w="3040" w:type="dxa"/>
            <w:vAlign w:val="bottom"/>
            <w:tcBorders>
              <w:right w:val="single" w:sz="8" w:color="045A63"/>
            </w:tcBorders>
            <w:vMerge w:val="continue"/>
            <w:shd w:val="clear" w:color="auto" w:fill="045A63"/>
          </w:tcPr>
          <w:p>
            <w:pPr>
              <w:spacing w:after="0"/>
              <w:rPr>
                <w:sz w:val="13"/>
                <w:szCs w:val="13"/>
                <w:color w:val="auto"/>
              </w:rPr>
            </w:pPr>
          </w:p>
        </w:tc>
        <w:tc>
          <w:tcPr>
            <w:tcW w:w="2820" w:type="dxa"/>
            <w:vAlign w:val="bottom"/>
            <w:tcBorders>
              <w:right w:val="single" w:sz="8" w:color="045A63"/>
            </w:tcBorders>
            <w:vMerge w:val="continue"/>
            <w:shd w:val="clear" w:color="auto" w:fill="045A63"/>
          </w:tcPr>
          <w:p>
            <w:pPr>
              <w:spacing w:after="0"/>
              <w:rPr>
                <w:sz w:val="13"/>
                <w:szCs w:val="13"/>
                <w:color w:val="auto"/>
              </w:rPr>
            </w:pPr>
          </w:p>
        </w:tc>
        <w:tc>
          <w:tcPr>
            <w:tcW w:w="1460" w:type="dxa"/>
            <w:vAlign w:val="bottom"/>
            <w:tcBorders>
              <w:right w:val="single" w:sz="8" w:color="045A63"/>
            </w:tcBorders>
            <w:vMerge w:val="restart"/>
            <w:shd w:val="clear" w:color="auto" w:fill="045A63"/>
          </w:tcPr>
          <w:p>
            <w:pPr>
              <w:jc w:val="center"/>
              <w:spacing w:after="0"/>
              <w:rPr>
                <w:sz w:val="20"/>
                <w:szCs w:val="20"/>
                <w:color w:val="auto"/>
              </w:rPr>
            </w:pPr>
            <w:r>
              <w:rPr>
                <w:rFonts w:ascii="Arial" w:cs="Arial" w:eastAsia="Arial" w:hAnsi="Arial"/>
                <w:sz w:val="17"/>
                <w:szCs w:val="17"/>
                <w:b w:val="1"/>
                <w:bCs w:val="1"/>
                <w:color w:val="FFFFFF"/>
              </w:rPr>
              <w:t>(95% CI)</w:t>
            </w:r>
          </w:p>
        </w:tc>
        <w:tc>
          <w:tcPr>
            <w:tcW w:w="1340" w:type="dxa"/>
            <w:vAlign w:val="bottom"/>
            <w:tcBorders>
              <w:right w:val="single" w:sz="8" w:color="336699"/>
            </w:tcBorders>
            <w:vMerge w:val="continue"/>
            <w:shd w:val="clear" w:color="auto" w:fill="045A63"/>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160" w:type="dxa"/>
            <w:vAlign w:val="bottom"/>
            <w:tcBorders>
              <w:left w:val="single" w:sz="8" w:color="045A63"/>
              <w:right w:val="single" w:sz="8" w:color="045A63"/>
            </w:tcBorders>
            <w:shd w:val="clear" w:color="auto" w:fill="045A63"/>
          </w:tcPr>
          <w:p>
            <w:pPr>
              <w:spacing w:after="0"/>
              <w:rPr>
                <w:sz w:val="10"/>
                <w:szCs w:val="10"/>
                <w:color w:val="auto"/>
              </w:rPr>
            </w:pPr>
          </w:p>
        </w:tc>
        <w:tc>
          <w:tcPr>
            <w:tcW w:w="440" w:type="dxa"/>
            <w:vAlign w:val="bottom"/>
            <w:tcBorders>
              <w:right w:val="single" w:sz="8" w:color="045A63"/>
            </w:tcBorders>
            <w:shd w:val="clear" w:color="auto" w:fill="045A63"/>
          </w:tcPr>
          <w:p>
            <w:pPr>
              <w:spacing w:after="0"/>
              <w:rPr>
                <w:sz w:val="10"/>
                <w:szCs w:val="10"/>
                <w:color w:val="auto"/>
              </w:rPr>
            </w:pPr>
          </w:p>
        </w:tc>
        <w:tc>
          <w:tcPr>
            <w:tcW w:w="3040" w:type="dxa"/>
            <w:vAlign w:val="bottom"/>
            <w:tcBorders>
              <w:right w:val="single" w:sz="8" w:color="045A63"/>
            </w:tcBorders>
            <w:shd w:val="clear" w:color="auto" w:fill="045A63"/>
          </w:tcPr>
          <w:p>
            <w:pPr>
              <w:spacing w:after="0"/>
              <w:rPr>
                <w:sz w:val="10"/>
                <w:szCs w:val="10"/>
                <w:color w:val="auto"/>
              </w:rPr>
            </w:pPr>
          </w:p>
        </w:tc>
        <w:tc>
          <w:tcPr>
            <w:tcW w:w="2820" w:type="dxa"/>
            <w:vAlign w:val="bottom"/>
            <w:tcBorders>
              <w:right w:val="single" w:sz="8" w:color="045A63"/>
            </w:tcBorders>
            <w:shd w:val="clear" w:color="auto" w:fill="045A63"/>
          </w:tcPr>
          <w:p>
            <w:pPr>
              <w:spacing w:after="0"/>
              <w:rPr>
                <w:sz w:val="10"/>
                <w:szCs w:val="10"/>
                <w:color w:val="auto"/>
              </w:rPr>
            </w:pPr>
          </w:p>
        </w:tc>
        <w:tc>
          <w:tcPr>
            <w:tcW w:w="1460" w:type="dxa"/>
            <w:vAlign w:val="bottom"/>
            <w:tcBorders>
              <w:right w:val="single" w:sz="8" w:color="045A63"/>
            </w:tcBorders>
            <w:vMerge w:val="continue"/>
            <w:shd w:val="clear" w:color="auto" w:fill="045A63"/>
          </w:tcPr>
          <w:p>
            <w:pPr>
              <w:spacing w:after="0"/>
              <w:rPr>
                <w:sz w:val="10"/>
                <w:szCs w:val="10"/>
                <w:color w:val="auto"/>
              </w:rPr>
            </w:pPr>
          </w:p>
        </w:tc>
        <w:tc>
          <w:tcPr>
            <w:tcW w:w="1340" w:type="dxa"/>
            <w:vAlign w:val="bottom"/>
            <w:tcBorders>
              <w:right w:val="single" w:sz="8" w:color="336699"/>
            </w:tcBorders>
            <w:shd w:val="clear" w:color="auto" w:fill="045A63"/>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60" w:type="dxa"/>
            <w:vAlign w:val="bottom"/>
            <w:tcBorders>
              <w:left w:val="single" w:sz="8" w:color="336699"/>
              <w:right w:val="single" w:sz="8" w:color="336699"/>
            </w:tcBorders>
            <w:vMerge w:val="restart"/>
            <w:shd w:val="clear" w:color="auto" w:fill="DFE6EA"/>
          </w:tcPr>
          <w:p>
            <w:pPr>
              <w:ind w:left="160"/>
              <w:spacing w:after="0"/>
              <w:rPr>
                <w:sz w:val="20"/>
                <w:szCs w:val="20"/>
                <w:color w:val="auto"/>
              </w:rPr>
            </w:pPr>
            <w:r>
              <w:rPr>
                <w:rFonts w:ascii="Arial" w:cs="Arial" w:eastAsia="Arial" w:hAnsi="Arial"/>
                <w:sz w:val="17"/>
                <w:szCs w:val="17"/>
                <w:color w:val="auto"/>
              </w:rPr>
              <w:t>ITT</w:t>
            </w:r>
          </w:p>
        </w:tc>
        <w:tc>
          <w:tcPr>
            <w:tcW w:w="4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w w:val="94"/>
              </w:rPr>
              <w:t>38</w:t>
            </w:r>
          </w:p>
        </w:tc>
        <w:tc>
          <w:tcPr>
            <w:tcW w:w="3040" w:type="dxa"/>
            <w:vAlign w:val="bottom"/>
            <w:tcBorders>
              <w:right w:val="single" w:sz="8" w:color="336699"/>
            </w:tcBorders>
            <w:shd w:val="clear" w:color="auto" w:fill="DFE6EA"/>
          </w:tcPr>
          <w:p>
            <w:pPr>
              <w:jc w:val="center"/>
              <w:spacing w:after="0" w:line="170" w:lineRule="exact"/>
              <w:rPr>
                <w:sz w:val="20"/>
                <w:szCs w:val="20"/>
                <w:color w:val="auto"/>
              </w:rPr>
            </w:pPr>
            <w:r>
              <w:rPr>
                <w:rFonts w:ascii="Arial" w:cs="Arial" w:eastAsia="Arial" w:hAnsi="Arial"/>
                <w:sz w:val="17"/>
                <w:szCs w:val="17"/>
                <w:color w:val="auto"/>
              </w:rPr>
              <w:t>(N = 23)</w:t>
            </w:r>
          </w:p>
        </w:tc>
        <w:tc>
          <w:tcPr>
            <w:tcW w:w="2820" w:type="dxa"/>
            <w:vAlign w:val="bottom"/>
            <w:tcBorders>
              <w:right w:val="single" w:sz="8" w:color="336699"/>
            </w:tcBorders>
            <w:shd w:val="clear" w:color="auto" w:fill="DFE6EA"/>
          </w:tcPr>
          <w:p>
            <w:pPr>
              <w:jc w:val="center"/>
              <w:spacing w:after="0" w:line="170" w:lineRule="exact"/>
              <w:rPr>
                <w:sz w:val="20"/>
                <w:szCs w:val="20"/>
                <w:color w:val="auto"/>
              </w:rPr>
            </w:pPr>
            <w:r>
              <w:rPr>
                <w:rFonts w:ascii="Arial" w:cs="Arial" w:eastAsia="Arial" w:hAnsi="Arial"/>
                <w:sz w:val="17"/>
                <w:szCs w:val="17"/>
                <w:color w:val="auto"/>
              </w:rPr>
              <w:t>(N = 15)</w:t>
            </w:r>
          </w:p>
        </w:tc>
        <w:tc>
          <w:tcPr>
            <w:tcW w:w="146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4.1 (1.4, 11.7)</w:t>
            </w:r>
          </w:p>
        </w:tc>
        <w:tc>
          <w:tcPr>
            <w:tcW w:w="13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0.005</w:t>
            </w:r>
          </w:p>
        </w:tc>
        <w:tc>
          <w:tcPr>
            <w:tcW w:w="0" w:type="dxa"/>
            <w:vAlign w:val="bottom"/>
          </w:tcPr>
          <w:p>
            <w:pPr>
              <w:spacing w:after="0"/>
              <w:rPr>
                <w:sz w:val="1"/>
                <w:szCs w:val="1"/>
                <w:color w:val="auto"/>
              </w:rPr>
            </w:pPr>
          </w:p>
        </w:tc>
      </w:tr>
      <w:tr>
        <w:trPr>
          <w:trHeight w:val="141"/>
        </w:trPr>
        <w:tc>
          <w:tcPr>
            <w:tcW w:w="2160" w:type="dxa"/>
            <w:vAlign w:val="bottom"/>
            <w:tcBorders>
              <w:left w:val="single" w:sz="8" w:color="336699"/>
              <w:right w:val="single" w:sz="8" w:color="336699"/>
            </w:tcBorders>
            <w:vMerge w:val="continue"/>
            <w:shd w:val="clear" w:color="auto" w:fill="DFE6EA"/>
          </w:tcPr>
          <w:p>
            <w:pPr>
              <w:spacing w:after="0"/>
              <w:rPr>
                <w:sz w:val="12"/>
                <w:szCs w:val="12"/>
                <w:color w:val="auto"/>
              </w:rPr>
            </w:pPr>
          </w:p>
        </w:tc>
        <w:tc>
          <w:tcPr>
            <w:tcW w:w="440" w:type="dxa"/>
            <w:vAlign w:val="bottom"/>
            <w:tcBorders>
              <w:right w:val="single" w:sz="8" w:color="336699"/>
            </w:tcBorders>
            <w:vMerge w:val="continue"/>
            <w:shd w:val="clear" w:color="auto" w:fill="DFE6EA"/>
          </w:tcPr>
          <w:p>
            <w:pPr>
              <w:spacing w:after="0"/>
              <w:rPr>
                <w:sz w:val="12"/>
                <w:szCs w:val="12"/>
                <w:color w:val="auto"/>
              </w:rPr>
            </w:pPr>
          </w:p>
        </w:tc>
        <w:tc>
          <w:tcPr>
            <w:tcW w:w="304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Median = 6.3 months</w:t>
            </w:r>
          </w:p>
        </w:tc>
        <w:tc>
          <w:tcPr>
            <w:tcW w:w="2820" w:type="dxa"/>
            <w:vAlign w:val="bottom"/>
            <w:tcBorders>
              <w:right w:val="single" w:sz="8" w:color="336699"/>
            </w:tcBorders>
            <w:vMerge w:val="restart"/>
            <w:shd w:val="clear" w:color="auto" w:fill="DFE6EA"/>
          </w:tcPr>
          <w:p>
            <w:pPr>
              <w:jc w:val="center"/>
              <w:spacing w:after="0"/>
              <w:rPr>
                <w:sz w:val="20"/>
                <w:szCs w:val="20"/>
                <w:color w:val="auto"/>
              </w:rPr>
            </w:pPr>
            <w:r>
              <w:rPr>
                <w:rFonts w:ascii="Arial" w:cs="Arial" w:eastAsia="Arial" w:hAnsi="Arial"/>
                <w:sz w:val="17"/>
                <w:szCs w:val="17"/>
                <w:color w:val="auto"/>
              </w:rPr>
              <w:t>Median = 16.8 months</w:t>
            </w:r>
          </w:p>
        </w:tc>
        <w:tc>
          <w:tcPr>
            <w:tcW w:w="1460" w:type="dxa"/>
            <w:vAlign w:val="bottom"/>
            <w:tcBorders>
              <w:right w:val="single" w:sz="8" w:color="336699"/>
            </w:tcBorders>
            <w:vMerge w:val="continue"/>
            <w:shd w:val="clear" w:color="auto" w:fill="DFE6EA"/>
          </w:tcPr>
          <w:p>
            <w:pPr>
              <w:spacing w:after="0"/>
              <w:rPr>
                <w:sz w:val="12"/>
                <w:szCs w:val="12"/>
                <w:color w:val="auto"/>
              </w:rPr>
            </w:pPr>
          </w:p>
        </w:tc>
        <w:tc>
          <w:tcPr>
            <w:tcW w:w="1340" w:type="dxa"/>
            <w:vAlign w:val="bottom"/>
            <w:tcBorders>
              <w:right w:val="single" w:sz="8" w:color="336699"/>
            </w:tcBorders>
            <w:vMerge w:val="continue"/>
            <w:shd w:val="clear" w:color="auto" w:fill="DFE6EA"/>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160" w:type="dxa"/>
            <w:vAlign w:val="bottom"/>
            <w:tcBorders>
              <w:left w:val="single" w:sz="8" w:color="336699"/>
              <w:bottom w:val="single" w:sz="8" w:color="336699"/>
              <w:right w:val="single" w:sz="8" w:color="336699"/>
            </w:tcBorders>
            <w:shd w:val="clear" w:color="auto" w:fill="DFE6EA"/>
          </w:tcPr>
          <w:p>
            <w:pPr>
              <w:spacing w:after="0"/>
              <w:rPr>
                <w:sz w:val="7"/>
                <w:szCs w:val="7"/>
                <w:color w:val="auto"/>
              </w:rPr>
            </w:pPr>
          </w:p>
        </w:tc>
        <w:tc>
          <w:tcPr>
            <w:tcW w:w="440" w:type="dxa"/>
            <w:vAlign w:val="bottom"/>
            <w:tcBorders>
              <w:bottom w:val="single" w:sz="8" w:color="336699"/>
              <w:right w:val="single" w:sz="8" w:color="336699"/>
            </w:tcBorders>
            <w:shd w:val="clear" w:color="auto" w:fill="DFE6EA"/>
          </w:tcPr>
          <w:p>
            <w:pPr>
              <w:spacing w:after="0"/>
              <w:rPr>
                <w:sz w:val="7"/>
                <w:szCs w:val="7"/>
                <w:color w:val="auto"/>
              </w:rPr>
            </w:pPr>
          </w:p>
        </w:tc>
        <w:tc>
          <w:tcPr>
            <w:tcW w:w="3040" w:type="dxa"/>
            <w:vAlign w:val="bottom"/>
            <w:tcBorders>
              <w:bottom w:val="single" w:sz="8" w:color="336699"/>
              <w:right w:val="single" w:sz="8" w:color="336699"/>
            </w:tcBorders>
            <w:vMerge w:val="continue"/>
            <w:shd w:val="clear" w:color="auto" w:fill="DFE6EA"/>
          </w:tcPr>
          <w:p>
            <w:pPr>
              <w:spacing w:after="0"/>
              <w:rPr>
                <w:sz w:val="7"/>
                <w:szCs w:val="7"/>
                <w:color w:val="auto"/>
              </w:rPr>
            </w:pPr>
          </w:p>
        </w:tc>
        <w:tc>
          <w:tcPr>
            <w:tcW w:w="2820" w:type="dxa"/>
            <w:vAlign w:val="bottom"/>
            <w:tcBorders>
              <w:bottom w:val="single" w:sz="8" w:color="336699"/>
              <w:right w:val="single" w:sz="8" w:color="336699"/>
            </w:tcBorders>
            <w:vMerge w:val="continue"/>
            <w:shd w:val="clear" w:color="auto" w:fill="DFE6EA"/>
          </w:tcPr>
          <w:p>
            <w:pPr>
              <w:spacing w:after="0"/>
              <w:rPr>
                <w:sz w:val="7"/>
                <w:szCs w:val="7"/>
                <w:color w:val="auto"/>
              </w:rPr>
            </w:pPr>
          </w:p>
        </w:tc>
        <w:tc>
          <w:tcPr>
            <w:tcW w:w="1460" w:type="dxa"/>
            <w:vAlign w:val="bottom"/>
            <w:tcBorders>
              <w:bottom w:val="single" w:sz="8" w:color="336699"/>
              <w:right w:val="single" w:sz="8" w:color="336699"/>
            </w:tcBorders>
            <w:shd w:val="clear" w:color="auto" w:fill="DFE6EA"/>
          </w:tcPr>
          <w:p>
            <w:pPr>
              <w:spacing w:after="0"/>
              <w:rPr>
                <w:sz w:val="7"/>
                <w:szCs w:val="7"/>
                <w:color w:val="auto"/>
              </w:rPr>
            </w:pPr>
          </w:p>
        </w:tc>
        <w:tc>
          <w:tcPr>
            <w:tcW w:w="1340" w:type="dxa"/>
            <w:vAlign w:val="bottom"/>
            <w:tcBorders>
              <w:bottom w:val="single" w:sz="8" w:color="336699"/>
              <w:right w:val="single" w:sz="8" w:color="336699"/>
            </w:tcBorders>
            <w:shd w:val="clear" w:color="auto" w:fill="DFE6EA"/>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160" w:type="dxa"/>
            <w:vAlign w:val="bottom"/>
            <w:tcBorders>
              <w:left w:val="single" w:sz="8" w:color="336699"/>
              <w:right w:val="single" w:sz="8" w:color="336699"/>
            </w:tcBorders>
          </w:tcPr>
          <w:p>
            <w:pPr>
              <w:ind w:left="160"/>
              <w:spacing w:after="0" w:line="163" w:lineRule="exact"/>
              <w:rPr>
                <w:sz w:val="20"/>
                <w:szCs w:val="20"/>
                <w:color w:val="auto"/>
              </w:rPr>
            </w:pPr>
            <w:r>
              <w:rPr>
                <w:rFonts w:ascii="Arial" w:cs="Arial" w:eastAsia="Arial" w:hAnsi="Arial"/>
                <w:sz w:val="17"/>
                <w:szCs w:val="17"/>
                <w:color w:val="auto"/>
              </w:rPr>
              <w:t>VAX</w:t>
            </w:r>
          </w:p>
        </w:tc>
        <w:tc>
          <w:tcPr>
            <w:tcW w:w="4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w w:val="94"/>
              </w:rPr>
              <w:t>21</w:t>
            </w:r>
          </w:p>
        </w:tc>
        <w:tc>
          <w:tcPr>
            <w:tcW w:w="30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(N=9)</w:t>
            </w:r>
          </w:p>
        </w:tc>
        <w:tc>
          <w:tcPr>
            <w:tcW w:w="282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(N = 12)</w:t>
            </w:r>
          </w:p>
        </w:tc>
        <w:tc>
          <w:tcPr>
            <w:tcW w:w="146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4.4 (1.3, 15.0)</w:t>
            </w:r>
          </w:p>
        </w:tc>
        <w:tc>
          <w:tcPr>
            <w:tcW w:w="1340" w:type="dxa"/>
            <w:vAlign w:val="bottom"/>
            <w:tcBorders>
              <w:right w:val="single" w:sz="8" w:color="336699"/>
            </w:tcBorders>
          </w:tcPr>
          <w:p>
            <w:pPr>
              <w:jc w:val="center"/>
              <w:spacing w:after="0" w:line="163" w:lineRule="exact"/>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8"/>
        </w:trPr>
        <w:tc>
          <w:tcPr>
            <w:tcW w:w="2160" w:type="dxa"/>
            <w:vAlign w:val="bottom"/>
            <w:tcBorders>
              <w:left w:val="single" w:sz="8" w:color="336699"/>
              <w:bottom w:val="single" w:sz="8" w:color="336699"/>
              <w:right w:val="single" w:sz="8" w:color="336699"/>
            </w:tcBorders>
          </w:tcPr>
          <w:p>
            <w:pPr>
              <w:spacing w:after="0"/>
              <w:rPr>
                <w:sz w:val="19"/>
                <w:szCs w:val="19"/>
                <w:color w:val="auto"/>
              </w:rPr>
            </w:pPr>
          </w:p>
        </w:tc>
        <w:tc>
          <w:tcPr>
            <w:tcW w:w="440" w:type="dxa"/>
            <w:vAlign w:val="bottom"/>
            <w:tcBorders>
              <w:bottom w:val="single" w:sz="8" w:color="336699"/>
              <w:right w:val="single" w:sz="8" w:color="336699"/>
            </w:tcBorders>
          </w:tcPr>
          <w:p>
            <w:pPr>
              <w:spacing w:after="0"/>
              <w:rPr>
                <w:sz w:val="19"/>
                <w:szCs w:val="19"/>
                <w:color w:val="auto"/>
              </w:rPr>
            </w:pPr>
          </w:p>
        </w:tc>
        <w:tc>
          <w:tcPr>
            <w:tcW w:w="3040" w:type="dxa"/>
            <w:vAlign w:val="bottom"/>
            <w:tcBorders>
              <w:bottom w:val="single" w:sz="8" w:color="336699"/>
              <w:right w:val="single" w:sz="8" w:color="336699"/>
            </w:tcBorders>
          </w:tcPr>
          <w:p>
            <w:pPr>
              <w:jc w:val="center"/>
              <w:spacing w:after="0"/>
              <w:rPr>
                <w:sz w:val="20"/>
                <w:szCs w:val="20"/>
                <w:color w:val="auto"/>
              </w:rPr>
            </w:pPr>
            <w:r>
              <w:rPr>
                <w:rFonts w:ascii="Arial" w:cs="Arial" w:eastAsia="Arial" w:hAnsi="Arial"/>
                <w:sz w:val="17"/>
                <w:szCs w:val="17"/>
                <w:color w:val="auto"/>
              </w:rPr>
              <w:t>Median = 5.7 months</w:t>
            </w:r>
          </w:p>
        </w:tc>
        <w:tc>
          <w:tcPr>
            <w:tcW w:w="2820" w:type="dxa"/>
            <w:vAlign w:val="bottom"/>
            <w:tcBorders>
              <w:bottom w:val="single" w:sz="8" w:color="336699"/>
              <w:right w:val="single" w:sz="8" w:color="336699"/>
            </w:tcBorders>
          </w:tcPr>
          <w:p>
            <w:pPr>
              <w:jc w:val="center"/>
              <w:spacing w:after="0"/>
              <w:rPr>
                <w:sz w:val="20"/>
                <w:szCs w:val="20"/>
                <w:color w:val="auto"/>
              </w:rPr>
            </w:pPr>
            <w:r>
              <w:rPr>
                <w:rFonts w:ascii="Arial" w:cs="Arial" w:eastAsia="Arial" w:hAnsi="Arial"/>
                <w:sz w:val="17"/>
                <w:szCs w:val="17"/>
                <w:color w:val="auto"/>
              </w:rPr>
              <w:t>Median = 16.8 months</w:t>
            </w:r>
          </w:p>
        </w:tc>
        <w:tc>
          <w:tcPr>
            <w:tcW w:w="1460" w:type="dxa"/>
            <w:vAlign w:val="bottom"/>
            <w:tcBorders>
              <w:bottom w:val="single" w:sz="8" w:color="336699"/>
              <w:right w:val="single" w:sz="8" w:color="336699"/>
            </w:tcBorders>
          </w:tcPr>
          <w:p>
            <w:pPr>
              <w:spacing w:after="0"/>
              <w:rPr>
                <w:sz w:val="19"/>
                <w:szCs w:val="19"/>
                <w:color w:val="auto"/>
              </w:rPr>
            </w:pPr>
          </w:p>
        </w:tc>
        <w:tc>
          <w:tcPr>
            <w:tcW w:w="1340" w:type="dxa"/>
            <w:vAlign w:val="bottom"/>
            <w:tcBorders>
              <w:bottom w:val="single" w:sz="8" w:color="336699"/>
              <w:right w:val="single" w:sz="8" w:color="33669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hanging="197"/>
        <w:spacing w:after="0"/>
        <w:tabs>
          <w:tab w:leader="none" w:pos="200" w:val="left"/>
        </w:tabs>
        <w:numPr>
          <w:ilvl w:val="0"/>
          <w:numId w:val="36"/>
        </w:numPr>
        <w:rPr>
          <w:rFonts w:ascii="Arial" w:cs="Arial" w:eastAsia="Arial" w:hAnsi="Arial"/>
          <w:sz w:val="17"/>
          <w:szCs w:val="17"/>
          <w:color w:val="045A63"/>
        </w:rPr>
      </w:pPr>
      <w:r>
        <w:rPr>
          <w:rFonts w:ascii="Arial" w:cs="Arial" w:eastAsia="Arial" w:hAnsi="Arial"/>
          <w:sz w:val="17"/>
          <w:szCs w:val="17"/>
          <w:color w:val="auto"/>
        </w:rPr>
        <w:t>Subgroup analysis of response rate and PFS in the ITT set and VAX group.</w:t>
      </w:r>
    </w:p>
    <w:p>
      <w:pPr>
        <w:spacing w:after="0" w:line="63" w:lineRule="exact"/>
        <w:rPr>
          <w:rFonts w:ascii="Arial" w:cs="Arial" w:eastAsia="Arial" w:hAnsi="Arial"/>
          <w:sz w:val="17"/>
          <w:szCs w:val="17"/>
          <w:color w:val="045A63"/>
        </w:rPr>
      </w:pPr>
    </w:p>
    <w:p>
      <w:pPr>
        <w:ind w:left="440" w:hanging="219"/>
        <w:spacing w:after="0"/>
        <w:tabs>
          <w:tab w:leader="none" w:pos="44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Higher TMB associates with longer PFS (p &lt; 0.05).</w:t>
      </w:r>
    </w:p>
    <w:p>
      <w:pPr>
        <w:spacing w:after="0" w:line="61" w:lineRule="exact"/>
        <w:rPr>
          <w:rFonts w:ascii="Arial" w:cs="Arial" w:eastAsia="Arial" w:hAnsi="Arial"/>
          <w:sz w:val="17"/>
          <w:szCs w:val="17"/>
          <w:color w:val="auto"/>
        </w:rPr>
      </w:pPr>
    </w:p>
    <w:p>
      <w:pPr>
        <w:ind w:left="440" w:hanging="219"/>
        <w:spacing w:after="0"/>
        <w:tabs>
          <w:tab w:leader="none" w:pos="44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Female patients have a trend for shorter PFS, although not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399A7A"/>
        </w:rPr>
        <w:t>NT-002: Immune Analysis Key Questions</w:t>
      </w:r>
    </w:p>
    <w:p>
      <w:pPr>
        <w:spacing w:after="0" w:line="65" w:lineRule="exact"/>
        <w:rPr>
          <w:sz w:val="20"/>
          <w:szCs w:val="20"/>
          <w:color w:val="auto"/>
        </w:rPr>
      </w:pPr>
    </w:p>
    <w:p>
      <w:pPr>
        <w:ind w:left="200" w:hanging="197"/>
        <w:spacing w:after="0"/>
        <w:tabs>
          <w:tab w:leader="none" w:pos="200" w:val="left"/>
        </w:tabs>
        <w:numPr>
          <w:ilvl w:val="0"/>
          <w:numId w:val="37"/>
        </w:numPr>
        <w:rPr>
          <w:rFonts w:ascii="Arial" w:cs="Arial" w:eastAsia="Arial" w:hAnsi="Arial"/>
          <w:sz w:val="17"/>
          <w:szCs w:val="17"/>
          <w:color w:val="045A63"/>
        </w:rPr>
      </w:pPr>
      <w:r>
        <w:rPr>
          <w:rFonts w:ascii="Arial" w:cs="Arial" w:eastAsia="Arial" w:hAnsi="Arial"/>
          <w:sz w:val="17"/>
          <w:szCs w:val="17"/>
          <w:color w:val="auto"/>
        </w:rPr>
        <w:t>Does the combination of NEO-PV-01 and pembrolizumab/chemotherapy induce or expand neoantigen-specific T cells?</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7"/>
        </w:numPr>
        <w:rPr>
          <w:rFonts w:ascii="Arial" w:cs="Arial" w:eastAsia="Arial" w:hAnsi="Arial"/>
          <w:sz w:val="17"/>
          <w:szCs w:val="17"/>
          <w:color w:val="045A63"/>
        </w:rPr>
      </w:pPr>
      <w:r>
        <w:rPr>
          <w:rFonts w:ascii="Arial" w:cs="Arial" w:eastAsia="Arial" w:hAnsi="Arial"/>
          <w:sz w:val="17"/>
          <w:szCs w:val="17"/>
          <w:color w:val="auto"/>
        </w:rPr>
        <w:t>What are the phenotypes of these neoantigen-specific T cells?</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7"/>
        </w:numPr>
        <w:rPr>
          <w:rFonts w:ascii="Arial" w:cs="Arial" w:eastAsia="Arial" w:hAnsi="Arial"/>
          <w:sz w:val="17"/>
          <w:szCs w:val="17"/>
          <w:color w:val="045A63"/>
        </w:rPr>
      </w:pPr>
      <w:r>
        <w:rPr>
          <w:rFonts w:ascii="Arial" w:cs="Arial" w:eastAsia="Arial" w:hAnsi="Arial"/>
          <w:sz w:val="17"/>
          <w:szCs w:val="17"/>
          <w:color w:val="auto"/>
        </w:rPr>
        <w:t>Do neoantigen-specific T cells upregulate CD107a?</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7"/>
        </w:numPr>
        <w:rPr>
          <w:rFonts w:ascii="Arial" w:cs="Arial" w:eastAsia="Arial" w:hAnsi="Arial"/>
          <w:sz w:val="17"/>
          <w:szCs w:val="17"/>
          <w:color w:val="045A63"/>
        </w:rPr>
      </w:pPr>
      <w:r>
        <w:rPr>
          <w:rFonts w:ascii="Arial" w:cs="Arial" w:eastAsia="Arial" w:hAnsi="Arial"/>
          <w:sz w:val="17"/>
          <w:szCs w:val="17"/>
          <w:color w:val="auto"/>
        </w:rPr>
        <w:t>Is there evidence of epitope spread?</w:t>
      </w:r>
    </w:p>
    <w:p>
      <w:pPr>
        <w:spacing w:after="0" w:line="61" w:lineRule="exact"/>
        <w:rPr>
          <w:rFonts w:ascii="Arial" w:cs="Arial" w:eastAsia="Arial" w:hAnsi="Arial"/>
          <w:sz w:val="17"/>
          <w:szCs w:val="17"/>
          <w:color w:val="045A63"/>
        </w:rPr>
      </w:pPr>
    </w:p>
    <w:p>
      <w:pPr>
        <w:ind w:left="200" w:hanging="197"/>
        <w:spacing w:after="0"/>
        <w:tabs>
          <w:tab w:leader="none" w:pos="200" w:val="left"/>
        </w:tabs>
        <w:numPr>
          <w:ilvl w:val="0"/>
          <w:numId w:val="37"/>
        </w:numPr>
        <w:rPr>
          <w:rFonts w:ascii="Arial" w:cs="Arial" w:eastAsia="Arial" w:hAnsi="Arial"/>
          <w:sz w:val="17"/>
          <w:szCs w:val="17"/>
          <w:color w:val="045A63"/>
        </w:rPr>
      </w:pPr>
      <w:r>
        <w:rPr>
          <w:rFonts w:ascii="Arial" w:cs="Arial" w:eastAsia="Arial" w:hAnsi="Arial"/>
          <w:sz w:val="17"/>
          <w:szCs w:val="17"/>
          <w:color w:val="auto"/>
        </w:rPr>
        <w:t>Are there any biomarkers that predict response to treatment?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6: </w:t>
      </w:r>
      <w:r>
        <w:rPr>
          <w:rFonts w:ascii="Arial" w:cs="Arial" w:eastAsia="Arial" w:hAnsi="Arial"/>
          <w:sz w:val="17"/>
          <w:szCs w:val="17"/>
          <w:b w:val="1"/>
          <w:bCs w:val="1"/>
          <w:color w:val="000000"/>
        </w:rPr>
        <w:t>NEO-PV-01 + Pembrolizumab/Chemotherapy Induced Durable Neoantigen-Specific Immune Responses Post-Vaccination</w:t>
      </w:r>
    </w:p>
    <w:p>
      <w:pPr>
        <w:sectPr>
          <w:pgSz w:w="11900" w:h="16838" w:orient="portrait"/>
          <w:cols w:equalWidth="0" w:num="1">
            <w:col w:w="11260"/>
          </w:cols>
          <w:pgMar w:left="320" w:top="256" w:right="3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1004570</wp:posOffset>
            </wp:positionH>
            <wp:positionV relativeFrom="page">
              <wp:posOffset>88900</wp:posOffset>
            </wp:positionV>
            <wp:extent cx="5547995" cy="3932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547995" cy="393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
        <w:spacing w:after="0" w:line="250" w:lineRule="auto"/>
        <w:tabs>
          <w:tab w:leader="none" w:pos="228" w:val="left"/>
        </w:tabs>
        <w:numPr>
          <w:ilvl w:val="0"/>
          <w:numId w:val="38"/>
        </w:numPr>
        <w:rPr>
          <w:rFonts w:ascii="Arial" w:cs="Arial" w:eastAsia="Arial" w:hAnsi="Arial"/>
          <w:sz w:val="17"/>
          <w:szCs w:val="17"/>
          <w:b w:val="1"/>
          <w:bCs w:val="1"/>
          <w:color w:val="045A63"/>
        </w:rPr>
      </w:pPr>
      <w:r>
        <w:rPr>
          <w:rFonts w:ascii="Arial" w:cs="Arial" w:eastAsia="Arial" w:hAnsi="Arial"/>
          <w:sz w:val="17"/>
          <w:szCs w:val="17"/>
          <w:color w:val="045A63"/>
        </w:rPr>
        <w:t>IFN-</w:t>
      </w:r>
      <w:r>
        <w:rPr>
          <w:rFonts w:ascii="Times New Roman" w:cs="Times New Roman" w:eastAsia="Times New Roman" w:hAnsi="Times New Roman"/>
          <w:sz w:val="17"/>
          <w:szCs w:val="17"/>
          <w:color w:val="045A63"/>
        </w:rPr>
        <w:t>g</w:t>
      </w:r>
      <w:r>
        <w:rPr>
          <w:rFonts w:ascii="Arial" w:cs="Arial" w:eastAsia="Arial" w:hAnsi="Arial"/>
          <w:sz w:val="17"/>
          <w:szCs w:val="17"/>
          <w:color w:val="045A63"/>
        </w:rPr>
        <w:t xml:space="preserve"> ELISpot analysis of 12 patients are summarized in terms of the percent of vaccinating peptides that generated an immune response either pre- or post-vaccination as a percentage of total vaccine peptides. Characteristics of immune responses are shown in the table. </w:t>
      </w:r>
      <w:r>
        <w:rPr>
          <w:rFonts w:ascii="Arial" w:cs="Arial" w:eastAsia="Arial" w:hAnsi="Arial"/>
          <w:sz w:val="17"/>
          <w:szCs w:val="17"/>
          <w:b w:val="1"/>
          <w:bCs w:val="1"/>
          <w:color w:val="045A63"/>
        </w:rPr>
        <w:t>B:</w:t>
      </w:r>
      <w:r>
        <w:rPr>
          <w:rFonts w:ascii="Arial" w:cs="Arial" w:eastAsia="Arial" w:hAnsi="Arial"/>
          <w:sz w:val="17"/>
          <w:szCs w:val="17"/>
          <w:color w:val="045A63"/>
        </w:rPr>
        <w:t xml:space="preserve"> A total of 19 wild-type peptides were tested across 4 patients, and 18/19 (95%) of the peptides were mutant-specific. The example shown is from Patient 2L7. </w:t>
      </w:r>
      <w:r>
        <w:rPr>
          <w:rFonts w:ascii="Arial" w:cs="Arial" w:eastAsia="Arial" w:hAnsi="Arial"/>
          <w:sz w:val="17"/>
          <w:szCs w:val="17"/>
          <w:b w:val="1"/>
          <w:bCs w:val="1"/>
          <w:color w:val="045A63"/>
        </w:rPr>
        <w:t>C:</w:t>
      </w:r>
    </w:p>
    <w:p>
      <w:pPr>
        <w:spacing w:after="0" w:line="1" w:lineRule="exact"/>
        <w:rPr>
          <w:rFonts w:ascii="Arial" w:cs="Arial" w:eastAsia="Arial" w:hAnsi="Arial"/>
          <w:sz w:val="17"/>
          <w:szCs w:val="17"/>
          <w:b w:val="1"/>
          <w:bCs w:val="1"/>
          <w:color w:val="045A63"/>
        </w:rPr>
      </w:pPr>
    </w:p>
    <w:p>
      <w:pPr>
        <w:ind w:right="100"/>
        <w:spacing w:after="0" w:line="253" w:lineRule="auto"/>
        <w:rPr>
          <w:rFonts w:ascii="Arial" w:cs="Arial" w:eastAsia="Arial" w:hAnsi="Arial"/>
          <w:sz w:val="17"/>
          <w:szCs w:val="17"/>
          <w:b w:val="1"/>
          <w:bCs w:val="1"/>
          <w:color w:val="045A63"/>
        </w:rPr>
      </w:pPr>
      <w:r>
        <w:rPr>
          <w:rFonts w:ascii="Arial" w:cs="Arial" w:eastAsia="Arial" w:hAnsi="Arial"/>
          <w:sz w:val="17"/>
          <w:szCs w:val="17"/>
          <w:color w:val="045A63"/>
        </w:rPr>
        <w:t>Post-vaccination immune responses are durable (still detected at 52 weeks after start of treatment). The example shown is from patient 2L16, in which all responses seen at week 20 post-vaccination are still present at Week 52, and an additional response (IM23) is observed at Week 52 only.</w:t>
      </w:r>
    </w:p>
    <w:p>
      <w:pPr>
        <w:sectPr>
          <w:pgSz w:w="11900" w:h="16838" w:orient="portrait"/>
          <w:cols w:equalWidth="0" w:num="1">
            <w:col w:w="11220"/>
          </w:cols>
          <w:pgMar w:left="320" w:top="1440"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045A63"/>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Figure 7: </w:t>
      </w:r>
      <w:r>
        <w:rPr>
          <w:rFonts w:ascii="Arial" w:cs="Arial" w:eastAsia="Arial" w:hAnsi="Arial"/>
          <w:sz w:val="17"/>
          <w:szCs w:val="17"/>
          <w:b w:val="1"/>
          <w:bCs w:val="1"/>
          <w:color w:val="000000"/>
        </w:rPr>
        <w:t>Neoantigen-Specific CD4</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cells Are Detected</w:t>
      </w:r>
      <w:r>
        <w:rPr>
          <w:rFonts w:ascii="Arial" w:cs="Arial" w:eastAsia="Arial" w:hAnsi="Arial"/>
          <w:sz w:val="17"/>
          <w:szCs w:val="17"/>
          <w:b w:val="1"/>
          <w:bCs w:val="1"/>
          <w:color w:val="045A63"/>
        </w:rPr>
        <w:t xml:space="preserve"> </w:t>
      </w:r>
      <w:r>
        <w:rPr>
          <w:rFonts w:ascii="Arial" w:cs="Arial" w:eastAsia="Arial" w:hAnsi="Arial"/>
          <w:sz w:val="17"/>
          <w:szCs w:val="17"/>
          <w:b w:val="1"/>
          <w:bCs w:val="1"/>
          <w:i w:val="1"/>
          <w:iCs w:val="1"/>
          <w:color w:val="000000"/>
        </w:rPr>
        <w:t>Ex Vivo</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and Have an Activated Antigen Experienced Phenotype: Patient 2L7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87630</wp:posOffset>
            </wp:positionV>
            <wp:extent cx="5547995" cy="2978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47995" cy="297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firstLine="3"/>
        <w:spacing w:after="0" w:line="245" w:lineRule="auto"/>
        <w:tabs>
          <w:tab w:leader="none" w:pos="228" w:val="left"/>
        </w:tabs>
        <w:numPr>
          <w:ilvl w:val="0"/>
          <w:numId w:val="39"/>
        </w:numPr>
        <w:rPr>
          <w:rFonts w:ascii="Arial" w:cs="Arial" w:eastAsia="Arial" w:hAnsi="Arial"/>
          <w:sz w:val="17"/>
          <w:szCs w:val="17"/>
          <w:b w:val="1"/>
          <w:bCs w:val="1"/>
          <w:color w:val="045A63"/>
        </w:rPr>
      </w:pPr>
      <w:r>
        <w:rPr>
          <w:rFonts w:ascii="Arial" w:cs="Arial" w:eastAsia="Arial" w:hAnsi="Arial"/>
          <w:sz w:val="17"/>
          <w:szCs w:val="17"/>
          <w:color w:val="045A63"/>
        </w:rPr>
        <w:t>MHC class II tetramer analysis for Epitope I and Epitope II from immunizing peptide IM13. Tetramer</w:t>
      </w:r>
      <w:r>
        <w:rPr>
          <w:rFonts w:ascii="Arial" w:cs="Arial" w:eastAsia="Arial" w:hAnsi="Arial"/>
          <w:sz w:val="14"/>
          <w:szCs w:val="14"/>
          <w:color w:val="045A63"/>
        </w:rPr>
        <w:t>+</w:t>
      </w:r>
      <w:r>
        <w:rPr>
          <w:rFonts w:ascii="Arial" w:cs="Arial" w:eastAsia="Arial" w:hAnsi="Arial"/>
          <w:sz w:val="17"/>
          <w:szCs w:val="17"/>
          <w:color w:val="045A63"/>
        </w:rPr>
        <w:t>CD4</w:t>
      </w:r>
      <w:r>
        <w:rPr>
          <w:rFonts w:ascii="Arial" w:cs="Arial" w:eastAsia="Arial" w:hAnsi="Arial"/>
          <w:sz w:val="14"/>
          <w:szCs w:val="14"/>
          <w:color w:val="045A63"/>
        </w:rPr>
        <w:t>+</w:t>
      </w:r>
      <w:r>
        <w:rPr>
          <w:rFonts w:ascii="Arial" w:cs="Arial" w:eastAsia="Arial" w:hAnsi="Arial"/>
          <w:sz w:val="17"/>
          <w:szCs w:val="17"/>
          <w:color w:val="045A63"/>
        </w:rPr>
        <w:t xml:space="preserve"> T cells are circled in green for each sample. Epitope I shows multimer-positive cells at both the pre- and post-vaccine timepoints, while Epitope II shows multimer-positive cells only at the post-vaccine timepoint. </w:t>
      </w:r>
      <w:r>
        <w:rPr>
          <w:rFonts w:ascii="Arial" w:cs="Arial" w:eastAsia="Arial" w:hAnsi="Arial"/>
          <w:sz w:val="17"/>
          <w:szCs w:val="17"/>
          <w:b w:val="1"/>
          <w:bCs w:val="1"/>
          <w:color w:val="045A63"/>
        </w:rPr>
        <w:t>B:</w:t>
      </w:r>
      <w:r>
        <w:rPr>
          <w:rFonts w:ascii="Arial" w:cs="Arial" w:eastAsia="Arial" w:hAnsi="Arial"/>
          <w:sz w:val="17"/>
          <w:szCs w:val="17"/>
          <w:color w:val="045A63"/>
        </w:rPr>
        <w:t xml:space="preserve"> Post-vaccine, multimer-positive CD4</w:t>
      </w:r>
      <w:r>
        <w:rPr>
          <w:rFonts w:ascii="Arial" w:cs="Arial" w:eastAsia="Arial" w:hAnsi="Arial"/>
          <w:sz w:val="14"/>
          <w:szCs w:val="14"/>
          <w:color w:val="045A63"/>
        </w:rPr>
        <w:t>+</w:t>
      </w:r>
      <w:r>
        <w:rPr>
          <w:rFonts w:ascii="Arial" w:cs="Arial" w:eastAsia="Arial" w:hAnsi="Arial"/>
          <w:sz w:val="17"/>
          <w:szCs w:val="17"/>
          <w:color w:val="045A63"/>
        </w:rPr>
        <w:t xml:space="preserve"> T cells specific for Epitope II were further characterized based on CD45RA and CD62L expression into effector (E), naïve (N), central memory (CM) or effector memory (EM) subsets. The majority of the tetramer</w:t>
      </w:r>
      <w:r>
        <w:rPr>
          <w:rFonts w:ascii="Arial" w:cs="Arial" w:eastAsia="Arial" w:hAnsi="Arial"/>
          <w:sz w:val="14"/>
          <w:szCs w:val="14"/>
          <w:color w:val="045A63"/>
        </w:rPr>
        <w:t>+</w:t>
      </w:r>
      <w:r>
        <w:rPr>
          <w:rFonts w:ascii="Arial" w:cs="Arial" w:eastAsia="Arial" w:hAnsi="Arial"/>
          <w:sz w:val="17"/>
          <w:szCs w:val="17"/>
          <w:color w:val="045A63"/>
        </w:rPr>
        <w:t>CD4</w:t>
      </w:r>
      <w:r>
        <w:rPr>
          <w:rFonts w:ascii="Arial" w:cs="Arial" w:eastAsia="Arial" w:hAnsi="Arial"/>
          <w:sz w:val="14"/>
          <w:szCs w:val="14"/>
          <w:color w:val="045A63"/>
        </w:rPr>
        <w:t>+</w:t>
      </w:r>
      <w:r>
        <w:rPr>
          <w:rFonts w:ascii="Arial" w:cs="Arial" w:eastAsia="Arial" w:hAnsi="Arial"/>
          <w:sz w:val="17"/>
          <w:szCs w:val="17"/>
          <w:color w:val="045A63"/>
        </w:rPr>
        <w:t xml:space="preserve"> cells (shown in red) are effector memory cells. </w:t>
      </w:r>
      <w:r>
        <w:rPr>
          <w:rFonts w:ascii="Arial" w:cs="Arial" w:eastAsia="Arial" w:hAnsi="Arial"/>
          <w:sz w:val="17"/>
          <w:szCs w:val="17"/>
          <w:b w:val="1"/>
          <w:bCs w:val="1"/>
          <w:color w:val="045A63"/>
        </w:rPr>
        <w:t>C:</w:t>
      </w:r>
      <w:r>
        <w:rPr>
          <w:rFonts w:ascii="Arial" w:cs="Arial" w:eastAsia="Arial" w:hAnsi="Arial"/>
          <w:sz w:val="17"/>
          <w:szCs w:val="17"/>
          <w:color w:val="045A63"/>
        </w:rPr>
        <w:t xml:space="preserve"> Tetramer</w:t>
      </w:r>
      <w:r>
        <w:rPr>
          <w:rFonts w:ascii="Arial" w:cs="Arial" w:eastAsia="Arial" w:hAnsi="Arial"/>
          <w:sz w:val="14"/>
          <w:szCs w:val="14"/>
          <w:color w:val="045A63"/>
        </w:rPr>
        <w:t>+</w:t>
      </w:r>
      <w:r>
        <w:rPr>
          <w:rFonts w:ascii="Arial" w:cs="Arial" w:eastAsia="Arial" w:hAnsi="Arial"/>
          <w:sz w:val="17"/>
          <w:szCs w:val="17"/>
          <w:color w:val="045A63"/>
        </w:rPr>
        <w:t>CD4</w:t>
      </w:r>
      <w:r>
        <w:rPr>
          <w:rFonts w:ascii="Arial" w:cs="Arial" w:eastAsia="Arial" w:hAnsi="Arial"/>
          <w:sz w:val="14"/>
          <w:szCs w:val="14"/>
          <w:color w:val="045A63"/>
        </w:rPr>
        <w:t>+</w:t>
      </w:r>
      <w:r>
        <w:rPr>
          <w:rFonts w:ascii="Arial" w:cs="Arial" w:eastAsia="Arial" w:hAnsi="Arial"/>
          <w:sz w:val="17"/>
          <w:szCs w:val="17"/>
          <w:color w:val="045A63"/>
        </w:rPr>
        <w:t xml:space="preserve"> T cells specific for Epitope II have an activated phenotype when compared to bulk CD4</w:t>
      </w:r>
      <w:r>
        <w:rPr>
          <w:rFonts w:ascii="Arial" w:cs="Arial" w:eastAsia="Arial" w:hAnsi="Arial"/>
          <w:sz w:val="14"/>
          <w:szCs w:val="14"/>
          <w:color w:val="045A63"/>
        </w:rPr>
        <w:t>+</w:t>
      </w:r>
      <w:r>
        <w:rPr>
          <w:rFonts w:ascii="Arial" w:cs="Arial" w:eastAsia="Arial" w:hAnsi="Arial"/>
          <w:sz w:val="17"/>
          <w:szCs w:val="17"/>
          <w:color w:val="045A63"/>
        </w:rPr>
        <w:t xml:space="preserve"> T cells, with upregulation of markers such as HLA-DR, CTLA-4, PD-1 and CD45RO.</w:t>
      </w:r>
    </w:p>
    <w:p>
      <w:pPr>
        <w:spacing w:after="0" w:line="60"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b w:val="1"/>
          <w:bCs w:val="1"/>
          <w:color w:val="045A63"/>
        </w:rPr>
        <w:t xml:space="preserve">Figure 8: </w:t>
      </w:r>
      <w:r>
        <w:rPr>
          <w:rFonts w:ascii="Arial" w:cs="Arial" w:eastAsia="Arial" w:hAnsi="Arial"/>
          <w:sz w:val="17"/>
          <w:szCs w:val="17"/>
          <w:b w:val="1"/>
          <w:bCs w:val="1"/>
          <w:color w:val="000000"/>
        </w:rPr>
        <w:t>NEO-PV-01 + Pembrolizumab/Chemotherapy Induced a Cytotoxic Phenotype in Both CD4+ and CD8+ Vaccine-Specific T cell</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29845</wp:posOffset>
            </wp:positionV>
            <wp:extent cx="5547995" cy="2406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47995" cy="240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
        <w:spacing w:after="0" w:line="247" w:lineRule="auto"/>
        <w:tabs>
          <w:tab w:leader="none" w:pos="228" w:val="left"/>
        </w:tabs>
        <w:numPr>
          <w:ilvl w:val="0"/>
          <w:numId w:val="40"/>
        </w:numPr>
        <w:rPr>
          <w:rFonts w:ascii="Arial" w:cs="Arial" w:eastAsia="Arial" w:hAnsi="Arial"/>
          <w:sz w:val="17"/>
          <w:szCs w:val="17"/>
          <w:b w:val="1"/>
          <w:bCs w:val="1"/>
          <w:color w:val="045A63"/>
        </w:rPr>
      </w:pPr>
      <w:r>
        <w:rPr>
          <w:rFonts w:ascii="Arial" w:cs="Arial" w:eastAsia="Arial" w:hAnsi="Arial"/>
          <w:sz w:val="17"/>
          <w:szCs w:val="17"/>
          <w:color w:val="045A63"/>
        </w:rPr>
        <w:t>Post-vaccine PBMCs were evaluated for their ability to induce a cytotoxic T cell phenotype as measured by surface expression of the cytolytic marker CD107a. The table summarizes the data for all 9 patients. Majority of cytotoxic responses are CD4</w:t>
      </w:r>
      <w:r>
        <w:rPr>
          <w:rFonts w:ascii="Arial" w:cs="Arial" w:eastAsia="Arial" w:hAnsi="Arial"/>
          <w:sz w:val="14"/>
          <w:szCs w:val="14"/>
          <w:color w:val="045A63"/>
        </w:rPr>
        <w:t>+</w:t>
      </w:r>
      <w:r>
        <w:rPr>
          <w:rFonts w:ascii="Arial" w:cs="Arial" w:eastAsia="Arial" w:hAnsi="Arial"/>
          <w:sz w:val="17"/>
          <w:szCs w:val="17"/>
          <w:color w:val="045A63"/>
        </w:rPr>
        <w:t xml:space="preserve"> T cell responses. </w:t>
      </w:r>
      <w:r>
        <w:rPr>
          <w:rFonts w:ascii="Arial" w:cs="Arial" w:eastAsia="Arial" w:hAnsi="Arial"/>
          <w:sz w:val="17"/>
          <w:szCs w:val="17"/>
          <w:b w:val="1"/>
          <w:bCs w:val="1"/>
          <w:color w:val="045A63"/>
        </w:rPr>
        <w:t>B:</w:t>
      </w:r>
      <w:r>
        <w:rPr>
          <w:rFonts w:ascii="Arial" w:cs="Arial" w:eastAsia="Arial" w:hAnsi="Arial"/>
          <w:sz w:val="17"/>
          <w:szCs w:val="17"/>
          <w:color w:val="045A63"/>
        </w:rPr>
        <w:t xml:space="preserve"> Representative flow cytometry plots for the immunizing peptide IM13 for patient 2L7. The left two panels represent data from an </w:t>
      </w:r>
      <w:r>
        <w:rPr>
          <w:rFonts w:ascii="Arial" w:cs="Arial" w:eastAsia="Arial" w:hAnsi="Arial"/>
          <w:sz w:val="17"/>
          <w:szCs w:val="17"/>
          <w:i w:val="1"/>
          <w:iCs w:val="1"/>
          <w:color w:val="045A63"/>
        </w:rPr>
        <w:t>ex vivo</w:t>
      </w:r>
      <w:r>
        <w:rPr>
          <w:rFonts w:ascii="Arial" w:cs="Arial" w:eastAsia="Arial" w:hAnsi="Arial"/>
          <w:sz w:val="17"/>
          <w:szCs w:val="17"/>
          <w:color w:val="045A63"/>
        </w:rPr>
        <w:t xml:space="preserve"> experiment, in which the patient PBMCs were recalled for 6 hours with peptide (or DMSO control), and the right two panels represent data from a 5-day stimulation. Quadrant 2 (red boxes) represents the double positive population indicative of a cytotoxic phenotype. The plots shown here are pre-gated on CD3</w:t>
      </w:r>
      <w:r>
        <w:rPr>
          <w:rFonts w:ascii="Arial" w:cs="Arial" w:eastAsia="Arial" w:hAnsi="Arial"/>
          <w:sz w:val="14"/>
          <w:szCs w:val="14"/>
          <w:color w:val="045A63"/>
        </w:rPr>
        <w:t>+</w:t>
      </w:r>
      <w:r>
        <w:rPr>
          <w:rFonts w:ascii="Arial" w:cs="Arial" w:eastAsia="Arial" w:hAnsi="Arial"/>
          <w:sz w:val="17"/>
          <w:szCs w:val="17"/>
          <w:color w:val="045A63"/>
        </w:rPr>
        <w:t>CD4</w:t>
      </w:r>
      <w:r>
        <w:rPr>
          <w:rFonts w:ascii="Arial" w:cs="Arial" w:eastAsia="Arial" w:hAnsi="Arial"/>
          <w:sz w:val="14"/>
          <w:szCs w:val="14"/>
          <w:color w:val="045A63"/>
        </w:rPr>
        <w:t>+</w:t>
      </w:r>
      <w:r>
        <w:rPr>
          <w:rFonts w:ascii="Arial" w:cs="Arial" w:eastAsia="Arial" w:hAnsi="Arial"/>
          <w:sz w:val="17"/>
          <w:szCs w:val="17"/>
          <w:color w:val="045A63"/>
        </w:rPr>
        <w:t>PD-1</w:t>
      </w:r>
      <w:r>
        <w:rPr>
          <w:rFonts w:ascii="Arial" w:cs="Arial" w:eastAsia="Arial" w:hAnsi="Arial"/>
          <w:sz w:val="14"/>
          <w:szCs w:val="14"/>
          <w:color w:val="045A63"/>
        </w:rPr>
        <w:t>+</w:t>
      </w:r>
      <w:r>
        <w:rPr>
          <w:rFonts w:ascii="Arial" w:cs="Arial" w:eastAsia="Arial" w:hAnsi="Arial"/>
          <w:sz w:val="17"/>
          <w:szCs w:val="17"/>
          <w:color w:val="045A63"/>
        </w:rPr>
        <w:t xml:space="preserve"> cells.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9: </w:t>
      </w:r>
      <w:r>
        <w:rPr>
          <w:rFonts w:ascii="Arial" w:cs="Arial" w:eastAsia="Arial" w:hAnsi="Arial"/>
          <w:sz w:val="17"/>
          <w:szCs w:val="17"/>
          <w:b w:val="1"/>
          <w:bCs w:val="1"/>
          <w:color w:val="000000"/>
        </w:rPr>
        <w:t>NEO-PV-01 + Pembrolizumab/Chemotherapy Induced Epitope Spread Responses That Are Cytotoxic and Durable</w:t>
      </w:r>
    </w:p>
    <w:p>
      <w:pPr>
        <w:sectPr>
          <w:pgSz w:w="11900" w:h="16838" w:orient="portrait"/>
          <w:cols w:equalWidth="0" w:num="1">
            <w:col w:w="11240"/>
          </w:cols>
          <w:pgMar w:left="320" w:top="256"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1004570</wp:posOffset>
            </wp:positionH>
            <wp:positionV relativeFrom="page">
              <wp:posOffset>88900</wp:posOffset>
            </wp:positionV>
            <wp:extent cx="5547995" cy="3794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547995" cy="379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 w:firstLine="3"/>
        <w:spacing w:after="0" w:line="244" w:lineRule="auto"/>
        <w:tabs>
          <w:tab w:leader="none" w:pos="225" w:val="left"/>
        </w:tabs>
        <w:numPr>
          <w:ilvl w:val="0"/>
          <w:numId w:val="41"/>
        </w:numPr>
        <w:rPr>
          <w:rFonts w:ascii="Arial" w:cs="Arial" w:eastAsia="Arial" w:hAnsi="Arial"/>
          <w:sz w:val="17"/>
          <w:szCs w:val="17"/>
          <w:b w:val="1"/>
          <w:bCs w:val="1"/>
          <w:color w:val="045A63"/>
        </w:rPr>
      </w:pPr>
      <w:r>
        <w:rPr>
          <w:rFonts w:ascii="Arial" w:cs="Arial" w:eastAsia="Arial" w:hAnsi="Arial"/>
          <w:sz w:val="17"/>
          <w:szCs w:val="17"/>
          <w:color w:val="045A63"/>
        </w:rPr>
        <w:t xml:space="preserve">Epitope spread, as defined in the schematic, was evaluated by measuring immune responses to RECON-predicted high quality neoantigens that were not incorporated into the NEO-PV-01 vaccine. </w:t>
      </w:r>
      <w:r>
        <w:rPr>
          <w:rFonts w:ascii="Arial" w:cs="Arial" w:eastAsia="Arial" w:hAnsi="Arial"/>
          <w:sz w:val="17"/>
          <w:szCs w:val="17"/>
          <w:b w:val="1"/>
          <w:bCs w:val="1"/>
          <w:color w:val="045A63"/>
        </w:rPr>
        <w:t>B:</w:t>
      </w:r>
      <w:r>
        <w:rPr>
          <w:rFonts w:ascii="Arial" w:cs="Arial" w:eastAsia="Arial" w:hAnsi="Arial"/>
          <w:sz w:val="17"/>
          <w:szCs w:val="17"/>
          <w:color w:val="045A63"/>
        </w:rPr>
        <w:t xml:space="preserve"> Summary of epitope spread responses analyzed across 9 patients by IFN-</w:t>
      </w:r>
      <w:r>
        <w:rPr>
          <w:rFonts w:ascii="Times New Roman" w:cs="Times New Roman" w:eastAsia="Times New Roman" w:hAnsi="Times New Roman"/>
          <w:sz w:val="17"/>
          <w:szCs w:val="17"/>
          <w:color w:val="045A63"/>
        </w:rPr>
        <w:t>g</w:t>
      </w:r>
      <w:r>
        <w:rPr>
          <w:rFonts w:ascii="Arial" w:cs="Arial" w:eastAsia="Arial" w:hAnsi="Arial"/>
          <w:sz w:val="17"/>
          <w:szCs w:val="17"/>
          <w:color w:val="045A63"/>
        </w:rPr>
        <w:t xml:space="preserve"> ELISpot. In total, epitope spread was observed in 7 out of 11 patients. </w:t>
      </w:r>
      <w:r>
        <w:rPr>
          <w:rFonts w:ascii="Arial" w:cs="Arial" w:eastAsia="Arial" w:hAnsi="Arial"/>
          <w:sz w:val="17"/>
          <w:szCs w:val="17"/>
          <w:b w:val="1"/>
          <w:bCs w:val="1"/>
          <w:color w:val="045A63"/>
        </w:rPr>
        <w:t>C:</w:t>
      </w:r>
      <w:r>
        <w:rPr>
          <w:rFonts w:ascii="Arial" w:cs="Arial" w:eastAsia="Arial" w:hAnsi="Arial"/>
          <w:sz w:val="17"/>
          <w:szCs w:val="17"/>
          <w:color w:val="045A63"/>
        </w:rPr>
        <w:t xml:space="preserve"> Cytotoxic activity of epitope spread peptides was assessed by CD107a surface expression. PFS status at 9 months (PFS-9) was assessed for each of the 4 patients tested. Interestingly, the 2 patients in which no cytotoxic activity was observed for epitope spread peptides did not meet the PFS-9 cutoff, whereas the 2 patients who did reach PFS-9 showed cytotoxic activity from at least 1 epitope spread peptide tested. </w:t>
      </w:r>
      <w:r>
        <w:rPr>
          <w:rFonts w:ascii="Arial" w:cs="Arial" w:eastAsia="Arial" w:hAnsi="Arial"/>
          <w:sz w:val="17"/>
          <w:szCs w:val="17"/>
          <w:b w:val="1"/>
          <w:bCs w:val="1"/>
          <w:color w:val="045A63"/>
        </w:rPr>
        <w:t>D:</w:t>
      </w:r>
      <w:r>
        <w:rPr>
          <w:rFonts w:ascii="Arial" w:cs="Arial" w:eastAsia="Arial" w:hAnsi="Arial"/>
          <w:sz w:val="17"/>
          <w:szCs w:val="17"/>
          <w:color w:val="045A63"/>
        </w:rPr>
        <w:t xml:space="preserve"> Epitope spread responses are durable (still detected at 52 weeks). The example shown is from patient 2L16, in which all epitope spread responses seen post-vaccination at Week 20 are still present at Week 52, and an additional response (Epitope 12) is observed at Week 52 only.</w:t>
      </w:r>
    </w:p>
    <w:p>
      <w:pPr>
        <w:sectPr>
          <w:pgSz w:w="11900" w:h="16838" w:orient="portrait"/>
          <w:cols w:equalWidth="0" w:num="1">
            <w:col w:w="11197"/>
          </w:cols>
          <w:pgMar w:left="323" w:top="1440" w:right="379" w:bottom="1440" w:gutter="0" w:footer="0" w:header="0"/>
        </w:sectPr>
      </w:pPr>
    </w:p>
    <w:bookmarkStart w:id="33" w:name="page34"/>
    <w:bookmarkEnd w:id="33"/>
    <w:p>
      <w:pPr>
        <w:spacing w:after="0" w:line="294" w:lineRule="auto"/>
        <w:rPr>
          <w:sz w:val="20"/>
          <w:szCs w:val="20"/>
          <w:color w:val="auto"/>
        </w:rPr>
      </w:pPr>
      <w:r>
        <w:rPr>
          <w:rFonts w:ascii="Arial" w:cs="Arial" w:eastAsia="Arial" w:hAnsi="Arial"/>
          <w:sz w:val="17"/>
          <w:szCs w:val="17"/>
          <w:b w:val="1"/>
          <w:bCs w:val="1"/>
          <w:color w:val="045A63"/>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Figure 10: </w:t>
      </w:r>
      <w:r>
        <w:rPr>
          <w:rFonts w:ascii="Arial" w:cs="Arial" w:eastAsia="Arial" w:hAnsi="Arial"/>
          <w:sz w:val="17"/>
          <w:szCs w:val="17"/>
          <w:b w:val="1"/>
          <w:bCs w:val="1"/>
          <w:color w:val="000000"/>
        </w:rPr>
        <w:t>Increased Levels of Circulating CD8</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cells and CD4</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and CD8</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 Infiltration in the Tumor Positively Correlate with PFS at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Pre-Treatment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29845</wp:posOffset>
            </wp:positionV>
            <wp:extent cx="5547995" cy="5205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47995" cy="520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100" w:firstLine="3"/>
        <w:spacing w:after="0" w:line="251" w:lineRule="auto"/>
        <w:tabs>
          <w:tab w:leader="none" w:pos="228" w:val="left"/>
        </w:tabs>
        <w:numPr>
          <w:ilvl w:val="0"/>
          <w:numId w:val="42"/>
        </w:numPr>
        <w:rPr>
          <w:rFonts w:ascii="Arial" w:cs="Arial" w:eastAsia="Arial" w:hAnsi="Arial"/>
          <w:sz w:val="17"/>
          <w:szCs w:val="17"/>
          <w:b w:val="1"/>
          <w:bCs w:val="1"/>
          <w:color w:val="045A63"/>
        </w:rPr>
      </w:pPr>
      <w:r>
        <w:rPr>
          <w:rFonts w:ascii="Arial" w:cs="Arial" w:eastAsia="Arial" w:hAnsi="Arial"/>
          <w:sz w:val="17"/>
          <w:szCs w:val="17"/>
          <w:color w:val="045A63"/>
        </w:rPr>
        <w:t>Patient PBMCs from the pre-treatment timepoint were analyzed using flow cytometry to quantify CD4</w:t>
      </w:r>
      <w:r>
        <w:rPr>
          <w:rFonts w:ascii="Arial" w:cs="Arial" w:eastAsia="Arial" w:hAnsi="Arial"/>
          <w:sz w:val="14"/>
          <w:szCs w:val="14"/>
          <w:color w:val="045A63"/>
        </w:rPr>
        <w:t>+</w:t>
      </w:r>
      <w:r>
        <w:rPr>
          <w:rFonts w:ascii="Arial" w:cs="Arial" w:eastAsia="Arial" w:hAnsi="Arial"/>
          <w:sz w:val="17"/>
          <w:szCs w:val="17"/>
          <w:color w:val="045A63"/>
        </w:rPr>
        <w:t xml:space="preserve"> and CD8</w:t>
      </w:r>
      <w:r>
        <w:rPr>
          <w:rFonts w:ascii="Arial" w:cs="Arial" w:eastAsia="Arial" w:hAnsi="Arial"/>
          <w:sz w:val="14"/>
          <w:szCs w:val="14"/>
          <w:color w:val="045A63"/>
        </w:rPr>
        <w:t>+</w:t>
      </w:r>
      <w:r>
        <w:rPr>
          <w:rFonts w:ascii="Arial" w:cs="Arial" w:eastAsia="Arial" w:hAnsi="Arial"/>
          <w:sz w:val="17"/>
          <w:szCs w:val="17"/>
          <w:color w:val="045A63"/>
        </w:rPr>
        <w:t xml:space="preserve"> T cell subsets. The percent of CD4</w:t>
      </w:r>
      <w:r>
        <w:rPr>
          <w:rFonts w:ascii="Arial" w:cs="Arial" w:eastAsia="Arial" w:hAnsi="Arial"/>
          <w:sz w:val="14"/>
          <w:szCs w:val="14"/>
          <w:color w:val="045A63"/>
        </w:rPr>
        <w:t>+</w:t>
      </w:r>
      <w:r>
        <w:rPr>
          <w:rFonts w:ascii="Arial" w:cs="Arial" w:eastAsia="Arial" w:hAnsi="Arial"/>
          <w:sz w:val="17"/>
          <w:szCs w:val="17"/>
          <w:color w:val="045A63"/>
        </w:rPr>
        <w:t xml:space="preserve"> and CD8</w:t>
      </w:r>
      <w:r>
        <w:rPr>
          <w:rFonts w:ascii="Arial" w:cs="Arial" w:eastAsia="Arial" w:hAnsi="Arial"/>
          <w:sz w:val="14"/>
          <w:szCs w:val="14"/>
          <w:color w:val="045A63"/>
        </w:rPr>
        <w:t>+</w:t>
      </w:r>
      <w:r>
        <w:rPr>
          <w:rFonts w:ascii="Arial" w:cs="Arial" w:eastAsia="Arial" w:hAnsi="Arial"/>
          <w:sz w:val="17"/>
          <w:szCs w:val="17"/>
          <w:color w:val="045A63"/>
        </w:rPr>
        <w:t xml:space="preserve"> T cells were correlated to each patient’s PFS. </w:t>
      </w:r>
      <w:r>
        <w:rPr>
          <w:rFonts w:ascii="Arial" w:cs="Arial" w:eastAsia="Arial" w:hAnsi="Arial"/>
          <w:sz w:val="17"/>
          <w:szCs w:val="17"/>
          <w:b w:val="1"/>
          <w:bCs w:val="1"/>
          <w:color w:val="045A63"/>
        </w:rPr>
        <w:t>B:</w:t>
      </w:r>
      <w:r>
        <w:rPr>
          <w:rFonts w:ascii="Arial" w:cs="Arial" w:eastAsia="Arial" w:hAnsi="Arial"/>
          <w:sz w:val="17"/>
          <w:szCs w:val="17"/>
          <w:color w:val="045A63"/>
        </w:rPr>
        <w:t xml:space="preserve"> Multiplex IHC analysis was performed on pre-treatment FFPE tumor biopsies to examine T cell infiltration. The levels of CD4</w:t>
      </w:r>
      <w:r>
        <w:rPr>
          <w:rFonts w:ascii="Arial" w:cs="Arial" w:eastAsia="Arial" w:hAnsi="Arial"/>
          <w:sz w:val="14"/>
          <w:szCs w:val="14"/>
          <w:color w:val="045A63"/>
        </w:rPr>
        <w:t>+</w:t>
      </w:r>
      <w:r>
        <w:rPr>
          <w:rFonts w:ascii="Arial" w:cs="Arial" w:eastAsia="Arial" w:hAnsi="Arial"/>
          <w:sz w:val="17"/>
          <w:szCs w:val="17"/>
          <w:color w:val="045A63"/>
        </w:rPr>
        <w:t xml:space="preserve"> and CD8</w:t>
      </w:r>
      <w:r>
        <w:rPr>
          <w:rFonts w:ascii="Arial" w:cs="Arial" w:eastAsia="Arial" w:hAnsi="Arial"/>
          <w:sz w:val="14"/>
          <w:szCs w:val="14"/>
          <w:color w:val="045A63"/>
        </w:rPr>
        <w:t>+</w:t>
      </w:r>
      <w:r>
        <w:rPr>
          <w:rFonts w:ascii="Arial" w:cs="Arial" w:eastAsia="Arial" w:hAnsi="Arial"/>
          <w:sz w:val="17"/>
          <w:szCs w:val="17"/>
          <w:color w:val="045A63"/>
        </w:rPr>
        <w:t xml:space="preserve"> T cells (cells per mm</w:t>
      </w:r>
      <w:r>
        <w:rPr>
          <w:rFonts w:ascii="Arial" w:cs="Arial" w:eastAsia="Arial" w:hAnsi="Arial"/>
          <w:sz w:val="14"/>
          <w:szCs w:val="14"/>
          <w:color w:val="045A63"/>
        </w:rPr>
        <w:t>2</w:t>
      </w:r>
      <w:r>
        <w:rPr>
          <w:rFonts w:ascii="Arial" w:cs="Arial" w:eastAsia="Arial" w:hAnsi="Arial"/>
          <w:sz w:val="17"/>
          <w:szCs w:val="17"/>
          <w:color w:val="045A63"/>
        </w:rPr>
        <w:t xml:space="preserve">) were correlated to each patient’s PFS. </w:t>
      </w:r>
      <w:r>
        <w:rPr>
          <w:rFonts w:ascii="Arial" w:cs="Arial" w:eastAsia="Arial" w:hAnsi="Arial"/>
          <w:sz w:val="17"/>
          <w:szCs w:val="17"/>
          <w:b w:val="1"/>
          <w:bCs w:val="1"/>
          <w:color w:val="045A63"/>
        </w:rPr>
        <w:t>C:</w:t>
      </w:r>
      <w:r>
        <w:rPr>
          <w:rFonts w:ascii="Arial" w:cs="Arial" w:eastAsia="Arial" w:hAnsi="Arial"/>
          <w:sz w:val="17"/>
          <w:szCs w:val="17"/>
          <w:color w:val="045A63"/>
        </w:rPr>
        <w:t xml:space="preserve"> Representative images show multiplex IHC of pre-treatment FFPE tumor biopsies from two patients, one with no PFS-9 (2L3) and the other with PFS-9 (2L5).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11: </w:t>
      </w:r>
      <w:r>
        <w:rPr>
          <w:rFonts w:ascii="Arial" w:cs="Arial" w:eastAsia="Arial" w:hAnsi="Arial"/>
          <w:sz w:val="17"/>
          <w:szCs w:val="17"/>
          <w:b w:val="1"/>
          <w:bCs w:val="1"/>
          <w:color w:val="000000"/>
        </w:rPr>
        <w:t>Baseline Expression of PD-L1 in the Tumor Is Associated with Increased PFS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87630</wp:posOffset>
            </wp:positionV>
            <wp:extent cx="5547995" cy="3777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47995" cy="3777615"/>
                    </a:xfrm>
                    <a:prstGeom prst="rect">
                      <a:avLst/>
                    </a:prstGeom>
                    <a:noFill/>
                  </pic:spPr>
                </pic:pic>
              </a:graphicData>
            </a:graphic>
          </wp:anchor>
        </w:drawing>
      </w:r>
    </w:p>
    <w:p>
      <w:pPr>
        <w:sectPr>
          <w:pgSz w:w="11900" w:h="16838" w:orient="portrait"/>
          <w:cols w:equalWidth="0" w:num="1">
            <w:col w:w="11160"/>
          </w:cols>
          <w:pgMar w:left="320" w:top="256" w:right="419" w:bottom="1440" w:gutter="0" w:footer="0" w:header="0"/>
        </w:sectPr>
      </w:pPr>
    </w:p>
    <w:bookmarkStart w:id="34" w:name="page35"/>
    <w:bookmarkEnd w:id="34"/>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203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03835"/>
                    </a:xfrm>
                    <a:prstGeom prst="rect">
                      <a:avLst/>
                    </a:prstGeom>
                    <a:noFill/>
                  </pic:spPr>
                </pic:pic>
              </a:graphicData>
            </a:graphic>
          </wp:anchor>
        </w:drawing>
        <w:drawing>
          <wp:inline distT="0" distB="0" distL="0" distR="0">
            <wp:extent cx="86995" cy="20383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995" cy="203835"/>
                    </a:xfrm>
                    <a:prstGeom prst="rect">
                      <a:avLst/>
                    </a:prstGeom>
                    <a:noFill/>
                    <a:ln>
                      <a:noFill/>
                    </a:ln>
                  </pic:spPr>
                </pic:pic>
              </a:graphicData>
            </a:graphic>
          </wp:inline>
        </w:drawing>
      </w:r>
      <w:r>
        <w:rPr>
          <w:rFonts w:ascii="Arial" w:cs="Arial" w:eastAsia="Arial" w:hAnsi="Arial"/>
          <w:sz w:val="21"/>
          <w:szCs w:val="21"/>
          <w:b w:val="1"/>
          <w:bCs w:val="1"/>
          <w:color w:val="FFFFFF"/>
        </w:rPr>
        <w:t>Key Takeaways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1166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166495"/>
                    </a:xfrm>
                    <a:prstGeom prst="rect">
                      <a:avLst/>
                    </a:prstGeom>
                    <a:noFill/>
                  </pic:spPr>
                </pic:pic>
              </a:graphicData>
            </a:graphic>
          </wp:anchor>
        </w:drawing>
      </w:r>
    </w:p>
    <w:p>
      <w:pPr>
        <w:spacing w:after="0" w:line="73" w:lineRule="exact"/>
        <w:rPr>
          <w:sz w:val="20"/>
          <w:szCs w:val="20"/>
          <w:color w:val="auto"/>
        </w:rPr>
      </w:pPr>
    </w:p>
    <w:p>
      <w:pPr>
        <w:ind w:left="260" w:right="80" w:hanging="171"/>
        <w:spacing w:after="0" w:line="276" w:lineRule="auto"/>
        <w:tabs>
          <w:tab w:leader="none" w:pos="245"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NT-002, a Phase 1B clinical trial in first-line non-squamous NSCLC, met its primary safety endpoint, with RECIST ORR and PFS data consistent with prior first-line CPI+chemotherapy regimens.</w:t>
      </w:r>
    </w:p>
    <w:p>
      <w:pPr>
        <w:ind w:left="240" w:hanging="151"/>
        <w:spacing w:after="0"/>
        <w:tabs>
          <w:tab w:leader="none" w:pos="240"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In the NT-002 trial, NEO-PV-01 combined with chemotherapy/pembrolizumab enhanced the immune response to neoantigens.</w:t>
      </w:r>
    </w:p>
    <w:p>
      <w:pPr>
        <w:spacing w:after="0" w:line="61" w:lineRule="exact"/>
        <w:rPr>
          <w:rFonts w:ascii="Arial" w:cs="Arial" w:eastAsia="Arial" w:hAnsi="Arial"/>
          <w:sz w:val="17"/>
          <w:szCs w:val="17"/>
          <w:color w:val="045A63"/>
        </w:rPr>
      </w:pPr>
    </w:p>
    <w:p>
      <w:pPr>
        <w:ind w:left="240" w:hanging="151"/>
        <w:spacing w:after="0"/>
        <w:tabs>
          <w:tab w:leader="none" w:pos="240"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Neoantigen-specific CD4 and CD8 T cell responses detected in all patients tested.</w:t>
      </w:r>
    </w:p>
    <w:p>
      <w:pPr>
        <w:spacing w:after="0" w:line="61" w:lineRule="exact"/>
        <w:rPr>
          <w:rFonts w:ascii="Arial" w:cs="Arial" w:eastAsia="Arial" w:hAnsi="Arial"/>
          <w:sz w:val="17"/>
          <w:szCs w:val="17"/>
          <w:color w:val="045A63"/>
        </w:rPr>
      </w:pPr>
    </w:p>
    <w:p>
      <w:pPr>
        <w:ind w:left="240" w:hanging="151"/>
        <w:spacing w:after="0"/>
        <w:tabs>
          <w:tab w:leader="none" w:pos="240"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Neoantigen-specific T cells are activated memory cells with a cytotoxic phenotype.</w:t>
      </w:r>
    </w:p>
    <w:p>
      <w:pPr>
        <w:spacing w:after="0" w:line="61" w:lineRule="exact"/>
        <w:rPr>
          <w:rFonts w:ascii="Arial" w:cs="Arial" w:eastAsia="Arial" w:hAnsi="Arial"/>
          <w:sz w:val="17"/>
          <w:szCs w:val="17"/>
          <w:color w:val="045A63"/>
        </w:rPr>
      </w:pPr>
    </w:p>
    <w:p>
      <w:pPr>
        <w:ind w:left="240" w:hanging="151"/>
        <w:spacing w:after="0"/>
        <w:tabs>
          <w:tab w:leader="none" w:pos="240"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Epitope spread is observed in 7 out of 11 patients who were tested.</w:t>
      </w:r>
    </w:p>
    <w:p>
      <w:pPr>
        <w:spacing w:after="0" w:line="61" w:lineRule="exact"/>
        <w:rPr>
          <w:rFonts w:ascii="Arial" w:cs="Arial" w:eastAsia="Arial" w:hAnsi="Arial"/>
          <w:sz w:val="17"/>
          <w:szCs w:val="17"/>
          <w:color w:val="045A63"/>
        </w:rPr>
      </w:pPr>
    </w:p>
    <w:p>
      <w:pPr>
        <w:ind w:left="240" w:hanging="151"/>
        <w:spacing w:after="0"/>
        <w:tabs>
          <w:tab w:leader="none" w:pos="240" w:val="left"/>
        </w:tabs>
        <w:numPr>
          <w:ilvl w:val="0"/>
          <w:numId w:val="43"/>
        </w:numPr>
        <w:rPr>
          <w:rFonts w:ascii="Arial" w:cs="Arial" w:eastAsia="Arial" w:hAnsi="Arial"/>
          <w:sz w:val="17"/>
          <w:szCs w:val="17"/>
          <w:color w:val="045A63"/>
        </w:rPr>
      </w:pPr>
      <w:r>
        <w:rPr>
          <w:rFonts w:ascii="Arial" w:cs="Arial" w:eastAsia="Arial" w:hAnsi="Arial"/>
          <w:sz w:val="17"/>
          <w:szCs w:val="17"/>
          <w:color w:val="auto"/>
        </w:rPr>
        <w:t>Multiple biomarkers correlating to PFS have been identified in periphery and tumor.</w:t>
      </w:r>
    </w:p>
    <w:p>
      <w:pPr>
        <w:spacing w:after="0" w:line="14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color w:val="045A63"/>
        </w:rPr>
        <w:t xml:space="preserve">References: 1) </w:t>
      </w:r>
      <w:r>
        <w:rPr>
          <w:rFonts w:ascii="Arial" w:cs="Arial" w:eastAsia="Arial" w:hAnsi="Arial"/>
          <w:sz w:val="17"/>
          <w:szCs w:val="17"/>
          <w:color w:val="000000"/>
        </w:rPr>
        <w:t>Gandhi, et al. (2018). Pembrolizumab plus Chemotherapy in Metastatic Non-Small -Cell Lung Cancer.</w:t>
      </w:r>
      <w:r>
        <w:rPr>
          <w:rFonts w:ascii="Arial" w:cs="Arial" w:eastAsia="Arial" w:hAnsi="Arial"/>
          <w:sz w:val="17"/>
          <w:szCs w:val="17"/>
          <w:b w:val="1"/>
          <w:bCs w:val="1"/>
          <w:color w:val="045A63"/>
        </w:rPr>
        <w:t xml:space="preserve"> </w:t>
      </w:r>
      <w:r>
        <w:rPr>
          <w:rFonts w:ascii="Arial" w:cs="Arial" w:eastAsia="Arial" w:hAnsi="Arial"/>
          <w:sz w:val="17"/>
          <w:szCs w:val="17"/>
          <w:i w:val="1"/>
          <w:iCs w:val="1"/>
          <w:color w:val="000000"/>
        </w:rPr>
        <w:t>N Engl J Med</w:t>
      </w:r>
      <w:r>
        <w:rPr>
          <w:rFonts w:ascii="Arial" w:cs="Arial" w:eastAsia="Arial" w:hAnsi="Arial"/>
          <w:sz w:val="17"/>
          <w:szCs w:val="17"/>
          <w:b w:val="1"/>
          <w:bCs w:val="1"/>
          <w:color w:val="045A63"/>
        </w:rPr>
        <w:t xml:space="preserve"> </w:t>
      </w:r>
      <w:r>
        <w:rPr>
          <w:rFonts w:ascii="Arial" w:cs="Arial" w:eastAsia="Arial" w:hAnsi="Arial"/>
          <w:sz w:val="17"/>
          <w:szCs w:val="17"/>
          <w:color w:val="000000"/>
        </w:rPr>
        <w:t xml:space="preserve">378, 2078-2092. </w:t>
      </w:r>
      <w:r>
        <w:rPr>
          <w:rFonts w:ascii="Arial" w:cs="Arial" w:eastAsia="Arial" w:hAnsi="Arial"/>
          <w:sz w:val="17"/>
          <w:szCs w:val="17"/>
          <w:b w:val="1"/>
          <w:bCs w:val="1"/>
          <w:color w:val="045A63"/>
        </w:rPr>
        <w:t>2)</w:t>
      </w:r>
      <w:r>
        <w:rPr>
          <w:rFonts w:ascii="Arial" w:cs="Arial" w:eastAsia="Arial" w:hAnsi="Arial"/>
          <w:sz w:val="17"/>
          <w:szCs w:val="17"/>
          <w:color w:val="000000"/>
        </w:rPr>
        <w:t xml:space="preserve"> Luksza, et al. (2017). A neoantigen fitness model predicts tumour response to checkpoint blockade immunotherapy. </w:t>
      </w:r>
      <w:r>
        <w:rPr>
          <w:rFonts w:ascii="Arial" w:cs="Arial" w:eastAsia="Arial" w:hAnsi="Arial"/>
          <w:sz w:val="17"/>
          <w:szCs w:val="17"/>
          <w:i w:val="1"/>
          <w:iCs w:val="1"/>
          <w:color w:val="000000"/>
        </w:rPr>
        <w:t>Nature</w:t>
      </w:r>
      <w:r>
        <w:rPr>
          <w:rFonts w:ascii="Arial" w:cs="Arial" w:eastAsia="Arial" w:hAnsi="Arial"/>
          <w:sz w:val="17"/>
          <w:szCs w:val="17"/>
          <w:color w:val="000000"/>
        </w:rPr>
        <w:t xml:space="preserve"> 551, 517-520.</w:t>
      </w:r>
    </w:p>
    <w:p>
      <w:pPr>
        <w:spacing w:after="0" w:line="1" w:lineRule="exact"/>
        <w:rPr>
          <w:sz w:val="20"/>
          <w:szCs w:val="20"/>
          <w:color w:val="auto"/>
        </w:rPr>
      </w:pPr>
    </w:p>
    <w:p>
      <w:pPr>
        <w:jc w:val="both"/>
        <w:ind w:firstLine="3"/>
        <w:spacing w:after="0" w:line="242" w:lineRule="auto"/>
        <w:tabs>
          <w:tab w:leader="none" w:pos="200" w:val="left"/>
        </w:tabs>
        <w:numPr>
          <w:ilvl w:val="0"/>
          <w:numId w:val="44"/>
        </w:numPr>
        <w:rPr>
          <w:rFonts w:ascii="Arial" w:cs="Arial" w:eastAsia="Arial" w:hAnsi="Arial"/>
          <w:sz w:val="17"/>
          <w:szCs w:val="17"/>
          <w:b w:val="1"/>
          <w:bCs w:val="1"/>
          <w:color w:val="045A63"/>
        </w:rPr>
      </w:pPr>
      <w:r>
        <w:rPr>
          <w:rFonts w:ascii="Arial" w:cs="Arial" w:eastAsia="Arial" w:hAnsi="Arial"/>
          <w:sz w:val="17"/>
          <w:szCs w:val="17"/>
          <w:color w:val="auto"/>
        </w:rPr>
        <w:t xml:space="preserve">McGranahan, et al. (2016). Clonal neoantigens elicit T cell immunoreactivity and sensitivity to immune checkpoint blockade. </w:t>
      </w:r>
      <w:r>
        <w:rPr>
          <w:rFonts w:ascii="Arial" w:cs="Arial" w:eastAsia="Arial" w:hAnsi="Arial"/>
          <w:sz w:val="17"/>
          <w:szCs w:val="17"/>
          <w:i w:val="1"/>
          <w:iCs w:val="1"/>
          <w:color w:val="auto"/>
        </w:rPr>
        <w:t>Science</w:t>
      </w:r>
      <w:r>
        <w:rPr>
          <w:rFonts w:ascii="Arial" w:cs="Arial" w:eastAsia="Arial" w:hAnsi="Arial"/>
          <w:sz w:val="17"/>
          <w:szCs w:val="17"/>
          <w:color w:val="auto"/>
        </w:rPr>
        <w:t xml:space="preserve"> 351, 1463-1469. </w:t>
      </w:r>
      <w:r>
        <w:rPr>
          <w:rFonts w:ascii="Arial" w:cs="Arial" w:eastAsia="Arial" w:hAnsi="Arial"/>
          <w:sz w:val="17"/>
          <w:szCs w:val="17"/>
          <w:b w:val="1"/>
          <w:bCs w:val="1"/>
          <w:color w:val="045A63"/>
        </w:rPr>
        <w:t>4)</w:t>
      </w:r>
      <w:r>
        <w:rPr>
          <w:rFonts w:ascii="Arial" w:cs="Arial" w:eastAsia="Arial" w:hAnsi="Arial"/>
          <w:sz w:val="17"/>
          <w:szCs w:val="17"/>
          <w:color w:val="auto"/>
        </w:rPr>
        <w:t xml:space="preserve"> Rizvi, et al. (2015). Mutational landscape determines sensitivity to PD-1 blockade in non-small cell lung cancer. </w:t>
      </w:r>
      <w:r>
        <w:rPr>
          <w:rFonts w:ascii="Arial" w:cs="Arial" w:eastAsia="Arial" w:hAnsi="Arial"/>
          <w:sz w:val="17"/>
          <w:szCs w:val="17"/>
          <w:i w:val="1"/>
          <w:iCs w:val="1"/>
          <w:color w:val="auto"/>
        </w:rPr>
        <w:t>Science</w:t>
      </w:r>
      <w:r>
        <w:rPr>
          <w:rFonts w:ascii="Arial" w:cs="Arial" w:eastAsia="Arial" w:hAnsi="Arial"/>
          <w:sz w:val="17"/>
          <w:szCs w:val="17"/>
          <w:color w:val="auto"/>
        </w:rPr>
        <w:t xml:space="preserve"> 348, 124-128. </w:t>
      </w:r>
      <w:r>
        <w:rPr>
          <w:rFonts w:ascii="Arial" w:cs="Arial" w:eastAsia="Arial" w:hAnsi="Arial"/>
          <w:sz w:val="17"/>
          <w:szCs w:val="17"/>
          <w:b w:val="1"/>
          <w:bCs w:val="1"/>
          <w:color w:val="045A63"/>
        </w:rPr>
        <w:t>5)</w:t>
      </w:r>
      <w:r>
        <w:rPr>
          <w:rFonts w:ascii="Arial" w:cs="Arial" w:eastAsia="Arial" w:hAnsi="Arial"/>
          <w:sz w:val="17"/>
          <w:szCs w:val="17"/>
          <w:color w:val="auto"/>
        </w:rPr>
        <w:t xml:space="preserve"> Ott, et al. (2020). A Phase Ib trial of personalized neoantigen therapy plus anti-PD-1 in patients with advanced melanoma, non-small cell lung cancer or bladder cancer. </w:t>
      </w:r>
      <w:r>
        <w:rPr>
          <w:rFonts w:ascii="Arial" w:cs="Arial" w:eastAsia="Arial" w:hAnsi="Arial"/>
          <w:sz w:val="17"/>
          <w:szCs w:val="17"/>
          <w:i w:val="1"/>
          <w:iCs w:val="1"/>
          <w:color w:val="auto"/>
        </w:rPr>
        <w:t>Cell</w:t>
      </w:r>
      <w:r>
        <w:rPr>
          <w:rFonts w:ascii="Arial" w:cs="Arial" w:eastAsia="Arial" w:hAnsi="Arial"/>
          <w:sz w:val="17"/>
          <w:szCs w:val="17"/>
          <w:color w:val="auto"/>
        </w:rPr>
        <w:t xml:space="preserve"> 183, 347-362.</w:t>
      </w:r>
    </w:p>
    <w:p>
      <w:pPr>
        <w:spacing w:after="0" w:line="6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color w:val="045A63"/>
        </w:rPr>
        <w:t xml:space="preserve">Acknowledgments: </w:t>
      </w:r>
      <w:r>
        <w:rPr>
          <w:rFonts w:ascii="Arial" w:cs="Arial" w:eastAsia="Arial" w:hAnsi="Arial"/>
          <w:sz w:val="17"/>
          <w:szCs w:val="17"/>
          <w:color w:val="000000"/>
        </w:rPr>
        <w:t>Patients and their families, clinical investigators, and BioNTech US, Inc. The authors acknowledge the financial support for this</w:t>
      </w:r>
      <w:r>
        <w:rPr>
          <w:rFonts w:ascii="Arial" w:cs="Arial" w:eastAsia="Arial" w:hAnsi="Arial"/>
          <w:sz w:val="17"/>
          <w:szCs w:val="17"/>
          <w:b w:val="1"/>
          <w:bCs w:val="1"/>
          <w:color w:val="045A63"/>
        </w:rPr>
        <w:t xml:space="preserve"> </w:t>
      </w:r>
      <w:r>
        <w:rPr>
          <w:rFonts w:ascii="Arial" w:cs="Arial" w:eastAsia="Arial" w:hAnsi="Arial"/>
          <w:sz w:val="17"/>
          <w:szCs w:val="17"/>
          <w:color w:val="000000"/>
        </w:rPr>
        <w:t>study from Neon Therapeutics/BioNTech US. The authors received editorial assistance from Acumen Medical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163195"/>
                    </a:xfrm>
                    <a:prstGeom prst="rect">
                      <a:avLst/>
                    </a:prstGeom>
                    <a:noFill/>
                  </pic:spPr>
                </pic:pic>
              </a:graphicData>
            </a:graphic>
          </wp:anchor>
        </w:drawing>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9"/>
          <w:szCs w:val="19"/>
          <w:color w:val="FFFFFF"/>
        </w:rPr>
        <w:t>Poster 627 | Presented at The Society for Immunotherapy of Cancer Annual Meeting | November 9-14, 2020</w:t>
      </w:r>
    </w:p>
    <w:p>
      <w:pPr>
        <w:sectPr>
          <w:pgSz w:w="11900" w:h="16838" w:orient="portrait"/>
          <w:cols w:equalWidth="0" w:num="1">
            <w:col w:w="11240"/>
          </w:cols>
          <w:pgMar w:left="320" w:top="95" w:right="339" w:bottom="1440" w:gutter="0" w:footer="0" w:header="0"/>
        </w:sectPr>
      </w:pPr>
    </w:p>
    <w:bookmarkStart w:id="35" w:name="page36"/>
    <w:bookmarkEnd w:id="35"/>
    <w:p>
      <w:pPr>
        <w:jc w:val="center"/>
        <w:ind w:left="380" w:right="360"/>
        <w:spacing w:after="0" w:line="293" w:lineRule="auto"/>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57720" cy="1087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1087120"/>
                    </a:xfrm>
                    <a:prstGeom prst="rect">
                      <a:avLst/>
                    </a:prstGeom>
                    <a:noFill/>
                  </pic:spPr>
                </pic:pic>
              </a:graphicData>
            </a:graphic>
          </wp:anchor>
        </w:drawing>
        <w:t>NEO-PTC-01 (BNT-221), an Autologous Neoantigen-Specific T cell Product for Adoptive Cell Therapy of Metastatic Melanoma</w:t>
      </w:r>
    </w:p>
    <w:p>
      <w:pPr>
        <w:spacing w:after="0" w:line="2" w:lineRule="exact"/>
        <w:rPr>
          <w:sz w:val="20"/>
          <w:szCs w:val="20"/>
          <w:color w:val="auto"/>
        </w:rPr>
      </w:pPr>
    </w:p>
    <w:p>
      <w:pPr>
        <w:jc w:val="center"/>
        <w:ind w:left="360" w:right="100"/>
        <w:spacing w:after="0" w:line="294" w:lineRule="auto"/>
        <w:rPr>
          <w:sz w:val="20"/>
          <w:szCs w:val="20"/>
          <w:color w:val="auto"/>
        </w:rPr>
      </w:pPr>
      <w:r>
        <w:rPr>
          <w:rFonts w:ascii="Arial" w:cs="Arial" w:eastAsia="Arial" w:hAnsi="Arial"/>
          <w:sz w:val="17"/>
          <w:szCs w:val="17"/>
          <w:b w:val="1"/>
          <w:bCs w:val="1"/>
          <w:color w:val="FFFFFF"/>
        </w:rPr>
        <w:t>Divya Lenkala</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Jessica Kohler</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Brian McCarthy</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Michael Nelson, Jonathan McGee</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Daniel Kallin</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Janani Sridar, Paul Turcott</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Dewi Harjanto</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Cynthia Nijenhuis</w:t>
      </w:r>
      <w:r>
        <w:rPr>
          <w:rFonts w:ascii="Arial" w:cs="Arial" w:eastAsia="Arial" w:hAnsi="Arial"/>
          <w:sz w:val="14"/>
          <w:szCs w:val="14"/>
          <w:b w:val="1"/>
          <w:bCs w:val="1"/>
          <w:color w:val="FFFFFF"/>
        </w:rPr>
        <w:t>2</w:t>
      </w:r>
      <w:r>
        <w:rPr>
          <w:rFonts w:ascii="Arial" w:cs="Arial" w:eastAsia="Arial" w:hAnsi="Arial"/>
          <w:sz w:val="17"/>
          <w:szCs w:val="17"/>
          <w:b w:val="1"/>
          <w:bCs w:val="1"/>
          <w:color w:val="FFFFFF"/>
        </w:rPr>
        <w:t>, Joost H. van den Berg</w:t>
      </w:r>
      <w:r>
        <w:rPr>
          <w:rFonts w:ascii="Arial" w:cs="Arial" w:eastAsia="Arial" w:hAnsi="Arial"/>
          <w:sz w:val="14"/>
          <w:szCs w:val="14"/>
          <w:b w:val="1"/>
          <w:bCs w:val="1"/>
          <w:color w:val="FFFFFF"/>
        </w:rPr>
        <w:t>2</w:t>
      </w:r>
      <w:r>
        <w:rPr>
          <w:rFonts w:ascii="Arial" w:cs="Arial" w:eastAsia="Arial" w:hAnsi="Arial"/>
          <w:sz w:val="17"/>
          <w:szCs w:val="17"/>
          <w:b w:val="1"/>
          <w:bCs w:val="1"/>
          <w:color w:val="FFFFFF"/>
        </w:rPr>
        <w:t>, Richard B. Gaynor</w:t>
      </w:r>
      <w:r>
        <w:rPr>
          <w:rFonts w:ascii="Arial" w:cs="Arial" w:eastAsia="Arial" w:hAnsi="Arial"/>
          <w:sz w:val="14"/>
          <w:szCs w:val="14"/>
          <w:b w:val="1"/>
          <w:bCs w:val="1"/>
          <w:color w:val="FFFFFF"/>
        </w:rPr>
        <w:t>1</w:t>
      </w:r>
      <w:r>
        <w:rPr>
          <w:rFonts w:ascii="Arial" w:cs="Arial" w:eastAsia="Arial" w:hAnsi="Arial"/>
          <w:sz w:val="17"/>
          <w:szCs w:val="17"/>
          <w:b w:val="1"/>
          <w:bCs w:val="1"/>
          <w:color w:val="FFFFFF"/>
        </w:rPr>
        <w:t>, and Marit M. van Buuren</w:t>
      </w:r>
      <w:r>
        <w:rPr>
          <w:rFonts w:ascii="Arial" w:cs="Arial" w:eastAsia="Arial" w:hAnsi="Arial"/>
          <w:sz w:val="14"/>
          <w:szCs w:val="14"/>
          <w:b w:val="1"/>
          <w:bCs w:val="1"/>
          <w:color w:val="FFFFFF"/>
        </w:rPr>
        <w:t>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FFFFFF"/>
        </w:rPr>
        <w:t>1</w:t>
      </w:r>
      <w:r>
        <w:rPr>
          <w:rFonts w:ascii="Arial" w:cs="Arial" w:eastAsia="Arial" w:hAnsi="Arial"/>
          <w:sz w:val="17"/>
          <w:szCs w:val="17"/>
          <w:b w:val="1"/>
          <w:bCs w:val="1"/>
          <w:color w:val="FFFFFF"/>
        </w:rPr>
        <w:t>BioNTech US Inc., Cambridge, MA, USA;</w:t>
      </w:r>
      <w:r>
        <w:rPr>
          <w:rFonts w:ascii="Arial" w:cs="Arial" w:eastAsia="Arial" w:hAnsi="Arial"/>
          <w:sz w:val="15"/>
          <w:szCs w:val="15"/>
          <w:b w:val="1"/>
          <w:bCs w:val="1"/>
          <w:color w:val="FFFFFF"/>
        </w:rPr>
        <w:t xml:space="preserve"> 2</w:t>
      </w:r>
      <w:r>
        <w:rPr>
          <w:rFonts w:ascii="Arial" w:cs="Arial" w:eastAsia="Arial" w:hAnsi="Arial"/>
          <w:sz w:val="17"/>
          <w:szCs w:val="17"/>
          <w:b w:val="1"/>
          <w:bCs w:val="1"/>
          <w:color w:val="FFFFFF"/>
        </w:rPr>
        <w:t>Netherlands Cancer Institute, Amsterdam, The Netherlands</w:t>
      </w: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57150" cy="12255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 cy="122555"/>
                    </a:xfrm>
                    <a:prstGeom prst="rect">
                      <a:avLst/>
                    </a:prstGeom>
                    <a:noFill/>
                    <a:ln>
                      <a:noFill/>
                    </a:ln>
                  </pic:spPr>
                </pic:pic>
              </a:graphicData>
            </a:graphic>
          </wp:inline>
        </w:drawing>
      </w:r>
      <w:r>
        <w:rPr>
          <w:rFonts w:ascii="Arial" w:cs="Arial" w:eastAsia="Arial" w:hAnsi="Arial"/>
          <w:sz w:val="17"/>
          <w:szCs w:val="17"/>
          <w:b w:val="1"/>
          <w:bCs w:val="1"/>
          <w:color w:val="FFFFF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38670" cy="122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62" w:lineRule="exact"/>
        <w:rPr>
          <w:sz w:val="20"/>
          <w:szCs w:val="20"/>
          <w:color w:val="auto"/>
        </w:rPr>
      </w:pPr>
    </w:p>
    <w:p>
      <w:pPr>
        <w:ind w:left="320" w:hanging="214"/>
        <w:spacing w:after="0" w:line="258" w:lineRule="auto"/>
        <w:tabs>
          <w:tab w:leader="none" w:pos="320" w:val="left"/>
        </w:tabs>
        <w:numPr>
          <w:ilvl w:val="0"/>
          <w:numId w:val="45"/>
        </w:numPr>
        <w:rPr>
          <w:rFonts w:ascii="Arial" w:cs="Arial" w:eastAsia="Arial" w:hAnsi="Arial"/>
          <w:sz w:val="17"/>
          <w:szCs w:val="17"/>
          <w:color w:val="045A63"/>
        </w:rPr>
      </w:pPr>
      <w:r>
        <w:rPr>
          <w:rFonts w:ascii="Arial" w:cs="Arial" w:eastAsia="Arial" w:hAnsi="Arial"/>
          <w:sz w:val="17"/>
          <w:szCs w:val="17"/>
          <w:color w:val="auto"/>
        </w:rPr>
        <w:t>Neoantigens are tumor-specific antigens that are important in eliciting and directing effective anti-tumor T cell responses.</w:t>
      </w:r>
      <w:r>
        <w:rPr>
          <w:rFonts w:ascii="Arial" w:cs="Arial" w:eastAsia="Arial" w:hAnsi="Arial"/>
          <w:sz w:val="14"/>
          <w:szCs w:val="14"/>
          <w:color w:val="auto"/>
        </w:rPr>
        <w:t>1-3</w:t>
      </w:r>
      <w:r>
        <w:rPr>
          <w:rFonts w:ascii="Arial" w:cs="Arial" w:eastAsia="Arial" w:hAnsi="Arial"/>
          <w:sz w:val="17"/>
          <w:szCs w:val="17"/>
          <w:color w:val="auto"/>
        </w:rPr>
        <w:t xml:space="preserve"> These tumor-specific neoantigens are not subject to central immune tolerance and are therefore potentially more immunogenic than shared tumor-associated antigens.</w:t>
      </w:r>
      <w:r>
        <w:rPr>
          <w:rFonts w:ascii="Arial" w:cs="Arial" w:eastAsia="Arial" w:hAnsi="Arial"/>
          <w:sz w:val="14"/>
          <w:szCs w:val="14"/>
          <w:color w:val="auto"/>
        </w:rPr>
        <w:t>1,2</w:t>
      </w:r>
    </w:p>
    <w:p>
      <w:pPr>
        <w:spacing w:after="0" w:line="63" w:lineRule="exact"/>
        <w:rPr>
          <w:rFonts w:ascii="Arial" w:cs="Arial" w:eastAsia="Arial" w:hAnsi="Arial"/>
          <w:sz w:val="17"/>
          <w:szCs w:val="17"/>
          <w:color w:val="045A63"/>
        </w:rPr>
      </w:pPr>
    </w:p>
    <w:p>
      <w:pPr>
        <w:ind w:left="320" w:right="220" w:hanging="214"/>
        <w:spacing w:after="0" w:line="280" w:lineRule="auto"/>
        <w:tabs>
          <w:tab w:leader="none" w:pos="320" w:val="left"/>
        </w:tabs>
        <w:numPr>
          <w:ilvl w:val="0"/>
          <w:numId w:val="45"/>
        </w:numPr>
        <w:rPr>
          <w:rFonts w:ascii="Arial" w:cs="Arial" w:eastAsia="Arial" w:hAnsi="Arial"/>
          <w:sz w:val="17"/>
          <w:szCs w:val="17"/>
          <w:color w:val="045A63"/>
        </w:rPr>
      </w:pPr>
      <w:r>
        <w:rPr>
          <w:rFonts w:ascii="Arial" w:cs="Arial" w:eastAsia="Arial" w:hAnsi="Arial"/>
          <w:sz w:val="17"/>
          <w:szCs w:val="17"/>
          <w:color w:val="auto"/>
        </w:rPr>
        <w:t>Adoptive T cell therapy has been proven to be successful in treating patients with solid tumors, and neoantigen-specific T cells are thought to play a critical role in conferring this clinical benefit.</w:t>
      </w:r>
      <w:r>
        <w:rPr>
          <w:rFonts w:ascii="Arial" w:cs="Arial" w:eastAsia="Arial" w:hAnsi="Arial"/>
          <w:sz w:val="14"/>
          <w:szCs w:val="14"/>
          <w:color w:val="auto"/>
        </w:rPr>
        <w:t>4,5</w:t>
      </w:r>
    </w:p>
    <w:p>
      <w:pPr>
        <w:spacing w:after="0" w:line="44" w:lineRule="exact"/>
        <w:rPr>
          <w:rFonts w:ascii="Arial" w:cs="Arial" w:eastAsia="Arial" w:hAnsi="Arial"/>
          <w:sz w:val="17"/>
          <w:szCs w:val="17"/>
          <w:color w:val="045A63"/>
        </w:rPr>
      </w:pPr>
    </w:p>
    <w:p>
      <w:pPr>
        <w:ind w:left="320" w:right="140" w:hanging="214"/>
        <w:spacing w:after="0" w:line="264" w:lineRule="auto"/>
        <w:tabs>
          <w:tab w:leader="none" w:pos="320" w:val="left"/>
        </w:tabs>
        <w:numPr>
          <w:ilvl w:val="0"/>
          <w:numId w:val="45"/>
        </w:numPr>
        <w:rPr>
          <w:rFonts w:ascii="Arial" w:cs="Arial" w:eastAsia="Arial" w:hAnsi="Arial"/>
          <w:sz w:val="17"/>
          <w:szCs w:val="17"/>
          <w:color w:val="045A63"/>
        </w:rPr>
      </w:pPr>
      <w:r>
        <w:rPr>
          <w:rFonts w:ascii="Arial" w:cs="Arial" w:eastAsia="Arial" w:hAnsi="Arial"/>
          <w:sz w:val="17"/>
          <w:szCs w:val="17"/>
          <w:color w:val="auto"/>
        </w:rPr>
        <w:t>BioNTech US (formerly Neon Therapeutics) has developed a novel induction process, NEO-STIM</w:t>
      </w:r>
      <w:r>
        <w:rPr>
          <w:rFonts w:ascii="Arial" w:cs="Arial" w:eastAsia="Arial" w:hAnsi="Arial"/>
          <w:sz w:val="14"/>
          <w:szCs w:val="14"/>
          <w:color w:val="auto"/>
        </w:rPr>
        <w:t>™</w:t>
      </w:r>
      <w:r>
        <w:rPr>
          <w:rFonts w:ascii="Arial" w:cs="Arial" w:eastAsia="Arial" w:hAnsi="Arial"/>
          <w:sz w:val="17"/>
          <w:szCs w:val="17"/>
          <w:color w:val="auto"/>
        </w:rPr>
        <w:t>, which primes, activates, and expands out multiple neoantigen-specific T cell responses. The characteristics of the drug product NEO-PTC-01 (BNT-221) – specificity, functionality, and phenotype – are expected to confer a clinical benefit and overcome challenges that other cell therapy modalities are facing (</w:t>
      </w:r>
      <w:r>
        <w:rPr>
          <w:rFonts w:ascii="Arial" w:cs="Arial" w:eastAsia="Arial" w:hAnsi="Arial"/>
          <w:sz w:val="17"/>
          <w:szCs w:val="17"/>
          <w:b w:val="1"/>
          <w:bCs w:val="1"/>
          <w:color w:val="045A63"/>
        </w:rPr>
        <w:t>Figure 1</w:t>
      </w:r>
      <w:r>
        <w:rPr>
          <w:rFonts w:ascii="Arial" w:cs="Arial" w:eastAsia="Arial" w:hAnsi="Arial"/>
          <w:sz w:val="17"/>
          <w:szCs w:val="17"/>
          <w:color w:val="auto"/>
        </w:rPr>
        <w:t>).</w:t>
      </w:r>
    </w:p>
    <w:p>
      <w:pPr>
        <w:spacing w:after="0" w:line="48" w:lineRule="exact"/>
        <w:rPr>
          <w:rFonts w:ascii="Arial" w:cs="Arial" w:eastAsia="Arial" w:hAnsi="Arial"/>
          <w:sz w:val="17"/>
          <w:szCs w:val="17"/>
          <w:color w:val="045A63"/>
        </w:rPr>
      </w:pPr>
    </w:p>
    <w:p>
      <w:pPr>
        <w:ind w:left="320" w:right="20" w:hanging="214"/>
        <w:spacing w:after="0" w:line="251" w:lineRule="auto"/>
        <w:tabs>
          <w:tab w:leader="none" w:pos="320" w:val="left"/>
        </w:tabs>
        <w:numPr>
          <w:ilvl w:val="0"/>
          <w:numId w:val="45"/>
        </w:numPr>
        <w:rPr>
          <w:rFonts w:ascii="Arial" w:cs="Arial" w:eastAsia="Arial" w:hAnsi="Arial"/>
          <w:sz w:val="17"/>
          <w:szCs w:val="17"/>
          <w:color w:val="045A63"/>
        </w:rPr>
      </w:pPr>
      <w:r>
        <w:rPr>
          <w:rFonts w:ascii="Arial" w:cs="Arial" w:eastAsia="Arial" w:hAnsi="Arial"/>
          <w:sz w:val="17"/>
          <w:szCs w:val="17"/>
          <w:color w:val="auto"/>
        </w:rPr>
        <w:t xml:space="preserve">Here, we present the results of multiple successful process engineering runs using leukapheresis from metastatic melanoma patients and healthy donors. Using our proprietary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induction process, NEO-STIM, a neoantigen-specific T cell product (NEO-PTC-01) was generated that contains highly specific T cell responses targeting multiple neoantigens from each individual patient’s tumor; these T cell responses are polyfunctional and can recognize autologous tumor.</w:t>
      </w:r>
    </w:p>
    <w:p>
      <w:pPr>
        <w:spacing w:after="0" w:line="68" w:lineRule="exact"/>
        <w:rPr>
          <w:rFonts w:ascii="Arial" w:cs="Arial" w:eastAsia="Arial" w:hAnsi="Arial"/>
          <w:sz w:val="17"/>
          <w:szCs w:val="17"/>
          <w:color w:val="045A63"/>
        </w:rPr>
      </w:pPr>
    </w:p>
    <w:p>
      <w:pPr>
        <w:ind w:left="320" w:hanging="214"/>
        <w:spacing w:after="0"/>
        <w:tabs>
          <w:tab w:leader="none" w:pos="320" w:val="left"/>
        </w:tabs>
        <w:numPr>
          <w:ilvl w:val="0"/>
          <w:numId w:val="45"/>
        </w:numPr>
        <w:rPr>
          <w:rFonts w:ascii="Arial" w:cs="Arial" w:eastAsia="Arial" w:hAnsi="Arial"/>
          <w:sz w:val="17"/>
          <w:szCs w:val="17"/>
          <w:color w:val="045A63"/>
        </w:rPr>
      </w:pPr>
      <w:r>
        <w:rPr>
          <w:rFonts w:ascii="Arial" w:cs="Arial" w:eastAsia="Arial" w:hAnsi="Arial"/>
          <w:sz w:val="17"/>
          <w:szCs w:val="17"/>
          <w:color w:val="auto"/>
        </w:rPr>
        <w:t>NEO-PTC-01 is scheduled to begin clinical development in 4Q of 2020 as an adoptive T cell therapy for patients with metastatic melanoma.</w:t>
      </w:r>
    </w:p>
    <w:p>
      <w:pPr>
        <w:spacing w:after="0" w:line="111" w:lineRule="exact"/>
        <w:rPr>
          <w:sz w:val="20"/>
          <w:szCs w:val="20"/>
          <w:color w:val="auto"/>
        </w:rPr>
      </w:pPr>
    </w:p>
    <w:p>
      <w:pPr>
        <w:spacing w:after="0"/>
        <w:rPr>
          <w:sz w:val="20"/>
          <w:szCs w:val="20"/>
          <w:color w:val="auto"/>
        </w:rPr>
      </w:pPr>
      <w:r>
        <w:rPr>
          <w:sz w:val="1"/>
          <w:szCs w:val="1"/>
          <w:color w:val="auto"/>
        </w:rPr>
        <w:drawing>
          <wp:inline distT="0" distB="0" distL="0" distR="0">
            <wp:extent cx="57150" cy="12255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0" cy="122555"/>
                    </a:xfrm>
                    <a:prstGeom prst="rect">
                      <a:avLst/>
                    </a:prstGeom>
                    <a:noFill/>
                    <a:ln>
                      <a:noFill/>
                    </a:ln>
                  </pic:spPr>
                </pic:pic>
              </a:graphicData>
            </a:graphic>
          </wp:inline>
        </w:drawing>
      </w:r>
      <w:r>
        <w:rPr>
          <w:rFonts w:ascii="Arial" w:cs="Arial" w:eastAsia="Arial" w:hAnsi="Arial"/>
          <w:sz w:val="17"/>
          <w:szCs w:val="17"/>
          <w:b w:val="1"/>
          <w:bCs w:val="1"/>
          <w:color w:val="FFFFFF"/>
        </w:rPr>
        <w:t>Materials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38670" cy="1225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62" w:lineRule="exact"/>
        <w:rPr>
          <w:sz w:val="20"/>
          <w:szCs w:val="20"/>
          <w:color w:val="auto"/>
        </w:rPr>
      </w:pPr>
    </w:p>
    <w:p>
      <w:pPr>
        <w:jc w:val="both"/>
        <w:ind w:left="320" w:right="100" w:hanging="214"/>
        <w:spacing w:after="0" w:line="251" w:lineRule="auto"/>
        <w:tabs>
          <w:tab w:leader="none" w:pos="320" w:val="left"/>
        </w:tabs>
        <w:numPr>
          <w:ilvl w:val="0"/>
          <w:numId w:val="46"/>
        </w:numPr>
        <w:rPr>
          <w:rFonts w:ascii="Arial" w:cs="Arial" w:eastAsia="Arial" w:hAnsi="Arial"/>
          <w:sz w:val="17"/>
          <w:szCs w:val="17"/>
          <w:color w:val="045A63"/>
        </w:rPr>
      </w:pPr>
      <w:r>
        <w:rPr>
          <w:rFonts w:ascii="Arial" w:cs="Arial" w:eastAsia="Arial" w:hAnsi="Arial"/>
          <w:sz w:val="17"/>
          <w:szCs w:val="17"/>
          <w:color w:val="auto"/>
        </w:rPr>
        <w:t>Five process engineering runs (Pilot, ENG-01, ENG-02, ENG-03, ENG-04) were performed by the Biotherapeutics Unit of Netherlands Cancer Institute - Antoni van Leeuwenhoek (NKI-AVL) using PBMCs from 2 healthy donors (HD108 [Pilot], HD115 [ENG-04]) and 3 melanoma patient samples that were obtained under IRB approval (N16NEON-23-111961 [ENG-01], N16NEON-24-081951 [ENG-02], and N16NEON-25-111951 [ENG-03]).</w:t>
      </w:r>
    </w:p>
    <w:p>
      <w:pPr>
        <w:spacing w:after="0" w:line="68" w:lineRule="exact"/>
        <w:rPr>
          <w:rFonts w:ascii="Arial" w:cs="Arial" w:eastAsia="Arial" w:hAnsi="Arial"/>
          <w:sz w:val="17"/>
          <w:szCs w:val="17"/>
          <w:color w:val="045A63"/>
        </w:rPr>
      </w:pPr>
    </w:p>
    <w:p>
      <w:pPr>
        <w:ind w:left="320" w:right="80" w:hanging="214"/>
        <w:spacing w:after="0" w:line="251" w:lineRule="auto"/>
        <w:tabs>
          <w:tab w:leader="none" w:pos="320" w:val="left"/>
        </w:tabs>
        <w:numPr>
          <w:ilvl w:val="0"/>
          <w:numId w:val="46"/>
        </w:numPr>
        <w:rPr>
          <w:rFonts w:ascii="Arial" w:cs="Arial" w:eastAsia="Arial" w:hAnsi="Arial"/>
          <w:sz w:val="17"/>
          <w:szCs w:val="17"/>
          <w:color w:val="045A63"/>
        </w:rPr>
      </w:pPr>
      <w:r>
        <w:rPr>
          <w:rFonts w:ascii="Arial" w:cs="Arial" w:eastAsia="Arial" w:hAnsi="Arial"/>
          <w:sz w:val="17"/>
          <w:szCs w:val="17"/>
          <w:color w:val="auto"/>
        </w:rPr>
        <w:t>For the melanoma patients, patient-specific neoantigens were predicted using our bioinformatics engine, RECON</w:t>
      </w:r>
      <w:r>
        <w:rPr>
          <w:rFonts w:ascii="Arial" w:cs="Arial" w:eastAsia="Arial" w:hAnsi="Arial"/>
          <w:sz w:val="14"/>
          <w:szCs w:val="14"/>
          <w:color w:val="auto"/>
        </w:rPr>
        <w:t>®</w:t>
      </w:r>
      <w:r>
        <w:rPr>
          <w:rFonts w:ascii="Arial" w:cs="Arial" w:eastAsia="Arial" w:hAnsi="Arial"/>
          <w:sz w:val="17"/>
          <w:szCs w:val="17"/>
          <w:color w:val="auto"/>
        </w:rPr>
        <w:t>. This engine is also used to predict neo-antigens restricted to HD115 HLA alleles using patient mutanome (N16NEON-24-081951). For HD108, previously identified neoantigens and model antigens restricted to the donor HLA alleles were used to execute NEO-STIM.</w:t>
      </w:r>
      <w:r>
        <w:rPr>
          <w:rFonts w:ascii="Arial" w:cs="Arial" w:eastAsia="Arial" w:hAnsi="Arial"/>
          <w:sz w:val="14"/>
          <w:szCs w:val="14"/>
          <w:color w:val="auto"/>
        </w:rPr>
        <w:t>6-8</w:t>
      </w:r>
      <w:r>
        <w:rPr>
          <w:rFonts w:ascii="Arial" w:cs="Arial" w:eastAsia="Arial" w:hAnsi="Arial"/>
          <w:sz w:val="17"/>
          <w:szCs w:val="17"/>
          <w:color w:val="auto"/>
        </w:rPr>
        <w:t xml:space="preserve"> Synthetic peptides were generated of 8 to 25 aa in length.</w:t>
      </w:r>
    </w:p>
    <w:p>
      <w:pPr>
        <w:spacing w:after="0" w:line="66" w:lineRule="exact"/>
        <w:rPr>
          <w:rFonts w:ascii="Arial" w:cs="Arial" w:eastAsia="Arial" w:hAnsi="Arial"/>
          <w:sz w:val="17"/>
          <w:szCs w:val="17"/>
          <w:color w:val="045A63"/>
        </w:rPr>
      </w:pPr>
    </w:p>
    <w:p>
      <w:pPr>
        <w:ind w:left="320" w:hanging="214"/>
        <w:spacing w:after="0"/>
        <w:tabs>
          <w:tab w:leader="none" w:pos="320" w:val="left"/>
        </w:tabs>
        <w:numPr>
          <w:ilvl w:val="0"/>
          <w:numId w:val="46"/>
        </w:numPr>
        <w:rPr>
          <w:rFonts w:ascii="Arial" w:cs="Arial" w:eastAsia="Arial" w:hAnsi="Arial"/>
          <w:sz w:val="17"/>
          <w:szCs w:val="17"/>
          <w:color w:val="045A63"/>
        </w:rPr>
      </w:pPr>
      <w:r>
        <w:rPr>
          <w:rFonts w:ascii="Arial" w:cs="Arial" w:eastAsia="Arial" w:hAnsi="Arial"/>
          <w:sz w:val="17"/>
          <w:szCs w:val="17"/>
          <w:color w:val="auto"/>
        </w:rPr>
        <w:t xml:space="preserve">NEO-STIM was used to prime, activate, and expand memory and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 cell responses, using up to 50 x 10</w:t>
      </w:r>
      <w:r>
        <w:rPr>
          <w:rFonts w:ascii="Arial" w:cs="Arial" w:eastAsia="Arial" w:hAnsi="Arial"/>
          <w:sz w:val="14"/>
          <w:szCs w:val="14"/>
          <w:color w:val="auto"/>
        </w:rPr>
        <w:t>6</w:t>
      </w:r>
      <w:r>
        <w:rPr>
          <w:rFonts w:ascii="Arial" w:cs="Arial" w:eastAsia="Arial" w:hAnsi="Arial"/>
          <w:sz w:val="17"/>
          <w:szCs w:val="17"/>
          <w:color w:val="auto"/>
        </w:rPr>
        <w:t xml:space="preserve"> PBMCs per vessel (</w:t>
      </w:r>
      <w:r>
        <w:rPr>
          <w:rFonts w:ascii="Arial" w:cs="Arial" w:eastAsia="Arial" w:hAnsi="Arial"/>
          <w:sz w:val="17"/>
          <w:szCs w:val="17"/>
          <w:b w:val="1"/>
          <w:bCs w:val="1"/>
          <w:color w:val="045A63"/>
        </w:rPr>
        <w:t>Figure 1</w:t>
      </w:r>
      <w:r>
        <w:rPr>
          <w:rFonts w:ascii="Arial" w:cs="Arial" w:eastAsia="Arial" w:hAnsi="Arial"/>
          <w:sz w:val="17"/>
          <w:szCs w:val="17"/>
          <w:color w:val="auto"/>
        </w:rPr>
        <w:t>).</w:t>
      </w:r>
    </w:p>
    <w:p>
      <w:pPr>
        <w:spacing w:after="0" w:line="114" w:lineRule="exact"/>
        <w:rPr>
          <w:rFonts w:ascii="Arial" w:cs="Arial" w:eastAsia="Arial" w:hAnsi="Arial"/>
          <w:sz w:val="17"/>
          <w:szCs w:val="17"/>
          <w:color w:val="045A63"/>
        </w:rPr>
      </w:pPr>
    </w:p>
    <w:p>
      <w:pPr>
        <w:ind w:left="560" w:right="180" w:hanging="223"/>
        <w:spacing w:after="0" w:line="280" w:lineRule="auto"/>
        <w:tabs>
          <w:tab w:leader="none" w:pos="560" w:val="left"/>
        </w:tabs>
        <w:numPr>
          <w:ilvl w:val="1"/>
          <w:numId w:val="46"/>
        </w:numPr>
        <w:rPr>
          <w:rFonts w:ascii="Arial" w:cs="Arial" w:eastAsia="Arial" w:hAnsi="Arial"/>
          <w:sz w:val="17"/>
          <w:szCs w:val="17"/>
          <w:b w:val="1"/>
          <w:bCs w:val="1"/>
          <w:color w:val="045A63"/>
        </w:rPr>
      </w:pPr>
      <w:r>
        <w:rPr>
          <w:rFonts w:ascii="Arial" w:cs="Arial" w:eastAsia="Arial" w:hAnsi="Arial"/>
          <w:sz w:val="17"/>
          <w:szCs w:val="17"/>
          <w:color w:val="auto"/>
        </w:rPr>
        <w:t>The specificity, phenotype, and functionality of these neoantigen-specific T cells were analyzed by characterizing these responses with the following assays:</w:t>
      </w:r>
    </w:p>
    <w:p>
      <w:pPr>
        <w:spacing w:after="0" w:line="44" w:lineRule="exact"/>
        <w:rPr>
          <w:rFonts w:ascii="Arial" w:cs="Arial" w:eastAsia="Arial" w:hAnsi="Arial"/>
          <w:sz w:val="17"/>
          <w:szCs w:val="17"/>
          <w:b w:val="1"/>
          <w:bCs w:val="1"/>
          <w:color w:val="045A63"/>
        </w:rPr>
      </w:pPr>
    </w:p>
    <w:p>
      <w:pPr>
        <w:ind w:left="560"/>
        <w:spacing w:after="0"/>
        <w:rPr>
          <w:rFonts w:ascii="Arial" w:cs="Arial" w:eastAsia="Arial" w:hAnsi="Arial"/>
          <w:sz w:val="17"/>
          <w:szCs w:val="17"/>
          <w:b w:val="1"/>
          <w:bCs w:val="1"/>
          <w:color w:val="045A63"/>
        </w:rPr>
      </w:pPr>
      <w:r>
        <w:rPr>
          <w:rFonts w:ascii="Arial" w:cs="Arial" w:eastAsia="Arial" w:hAnsi="Arial"/>
          <w:sz w:val="17"/>
          <w:szCs w:val="17"/>
          <w:color w:val="045A63"/>
        </w:rPr>
        <w:t xml:space="preserve">–   </w:t>
      </w:r>
      <w:r>
        <w:rPr>
          <w:rFonts w:ascii="Arial" w:cs="Arial" w:eastAsia="Arial" w:hAnsi="Arial"/>
          <w:sz w:val="17"/>
          <w:szCs w:val="17"/>
          <w:color w:val="000000"/>
        </w:rPr>
        <w:t>Combinatorial coding analysis using pMHC multimers.</w:t>
      </w:r>
      <w:r>
        <w:rPr>
          <w:rFonts w:ascii="Arial" w:cs="Arial" w:eastAsia="Arial" w:hAnsi="Arial"/>
          <w:sz w:val="14"/>
          <w:szCs w:val="14"/>
          <w:color w:val="000000"/>
        </w:rPr>
        <w:t>9</w:t>
      </w:r>
    </w:p>
    <w:p>
      <w:pPr>
        <w:spacing w:after="0" w:line="112" w:lineRule="exact"/>
        <w:rPr>
          <w:rFonts w:ascii="Arial" w:cs="Arial" w:eastAsia="Arial" w:hAnsi="Arial"/>
          <w:sz w:val="17"/>
          <w:szCs w:val="17"/>
          <w:b w:val="1"/>
          <w:bCs w:val="1"/>
          <w:color w:val="045A63"/>
        </w:rPr>
      </w:pPr>
    </w:p>
    <w:p>
      <w:pPr>
        <w:ind w:left="560"/>
        <w:spacing w:after="0"/>
        <w:rPr>
          <w:rFonts w:ascii="Arial" w:cs="Arial" w:eastAsia="Arial" w:hAnsi="Arial"/>
          <w:sz w:val="17"/>
          <w:szCs w:val="17"/>
          <w:b w:val="1"/>
          <w:bCs w:val="1"/>
          <w:color w:val="045A63"/>
        </w:rPr>
      </w:pPr>
      <w:r>
        <w:rPr>
          <w:rFonts w:ascii="Arial" w:cs="Arial" w:eastAsia="Arial" w:hAnsi="Arial"/>
          <w:sz w:val="17"/>
          <w:szCs w:val="17"/>
          <w:color w:val="045A63"/>
        </w:rPr>
        <w:t xml:space="preserve">–   </w:t>
      </w:r>
      <w:r>
        <w:rPr>
          <w:rFonts w:ascii="Arial" w:cs="Arial" w:eastAsia="Arial" w:hAnsi="Arial"/>
          <w:sz w:val="17"/>
          <w:szCs w:val="17"/>
          <w:color w:val="000000"/>
        </w:rPr>
        <w:t>Detailed flow characterization. Markers included but were not limited to CD3, CD4, CD8, CD45RA, and CD62L.</w:t>
      </w:r>
    </w:p>
    <w:p>
      <w:pPr>
        <w:spacing w:after="0" w:line="110" w:lineRule="exact"/>
        <w:rPr>
          <w:rFonts w:ascii="Arial" w:cs="Arial" w:eastAsia="Arial" w:hAnsi="Arial"/>
          <w:sz w:val="17"/>
          <w:szCs w:val="17"/>
          <w:b w:val="1"/>
          <w:bCs w:val="1"/>
          <w:color w:val="045A63"/>
        </w:rPr>
      </w:pPr>
    </w:p>
    <w:p>
      <w:pPr>
        <w:ind w:left="560"/>
        <w:spacing w:after="0"/>
        <w:rPr>
          <w:rFonts w:ascii="Arial" w:cs="Arial" w:eastAsia="Arial" w:hAnsi="Arial"/>
          <w:sz w:val="17"/>
          <w:szCs w:val="17"/>
          <w:b w:val="1"/>
          <w:bCs w:val="1"/>
          <w:color w:val="045A63"/>
        </w:rPr>
      </w:pPr>
      <w:r>
        <w:rPr>
          <w:rFonts w:ascii="Arial" w:cs="Arial" w:eastAsia="Arial" w:hAnsi="Arial"/>
          <w:sz w:val="17"/>
          <w:szCs w:val="17"/>
          <w:color w:val="045A63"/>
        </w:rPr>
        <w:t xml:space="preserve">–   </w:t>
      </w:r>
      <w:r>
        <w:rPr>
          <w:rFonts w:ascii="Arial" w:cs="Arial" w:eastAsia="Arial" w:hAnsi="Arial"/>
          <w:sz w:val="17"/>
          <w:szCs w:val="17"/>
          <w:color w:val="000000"/>
        </w:rPr>
        <w:t>A recall response assay using multiplexed, multiparameter flow cytometry</w:t>
      </w:r>
      <w:r>
        <w:rPr>
          <w:rFonts w:ascii="Arial" w:cs="Arial" w:eastAsia="Arial" w:hAnsi="Arial"/>
          <w:sz w:val="14"/>
          <w:szCs w:val="14"/>
          <w:color w:val="000000"/>
        </w:rPr>
        <w:t>10</w:t>
      </w:r>
      <w:r>
        <w:rPr>
          <w:rFonts w:ascii="Arial" w:cs="Arial" w:eastAsia="Arial" w:hAnsi="Arial"/>
          <w:sz w:val="17"/>
          <w:szCs w:val="17"/>
          <w:color w:val="045A63"/>
        </w:rPr>
        <w:t xml:space="preserve"> </w:t>
      </w:r>
      <w:r>
        <w:rPr>
          <w:rFonts w:ascii="Arial" w:cs="Arial" w:eastAsia="Arial" w:hAnsi="Arial"/>
          <w:sz w:val="17"/>
          <w:szCs w:val="17"/>
          <w:color w:val="000000"/>
        </w:rPr>
        <w:t>to</w:t>
      </w:r>
      <w:r>
        <w:rPr>
          <w:rFonts w:ascii="Arial" w:cs="Arial" w:eastAsia="Arial" w:hAnsi="Arial"/>
          <w:sz w:val="17"/>
          <w:szCs w:val="17"/>
          <w:color w:val="045A63"/>
        </w:rPr>
        <w:t xml:space="preserve"> </w:t>
      </w:r>
      <w:r>
        <w:rPr>
          <w:rFonts w:ascii="Arial" w:cs="Arial" w:eastAsia="Arial" w:hAnsi="Arial"/>
          <w:sz w:val="17"/>
          <w:szCs w:val="17"/>
          <w:b w:val="1"/>
          <w:bCs w:val="1"/>
          <w:color w:val="045A63"/>
        </w:rPr>
        <w:t>a)</w:t>
      </w:r>
      <w:r>
        <w:rPr>
          <w:rFonts w:ascii="Arial" w:cs="Arial" w:eastAsia="Arial" w:hAnsi="Arial"/>
          <w:sz w:val="17"/>
          <w:szCs w:val="17"/>
          <w:color w:val="045A63"/>
        </w:rPr>
        <w:t xml:space="preserve"> </w:t>
      </w:r>
      <w:r>
        <w:rPr>
          <w:rFonts w:ascii="Arial" w:cs="Arial" w:eastAsia="Arial" w:hAnsi="Arial"/>
          <w:sz w:val="17"/>
          <w:szCs w:val="17"/>
          <w:color w:val="000000"/>
        </w:rPr>
        <w:t>identify and validate CD4</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T cell responses,</w:t>
      </w:r>
      <w:r>
        <w:rPr>
          <w:rFonts w:ascii="Arial" w:cs="Arial" w:eastAsia="Arial" w:hAnsi="Arial"/>
          <w:sz w:val="17"/>
          <w:szCs w:val="17"/>
          <w:color w:val="045A63"/>
        </w:rPr>
        <w:t xml:space="preserve"> </w:t>
      </w:r>
      <w:r>
        <w:rPr>
          <w:rFonts w:ascii="Arial" w:cs="Arial" w:eastAsia="Arial" w:hAnsi="Arial"/>
          <w:sz w:val="17"/>
          <w:szCs w:val="17"/>
          <w:b w:val="1"/>
          <w:bCs w:val="1"/>
          <w:color w:val="045A63"/>
        </w:rPr>
        <w:t>b)</w:t>
      </w:r>
      <w:r>
        <w:rPr>
          <w:rFonts w:ascii="Arial" w:cs="Arial" w:eastAsia="Arial" w:hAnsi="Arial"/>
          <w:sz w:val="17"/>
          <w:szCs w:val="17"/>
          <w:color w:val="045A63"/>
        </w:rPr>
        <w:t xml:space="preserve"> </w:t>
      </w:r>
      <w:r>
        <w:rPr>
          <w:rFonts w:ascii="Arial" w:cs="Arial" w:eastAsia="Arial" w:hAnsi="Arial"/>
          <w:sz w:val="17"/>
          <w:szCs w:val="17"/>
          <w:color w:val="000000"/>
        </w:rPr>
        <w:t>assess</w:t>
      </w:r>
    </w:p>
    <w:p>
      <w:pPr>
        <w:spacing w:after="0" w:line="21" w:lineRule="exact"/>
        <w:rPr>
          <w:rFonts w:ascii="Arial" w:cs="Arial" w:eastAsia="Arial" w:hAnsi="Arial"/>
          <w:sz w:val="17"/>
          <w:szCs w:val="17"/>
          <w:b w:val="1"/>
          <w:bCs w:val="1"/>
          <w:color w:val="045A63"/>
        </w:rPr>
      </w:pPr>
    </w:p>
    <w:p>
      <w:pPr>
        <w:ind w:left="880" w:right="360"/>
        <w:spacing w:after="0" w:line="252" w:lineRule="auto"/>
        <w:rPr>
          <w:rFonts w:ascii="Arial" w:cs="Arial" w:eastAsia="Arial" w:hAnsi="Arial"/>
          <w:sz w:val="17"/>
          <w:szCs w:val="17"/>
          <w:b w:val="1"/>
          <w:bCs w:val="1"/>
          <w:color w:val="045A63"/>
        </w:rPr>
      </w:pPr>
      <w:r>
        <w:rPr>
          <w:rFonts w:ascii="Arial" w:cs="Arial" w:eastAsia="Arial" w:hAnsi="Arial"/>
          <w:sz w:val="17"/>
          <w:szCs w:val="17"/>
          <w:color w:val="auto"/>
        </w:rPr>
        <w:t>the polyfunctionality of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 responses, and </w:t>
      </w:r>
      <w:r>
        <w:rPr>
          <w:rFonts w:ascii="Arial" w:cs="Arial" w:eastAsia="Arial" w:hAnsi="Arial"/>
          <w:sz w:val="17"/>
          <w:szCs w:val="17"/>
          <w:b w:val="1"/>
          <w:bCs w:val="1"/>
          <w:color w:val="045A63"/>
        </w:rPr>
        <w:t>c)</w:t>
      </w:r>
      <w:r>
        <w:rPr>
          <w:rFonts w:ascii="Arial" w:cs="Arial" w:eastAsia="Arial" w:hAnsi="Arial"/>
          <w:sz w:val="17"/>
          <w:szCs w:val="17"/>
          <w:color w:val="auto"/>
        </w:rPr>
        <w:t xml:space="preserve"> assess the ability to recognize autologous tumor. Pro-inflammatory cytokines IFN-</w:t>
      </w:r>
      <w:r>
        <w:rPr>
          <w:rFonts w:ascii="Arial" w:cs="Arial" w:eastAsia="Arial" w:hAnsi="Arial"/>
          <w:sz w:val="14"/>
          <w:szCs w:val="14"/>
          <w:color w:val="auto"/>
        </w:rPr>
        <w:t>Y</w:t>
      </w:r>
      <w:r>
        <w:rPr>
          <w:rFonts w:ascii="Arial" w:cs="Arial" w:eastAsia="Arial" w:hAnsi="Arial"/>
          <w:sz w:val="17"/>
          <w:szCs w:val="17"/>
          <w:color w:val="auto"/>
        </w:rPr>
        <w:t xml:space="preserve"> and TNF</w:t>
      </w:r>
      <w:r>
        <w:rPr>
          <w:rFonts w:ascii="Times New Roman" w:cs="Times New Roman" w:eastAsia="Times New Roman" w:hAnsi="Times New Roman"/>
          <w:sz w:val="17"/>
          <w:szCs w:val="17"/>
          <w:color w:val="auto"/>
        </w:rPr>
        <w:t>a</w:t>
      </w:r>
      <w:r>
        <w:rPr>
          <w:rFonts w:ascii="Arial" w:cs="Arial" w:eastAsia="Arial" w:hAnsi="Arial"/>
          <w:sz w:val="17"/>
          <w:szCs w:val="17"/>
          <w:color w:val="auto"/>
        </w:rPr>
        <w:t>, and upregulation of CD107a as a marker of degranulation, were measured.</w:t>
      </w:r>
    </w:p>
    <w:p>
      <w:pPr>
        <w:spacing w:after="0" w:line="80" w:lineRule="exact"/>
        <w:rPr>
          <w:rFonts w:ascii="Arial" w:cs="Arial" w:eastAsia="Arial" w:hAnsi="Arial"/>
          <w:sz w:val="17"/>
          <w:szCs w:val="17"/>
          <w:b w:val="1"/>
          <w:bCs w:val="1"/>
          <w:color w:val="045A63"/>
        </w:rPr>
      </w:pPr>
    </w:p>
    <w:p>
      <w:pPr>
        <w:ind w:left="880" w:right="160" w:hanging="334"/>
        <w:spacing w:after="0" w:line="280" w:lineRule="auto"/>
        <w:rPr>
          <w:rFonts w:ascii="Arial" w:cs="Arial" w:eastAsia="Arial" w:hAnsi="Arial"/>
          <w:sz w:val="17"/>
          <w:szCs w:val="17"/>
          <w:b w:val="1"/>
          <w:bCs w:val="1"/>
          <w:color w:val="045A63"/>
        </w:rPr>
      </w:pPr>
      <w:r>
        <w:rPr>
          <w:rFonts w:ascii="Arial" w:cs="Arial" w:eastAsia="Arial" w:hAnsi="Arial"/>
          <w:sz w:val="17"/>
          <w:szCs w:val="17"/>
          <w:color w:val="045A63"/>
        </w:rPr>
        <w:t xml:space="preserve">– </w:t>
      </w:r>
      <w:r>
        <w:rPr>
          <w:rFonts w:ascii="Arial" w:cs="Arial" w:eastAsia="Arial" w:hAnsi="Arial"/>
          <w:sz w:val="17"/>
          <w:szCs w:val="17"/>
          <w:color w:val="000000"/>
        </w:rPr>
        <w:t>A cytotoxicity assay using neoantigen-expressing tumor lines to understand the ability of neoantigen-specific CD8</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T cell responses to</w:t>
      </w:r>
      <w:r>
        <w:rPr>
          <w:rFonts w:ascii="Arial" w:cs="Arial" w:eastAsia="Arial" w:hAnsi="Arial"/>
          <w:sz w:val="17"/>
          <w:szCs w:val="17"/>
          <w:color w:val="045A63"/>
        </w:rPr>
        <w:t xml:space="preserve"> </w:t>
      </w:r>
      <w:r>
        <w:rPr>
          <w:rFonts w:ascii="Arial" w:cs="Arial" w:eastAsia="Arial" w:hAnsi="Arial"/>
          <w:sz w:val="17"/>
          <w:szCs w:val="17"/>
          <w:color w:val="000000"/>
        </w:rPr>
        <w:t>recognize and kill target cells in response to naturally processed and presented or exogenously loaded antigen.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399A7A"/>
        </w:rPr>
        <w:t xml:space="preserve">Figure 1: </w:t>
      </w:r>
      <w:r>
        <w:rPr>
          <w:rFonts w:ascii="Arial" w:cs="Arial" w:eastAsia="Arial" w:hAnsi="Arial"/>
          <w:sz w:val="17"/>
          <w:szCs w:val="17"/>
          <w:b w:val="1"/>
          <w:bCs w:val="1"/>
          <w:color w:val="000000"/>
        </w:rPr>
        <w:t>NEO-PTC-01 Product Opportunity</w:t>
      </w:r>
    </w:p>
    <w:p>
      <w:pPr>
        <w:sectPr>
          <w:pgSz w:w="11900" w:h="16838" w:orient="portrait"/>
          <w:cols w:equalWidth="0" w:num="1">
            <w:col w:w="11200"/>
          </w:cols>
          <w:pgMar w:left="320" w:top="351" w:right="37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5547995" cy="5588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547995" cy="558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045A63"/>
        </w:rPr>
        <w:t xml:space="preserve">1A: </w:t>
      </w:r>
      <w:r>
        <w:rPr>
          <w:rFonts w:ascii="Arial" w:cs="Arial" w:eastAsia="Arial" w:hAnsi="Arial"/>
          <w:sz w:val="17"/>
          <w:szCs w:val="17"/>
          <w:color w:val="045A63"/>
        </w:rPr>
        <w:t>NEO-PTC-01 manufacturing process overview.</w:t>
      </w:r>
      <w:r>
        <w:rPr>
          <w:rFonts w:ascii="Arial" w:cs="Arial" w:eastAsia="Arial" w:hAnsi="Arial"/>
          <w:sz w:val="17"/>
          <w:szCs w:val="17"/>
          <w:b w:val="1"/>
          <w:bCs w:val="1"/>
          <w:color w:val="045A63"/>
        </w:rPr>
        <w:t xml:space="preserve"> 1B: </w:t>
      </w:r>
      <w:r>
        <w:rPr>
          <w:rFonts w:ascii="Arial" w:cs="Arial" w:eastAsia="Arial" w:hAnsi="Arial"/>
          <w:sz w:val="17"/>
          <w:szCs w:val="17"/>
          <w:color w:val="045A63"/>
        </w:rPr>
        <w:t>NEO-PTC-01 product characteristics.</w:t>
      </w:r>
      <w:r>
        <w:rPr>
          <w:rFonts w:ascii="Arial" w:cs="Arial" w:eastAsia="Arial" w:hAnsi="Arial"/>
          <w:sz w:val="17"/>
          <w:szCs w:val="17"/>
          <w:b w:val="1"/>
          <w:bCs w:val="1"/>
          <w:color w:val="045A63"/>
        </w:rPr>
        <w:t xml:space="preserve"> 1C: </w:t>
      </w:r>
      <w:r>
        <w:rPr>
          <w:rFonts w:ascii="Arial" w:cs="Arial" w:eastAsia="Arial" w:hAnsi="Arial"/>
          <w:sz w:val="17"/>
          <w:szCs w:val="17"/>
          <w:color w:val="045A63"/>
        </w:rPr>
        <w:t>Successes and challenges of other cell therapy</w:t>
      </w:r>
      <w:r>
        <w:rPr>
          <w:rFonts w:ascii="Arial" w:cs="Arial" w:eastAsia="Arial" w:hAnsi="Arial"/>
          <w:sz w:val="17"/>
          <w:szCs w:val="17"/>
          <w:b w:val="1"/>
          <w:bCs w:val="1"/>
          <w:color w:val="045A63"/>
        </w:rPr>
        <w:t xml:space="preserve"> </w:t>
      </w:r>
      <w:r>
        <w:rPr>
          <w:rFonts w:ascii="Arial" w:cs="Arial" w:eastAsia="Arial" w:hAnsi="Arial"/>
          <w:sz w:val="17"/>
          <w:szCs w:val="17"/>
          <w:color w:val="045A63"/>
        </w:rPr>
        <w:t>modalities.</w:t>
      </w:r>
    </w:p>
    <w:p>
      <w:pPr>
        <w:spacing w:after="0" w:line="29"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b w:val="1"/>
          <w:bCs w:val="1"/>
          <w:color w:val="045A63"/>
        </w:rPr>
        <w:t xml:space="preserve">Abbreviations: </w:t>
      </w:r>
      <w:r>
        <w:rPr>
          <w:rFonts w:ascii="Arial" w:cs="Arial" w:eastAsia="Arial" w:hAnsi="Arial"/>
          <w:sz w:val="17"/>
          <w:szCs w:val="17"/>
          <w:color w:val="000000"/>
        </w:rPr>
        <w:t>APC = antigen-presenting cell; CD = Cluster of Differentiation; DC = dendritic cell; FDR = false discovery rate; HLA = human</w:t>
      </w:r>
      <w:r>
        <w:rPr>
          <w:rFonts w:ascii="Arial" w:cs="Arial" w:eastAsia="Arial" w:hAnsi="Arial"/>
          <w:sz w:val="17"/>
          <w:szCs w:val="17"/>
          <w:b w:val="1"/>
          <w:bCs w:val="1"/>
          <w:color w:val="045A63"/>
        </w:rPr>
        <w:t xml:space="preserve"> </w:t>
      </w:r>
      <w:r>
        <w:rPr>
          <w:rFonts w:ascii="Arial" w:cs="Arial" w:eastAsia="Arial" w:hAnsi="Arial"/>
          <w:sz w:val="17"/>
          <w:szCs w:val="17"/>
          <w:color w:val="000000"/>
        </w:rPr>
        <w:t>leukocyte antigen; IFN-</w:t>
      </w:r>
      <w:r>
        <w:rPr>
          <w:rFonts w:ascii="Times New Roman" w:cs="Times New Roman" w:eastAsia="Times New Roman" w:hAnsi="Times New Roman"/>
          <w:sz w:val="17"/>
          <w:szCs w:val="17"/>
          <w:color w:val="000000"/>
        </w:rPr>
        <w:t>g</w:t>
      </w:r>
      <w:r>
        <w:rPr>
          <w:rFonts w:ascii="Arial" w:cs="Arial" w:eastAsia="Arial" w:hAnsi="Arial"/>
          <w:sz w:val="17"/>
          <w:szCs w:val="17"/>
          <w:color w:val="000000"/>
        </w:rPr>
        <w:t xml:space="preserve"> = interferon-gamma; IRB = institutional review board; NK = natural killer; ORR = objective response rate; PBMC = peripheral blood mononuclear cell;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pMHC = peptide major histocompatibility complex; TCR = T cell receptor; TNF</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 tumor necrosis factor alpha.</w:t>
      </w:r>
    </w:p>
    <w:p>
      <w:pPr>
        <w:sectPr>
          <w:pgSz w:w="11900" w:h="16838" w:orient="portrait"/>
          <w:cols w:equalWidth="0" w:num="1">
            <w:col w:w="11040"/>
          </w:cols>
          <w:pgMar w:left="320" w:top="1440" w:right="539" w:bottom="1440" w:gutter="0" w:footer="0" w:header="0"/>
        </w:sectPr>
      </w:pPr>
    </w:p>
    <w:bookmarkStart w:id="37" w:name="page38"/>
    <w:bookmarkEnd w:id="37"/>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180" cy="24765"/>
                    </a:xfrm>
                    <a:prstGeom prst="rect">
                      <a:avLst/>
                    </a:prstGeom>
                    <a:noFill/>
                  </pic:spPr>
                </pic:pic>
              </a:graphicData>
            </a:graphic>
          </wp:anchor>
        </w:drawing>
        <w:drawing>
          <wp:inline distT="0" distB="0" distL="0" distR="0">
            <wp:extent cx="57150" cy="12255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122555"/>
                    </a:xfrm>
                    <a:prstGeom prst="rect">
                      <a:avLst/>
                    </a:prstGeom>
                    <a:noFill/>
                    <a:ln>
                      <a:noFill/>
                    </a:ln>
                  </pic:spPr>
                </pic:pic>
              </a:graphicData>
            </a:graphic>
          </wp:inline>
        </w:drawing>
      </w:r>
      <w:r>
        <w:rPr>
          <w:rFonts w:ascii="Arial" w:cs="Arial" w:eastAsia="Arial" w:hAnsi="Arial"/>
          <w:sz w:val="17"/>
          <w:szCs w:val="17"/>
          <w:b w:val="1"/>
          <w:bCs w:val="1"/>
          <w:color w:val="FFFFFF"/>
        </w:rPr>
        <w:t>Results: Evaluation of the Process Engineering Runs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38670" cy="122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62" w:lineRule="exact"/>
        <w:rPr>
          <w:sz w:val="20"/>
          <w:szCs w:val="20"/>
          <w:color w:val="auto"/>
        </w:rPr>
      </w:pPr>
    </w:p>
    <w:p>
      <w:pPr>
        <w:ind w:left="320" w:right="120" w:hanging="214"/>
        <w:spacing w:after="0" w:line="280" w:lineRule="auto"/>
        <w:tabs>
          <w:tab w:leader="none" w:pos="320" w:val="left"/>
        </w:tabs>
        <w:numPr>
          <w:ilvl w:val="0"/>
          <w:numId w:val="47"/>
        </w:numPr>
        <w:rPr>
          <w:rFonts w:ascii="Arial" w:cs="Arial" w:eastAsia="Arial" w:hAnsi="Arial"/>
          <w:sz w:val="17"/>
          <w:szCs w:val="17"/>
          <w:color w:val="045A63"/>
        </w:rPr>
      </w:pPr>
      <w:r>
        <w:rPr>
          <w:rFonts w:ascii="Arial" w:cs="Arial" w:eastAsia="Arial" w:hAnsi="Arial"/>
          <w:sz w:val="17"/>
          <w:szCs w:val="17"/>
          <w:color w:val="auto"/>
        </w:rPr>
        <w:t>Preclinical development activities to inform manufacturing of NEO-PTC-01 successfully resulted in the execution of 5 process engineering runs using leukapheresis material of 3 metastatic melanoma patients and 2 healthy donors.</w:t>
      </w:r>
    </w:p>
    <w:p>
      <w:pPr>
        <w:spacing w:after="0" w:line="42" w:lineRule="exact"/>
        <w:rPr>
          <w:rFonts w:ascii="Arial" w:cs="Arial" w:eastAsia="Arial" w:hAnsi="Arial"/>
          <w:sz w:val="17"/>
          <w:szCs w:val="17"/>
          <w:color w:val="045A63"/>
        </w:rPr>
      </w:pPr>
    </w:p>
    <w:p>
      <w:pPr>
        <w:ind w:left="320" w:right="340" w:hanging="214"/>
        <w:spacing w:after="0" w:line="294" w:lineRule="auto"/>
        <w:tabs>
          <w:tab w:leader="none" w:pos="320" w:val="left"/>
        </w:tabs>
        <w:numPr>
          <w:ilvl w:val="0"/>
          <w:numId w:val="47"/>
        </w:numPr>
        <w:rPr>
          <w:rFonts w:ascii="Arial" w:cs="Arial" w:eastAsia="Arial" w:hAnsi="Arial"/>
          <w:sz w:val="17"/>
          <w:szCs w:val="17"/>
          <w:color w:val="045A63"/>
        </w:rPr>
      </w:pPr>
      <w:r>
        <w:rPr>
          <w:rFonts w:ascii="Arial" w:cs="Arial" w:eastAsia="Arial" w:hAnsi="Arial"/>
          <w:sz w:val="17"/>
          <w:szCs w:val="17"/>
          <w:color w:val="auto"/>
        </w:rPr>
        <w:t>The final drug product generated met the release specifications for all 5 process engineering runs (</w:t>
      </w:r>
      <w:r>
        <w:rPr>
          <w:rFonts w:ascii="Arial" w:cs="Arial" w:eastAsia="Arial" w:hAnsi="Arial"/>
          <w:sz w:val="17"/>
          <w:szCs w:val="17"/>
          <w:b w:val="1"/>
          <w:bCs w:val="1"/>
          <w:color w:val="045A63"/>
        </w:rPr>
        <w:t>Figure 2A</w:t>
      </w:r>
      <w:r>
        <w:rPr>
          <w:rFonts w:ascii="Arial" w:cs="Arial" w:eastAsia="Arial" w:hAnsi="Arial"/>
          <w:sz w:val="17"/>
          <w:szCs w:val="17"/>
          <w:color w:val="auto"/>
        </w:rPr>
        <w:t>). The majority of the final drug product consisted of CD3</w:t>
      </w:r>
      <w:r>
        <w:rPr>
          <w:rFonts w:ascii="Arial" w:cs="Arial" w:eastAsia="Arial" w:hAnsi="Arial"/>
          <w:sz w:val="14"/>
          <w:szCs w:val="14"/>
          <w:color w:val="auto"/>
        </w:rPr>
        <w:t>+</w:t>
      </w:r>
      <w:r>
        <w:rPr>
          <w:rFonts w:ascii="Arial" w:cs="Arial" w:eastAsia="Arial" w:hAnsi="Arial"/>
          <w:sz w:val="17"/>
          <w:szCs w:val="17"/>
          <w:color w:val="auto"/>
        </w:rPr>
        <w:t xml:space="preserve"> T cells (range: 60.0% to 90%). B cells, NK cells, and APCs made up the non-CD3</w:t>
      </w:r>
      <w:r>
        <w:rPr>
          <w:rFonts w:ascii="Arial" w:cs="Arial" w:eastAsia="Arial" w:hAnsi="Arial"/>
          <w:sz w:val="14"/>
          <w:szCs w:val="14"/>
          <w:color w:val="auto"/>
        </w:rPr>
        <w:t>+</w:t>
      </w:r>
      <w:r>
        <w:rPr>
          <w:rFonts w:ascii="Arial" w:cs="Arial" w:eastAsia="Arial" w:hAnsi="Arial"/>
          <w:sz w:val="17"/>
          <w:szCs w:val="17"/>
          <w:color w:val="auto"/>
        </w:rPr>
        <w:t xml:space="preserve"> fraction (</w:t>
      </w:r>
      <w:r>
        <w:rPr>
          <w:rFonts w:ascii="Arial" w:cs="Arial" w:eastAsia="Arial" w:hAnsi="Arial"/>
          <w:sz w:val="17"/>
          <w:szCs w:val="17"/>
          <w:b w:val="1"/>
          <w:bCs w:val="1"/>
          <w:color w:val="045A63"/>
        </w:rPr>
        <w:t>Figure 2B</w:t>
      </w:r>
      <w:r>
        <w:rPr>
          <w:rFonts w:ascii="Arial" w:cs="Arial" w:eastAsia="Arial" w:hAnsi="Arial"/>
          <w:sz w:val="17"/>
          <w:szCs w:val="17"/>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399A7A"/>
        </w:rPr>
        <w:t xml:space="preserve">Figure 2: </w:t>
      </w:r>
      <w:r>
        <w:rPr>
          <w:rFonts w:ascii="Arial" w:cs="Arial" w:eastAsia="Arial" w:hAnsi="Arial"/>
          <w:sz w:val="17"/>
          <w:szCs w:val="17"/>
          <w:b w:val="1"/>
          <w:bCs w:val="1"/>
          <w:color w:val="000000"/>
        </w:rPr>
        <w:t>NEO-PTC-01 is Successfully Manufactured in 5 Process Engineering Runs Using Melanoma Patient and Healthy Donor PBMCs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547995" cy="137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47995" cy="137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45A63"/>
        </w:rPr>
        <w:t xml:space="preserve">2A: </w:t>
      </w:r>
      <w:r>
        <w:rPr>
          <w:rFonts w:ascii="Arial" w:cs="Arial" w:eastAsia="Arial" w:hAnsi="Arial"/>
          <w:sz w:val="17"/>
          <w:szCs w:val="17"/>
          <w:color w:val="045A63"/>
        </w:rPr>
        <w:t>Release specifications for NEO-PTC-01 in process engineering runs.</w:t>
      </w:r>
      <w:r>
        <w:rPr>
          <w:rFonts w:ascii="Arial" w:cs="Arial" w:eastAsia="Arial" w:hAnsi="Arial"/>
          <w:sz w:val="17"/>
          <w:szCs w:val="17"/>
          <w:b w:val="1"/>
          <w:bCs w:val="1"/>
          <w:color w:val="045A63"/>
        </w:rPr>
        <w:t xml:space="preserve"> 2B: </w:t>
      </w:r>
      <w:r>
        <w:rPr>
          <w:rFonts w:ascii="Arial" w:cs="Arial" w:eastAsia="Arial" w:hAnsi="Arial"/>
          <w:sz w:val="17"/>
          <w:szCs w:val="17"/>
          <w:color w:val="045A63"/>
        </w:rPr>
        <w:t>Characterization of drug product by flow cytometry: CD3</w:t>
      </w:r>
      <w:r>
        <w:rPr>
          <w:rFonts w:ascii="Arial" w:cs="Arial" w:eastAsia="Arial" w:hAnsi="Arial"/>
          <w:sz w:val="14"/>
          <w:szCs w:val="14"/>
          <w:color w:val="045A63"/>
        </w:rPr>
        <w:t>+</w:t>
      </w:r>
      <w:r>
        <w:rPr>
          <w:rFonts w:ascii="Arial" w:cs="Arial" w:eastAsia="Arial" w:hAnsi="Arial"/>
          <w:sz w:val="17"/>
          <w:szCs w:val="17"/>
          <w:b w:val="1"/>
          <w:bCs w:val="1"/>
          <w:color w:val="045A63"/>
        </w:rPr>
        <w:t xml:space="preserve"> </w:t>
      </w:r>
      <w:r>
        <w:rPr>
          <w:rFonts w:ascii="Arial" w:cs="Arial" w:eastAsia="Arial" w:hAnsi="Arial"/>
          <w:sz w:val="17"/>
          <w:szCs w:val="17"/>
          <w:color w:val="045A63"/>
        </w:rPr>
        <w:t>as a fraction</w:t>
      </w:r>
      <w:r>
        <w:rPr>
          <w:rFonts w:ascii="Arial" w:cs="Arial" w:eastAsia="Arial" w:hAnsi="Arial"/>
          <w:sz w:val="17"/>
          <w:szCs w:val="17"/>
          <w:b w:val="1"/>
          <w:bCs w:val="1"/>
          <w:color w:val="045A63"/>
        </w:rPr>
        <w:t xml:space="preserve"> </w:t>
      </w:r>
      <w:r>
        <w:rPr>
          <w:rFonts w:ascii="Arial" w:cs="Arial" w:eastAsia="Arial" w:hAnsi="Arial"/>
          <w:sz w:val="17"/>
          <w:szCs w:val="17"/>
          <w:color w:val="045A63"/>
        </w:rPr>
        <w:t>of live cells and CD8</w:t>
      </w:r>
      <w:r>
        <w:rPr>
          <w:rFonts w:ascii="Arial" w:cs="Arial" w:eastAsia="Arial" w:hAnsi="Arial"/>
          <w:sz w:val="14"/>
          <w:szCs w:val="14"/>
          <w:color w:val="045A63"/>
        </w:rPr>
        <w:t>+</w:t>
      </w:r>
      <w:r>
        <w:rPr>
          <w:rFonts w:ascii="Arial" w:cs="Arial" w:eastAsia="Arial" w:hAnsi="Arial"/>
          <w:sz w:val="17"/>
          <w:szCs w:val="17"/>
          <w:color w:val="045A63"/>
        </w:rPr>
        <w:t xml:space="preserve"> and CD4</w:t>
      </w:r>
      <w:r>
        <w:rPr>
          <w:rFonts w:ascii="Arial" w:cs="Arial" w:eastAsia="Arial" w:hAnsi="Arial"/>
          <w:sz w:val="14"/>
          <w:szCs w:val="14"/>
          <w:color w:val="045A63"/>
        </w:rPr>
        <w:t>+</w:t>
      </w:r>
      <w:r>
        <w:rPr>
          <w:rFonts w:ascii="Arial" w:cs="Arial" w:eastAsia="Arial" w:hAnsi="Arial"/>
          <w:sz w:val="17"/>
          <w:szCs w:val="17"/>
          <w:color w:val="045A63"/>
        </w:rPr>
        <w:t xml:space="preserve"> as a fraction of live CD3</w:t>
      </w:r>
      <w:r>
        <w:rPr>
          <w:rFonts w:ascii="Arial" w:cs="Arial" w:eastAsia="Arial" w:hAnsi="Arial"/>
          <w:sz w:val="14"/>
          <w:szCs w:val="14"/>
          <w:color w:val="045A63"/>
        </w:rPr>
        <w:t>+</w:t>
      </w:r>
      <w:r>
        <w:rPr>
          <w:rFonts w:ascii="Arial" w:cs="Arial" w:eastAsia="Arial" w:hAnsi="Arial"/>
          <w:sz w:val="17"/>
          <w:szCs w:val="17"/>
          <w:color w:val="045A63"/>
        </w:rPr>
        <w:t xml:space="preserve"> T cells. Highlighted colors identifying each run in Figure 2B are carried through Figures 2, 3, and 5.</w:t>
      </w:r>
    </w:p>
    <w:p>
      <w:pPr>
        <w:spacing w:after="0" w:line="63" w:lineRule="exact"/>
        <w:rPr>
          <w:sz w:val="20"/>
          <w:szCs w:val="20"/>
          <w:color w:val="auto"/>
        </w:rPr>
      </w:pPr>
    </w:p>
    <w:p>
      <w:pPr>
        <w:ind w:left="320" w:right="560" w:hanging="214"/>
        <w:spacing w:after="0" w:line="292" w:lineRule="auto"/>
        <w:tabs>
          <w:tab w:leader="none" w:pos="320" w:val="left"/>
        </w:tabs>
        <w:numPr>
          <w:ilvl w:val="0"/>
          <w:numId w:val="48"/>
        </w:numPr>
        <w:rPr>
          <w:rFonts w:ascii="Arial" w:cs="Arial" w:eastAsia="Arial" w:hAnsi="Arial"/>
          <w:sz w:val="17"/>
          <w:szCs w:val="17"/>
          <w:color w:val="045A63"/>
        </w:rPr>
      </w:pPr>
      <w:r>
        <w:rPr>
          <w:rFonts w:ascii="Arial" w:cs="Arial" w:eastAsia="Arial" w:hAnsi="Arial"/>
          <w:sz w:val="17"/>
          <w:szCs w:val="17"/>
          <w:color w:val="auto"/>
        </w:rPr>
        <w:t>Twenty-nine CD8</w:t>
      </w:r>
      <w:r>
        <w:rPr>
          <w:rFonts w:ascii="Arial" w:cs="Arial" w:eastAsia="Arial" w:hAnsi="Arial"/>
          <w:sz w:val="14"/>
          <w:szCs w:val="14"/>
          <w:color w:val="auto"/>
        </w:rPr>
        <w:t>+</w:t>
      </w:r>
      <w:r>
        <w:rPr>
          <w:rFonts w:ascii="Arial" w:cs="Arial" w:eastAsia="Arial" w:hAnsi="Arial"/>
          <w:sz w:val="17"/>
          <w:szCs w:val="17"/>
          <w:color w:val="auto"/>
        </w:rPr>
        <w:t xml:space="preserve"> and 26 CD4</w:t>
      </w:r>
      <w:r>
        <w:rPr>
          <w:rFonts w:ascii="Arial" w:cs="Arial" w:eastAsia="Arial" w:hAnsi="Arial"/>
          <w:sz w:val="14"/>
          <w:szCs w:val="14"/>
          <w:color w:val="auto"/>
        </w:rPr>
        <w:t>+</w:t>
      </w:r>
      <w:r>
        <w:rPr>
          <w:rFonts w:ascii="Arial" w:cs="Arial" w:eastAsia="Arial" w:hAnsi="Arial"/>
          <w:sz w:val="17"/>
          <w:szCs w:val="17"/>
          <w:color w:val="auto"/>
        </w:rPr>
        <w:t xml:space="preserve"> T cell responses were induced from PBMCs (range 4-10 and 1-7 per patient for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cells, respectively, </w:t>
      </w:r>
      <w:r>
        <w:rPr>
          <w:rFonts w:ascii="Arial" w:cs="Arial" w:eastAsia="Arial" w:hAnsi="Arial"/>
          <w:sz w:val="17"/>
          <w:szCs w:val="17"/>
          <w:b w:val="1"/>
          <w:bCs w:val="1"/>
          <w:color w:val="045A63"/>
        </w:rPr>
        <w:t>Figures 3A</w:t>
      </w:r>
      <w:r>
        <w:rPr>
          <w:rFonts w:ascii="Arial" w:cs="Arial" w:eastAsia="Arial" w:hAnsi="Arial"/>
          <w:sz w:val="17"/>
          <w:szCs w:val="17"/>
          <w:color w:val="auto"/>
        </w:rPr>
        <w:t xml:space="preserve">, </w:t>
      </w:r>
      <w:r>
        <w:rPr>
          <w:rFonts w:ascii="Arial" w:cs="Arial" w:eastAsia="Arial" w:hAnsi="Arial"/>
          <w:sz w:val="17"/>
          <w:szCs w:val="17"/>
          <w:b w:val="1"/>
          <w:bCs w:val="1"/>
          <w:color w:val="045A63"/>
        </w:rPr>
        <w:t>3B</w:t>
      </w:r>
      <w:r>
        <w:rPr>
          <w:rFonts w:ascii="Arial" w:cs="Arial" w:eastAsia="Arial" w:hAnsi="Arial"/>
          <w:sz w:val="17"/>
          <w:szCs w:val="17"/>
          <w:color w:val="auto"/>
        </w:rPr>
        <w:t xml:space="preserve">, and </w:t>
      </w:r>
      <w:r>
        <w:rPr>
          <w:rFonts w:ascii="Arial" w:cs="Arial" w:eastAsia="Arial" w:hAnsi="Arial"/>
          <w:sz w:val="17"/>
          <w:szCs w:val="17"/>
          <w:b w:val="1"/>
          <w:bCs w:val="1"/>
          <w:color w:val="045A63"/>
        </w:rPr>
        <w:t>3D</w:t>
      </w:r>
      <w:r>
        <w:rPr>
          <w:rFonts w:ascii="Arial" w:cs="Arial" w:eastAsia="Arial" w:hAnsi="Arial"/>
          <w:sz w:val="17"/>
          <w:szCs w:val="17"/>
          <w:color w:val="auto"/>
        </w:rPr>
        <w:t>).</w:t>
      </w:r>
    </w:p>
    <w:p>
      <w:pPr>
        <w:spacing w:after="0" w:line="25" w:lineRule="exact"/>
        <w:rPr>
          <w:rFonts w:ascii="Arial" w:cs="Arial" w:eastAsia="Arial" w:hAnsi="Arial"/>
          <w:sz w:val="17"/>
          <w:szCs w:val="17"/>
          <w:color w:val="045A63"/>
        </w:rPr>
      </w:pPr>
    </w:p>
    <w:p>
      <w:pPr>
        <w:ind w:left="560" w:right="720" w:hanging="223"/>
        <w:spacing w:after="0" w:line="280" w:lineRule="auto"/>
        <w:tabs>
          <w:tab w:leader="none" w:pos="560" w:val="left"/>
        </w:tabs>
        <w:numPr>
          <w:ilvl w:val="1"/>
          <w:numId w:val="48"/>
        </w:numPr>
        <w:rPr>
          <w:rFonts w:ascii="Arial" w:cs="Arial" w:eastAsia="Arial" w:hAnsi="Arial"/>
          <w:sz w:val="17"/>
          <w:szCs w:val="17"/>
          <w:color w:val="045A63"/>
        </w:rPr>
      </w:pPr>
      <w:r>
        <w:rPr>
          <w:rFonts w:ascii="Arial" w:cs="Arial" w:eastAsia="Arial" w:hAnsi="Arial"/>
          <w:sz w:val="17"/>
          <w:szCs w:val="17"/>
          <w:color w:val="auto"/>
        </w:rPr>
        <w:t xml:space="preserve">All the T cell responses induced in the PBMCs from the melanoma patients are presumed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 cell responses; no pre-existing responses were detected in the unmanipulated starting material.</w:t>
      </w:r>
    </w:p>
    <w:p>
      <w:pPr>
        <w:spacing w:after="0" w:line="44" w:lineRule="exact"/>
        <w:rPr>
          <w:rFonts w:ascii="Arial" w:cs="Arial" w:eastAsia="Arial" w:hAnsi="Arial"/>
          <w:sz w:val="17"/>
          <w:szCs w:val="17"/>
          <w:color w:val="045A63"/>
        </w:rPr>
      </w:pPr>
    </w:p>
    <w:p>
      <w:pPr>
        <w:ind w:left="560" w:right="40" w:hanging="223"/>
        <w:spacing w:after="0" w:line="280" w:lineRule="auto"/>
        <w:tabs>
          <w:tab w:leader="none" w:pos="560" w:val="left"/>
        </w:tabs>
        <w:numPr>
          <w:ilvl w:val="1"/>
          <w:numId w:val="48"/>
        </w:numPr>
        <w:rPr>
          <w:rFonts w:ascii="Arial" w:cs="Arial" w:eastAsia="Arial" w:hAnsi="Arial"/>
          <w:sz w:val="17"/>
          <w:szCs w:val="17"/>
          <w:color w:val="045A63"/>
        </w:rPr>
      </w:pPr>
      <w:r>
        <w:rPr>
          <w:rFonts w:ascii="Arial" w:cs="Arial" w:eastAsia="Arial" w:hAnsi="Arial"/>
          <w:sz w:val="17"/>
          <w:szCs w:val="17"/>
          <w:color w:val="auto"/>
        </w:rPr>
        <w:t>This was also the case for the PBMCs from the healthy donors; however, one of the responses that was identified was toward MART</w:t>
      </w:r>
      <w:r>
        <w:rPr>
          <w:rFonts w:ascii="Arial" w:cs="Arial" w:eastAsia="Arial" w:hAnsi="Arial"/>
          <w:sz w:val="14"/>
          <w:szCs w:val="14"/>
          <w:color w:val="auto"/>
        </w:rPr>
        <w:t>1</w:t>
      </w:r>
      <w:r>
        <w:rPr>
          <w:rFonts w:ascii="Arial" w:cs="Arial" w:eastAsia="Arial" w:hAnsi="Arial"/>
          <w:sz w:val="17"/>
          <w:szCs w:val="17"/>
          <w:color w:val="auto"/>
        </w:rPr>
        <w:t>, which is known to have a high precursor frequency in peripheral blood.</w:t>
      </w:r>
      <w:r>
        <w:rPr>
          <w:rFonts w:ascii="Arial" w:cs="Arial" w:eastAsia="Arial" w:hAnsi="Arial"/>
          <w:sz w:val="14"/>
          <w:szCs w:val="14"/>
          <w:color w:val="auto"/>
        </w:rPr>
        <w:t>11</w:t>
      </w:r>
    </w:p>
    <w:p>
      <w:pPr>
        <w:spacing w:after="0" w:line="44" w:lineRule="exact"/>
        <w:rPr>
          <w:rFonts w:ascii="Arial" w:cs="Arial" w:eastAsia="Arial" w:hAnsi="Arial"/>
          <w:sz w:val="17"/>
          <w:szCs w:val="17"/>
          <w:color w:val="045A63"/>
        </w:rPr>
      </w:pPr>
    </w:p>
    <w:p>
      <w:pPr>
        <w:ind w:left="560" w:hanging="223"/>
        <w:spacing w:after="0"/>
        <w:tabs>
          <w:tab w:leader="none" w:pos="560" w:val="left"/>
        </w:tabs>
        <w:numPr>
          <w:ilvl w:val="1"/>
          <w:numId w:val="48"/>
        </w:numPr>
        <w:rPr>
          <w:rFonts w:ascii="Arial" w:cs="Arial" w:eastAsia="Arial" w:hAnsi="Arial"/>
          <w:sz w:val="17"/>
          <w:szCs w:val="17"/>
          <w:color w:val="045A63"/>
        </w:rPr>
      </w:pPr>
      <w:r>
        <w:rPr>
          <w:rFonts w:ascii="Arial" w:cs="Arial" w:eastAsia="Arial" w:hAnsi="Arial"/>
          <w:sz w:val="17"/>
          <w:szCs w:val="17"/>
          <w:color w:val="auto"/>
        </w:rPr>
        <w:t>As such, this process successfully induced T cell responses from the naive compartment.</w:t>
      </w:r>
    </w:p>
    <w:p>
      <w:pPr>
        <w:spacing w:after="0" w:line="112" w:lineRule="exact"/>
        <w:rPr>
          <w:rFonts w:ascii="Arial" w:cs="Arial" w:eastAsia="Arial" w:hAnsi="Arial"/>
          <w:sz w:val="17"/>
          <w:szCs w:val="17"/>
          <w:color w:val="045A63"/>
        </w:rPr>
      </w:pPr>
    </w:p>
    <w:p>
      <w:pPr>
        <w:ind w:left="320" w:right="60" w:hanging="214"/>
        <w:spacing w:after="0" w:line="280" w:lineRule="auto"/>
        <w:tabs>
          <w:tab w:leader="none" w:pos="320" w:val="left"/>
        </w:tabs>
        <w:numPr>
          <w:ilvl w:val="0"/>
          <w:numId w:val="48"/>
        </w:numPr>
        <w:rPr>
          <w:rFonts w:ascii="Arial" w:cs="Arial" w:eastAsia="Arial" w:hAnsi="Arial"/>
          <w:sz w:val="17"/>
          <w:szCs w:val="17"/>
          <w:color w:val="399A7A"/>
        </w:rPr>
      </w:pPr>
      <w:r>
        <w:rPr>
          <w:rFonts w:ascii="Arial" w:cs="Arial" w:eastAsia="Arial" w:hAnsi="Arial"/>
          <w:sz w:val="17"/>
          <w:szCs w:val="17"/>
          <w:color w:val="auto"/>
        </w:rPr>
        <w:t>Further characterization was performed to assess the polyfunctionality profile and the differentiation status of the NEO-STIM-induced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cells.</w:t>
      </w:r>
    </w:p>
    <w:p>
      <w:pPr>
        <w:spacing w:after="0" w:line="44" w:lineRule="exact"/>
        <w:rPr>
          <w:rFonts w:ascii="Arial" w:cs="Arial" w:eastAsia="Arial" w:hAnsi="Arial"/>
          <w:sz w:val="17"/>
          <w:szCs w:val="17"/>
          <w:color w:val="399A7A"/>
        </w:rPr>
      </w:pPr>
    </w:p>
    <w:p>
      <w:pPr>
        <w:ind w:left="560" w:right="860" w:hanging="223"/>
        <w:spacing w:after="0" w:line="280" w:lineRule="auto"/>
        <w:tabs>
          <w:tab w:leader="none" w:pos="560" w:val="left"/>
        </w:tabs>
        <w:numPr>
          <w:ilvl w:val="1"/>
          <w:numId w:val="48"/>
        </w:numPr>
        <w:rPr>
          <w:rFonts w:ascii="Arial" w:cs="Arial" w:eastAsia="Arial" w:hAnsi="Arial"/>
          <w:sz w:val="17"/>
          <w:szCs w:val="17"/>
          <w:color w:val="045A63"/>
        </w:rPr>
      </w:pPr>
      <w:r>
        <w:rPr>
          <w:rFonts w:ascii="Arial" w:cs="Arial" w:eastAsia="Arial" w:hAnsi="Arial"/>
          <w:sz w:val="17"/>
          <w:szCs w:val="17"/>
          <w:color w:val="auto"/>
        </w:rPr>
        <w:t>Upon re-challenge with mutant peptide-loaded DCs, neoantigen-specific T cells exhibited 1, 2, and/or 3 functions (examples of the polyfunctionality profile of the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 responses are shown in Figures 3C and 3E, respectively).</w:t>
      </w:r>
    </w:p>
    <w:p>
      <w:pPr>
        <w:spacing w:after="0" w:line="44" w:lineRule="exact"/>
        <w:rPr>
          <w:rFonts w:ascii="Arial" w:cs="Arial" w:eastAsia="Arial" w:hAnsi="Arial"/>
          <w:sz w:val="17"/>
          <w:szCs w:val="17"/>
          <w:color w:val="045A63"/>
        </w:rPr>
      </w:pPr>
    </w:p>
    <w:p>
      <w:pPr>
        <w:ind w:left="560" w:right="200" w:hanging="223"/>
        <w:spacing w:after="0" w:line="292" w:lineRule="auto"/>
        <w:tabs>
          <w:tab w:leader="none" w:pos="560" w:val="left"/>
        </w:tabs>
        <w:numPr>
          <w:ilvl w:val="1"/>
          <w:numId w:val="48"/>
        </w:numPr>
        <w:rPr>
          <w:rFonts w:ascii="Arial" w:cs="Arial" w:eastAsia="Arial" w:hAnsi="Arial"/>
          <w:sz w:val="17"/>
          <w:szCs w:val="17"/>
          <w:color w:val="045A63"/>
        </w:rPr>
      </w:pPr>
      <w:r>
        <w:rPr>
          <w:rFonts w:ascii="Arial" w:cs="Arial" w:eastAsia="Arial" w:hAnsi="Arial"/>
          <w:sz w:val="17"/>
          <w:szCs w:val="17"/>
          <w:color w:val="auto"/>
        </w:rPr>
        <w:t>Additionally, the differentiation status of the drug product was assessed. The majority of the NEO-STIM-induced T cells were of the effector memory and central memory phenotypes (</w:t>
      </w:r>
      <w:r>
        <w:rPr>
          <w:rFonts w:ascii="Arial" w:cs="Arial" w:eastAsia="Arial" w:hAnsi="Arial"/>
          <w:sz w:val="17"/>
          <w:szCs w:val="17"/>
          <w:b w:val="1"/>
          <w:bCs w:val="1"/>
          <w:color w:val="045A63"/>
        </w:rPr>
        <w:t>Figure 3F</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3: </w:t>
      </w:r>
      <w:r>
        <w:rPr>
          <w:rFonts w:ascii="Arial" w:cs="Arial" w:eastAsia="Arial" w:hAnsi="Arial"/>
          <w:sz w:val="17"/>
          <w:szCs w:val="17"/>
          <w:b w:val="1"/>
          <w:bCs w:val="1"/>
          <w:color w:val="000000"/>
        </w:rPr>
        <w:t>NEO-STIM Successfully Induces CD8</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and CD4</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547995" cy="49358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47995" cy="493585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045A63"/>
        </w:rPr>
        <w:t xml:space="preserve">3A: </w:t>
      </w:r>
      <w:r>
        <w:rPr>
          <w:rFonts w:ascii="Arial" w:cs="Arial" w:eastAsia="Arial" w:hAnsi="Arial"/>
          <w:sz w:val="17"/>
          <w:szCs w:val="17"/>
          <w:color w:val="045A63"/>
        </w:rPr>
        <w:t>Summary of induced CD8</w:t>
      </w:r>
      <w:r>
        <w:rPr>
          <w:rFonts w:ascii="Arial" w:cs="Arial" w:eastAsia="Arial" w:hAnsi="Arial"/>
          <w:sz w:val="14"/>
          <w:szCs w:val="14"/>
          <w:color w:val="045A63"/>
        </w:rPr>
        <w:t>+</w:t>
      </w:r>
      <w:r>
        <w:rPr>
          <w:rFonts w:ascii="Arial" w:cs="Arial" w:eastAsia="Arial" w:hAnsi="Arial"/>
          <w:sz w:val="17"/>
          <w:szCs w:val="17"/>
          <w:b w:val="1"/>
          <w:bCs w:val="1"/>
          <w:color w:val="045A63"/>
        </w:rPr>
        <w:t xml:space="preserve"> </w:t>
      </w:r>
      <w:r>
        <w:rPr>
          <w:rFonts w:ascii="Arial" w:cs="Arial" w:eastAsia="Arial" w:hAnsi="Arial"/>
          <w:sz w:val="17"/>
          <w:szCs w:val="17"/>
          <w:color w:val="045A63"/>
        </w:rPr>
        <w:t>and CD4</w:t>
      </w:r>
      <w:r>
        <w:rPr>
          <w:rFonts w:ascii="Arial" w:cs="Arial" w:eastAsia="Arial" w:hAnsi="Arial"/>
          <w:sz w:val="14"/>
          <w:szCs w:val="14"/>
          <w:color w:val="045A63"/>
        </w:rPr>
        <w:t>+</w:t>
      </w:r>
      <w:r>
        <w:rPr>
          <w:rFonts w:ascii="Arial" w:cs="Arial" w:eastAsia="Arial" w:hAnsi="Arial"/>
          <w:sz w:val="17"/>
          <w:szCs w:val="17"/>
          <w:b w:val="1"/>
          <w:bCs w:val="1"/>
          <w:color w:val="045A63"/>
        </w:rPr>
        <w:t xml:space="preserve"> </w:t>
      </w:r>
      <w:r>
        <w:rPr>
          <w:rFonts w:ascii="Arial" w:cs="Arial" w:eastAsia="Arial" w:hAnsi="Arial"/>
          <w:sz w:val="17"/>
          <w:szCs w:val="17"/>
          <w:color w:val="045A63"/>
        </w:rPr>
        <w:t>T cell responses post NEO-STIM. Patient-specific neoantigens were used for melanoma patients. Model</w:t>
      </w:r>
    </w:p>
    <w:p>
      <w:pPr>
        <w:spacing w:after="0" w:line="20"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045A63"/>
        </w:rPr>
        <w:t xml:space="preserve">(neo)antigens were used for the healthy donor. </w:t>
      </w:r>
      <w:r>
        <w:rPr>
          <w:rFonts w:ascii="Arial" w:cs="Arial" w:eastAsia="Arial" w:hAnsi="Arial"/>
          <w:sz w:val="17"/>
          <w:szCs w:val="17"/>
          <w:b w:val="1"/>
          <w:bCs w:val="1"/>
          <w:color w:val="045A63"/>
        </w:rPr>
        <w:t>3B/3D:</w:t>
      </w:r>
      <w:r>
        <w:rPr>
          <w:rFonts w:ascii="Arial" w:cs="Arial" w:eastAsia="Arial" w:hAnsi="Arial"/>
          <w:sz w:val="17"/>
          <w:szCs w:val="17"/>
          <w:color w:val="045A63"/>
        </w:rPr>
        <w:t xml:space="preserve"> Each datapoint in the graph represents the frequency of antigen-specific T cells (% of pMHC</w:t>
      </w:r>
      <w:r>
        <w:rPr>
          <w:rFonts w:ascii="Arial" w:cs="Arial" w:eastAsia="Arial" w:hAnsi="Arial"/>
          <w:sz w:val="14"/>
          <w:szCs w:val="14"/>
          <w:color w:val="045A63"/>
        </w:rPr>
        <w:t>+</w:t>
      </w:r>
      <w:r>
        <w:rPr>
          <w:rFonts w:ascii="Arial" w:cs="Arial" w:eastAsia="Arial" w:hAnsi="Arial"/>
          <w:sz w:val="17"/>
          <w:szCs w:val="17"/>
          <w:color w:val="045A63"/>
        </w:rPr>
        <w:t xml:space="preserve"> CD8</w:t>
      </w:r>
      <w:r>
        <w:rPr>
          <w:rFonts w:ascii="Arial" w:cs="Arial" w:eastAsia="Arial" w:hAnsi="Arial"/>
          <w:sz w:val="14"/>
          <w:szCs w:val="14"/>
          <w:color w:val="045A63"/>
        </w:rPr>
        <w:t>+</w:t>
      </w:r>
      <w:r>
        <w:rPr>
          <w:rFonts w:ascii="Arial" w:cs="Arial" w:eastAsia="Arial" w:hAnsi="Arial"/>
          <w:sz w:val="17"/>
          <w:szCs w:val="17"/>
          <w:color w:val="045A63"/>
        </w:rPr>
        <w:t xml:space="preserve"> or delta of IFN-</w:t>
      </w:r>
      <w:r>
        <w:rPr>
          <w:rFonts w:ascii="Times New Roman" w:cs="Times New Roman" w:eastAsia="Times New Roman" w:hAnsi="Times New Roman"/>
          <w:sz w:val="17"/>
          <w:szCs w:val="17"/>
          <w:color w:val="045A63"/>
        </w:rPr>
        <w:t>g</w:t>
      </w:r>
      <w:r>
        <w:rPr>
          <w:rFonts w:ascii="Arial" w:cs="Arial" w:eastAsia="Arial" w:hAnsi="Arial"/>
          <w:sz w:val="17"/>
          <w:szCs w:val="17"/>
          <w:color w:val="045A63"/>
        </w:rPr>
        <w:t xml:space="preserve"> and/or TNF</w:t>
      </w:r>
      <w:r>
        <w:rPr>
          <w:rFonts w:ascii="Times New Roman" w:cs="Times New Roman" w:eastAsia="Times New Roman" w:hAnsi="Times New Roman"/>
          <w:sz w:val="17"/>
          <w:szCs w:val="17"/>
          <w:color w:val="045A63"/>
        </w:rPr>
        <w:t>a</w:t>
      </w:r>
      <w:r>
        <w:rPr>
          <w:rFonts w:ascii="Arial" w:cs="Arial" w:eastAsia="Arial" w:hAnsi="Arial"/>
          <w:sz w:val="17"/>
          <w:szCs w:val="17"/>
          <w:color w:val="045A63"/>
        </w:rPr>
        <w:t xml:space="preserve"> [% of CD4</w:t>
      </w:r>
      <w:r>
        <w:rPr>
          <w:rFonts w:ascii="Arial" w:cs="Arial" w:eastAsia="Arial" w:hAnsi="Arial"/>
          <w:sz w:val="14"/>
          <w:szCs w:val="14"/>
          <w:color w:val="045A63"/>
        </w:rPr>
        <w:t>+</w:t>
      </w:r>
      <w:r>
        <w:rPr>
          <w:rFonts w:ascii="Arial" w:cs="Arial" w:eastAsia="Arial" w:hAnsi="Arial"/>
          <w:sz w:val="17"/>
          <w:szCs w:val="17"/>
          <w:color w:val="045A63"/>
        </w:rPr>
        <w:t>]) of an induced response in the final drug product (open symbols) and final NEO-STIM, pre-pooled product (closed symbols). Average values are depicted with horizontal lines (average value for ENG-03 in Figure 3D not shown as this value falls within the y-axis cutout). Example flow cytometry plots of functionality assessment of CD4</w:t>
      </w:r>
      <w:r>
        <w:rPr>
          <w:rFonts w:ascii="Arial" w:cs="Arial" w:eastAsia="Arial" w:hAnsi="Arial"/>
          <w:sz w:val="14"/>
          <w:szCs w:val="14"/>
          <w:color w:val="045A63"/>
        </w:rPr>
        <w:t>+</w:t>
      </w:r>
      <w:r>
        <w:rPr>
          <w:rFonts w:ascii="Arial" w:cs="Arial" w:eastAsia="Arial" w:hAnsi="Arial"/>
          <w:sz w:val="17"/>
          <w:szCs w:val="17"/>
          <w:color w:val="045A63"/>
        </w:rPr>
        <w:t xml:space="preserve"> T cells are shown in 3D. </w:t>
      </w:r>
      <w:r>
        <w:rPr>
          <w:rFonts w:ascii="Arial" w:cs="Arial" w:eastAsia="Arial" w:hAnsi="Arial"/>
          <w:sz w:val="17"/>
          <w:szCs w:val="17"/>
          <w:b w:val="1"/>
          <w:bCs w:val="1"/>
          <w:color w:val="045A63"/>
        </w:rPr>
        <w:t>3C/3E:</w:t>
      </w:r>
      <w:r>
        <w:rPr>
          <w:rFonts w:ascii="Arial" w:cs="Arial" w:eastAsia="Arial" w:hAnsi="Arial"/>
          <w:sz w:val="17"/>
          <w:szCs w:val="17"/>
          <w:color w:val="045A63"/>
        </w:rPr>
        <w:t xml:space="preserve"> Flow cytometry plots indicating the pMHC</w:t>
      </w:r>
      <w:r>
        <w:rPr>
          <w:rFonts w:ascii="Arial" w:cs="Arial" w:eastAsia="Arial" w:hAnsi="Arial"/>
          <w:sz w:val="14"/>
          <w:szCs w:val="14"/>
          <w:color w:val="045A63"/>
        </w:rPr>
        <w:t>+</w:t>
      </w:r>
      <w:r>
        <w:rPr>
          <w:rFonts w:ascii="Arial" w:cs="Arial" w:eastAsia="Arial" w:hAnsi="Arial"/>
          <w:sz w:val="17"/>
          <w:szCs w:val="17"/>
          <w:color w:val="045A63"/>
        </w:rPr>
        <w:t xml:space="preserve"> fraction (% of CD8</w:t>
      </w:r>
      <w:r>
        <w:rPr>
          <w:rFonts w:ascii="Arial" w:cs="Arial" w:eastAsia="Arial" w:hAnsi="Arial"/>
          <w:sz w:val="14"/>
          <w:szCs w:val="14"/>
          <w:color w:val="045A63"/>
        </w:rPr>
        <w:t>+</w:t>
      </w:r>
      <w:r>
        <w:rPr>
          <w:rFonts w:ascii="Arial" w:cs="Arial" w:eastAsia="Arial" w:hAnsi="Arial"/>
          <w:sz w:val="17"/>
          <w:szCs w:val="17"/>
          <w:color w:val="045A63"/>
        </w:rPr>
        <w:t>). Pie charts and bar charts depict the polyfunctionality of identified pMHC</w:t>
      </w:r>
      <w:r>
        <w:rPr>
          <w:rFonts w:ascii="Arial" w:cs="Arial" w:eastAsia="Arial" w:hAnsi="Arial"/>
          <w:sz w:val="14"/>
          <w:szCs w:val="14"/>
          <w:color w:val="045A63"/>
        </w:rPr>
        <w:t>+</w:t>
      </w:r>
      <w:r>
        <w:rPr>
          <w:rFonts w:ascii="Arial" w:cs="Arial" w:eastAsia="Arial" w:hAnsi="Arial"/>
          <w:sz w:val="17"/>
          <w:szCs w:val="17"/>
          <w:color w:val="045A63"/>
        </w:rPr>
        <w:t xml:space="preserve"> CD8</w:t>
      </w:r>
      <w:r>
        <w:rPr>
          <w:rFonts w:ascii="Arial" w:cs="Arial" w:eastAsia="Arial" w:hAnsi="Arial"/>
          <w:sz w:val="14"/>
          <w:szCs w:val="14"/>
          <w:color w:val="045A63"/>
        </w:rPr>
        <w:t>+</w:t>
      </w:r>
      <w:r>
        <w:rPr>
          <w:rFonts w:ascii="Arial" w:cs="Arial" w:eastAsia="Arial" w:hAnsi="Arial"/>
          <w:sz w:val="17"/>
          <w:szCs w:val="17"/>
          <w:color w:val="045A63"/>
        </w:rPr>
        <w:t xml:space="preserve"> T cells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045A63"/>
        </w:rPr>
        <w:t xml:space="preserve">(3C) and identified CD4+ T cells (3E), respectively, upon re-challenge with mutant neoantigen-loaded DCs (+) as compared to unloaded DCs (-). </w:t>
      </w:r>
      <w:r>
        <w:rPr>
          <w:rFonts w:ascii="Arial" w:cs="Arial" w:eastAsia="Arial" w:hAnsi="Arial"/>
          <w:sz w:val="17"/>
          <w:szCs w:val="17"/>
          <w:b w:val="1"/>
          <w:bCs w:val="1"/>
          <w:color w:val="045A63"/>
        </w:rPr>
        <w:t>3F:</w:t>
      </w:r>
      <w:r>
        <w:rPr>
          <w:rFonts w:ascii="Arial" w:cs="Arial" w:eastAsia="Arial" w:hAnsi="Arial"/>
          <w:sz w:val="17"/>
          <w:szCs w:val="17"/>
          <w:color w:val="045A63"/>
        </w:rPr>
        <w:t xml:space="preserve"> Bar graphs indicate fraction of T cells with specified differentiation status. Central memory T cells (T</w:t>
      </w:r>
      <w:r>
        <w:rPr>
          <w:rFonts w:ascii="Arial" w:cs="Arial" w:eastAsia="Arial" w:hAnsi="Arial"/>
          <w:sz w:val="14"/>
          <w:szCs w:val="14"/>
          <w:color w:val="045A63"/>
        </w:rPr>
        <w:t>cm</w:t>
      </w:r>
      <w:r>
        <w:rPr>
          <w:rFonts w:ascii="Arial" w:cs="Arial" w:eastAsia="Arial" w:hAnsi="Arial"/>
          <w:sz w:val="17"/>
          <w:szCs w:val="17"/>
          <w:color w:val="045A63"/>
        </w:rPr>
        <w:t>): CD62L</w:t>
      </w:r>
      <w:r>
        <w:rPr>
          <w:rFonts w:ascii="Arial" w:cs="Arial" w:eastAsia="Arial" w:hAnsi="Arial"/>
          <w:sz w:val="14"/>
          <w:szCs w:val="14"/>
          <w:color w:val="045A63"/>
        </w:rPr>
        <w:t>+</w:t>
      </w:r>
      <w:r>
        <w:rPr>
          <w:rFonts w:ascii="Arial" w:cs="Arial" w:eastAsia="Arial" w:hAnsi="Arial"/>
          <w:sz w:val="17"/>
          <w:szCs w:val="17"/>
          <w:color w:val="045A63"/>
        </w:rPr>
        <w:t xml:space="preserve"> CD45RA</w:t>
      </w:r>
      <w:r>
        <w:rPr>
          <w:rFonts w:ascii="Arial" w:cs="Arial" w:eastAsia="Arial" w:hAnsi="Arial"/>
          <w:sz w:val="14"/>
          <w:szCs w:val="14"/>
          <w:color w:val="045A63"/>
        </w:rPr>
        <w:t>-</w:t>
      </w:r>
      <w:r>
        <w:rPr>
          <w:rFonts w:ascii="Arial" w:cs="Arial" w:eastAsia="Arial" w:hAnsi="Arial"/>
          <w:sz w:val="17"/>
          <w:szCs w:val="17"/>
          <w:color w:val="045A63"/>
        </w:rPr>
        <w:t>, Effector Memory T cells (T</w:t>
      </w:r>
      <w:r>
        <w:rPr>
          <w:rFonts w:ascii="Arial" w:cs="Arial" w:eastAsia="Arial" w:hAnsi="Arial"/>
          <w:sz w:val="14"/>
          <w:szCs w:val="14"/>
          <w:color w:val="045A63"/>
        </w:rPr>
        <w:t>em</w:t>
      </w:r>
      <w:r>
        <w:rPr>
          <w:rFonts w:ascii="Arial" w:cs="Arial" w:eastAsia="Arial" w:hAnsi="Arial"/>
          <w:sz w:val="17"/>
          <w:szCs w:val="17"/>
          <w:color w:val="045A63"/>
        </w:rPr>
        <w:t>): CD62L- CD45RA-, Effector T cells (T</w:t>
      </w:r>
      <w:r>
        <w:rPr>
          <w:rFonts w:ascii="Arial" w:cs="Arial" w:eastAsia="Arial" w:hAnsi="Arial"/>
          <w:sz w:val="14"/>
          <w:szCs w:val="14"/>
          <w:color w:val="045A63"/>
        </w:rPr>
        <w:t>eff</w:t>
      </w:r>
      <w:r>
        <w:rPr>
          <w:rFonts w:ascii="Arial" w:cs="Arial" w:eastAsia="Arial" w:hAnsi="Arial"/>
          <w:sz w:val="17"/>
          <w:szCs w:val="17"/>
          <w:color w:val="045A63"/>
        </w:rPr>
        <w:t>): CD62L</w:t>
      </w:r>
      <w:r>
        <w:rPr>
          <w:rFonts w:ascii="Arial" w:cs="Arial" w:eastAsia="Arial" w:hAnsi="Arial"/>
          <w:sz w:val="14"/>
          <w:szCs w:val="14"/>
          <w:color w:val="045A63"/>
        </w:rPr>
        <w:t>-</w:t>
      </w:r>
      <w:r>
        <w:rPr>
          <w:rFonts w:ascii="Arial" w:cs="Arial" w:eastAsia="Arial" w:hAnsi="Arial"/>
          <w:sz w:val="17"/>
          <w:szCs w:val="17"/>
          <w:color w:val="045A63"/>
        </w:rPr>
        <w:t xml:space="preserve"> CD45RA</w:t>
      </w:r>
      <w:r>
        <w:rPr>
          <w:rFonts w:ascii="Arial" w:cs="Arial" w:eastAsia="Arial" w:hAnsi="Arial"/>
          <w:sz w:val="14"/>
          <w:szCs w:val="14"/>
          <w:color w:val="045A63"/>
        </w:rPr>
        <w:t>+</w:t>
      </w:r>
      <w:r>
        <w:rPr>
          <w:rFonts w:ascii="Arial" w:cs="Arial" w:eastAsia="Arial" w:hAnsi="Arial"/>
          <w:sz w:val="17"/>
          <w:szCs w:val="17"/>
          <w:color w:val="045A63"/>
        </w:rPr>
        <w:t>, naive T cells (T</w:t>
      </w:r>
      <w:r>
        <w:rPr>
          <w:rFonts w:ascii="Arial" w:cs="Arial" w:eastAsia="Arial" w:hAnsi="Arial"/>
          <w:sz w:val="14"/>
          <w:szCs w:val="14"/>
          <w:color w:val="045A63"/>
        </w:rPr>
        <w:t>na</w:t>
      </w:r>
      <w:r>
        <w:rPr>
          <w:rFonts w:ascii="Arial" w:cs="Arial" w:eastAsia="Arial" w:hAnsi="Arial"/>
          <w:sz w:val="11"/>
          <w:szCs w:val="11"/>
          <w:color w:val="045A63"/>
        </w:rPr>
        <w:t>ï</w:t>
      </w:r>
      <w:r>
        <w:rPr>
          <w:rFonts w:ascii="Arial" w:cs="Arial" w:eastAsia="Arial" w:hAnsi="Arial"/>
          <w:sz w:val="14"/>
          <w:szCs w:val="14"/>
          <w:color w:val="045A63"/>
        </w:rPr>
        <w:t>ive</w:t>
      </w:r>
      <w:r>
        <w:rPr>
          <w:rFonts w:ascii="Arial" w:cs="Arial" w:eastAsia="Arial" w:hAnsi="Arial"/>
          <w:sz w:val="17"/>
          <w:szCs w:val="17"/>
          <w:color w:val="045A63"/>
        </w:rPr>
        <w:t>): CD62L</w:t>
      </w:r>
      <w:r>
        <w:rPr>
          <w:rFonts w:ascii="Arial" w:cs="Arial" w:eastAsia="Arial" w:hAnsi="Arial"/>
          <w:sz w:val="14"/>
          <w:szCs w:val="14"/>
          <w:color w:val="045A63"/>
        </w:rPr>
        <w:t>+</w:t>
      </w:r>
      <w:r>
        <w:rPr>
          <w:rFonts w:ascii="Arial" w:cs="Arial" w:eastAsia="Arial" w:hAnsi="Arial"/>
          <w:sz w:val="17"/>
          <w:szCs w:val="17"/>
          <w:color w:val="045A63"/>
        </w:rPr>
        <w:t xml:space="preserve"> CD45RA</w:t>
      </w:r>
      <w:r>
        <w:rPr>
          <w:rFonts w:ascii="Arial" w:cs="Arial" w:eastAsia="Arial" w:hAnsi="Arial"/>
          <w:sz w:val="14"/>
          <w:szCs w:val="14"/>
          <w:color w:val="045A63"/>
        </w:rPr>
        <w:t>+</w:t>
      </w:r>
      <w:r>
        <w:rPr>
          <w:rFonts w:ascii="Arial" w:cs="Arial" w:eastAsia="Arial" w:hAnsi="Arial"/>
          <w:sz w:val="17"/>
          <w:szCs w:val="17"/>
          <w:color w:val="045A63"/>
        </w:rPr>
        <w:t>.</w:t>
      </w:r>
    </w:p>
    <w:p>
      <w:pPr>
        <w:sectPr>
          <w:pgSz w:w="11900" w:h="16838" w:orient="portrait"/>
          <w:cols w:equalWidth="0" w:num="1">
            <w:col w:w="11220"/>
          </w:cols>
          <w:pgMar w:left="320" w:top="116" w:right="359" w:bottom="1440" w:gutter="0" w:footer="0" w:header="0"/>
        </w:sectPr>
      </w:pPr>
    </w:p>
    <w:bookmarkStart w:id="39" w:name="page40"/>
    <w:bookmarkEnd w:id="39"/>
    <w:p>
      <w:pPr>
        <w:ind w:left="320" w:hanging="214"/>
        <w:spacing w:after="0"/>
        <w:tabs>
          <w:tab w:leader="none" w:pos="320" w:val="left"/>
        </w:tabs>
        <w:numPr>
          <w:ilvl w:val="0"/>
          <w:numId w:val="49"/>
        </w:numPr>
        <w:rPr>
          <w:rFonts w:ascii="Arial" w:cs="Arial" w:eastAsia="Arial" w:hAnsi="Arial"/>
          <w:sz w:val="17"/>
          <w:szCs w:val="17"/>
          <w:color w:val="045A63"/>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180" cy="24765"/>
                    </a:xfrm>
                    <a:prstGeom prst="rect">
                      <a:avLst/>
                    </a:prstGeom>
                    <a:noFill/>
                  </pic:spPr>
                </pic:pic>
              </a:graphicData>
            </a:graphic>
          </wp:anchor>
        </w:drawing>
        <w:t>The NEO-STIM-induced T cell responses were shown to be highly specific for the mutant epitope.</w:t>
      </w:r>
    </w:p>
    <w:p>
      <w:pPr>
        <w:spacing w:after="0" w:line="110" w:lineRule="exact"/>
        <w:rPr>
          <w:rFonts w:ascii="Arial" w:cs="Arial" w:eastAsia="Arial" w:hAnsi="Arial"/>
          <w:sz w:val="17"/>
          <w:szCs w:val="17"/>
          <w:color w:val="045A63"/>
        </w:rPr>
      </w:pPr>
    </w:p>
    <w:p>
      <w:pPr>
        <w:ind w:left="560" w:hanging="223"/>
        <w:spacing w:after="0"/>
        <w:tabs>
          <w:tab w:leader="none" w:pos="560" w:val="left"/>
        </w:tabs>
        <w:numPr>
          <w:ilvl w:val="1"/>
          <w:numId w:val="49"/>
        </w:numPr>
        <w:rPr>
          <w:rFonts w:ascii="Arial" w:cs="Arial" w:eastAsia="Arial" w:hAnsi="Arial"/>
          <w:sz w:val="17"/>
          <w:szCs w:val="17"/>
          <w:color w:val="045A63"/>
        </w:rPr>
      </w:pPr>
      <w:r>
        <w:rPr>
          <w:rFonts w:ascii="Arial" w:cs="Arial" w:eastAsia="Arial" w:hAnsi="Arial"/>
          <w:sz w:val="17"/>
          <w:szCs w:val="17"/>
          <w:color w:val="auto"/>
        </w:rPr>
        <w:t>The specificities of the induced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 responses were assessed and assigned to 2 categories (</w:t>
      </w:r>
      <w:r>
        <w:rPr>
          <w:rFonts w:ascii="Arial" w:cs="Arial" w:eastAsia="Arial" w:hAnsi="Arial"/>
          <w:sz w:val="17"/>
          <w:szCs w:val="17"/>
          <w:b w:val="1"/>
          <w:bCs w:val="1"/>
          <w:color w:val="045A63"/>
        </w:rPr>
        <w:t>Figures 4A</w:t>
      </w:r>
      <w:r>
        <w:rPr>
          <w:rFonts w:ascii="Arial" w:cs="Arial" w:eastAsia="Arial" w:hAnsi="Arial"/>
          <w:sz w:val="17"/>
          <w:szCs w:val="17"/>
          <w:color w:val="auto"/>
        </w:rPr>
        <w:t xml:space="preserve"> and </w:t>
      </w:r>
      <w:r>
        <w:rPr>
          <w:rFonts w:ascii="Arial" w:cs="Arial" w:eastAsia="Arial" w:hAnsi="Arial"/>
          <w:sz w:val="17"/>
          <w:szCs w:val="17"/>
          <w:b w:val="1"/>
          <w:bCs w:val="1"/>
          <w:color w:val="045A63"/>
        </w:rPr>
        <w:t>4B</w:t>
      </w:r>
      <w:r>
        <w:rPr>
          <w:rFonts w:ascii="Arial" w:cs="Arial" w:eastAsia="Arial" w:hAnsi="Arial"/>
          <w:sz w:val="17"/>
          <w:szCs w:val="17"/>
          <w:color w:val="auto"/>
        </w:rPr>
        <w:t>):</w:t>
      </w:r>
    </w:p>
    <w:p>
      <w:pPr>
        <w:spacing w:after="0" w:line="114" w:lineRule="exact"/>
        <w:rPr>
          <w:rFonts w:ascii="Arial" w:cs="Arial" w:eastAsia="Arial" w:hAnsi="Arial"/>
          <w:sz w:val="17"/>
          <w:szCs w:val="17"/>
          <w:color w:val="045A63"/>
        </w:rPr>
      </w:pPr>
    </w:p>
    <w:p>
      <w:pPr>
        <w:ind w:left="560"/>
        <w:spacing w:after="0"/>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Mutant-reactive:</w:t>
      </w:r>
    </w:p>
    <w:p>
      <w:pPr>
        <w:spacing w:after="0" w:line="112" w:lineRule="exact"/>
        <w:rPr>
          <w:rFonts w:ascii="Arial" w:cs="Arial" w:eastAsia="Arial" w:hAnsi="Arial"/>
          <w:sz w:val="17"/>
          <w:szCs w:val="17"/>
          <w:color w:val="045A63"/>
        </w:rPr>
      </w:pPr>
    </w:p>
    <w:p>
      <w:pPr>
        <w:ind w:left="1120" w:hanging="218"/>
        <w:spacing w:after="0"/>
        <w:tabs>
          <w:tab w:leader="none" w:pos="1120" w:val="left"/>
        </w:tabs>
        <w:numPr>
          <w:ilvl w:val="3"/>
          <w:numId w:val="49"/>
        </w:numPr>
        <w:rPr>
          <w:rFonts w:ascii="Arial" w:cs="Arial" w:eastAsia="Arial" w:hAnsi="Arial"/>
          <w:sz w:val="17"/>
          <w:szCs w:val="17"/>
          <w:color w:val="045A63"/>
        </w:rPr>
      </w:pPr>
      <w:r>
        <w:rPr>
          <w:rFonts w:ascii="Arial" w:cs="Arial" w:eastAsia="Arial" w:hAnsi="Arial"/>
          <w:sz w:val="17"/>
          <w:szCs w:val="17"/>
          <w:color w:val="auto"/>
        </w:rPr>
        <w:t>Mutant-specific: Shows a significant increase in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and/or TNF</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toward mutant, but not wildtype, epitope.</w:t>
      </w:r>
    </w:p>
    <w:p>
      <w:pPr>
        <w:spacing w:after="0" w:line="124" w:lineRule="exact"/>
        <w:rPr>
          <w:rFonts w:ascii="Arial" w:cs="Arial" w:eastAsia="Arial" w:hAnsi="Arial"/>
          <w:sz w:val="17"/>
          <w:szCs w:val="17"/>
          <w:color w:val="045A63"/>
        </w:rPr>
      </w:pPr>
    </w:p>
    <w:p>
      <w:pPr>
        <w:ind w:left="1120" w:hanging="218"/>
        <w:spacing w:after="0" w:line="295" w:lineRule="auto"/>
        <w:tabs>
          <w:tab w:leader="none" w:pos="1120" w:val="left"/>
        </w:tabs>
        <w:numPr>
          <w:ilvl w:val="3"/>
          <w:numId w:val="49"/>
        </w:numPr>
        <w:rPr>
          <w:rFonts w:ascii="Arial" w:cs="Arial" w:eastAsia="Arial" w:hAnsi="Arial"/>
          <w:sz w:val="17"/>
          <w:szCs w:val="17"/>
          <w:color w:val="045A63"/>
        </w:rPr>
      </w:pPr>
      <w:r>
        <w:rPr>
          <w:rFonts w:ascii="Arial" w:cs="Arial" w:eastAsia="Arial" w:hAnsi="Arial"/>
          <w:sz w:val="17"/>
          <w:szCs w:val="17"/>
          <w:color w:val="auto"/>
        </w:rPr>
        <w:t>Mutant-selective: Shows a significant increase in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and/or TNF</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toward mutant and wildtype epitopes. However, the signal toward the mutant epitope is significantly higher compared to the wildtype epitope.</w:t>
      </w:r>
    </w:p>
    <w:p>
      <w:pPr>
        <w:spacing w:after="0" w:line="32" w:lineRule="exact"/>
        <w:rPr>
          <w:rFonts w:ascii="Arial" w:cs="Arial" w:eastAsia="Arial" w:hAnsi="Arial"/>
          <w:sz w:val="17"/>
          <w:szCs w:val="17"/>
          <w:color w:val="045A63"/>
        </w:rPr>
      </w:pPr>
    </w:p>
    <w:p>
      <w:pPr>
        <w:ind w:left="880" w:hanging="334"/>
        <w:spacing w:after="0" w:line="295" w:lineRule="auto"/>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Wildtype cross-reactive: Shows a significant increase in IFN-</w:t>
      </w:r>
      <w:r>
        <w:rPr>
          <w:rFonts w:ascii="Times New Roman" w:cs="Times New Roman" w:eastAsia="Times New Roman" w:hAnsi="Times New Roman"/>
          <w:sz w:val="17"/>
          <w:szCs w:val="17"/>
          <w:color w:val="000000"/>
        </w:rPr>
        <w:t>g</w:t>
      </w:r>
      <w:r>
        <w:rPr>
          <w:rFonts w:ascii="Arial" w:cs="Arial" w:eastAsia="Arial" w:hAnsi="Arial"/>
          <w:sz w:val="17"/>
          <w:szCs w:val="17"/>
          <w:color w:val="045A63"/>
        </w:rPr>
        <w:t xml:space="preserve"> </w:t>
      </w:r>
      <w:r>
        <w:rPr>
          <w:rFonts w:ascii="Arial" w:cs="Arial" w:eastAsia="Arial" w:hAnsi="Arial"/>
          <w:sz w:val="17"/>
          <w:szCs w:val="17"/>
          <w:color w:val="000000"/>
        </w:rPr>
        <w:t>and/or TNF</w:t>
      </w:r>
      <w:r>
        <w:rPr>
          <w:rFonts w:ascii="Times New Roman" w:cs="Times New Roman" w:eastAsia="Times New Roman" w:hAnsi="Times New Roman"/>
          <w:sz w:val="17"/>
          <w:szCs w:val="17"/>
          <w:color w:val="000000"/>
        </w:rPr>
        <w:t>a</w:t>
      </w:r>
      <w:r>
        <w:rPr>
          <w:rFonts w:ascii="Arial" w:cs="Arial" w:eastAsia="Arial" w:hAnsi="Arial"/>
          <w:sz w:val="17"/>
          <w:szCs w:val="17"/>
          <w:color w:val="045A63"/>
        </w:rPr>
        <w:t xml:space="preserve"> </w:t>
      </w:r>
      <w:r>
        <w:rPr>
          <w:rFonts w:ascii="Arial" w:cs="Arial" w:eastAsia="Arial" w:hAnsi="Arial"/>
          <w:sz w:val="17"/>
          <w:szCs w:val="17"/>
          <w:color w:val="000000"/>
        </w:rPr>
        <w:t>toward mutant and wildtype epitopes. There is no significant</w:t>
      </w:r>
      <w:r>
        <w:rPr>
          <w:rFonts w:ascii="Arial" w:cs="Arial" w:eastAsia="Arial" w:hAnsi="Arial"/>
          <w:sz w:val="17"/>
          <w:szCs w:val="17"/>
          <w:color w:val="045A63"/>
        </w:rPr>
        <w:t xml:space="preserve"> </w:t>
      </w:r>
      <w:r>
        <w:rPr>
          <w:rFonts w:ascii="Arial" w:cs="Arial" w:eastAsia="Arial" w:hAnsi="Arial"/>
          <w:sz w:val="17"/>
          <w:szCs w:val="17"/>
          <w:color w:val="000000"/>
        </w:rPr>
        <w:t>difference between the 2 signals.</w:t>
      </w:r>
    </w:p>
    <w:p>
      <w:pPr>
        <w:spacing w:after="0" w:line="32" w:lineRule="exact"/>
        <w:rPr>
          <w:rFonts w:ascii="Arial" w:cs="Arial" w:eastAsia="Arial" w:hAnsi="Arial"/>
          <w:sz w:val="17"/>
          <w:szCs w:val="17"/>
          <w:color w:val="045A63"/>
        </w:rPr>
      </w:pPr>
    </w:p>
    <w:p>
      <w:pPr>
        <w:ind w:left="560" w:hanging="223"/>
        <w:spacing w:after="0"/>
        <w:tabs>
          <w:tab w:leader="none" w:pos="560" w:val="left"/>
        </w:tabs>
        <w:numPr>
          <w:ilvl w:val="1"/>
          <w:numId w:val="49"/>
        </w:numPr>
        <w:rPr>
          <w:rFonts w:ascii="Arial" w:cs="Arial" w:eastAsia="Arial" w:hAnsi="Arial"/>
          <w:sz w:val="17"/>
          <w:szCs w:val="17"/>
          <w:color w:val="045A63"/>
        </w:rPr>
      </w:pPr>
      <w:r>
        <w:rPr>
          <w:rFonts w:ascii="Arial" w:cs="Arial" w:eastAsia="Arial" w:hAnsi="Arial"/>
          <w:sz w:val="17"/>
          <w:szCs w:val="17"/>
          <w:color w:val="auto"/>
        </w:rPr>
        <w:t>In summary:</w:t>
      </w:r>
    </w:p>
    <w:p>
      <w:pPr>
        <w:spacing w:after="0" w:line="112" w:lineRule="exact"/>
        <w:rPr>
          <w:rFonts w:ascii="Arial" w:cs="Arial" w:eastAsia="Arial" w:hAnsi="Arial"/>
          <w:sz w:val="17"/>
          <w:szCs w:val="17"/>
          <w:color w:val="045A63"/>
        </w:rPr>
      </w:pPr>
    </w:p>
    <w:p>
      <w:pPr>
        <w:ind w:left="880" w:hanging="334"/>
        <w:spacing w:after="0" w:line="280" w:lineRule="auto"/>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For the CD4</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compartment, 13 responses were tested, and T cell responses were detected in both categories: 85% of CD4</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T cells</w:t>
      </w:r>
      <w:r>
        <w:rPr>
          <w:rFonts w:ascii="Arial" w:cs="Arial" w:eastAsia="Arial" w:hAnsi="Arial"/>
          <w:sz w:val="17"/>
          <w:szCs w:val="17"/>
          <w:color w:val="045A63"/>
        </w:rPr>
        <w:t xml:space="preserve"> </w:t>
      </w:r>
      <w:r>
        <w:rPr>
          <w:rFonts w:ascii="Arial" w:cs="Arial" w:eastAsia="Arial" w:hAnsi="Arial"/>
          <w:sz w:val="17"/>
          <w:szCs w:val="17"/>
          <w:color w:val="000000"/>
        </w:rPr>
        <w:t>were mutant-reactive and 15% were cross-reactive to the wildtype epitope.</w:t>
      </w:r>
    </w:p>
    <w:p>
      <w:pPr>
        <w:spacing w:after="0" w:line="42" w:lineRule="exact"/>
        <w:rPr>
          <w:rFonts w:ascii="Arial" w:cs="Arial" w:eastAsia="Arial" w:hAnsi="Arial"/>
          <w:sz w:val="17"/>
          <w:szCs w:val="17"/>
          <w:color w:val="045A63"/>
        </w:rPr>
      </w:pPr>
    </w:p>
    <w:p>
      <w:pPr>
        <w:ind w:left="560"/>
        <w:spacing w:after="0"/>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For the CD8</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compartment, 3 responses were tested, and 100% of all T cells were mutant-reactive (</w:t>
      </w:r>
      <w:r>
        <w:rPr>
          <w:rFonts w:ascii="Arial" w:cs="Arial" w:eastAsia="Arial" w:hAnsi="Arial"/>
          <w:sz w:val="17"/>
          <w:szCs w:val="17"/>
          <w:b w:val="1"/>
          <w:bCs w:val="1"/>
          <w:color w:val="045A63"/>
        </w:rPr>
        <w:t>Figure 4C</w:t>
      </w:r>
      <w:r>
        <w:rPr>
          <w:rFonts w:ascii="Arial" w:cs="Arial" w:eastAsia="Arial" w:hAnsi="Arial"/>
          <w:sz w:val="17"/>
          <w:szCs w:val="17"/>
          <w:color w:val="000000"/>
        </w:rPr>
        <w: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4: </w:t>
      </w:r>
      <w:r>
        <w:rPr>
          <w:rFonts w:ascii="Arial" w:cs="Arial" w:eastAsia="Arial" w:hAnsi="Arial"/>
          <w:sz w:val="17"/>
          <w:szCs w:val="17"/>
          <w:b w:val="1"/>
          <w:bCs w:val="1"/>
          <w:color w:val="000000"/>
        </w:rPr>
        <w:t>Induced CD8</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and CD4</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 Responses are Reactive to the Mutant Neoantigen Peptide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547995" cy="6118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47995" cy="611886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399A7A"/>
        </w:rPr>
        <w:t xml:space="preserve">Functionality of T cells measured upon challenge with various concentrations of peptide-loaded DCs (Y axis). </w:t>
      </w:r>
      <w:r>
        <w:rPr>
          <w:rFonts w:ascii="Arial" w:cs="Arial" w:eastAsia="Arial" w:hAnsi="Arial"/>
          <w:sz w:val="17"/>
          <w:szCs w:val="17"/>
          <w:b w:val="1"/>
          <w:bCs w:val="1"/>
          <w:color w:val="399A7A"/>
        </w:rPr>
        <w:t>4A:</w:t>
      </w:r>
      <w:r>
        <w:rPr>
          <w:rFonts w:ascii="Arial" w:cs="Arial" w:eastAsia="Arial" w:hAnsi="Arial"/>
          <w:sz w:val="17"/>
          <w:szCs w:val="17"/>
          <w:color w:val="399A7A"/>
        </w:rPr>
        <w:t xml:space="preserve"> IFN-</w:t>
      </w:r>
      <w:r>
        <w:rPr>
          <w:rFonts w:ascii="Times New Roman" w:cs="Times New Roman" w:eastAsia="Times New Roman" w:hAnsi="Times New Roman"/>
          <w:sz w:val="17"/>
          <w:szCs w:val="17"/>
          <w:color w:val="399A7A"/>
        </w:rPr>
        <w:t>g</w:t>
      </w:r>
      <w:r>
        <w:rPr>
          <w:rFonts w:ascii="Arial" w:cs="Arial" w:eastAsia="Arial" w:hAnsi="Arial"/>
          <w:sz w:val="14"/>
          <w:szCs w:val="14"/>
          <w:color w:val="399A7A"/>
        </w:rPr>
        <w:t>+</w:t>
      </w:r>
      <w:r>
        <w:rPr>
          <w:rFonts w:ascii="Arial" w:cs="Arial" w:eastAsia="Arial" w:hAnsi="Arial"/>
          <w:sz w:val="17"/>
          <w:szCs w:val="17"/>
          <w:color w:val="399A7A"/>
        </w:rPr>
        <w:t xml:space="preserve"> and/or TNF</w:t>
      </w:r>
      <w:r>
        <w:rPr>
          <w:rFonts w:ascii="Times New Roman" w:cs="Times New Roman" w:eastAsia="Times New Roman" w:hAnsi="Times New Roman"/>
          <w:sz w:val="17"/>
          <w:szCs w:val="17"/>
          <w:color w:val="399A7A"/>
        </w:rPr>
        <w:t>a</w:t>
      </w:r>
      <w:r>
        <w:rPr>
          <w:rFonts w:ascii="Arial" w:cs="Arial" w:eastAsia="Arial" w:hAnsi="Arial"/>
          <w:sz w:val="14"/>
          <w:szCs w:val="14"/>
          <w:color w:val="399A7A"/>
        </w:rPr>
        <w:t>+</w:t>
      </w:r>
      <w:r>
        <w:rPr>
          <w:rFonts w:ascii="Arial" w:cs="Arial" w:eastAsia="Arial" w:hAnsi="Arial"/>
          <w:sz w:val="17"/>
          <w:szCs w:val="17"/>
          <w:color w:val="399A7A"/>
        </w:rPr>
        <w:t xml:space="preserve"> and/or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399A7A"/>
        </w:rPr>
        <w:t>CD107a</w:t>
      </w:r>
      <w:r>
        <w:rPr>
          <w:rFonts w:ascii="Arial" w:cs="Arial" w:eastAsia="Arial" w:hAnsi="Arial"/>
          <w:sz w:val="14"/>
          <w:szCs w:val="14"/>
          <w:color w:val="399A7A"/>
        </w:rPr>
        <w:t>+</w:t>
      </w:r>
      <w:r>
        <w:rPr>
          <w:rFonts w:ascii="Arial" w:cs="Arial" w:eastAsia="Arial" w:hAnsi="Arial"/>
          <w:sz w:val="17"/>
          <w:szCs w:val="17"/>
          <w:color w:val="399A7A"/>
        </w:rPr>
        <w:t xml:space="preserve"> as a % of pMHC</w:t>
      </w:r>
      <w:r>
        <w:rPr>
          <w:rFonts w:ascii="Arial" w:cs="Arial" w:eastAsia="Arial" w:hAnsi="Arial"/>
          <w:sz w:val="14"/>
          <w:szCs w:val="14"/>
          <w:color w:val="399A7A"/>
        </w:rPr>
        <w:t>+</w:t>
      </w:r>
      <w:r>
        <w:rPr>
          <w:rFonts w:ascii="Arial" w:cs="Arial" w:eastAsia="Arial" w:hAnsi="Arial"/>
          <w:sz w:val="17"/>
          <w:szCs w:val="17"/>
          <w:color w:val="399A7A"/>
        </w:rPr>
        <w:t xml:space="preserve"> CD8</w:t>
      </w:r>
      <w:r>
        <w:rPr>
          <w:rFonts w:ascii="Arial" w:cs="Arial" w:eastAsia="Arial" w:hAnsi="Arial"/>
          <w:sz w:val="14"/>
          <w:szCs w:val="14"/>
          <w:color w:val="399A7A"/>
        </w:rPr>
        <w:t>+</w:t>
      </w:r>
      <w:r>
        <w:rPr>
          <w:rFonts w:ascii="Arial" w:cs="Arial" w:eastAsia="Arial" w:hAnsi="Arial"/>
          <w:sz w:val="17"/>
          <w:szCs w:val="17"/>
          <w:color w:val="399A7A"/>
        </w:rPr>
        <w:t xml:space="preserve">; </w:t>
      </w:r>
      <w:r>
        <w:rPr>
          <w:rFonts w:ascii="Arial" w:cs="Arial" w:eastAsia="Arial" w:hAnsi="Arial"/>
          <w:sz w:val="17"/>
          <w:szCs w:val="17"/>
          <w:b w:val="1"/>
          <w:bCs w:val="1"/>
          <w:color w:val="399A7A"/>
        </w:rPr>
        <w:t>4B:</w:t>
      </w:r>
      <w:r>
        <w:rPr>
          <w:rFonts w:ascii="Arial" w:cs="Arial" w:eastAsia="Arial" w:hAnsi="Arial"/>
          <w:sz w:val="17"/>
          <w:szCs w:val="17"/>
          <w:color w:val="399A7A"/>
        </w:rPr>
        <w:t xml:space="preserve"> IFN-</w:t>
      </w:r>
      <w:r>
        <w:rPr>
          <w:rFonts w:ascii="Times New Roman" w:cs="Times New Roman" w:eastAsia="Times New Roman" w:hAnsi="Times New Roman"/>
          <w:sz w:val="17"/>
          <w:szCs w:val="17"/>
          <w:color w:val="399A7A"/>
        </w:rPr>
        <w:t>g</w:t>
      </w:r>
      <w:r>
        <w:rPr>
          <w:rFonts w:ascii="Arial" w:cs="Arial" w:eastAsia="Arial" w:hAnsi="Arial"/>
          <w:sz w:val="14"/>
          <w:szCs w:val="14"/>
          <w:color w:val="399A7A"/>
        </w:rPr>
        <w:t>+</w:t>
      </w:r>
      <w:r>
        <w:rPr>
          <w:rFonts w:ascii="Arial" w:cs="Arial" w:eastAsia="Arial" w:hAnsi="Arial"/>
          <w:sz w:val="17"/>
          <w:szCs w:val="17"/>
          <w:color w:val="399A7A"/>
        </w:rPr>
        <w:t xml:space="preserve"> and/or TNF</w:t>
      </w:r>
      <w:r>
        <w:rPr>
          <w:rFonts w:ascii="Times New Roman" w:cs="Times New Roman" w:eastAsia="Times New Roman" w:hAnsi="Times New Roman"/>
          <w:sz w:val="17"/>
          <w:szCs w:val="17"/>
          <w:color w:val="399A7A"/>
        </w:rPr>
        <w:t>a</w:t>
      </w:r>
      <w:r>
        <w:rPr>
          <w:rFonts w:ascii="Arial" w:cs="Arial" w:eastAsia="Arial" w:hAnsi="Arial"/>
          <w:sz w:val="14"/>
          <w:szCs w:val="14"/>
          <w:color w:val="399A7A"/>
        </w:rPr>
        <w:t>+</w:t>
      </w:r>
      <w:r>
        <w:rPr>
          <w:rFonts w:ascii="Arial" w:cs="Arial" w:eastAsia="Arial" w:hAnsi="Arial"/>
          <w:sz w:val="17"/>
          <w:szCs w:val="17"/>
          <w:color w:val="399A7A"/>
        </w:rPr>
        <w:t xml:space="preserve"> as a % of CD4</w:t>
      </w:r>
      <w:r>
        <w:rPr>
          <w:rFonts w:ascii="Arial" w:cs="Arial" w:eastAsia="Arial" w:hAnsi="Arial"/>
          <w:sz w:val="14"/>
          <w:szCs w:val="14"/>
          <w:color w:val="399A7A"/>
        </w:rPr>
        <w:t>+</w:t>
      </w:r>
      <w:r>
        <w:rPr>
          <w:rFonts w:ascii="Arial" w:cs="Arial" w:eastAsia="Arial" w:hAnsi="Arial"/>
          <w:sz w:val="17"/>
          <w:szCs w:val="17"/>
          <w:color w:val="399A7A"/>
        </w:rPr>
        <w:t xml:space="preserve"> </w:t>
      </w:r>
      <w:r>
        <w:rPr>
          <w:rFonts w:ascii="Arial" w:cs="Arial" w:eastAsia="Arial" w:hAnsi="Arial"/>
          <w:sz w:val="17"/>
          <w:szCs w:val="17"/>
          <w:b w:val="1"/>
          <w:bCs w:val="1"/>
          <w:color w:val="399A7A"/>
        </w:rPr>
        <w:t>4C:</w:t>
      </w:r>
      <w:r>
        <w:rPr>
          <w:rFonts w:ascii="Arial" w:cs="Arial" w:eastAsia="Arial" w:hAnsi="Arial"/>
          <w:sz w:val="17"/>
          <w:szCs w:val="17"/>
          <w:color w:val="399A7A"/>
        </w:rPr>
        <w:t xml:space="preserve"> Summary of all tested responses, significance assigned using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399A7A"/>
        </w:rPr>
        <w:t xml:space="preserve">Tukey’s test, </w:t>
      </w:r>
      <w:r>
        <w:rPr>
          <w:rFonts w:ascii="Arial" w:cs="Arial" w:eastAsia="Arial" w:hAnsi="Arial"/>
          <w:sz w:val="17"/>
          <w:szCs w:val="17"/>
          <w:i w:val="1"/>
          <w:iCs w:val="1"/>
          <w:color w:val="399A7A"/>
        </w:rPr>
        <w:t>P</w:t>
      </w:r>
      <w:r>
        <w:rPr>
          <w:rFonts w:ascii="Arial" w:cs="Arial" w:eastAsia="Arial" w:hAnsi="Arial"/>
          <w:sz w:val="17"/>
          <w:szCs w:val="17"/>
          <w:color w:val="399A7A"/>
        </w:rPr>
        <w:t xml:space="preserve"> &lt; 0.05.</w:t>
      </w:r>
    </w:p>
    <w:p>
      <w:pPr>
        <w:sectPr>
          <w:pgSz w:w="11900" w:h="16838" w:orient="portrait"/>
          <w:cols w:equalWidth="0" w:num="1">
            <w:col w:w="11240"/>
          </w:cols>
          <w:pgMar w:left="320" w:top="258" w:right="339" w:bottom="1440" w:gutter="0" w:footer="0" w:header="0"/>
          <w:type w:val="continuous"/>
        </w:sectPr>
      </w:pPr>
    </w:p>
    <w:bookmarkStart w:id="40" w:name="page41"/>
    <w:bookmarkEnd w:id="40"/>
    <w:p>
      <w:pPr>
        <w:ind w:left="320" w:hanging="214"/>
        <w:spacing w:after="0"/>
        <w:tabs>
          <w:tab w:leader="none" w:pos="320" w:val="left"/>
        </w:tabs>
        <w:numPr>
          <w:ilvl w:val="0"/>
          <w:numId w:val="50"/>
        </w:numPr>
        <w:rPr>
          <w:rFonts w:ascii="Arial" w:cs="Arial" w:eastAsia="Arial" w:hAnsi="Arial"/>
          <w:sz w:val="17"/>
          <w:szCs w:val="17"/>
          <w:color w:val="045A63"/>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24765"/>
                    </a:xfrm>
                    <a:prstGeom prst="rect">
                      <a:avLst/>
                    </a:prstGeom>
                    <a:noFill/>
                  </pic:spPr>
                </pic:pic>
              </a:graphicData>
            </a:graphic>
          </wp:anchor>
        </w:drawing>
        <w:t>Finally, the cytotoxic capacity of the NEO-STIM-induced T cells was assessed for a subset of the identified T cell responses.</w:t>
      </w:r>
    </w:p>
    <w:p>
      <w:pPr>
        <w:spacing w:after="0" w:line="112" w:lineRule="exact"/>
        <w:rPr>
          <w:rFonts w:ascii="Arial" w:cs="Arial" w:eastAsia="Arial" w:hAnsi="Arial"/>
          <w:sz w:val="17"/>
          <w:szCs w:val="17"/>
          <w:color w:val="045A63"/>
        </w:rPr>
      </w:pPr>
    </w:p>
    <w:p>
      <w:pPr>
        <w:ind w:left="560" w:hanging="223"/>
        <w:spacing w:after="0" w:line="292" w:lineRule="auto"/>
        <w:tabs>
          <w:tab w:leader="none" w:pos="560" w:val="left"/>
        </w:tabs>
        <w:numPr>
          <w:ilvl w:val="1"/>
          <w:numId w:val="50"/>
        </w:numPr>
        <w:rPr>
          <w:rFonts w:ascii="Arial" w:cs="Arial" w:eastAsia="Arial" w:hAnsi="Arial"/>
          <w:sz w:val="17"/>
          <w:szCs w:val="17"/>
          <w:color w:val="045A63"/>
        </w:rPr>
      </w:pPr>
      <w:r>
        <w:rPr>
          <w:rFonts w:ascii="Arial" w:cs="Arial" w:eastAsia="Arial" w:hAnsi="Arial"/>
          <w:sz w:val="17"/>
          <w:szCs w:val="17"/>
          <w:color w:val="auto"/>
        </w:rPr>
        <w:t xml:space="preserve">Transduced tumor cell lines were generated for the Pilot run and ENG-01, expressing the donorspecific HLA allele as well as the mutation studied. For ENG-02, peptide-loaded tumor cells were used expressing the donor-specific HLA allele </w:t>
      </w:r>
      <w:r>
        <w:rPr>
          <w:rFonts w:ascii="Arial" w:cs="Arial" w:eastAsia="Arial" w:hAnsi="Arial"/>
          <w:sz w:val="17"/>
          <w:szCs w:val="17"/>
          <w:b w:val="1"/>
          <w:bCs w:val="1"/>
          <w:color w:val="045A63"/>
        </w:rPr>
        <w:t>(Figure 5A):</w:t>
      </w:r>
    </w:p>
    <w:p>
      <w:pPr>
        <w:spacing w:after="0" w:line="25" w:lineRule="exact"/>
        <w:rPr>
          <w:rFonts w:ascii="Arial" w:cs="Arial" w:eastAsia="Arial" w:hAnsi="Arial"/>
          <w:sz w:val="17"/>
          <w:szCs w:val="17"/>
          <w:color w:val="045A63"/>
        </w:rPr>
      </w:pPr>
    </w:p>
    <w:p>
      <w:pPr>
        <w:ind w:left="880" w:hanging="334"/>
        <w:spacing w:after="0" w:line="258" w:lineRule="auto"/>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For the transduced tumor targets, CD8</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T cell responses directed toward REL</w:t>
      </w:r>
      <w:r>
        <w:rPr>
          <w:rFonts w:ascii="Arial" w:cs="Arial" w:eastAsia="Arial" w:hAnsi="Arial"/>
          <w:sz w:val="14"/>
          <w:szCs w:val="14"/>
          <w:color w:val="000000"/>
        </w:rPr>
        <w:t>G&gt;R</w:t>
      </w:r>
      <w:r>
        <w:rPr>
          <w:rFonts w:ascii="Arial" w:cs="Arial" w:eastAsia="Arial" w:hAnsi="Arial"/>
          <w:sz w:val="17"/>
          <w:szCs w:val="17"/>
          <w:color w:val="045A63"/>
        </w:rPr>
        <w:t xml:space="preserve"> </w:t>
      </w:r>
      <w:r>
        <w:rPr>
          <w:rFonts w:ascii="Arial" w:cs="Arial" w:eastAsia="Arial" w:hAnsi="Arial"/>
          <w:sz w:val="17"/>
          <w:szCs w:val="17"/>
          <w:color w:val="000000"/>
        </w:rPr>
        <w:t>(Pilot) and LRBA</w:t>
      </w:r>
      <w:r>
        <w:rPr>
          <w:rFonts w:ascii="Arial" w:cs="Arial" w:eastAsia="Arial" w:hAnsi="Arial"/>
          <w:sz w:val="14"/>
          <w:szCs w:val="14"/>
          <w:color w:val="000000"/>
        </w:rPr>
        <w:t>S&gt;L</w:t>
      </w:r>
      <w:r>
        <w:rPr>
          <w:rFonts w:ascii="Arial" w:cs="Arial" w:eastAsia="Arial" w:hAnsi="Arial"/>
          <w:sz w:val="17"/>
          <w:szCs w:val="17"/>
          <w:color w:val="045A63"/>
        </w:rPr>
        <w:t xml:space="preserve"> </w:t>
      </w:r>
      <w:r>
        <w:rPr>
          <w:rFonts w:ascii="Arial" w:cs="Arial" w:eastAsia="Arial" w:hAnsi="Arial"/>
          <w:sz w:val="17"/>
          <w:szCs w:val="17"/>
          <w:color w:val="000000"/>
        </w:rPr>
        <w:t>(ENG-01) showed a significant</w:t>
      </w:r>
      <w:r>
        <w:rPr>
          <w:rFonts w:ascii="Arial" w:cs="Arial" w:eastAsia="Arial" w:hAnsi="Arial"/>
          <w:sz w:val="17"/>
          <w:szCs w:val="17"/>
          <w:color w:val="045A63"/>
        </w:rPr>
        <w:t xml:space="preserve"> </w:t>
      </w:r>
      <w:r>
        <w:rPr>
          <w:rFonts w:ascii="Arial" w:cs="Arial" w:eastAsia="Arial" w:hAnsi="Arial"/>
          <w:sz w:val="17"/>
          <w:szCs w:val="17"/>
          <w:color w:val="000000"/>
        </w:rPr>
        <w:t>upregulation of CD107a on the CD8</w:t>
      </w:r>
      <w:r>
        <w:rPr>
          <w:rFonts w:ascii="Arial" w:cs="Arial" w:eastAsia="Arial" w:hAnsi="Arial"/>
          <w:sz w:val="14"/>
          <w:szCs w:val="14"/>
          <w:color w:val="000000"/>
        </w:rPr>
        <w:t>+</w:t>
      </w:r>
      <w:r>
        <w:rPr>
          <w:rFonts w:ascii="Arial" w:cs="Arial" w:eastAsia="Arial" w:hAnsi="Arial"/>
          <w:sz w:val="17"/>
          <w:szCs w:val="17"/>
          <w:color w:val="000000"/>
        </w:rPr>
        <w:t xml:space="preserve"> T cells and active Caspase3 on the tumor cells transduced with the mutant construct after co-culture. This shows that the induced T cells are capable of recognizing endogenously processed and presented antigen.</w:t>
      </w:r>
    </w:p>
    <w:p>
      <w:pPr>
        <w:spacing w:after="0" w:line="63" w:lineRule="exact"/>
        <w:rPr>
          <w:rFonts w:ascii="Arial" w:cs="Arial" w:eastAsia="Arial" w:hAnsi="Arial"/>
          <w:sz w:val="17"/>
          <w:szCs w:val="17"/>
          <w:color w:val="045A63"/>
        </w:rPr>
      </w:pPr>
    </w:p>
    <w:p>
      <w:pPr>
        <w:ind w:left="880" w:hanging="334"/>
        <w:spacing w:after="0" w:line="258" w:lineRule="auto"/>
        <w:rPr>
          <w:rFonts w:ascii="Arial" w:cs="Arial" w:eastAsia="Arial" w:hAnsi="Arial"/>
          <w:sz w:val="17"/>
          <w:szCs w:val="17"/>
          <w:color w:val="045A63"/>
        </w:rPr>
      </w:pPr>
      <w:r>
        <w:rPr>
          <w:rFonts w:ascii="Arial" w:cs="Arial" w:eastAsia="Arial" w:hAnsi="Arial"/>
          <w:sz w:val="17"/>
          <w:szCs w:val="17"/>
          <w:color w:val="045A63"/>
        </w:rPr>
        <w:t xml:space="preserve">– </w:t>
      </w:r>
      <w:r>
        <w:rPr>
          <w:rFonts w:ascii="Arial" w:cs="Arial" w:eastAsia="Arial" w:hAnsi="Arial"/>
          <w:sz w:val="17"/>
          <w:szCs w:val="17"/>
          <w:color w:val="000000"/>
        </w:rPr>
        <w:t>For the peptide-loaded tumor targets, CD8</w:t>
      </w:r>
      <w:r>
        <w:rPr>
          <w:rFonts w:ascii="Arial" w:cs="Arial" w:eastAsia="Arial" w:hAnsi="Arial"/>
          <w:sz w:val="14"/>
          <w:szCs w:val="14"/>
          <w:color w:val="000000"/>
        </w:rPr>
        <w:t>+</w:t>
      </w:r>
      <w:r>
        <w:rPr>
          <w:rFonts w:ascii="Arial" w:cs="Arial" w:eastAsia="Arial" w:hAnsi="Arial"/>
          <w:sz w:val="17"/>
          <w:szCs w:val="17"/>
          <w:color w:val="045A63"/>
        </w:rPr>
        <w:t xml:space="preserve"> </w:t>
      </w:r>
      <w:r>
        <w:rPr>
          <w:rFonts w:ascii="Arial" w:cs="Arial" w:eastAsia="Arial" w:hAnsi="Arial"/>
          <w:sz w:val="17"/>
          <w:szCs w:val="17"/>
          <w:color w:val="000000"/>
        </w:rPr>
        <w:t>T cell responses directed toward TENM3</w:t>
      </w:r>
      <w:r>
        <w:rPr>
          <w:rFonts w:ascii="Arial" w:cs="Arial" w:eastAsia="Arial" w:hAnsi="Arial"/>
          <w:sz w:val="14"/>
          <w:szCs w:val="14"/>
          <w:color w:val="000000"/>
        </w:rPr>
        <w:t>S&gt;L</w:t>
      </w:r>
      <w:r>
        <w:rPr>
          <w:rFonts w:ascii="Arial" w:cs="Arial" w:eastAsia="Arial" w:hAnsi="Arial"/>
          <w:sz w:val="17"/>
          <w:szCs w:val="17"/>
          <w:color w:val="045A63"/>
        </w:rPr>
        <w:t xml:space="preserve"> </w:t>
      </w:r>
      <w:r>
        <w:rPr>
          <w:rFonts w:ascii="Arial" w:cs="Arial" w:eastAsia="Arial" w:hAnsi="Arial"/>
          <w:sz w:val="17"/>
          <w:szCs w:val="17"/>
          <w:color w:val="000000"/>
        </w:rPr>
        <w:t>and ITPR3</w:t>
      </w:r>
      <w:r>
        <w:rPr>
          <w:rFonts w:ascii="Arial" w:cs="Arial" w:eastAsia="Arial" w:hAnsi="Arial"/>
          <w:sz w:val="14"/>
          <w:szCs w:val="14"/>
          <w:color w:val="000000"/>
        </w:rPr>
        <w:t>E&gt;K</w:t>
      </w:r>
      <w:r>
        <w:rPr>
          <w:rFonts w:ascii="Arial" w:cs="Arial" w:eastAsia="Arial" w:hAnsi="Arial"/>
          <w:sz w:val="17"/>
          <w:szCs w:val="17"/>
          <w:color w:val="045A63"/>
        </w:rPr>
        <w:t xml:space="preserve"> </w:t>
      </w:r>
      <w:r>
        <w:rPr>
          <w:rFonts w:ascii="Arial" w:cs="Arial" w:eastAsia="Arial" w:hAnsi="Arial"/>
          <w:sz w:val="17"/>
          <w:szCs w:val="17"/>
          <w:color w:val="000000"/>
        </w:rPr>
        <w:t>(ENG-02) showed a significant</w:t>
      </w:r>
      <w:r>
        <w:rPr>
          <w:rFonts w:ascii="Arial" w:cs="Arial" w:eastAsia="Arial" w:hAnsi="Arial"/>
          <w:sz w:val="17"/>
          <w:szCs w:val="17"/>
          <w:color w:val="045A63"/>
        </w:rPr>
        <w:t xml:space="preserve"> </w:t>
      </w:r>
      <w:r>
        <w:rPr>
          <w:rFonts w:ascii="Arial" w:cs="Arial" w:eastAsia="Arial" w:hAnsi="Arial"/>
          <w:sz w:val="17"/>
          <w:szCs w:val="17"/>
          <w:color w:val="000000"/>
        </w:rPr>
        <w:t>upregulation of active Caspase3 on the tumor cells and, in the case of TENM3</w:t>
      </w:r>
      <w:r>
        <w:rPr>
          <w:rFonts w:ascii="Arial" w:cs="Arial" w:eastAsia="Arial" w:hAnsi="Arial"/>
          <w:sz w:val="14"/>
          <w:szCs w:val="14"/>
          <w:color w:val="000000"/>
        </w:rPr>
        <w:t>S&gt;L</w:t>
      </w:r>
      <w:r>
        <w:rPr>
          <w:rFonts w:ascii="Arial" w:cs="Arial" w:eastAsia="Arial" w:hAnsi="Arial"/>
          <w:sz w:val="17"/>
          <w:szCs w:val="17"/>
          <w:color w:val="000000"/>
        </w:rPr>
        <w:t>, upregulation of CD107a on the CD8</w:t>
      </w:r>
      <w:r>
        <w:rPr>
          <w:rFonts w:ascii="Arial" w:cs="Arial" w:eastAsia="Arial" w:hAnsi="Arial"/>
          <w:sz w:val="14"/>
          <w:szCs w:val="14"/>
          <w:color w:val="000000"/>
        </w:rPr>
        <w:t>+</w:t>
      </w:r>
      <w:r>
        <w:rPr>
          <w:rFonts w:ascii="Arial" w:cs="Arial" w:eastAsia="Arial" w:hAnsi="Arial"/>
          <w:sz w:val="17"/>
          <w:szCs w:val="17"/>
          <w:color w:val="000000"/>
        </w:rPr>
        <w:t xml:space="preserve"> T cells, after co-culture with peptide-loaded tumor targets.</w:t>
      </w:r>
    </w:p>
    <w:p>
      <w:pPr>
        <w:spacing w:after="0" w:line="63" w:lineRule="exact"/>
        <w:rPr>
          <w:rFonts w:ascii="Arial" w:cs="Arial" w:eastAsia="Arial" w:hAnsi="Arial"/>
          <w:sz w:val="17"/>
          <w:szCs w:val="17"/>
          <w:color w:val="045A63"/>
        </w:rPr>
      </w:pPr>
    </w:p>
    <w:p>
      <w:pPr>
        <w:jc w:val="both"/>
        <w:ind w:left="560" w:hanging="223"/>
        <w:spacing w:after="0" w:line="272" w:lineRule="auto"/>
        <w:tabs>
          <w:tab w:leader="none" w:pos="560" w:val="left"/>
        </w:tabs>
        <w:numPr>
          <w:ilvl w:val="1"/>
          <w:numId w:val="50"/>
        </w:numPr>
        <w:rPr>
          <w:rFonts w:ascii="Arial" w:cs="Arial" w:eastAsia="Arial" w:hAnsi="Arial"/>
          <w:sz w:val="17"/>
          <w:szCs w:val="17"/>
          <w:color w:val="045A63"/>
        </w:rPr>
      </w:pPr>
      <w:r>
        <w:rPr>
          <w:rFonts w:ascii="Arial" w:cs="Arial" w:eastAsia="Arial" w:hAnsi="Arial"/>
          <w:sz w:val="17"/>
          <w:szCs w:val="17"/>
          <w:color w:val="auto"/>
        </w:rPr>
        <w:t>Importantly, co-culturing T cells generated from ENG-01 and ENG-02 with available autologous tumor digest proved that the induced T cells were capable of directly recognizing autologous tumor cells, based on upregulation of IFN-</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and CD107a on the neoantigen-specific T cells (</w:t>
      </w:r>
      <w:r>
        <w:rPr>
          <w:rFonts w:ascii="Arial" w:cs="Arial" w:eastAsia="Arial" w:hAnsi="Arial"/>
          <w:sz w:val="17"/>
          <w:szCs w:val="17"/>
          <w:b w:val="1"/>
          <w:bCs w:val="1"/>
          <w:color w:val="045A63"/>
        </w:rPr>
        <w:t>Figure 5B</w:t>
      </w:r>
      <w:r>
        <w:rPr>
          <w:rFonts w:ascii="Arial" w:cs="Arial" w:eastAsia="Arial" w:hAnsi="Arial"/>
          <w:sz w:val="17"/>
          <w:szCs w:val="17"/>
          <w:color w:val="auto"/>
        </w:rPr>
        <w:t>).</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b w:val="1"/>
          <w:bCs w:val="1"/>
          <w:color w:val="045A63"/>
        </w:rPr>
        <w:t xml:space="preserve">Figure 5: </w:t>
      </w:r>
      <w:r>
        <w:rPr>
          <w:rFonts w:ascii="Arial" w:cs="Arial" w:eastAsia="Arial" w:hAnsi="Arial"/>
          <w:sz w:val="17"/>
          <w:szCs w:val="17"/>
          <w:b w:val="1"/>
          <w:bCs w:val="1"/>
          <w:color w:val="000000"/>
        </w:rPr>
        <w:t>Induced CD8</w:t>
      </w:r>
      <w:r>
        <w:rPr>
          <w:rFonts w:ascii="Arial" w:cs="Arial" w:eastAsia="Arial" w:hAnsi="Arial"/>
          <w:sz w:val="14"/>
          <w:szCs w:val="14"/>
          <w:b w:val="1"/>
          <w:bCs w:val="1"/>
          <w:color w:val="000000"/>
        </w:rPr>
        <w:t>+</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T cell Responses</w:t>
      </w:r>
      <w:r>
        <w:rPr>
          <w:rFonts w:ascii="Arial" w:cs="Arial" w:eastAsia="Arial" w:hAnsi="Arial"/>
          <w:sz w:val="17"/>
          <w:szCs w:val="17"/>
          <w:b w:val="1"/>
          <w:bCs w:val="1"/>
          <w:color w:val="045A63"/>
        </w:rPr>
        <w:t xml:space="preserve"> A</w:t>
      </w:r>
      <w:r>
        <w:rPr>
          <w:rFonts w:ascii="Arial" w:cs="Arial" w:eastAsia="Arial" w:hAnsi="Arial"/>
          <w:sz w:val="17"/>
          <w:szCs w:val="17"/>
          <w:b w:val="1"/>
          <w:bCs w:val="1"/>
          <w:color w:val="000000"/>
        </w:rPr>
        <w:t>) Have a Cytotoxic Phenotype and Can Kill Antigen Expressing Targets and B) Can Recognize</w:t>
      </w:r>
      <w:r>
        <w:rPr>
          <w:rFonts w:ascii="Arial" w:cs="Arial" w:eastAsia="Arial" w:hAnsi="Arial"/>
          <w:sz w:val="17"/>
          <w:szCs w:val="17"/>
          <w:b w:val="1"/>
          <w:bCs w:val="1"/>
          <w:color w:val="045A63"/>
        </w:rPr>
        <w:t xml:space="preserve"> </w:t>
      </w:r>
      <w:r>
        <w:rPr>
          <w:rFonts w:ascii="Arial" w:cs="Arial" w:eastAsia="Arial" w:hAnsi="Arial"/>
          <w:sz w:val="17"/>
          <w:szCs w:val="17"/>
          <w:b w:val="1"/>
          <w:bCs w:val="1"/>
          <w:color w:val="000000"/>
        </w:rPr>
        <w:t>Autologous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5547995" cy="40062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47995" cy="400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b w:val="1"/>
          <w:bCs w:val="1"/>
          <w:color w:val="399A7A"/>
        </w:rPr>
        <w:t xml:space="preserve">5A: </w:t>
      </w:r>
      <w:r>
        <w:rPr>
          <w:rFonts w:ascii="Arial" w:cs="Arial" w:eastAsia="Arial" w:hAnsi="Arial"/>
          <w:sz w:val="17"/>
          <w:szCs w:val="17"/>
          <w:color w:val="399A7A"/>
        </w:rPr>
        <w:t>Upregulation of CD107a (top row) on CD8</w:t>
      </w:r>
      <w:r>
        <w:rPr>
          <w:rFonts w:ascii="Arial" w:cs="Arial" w:eastAsia="Arial" w:hAnsi="Arial"/>
          <w:sz w:val="14"/>
          <w:szCs w:val="14"/>
          <w:color w:val="399A7A"/>
        </w:rPr>
        <w:t>+</w:t>
      </w:r>
      <w:r>
        <w:rPr>
          <w:rFonts w:ascii="Arial" w:cs="Arial" w:eastAsia="Arial" w:hAnsi="Arial"/>
          <w:sz w:val="17"/>
          <w:szCs w:val="17"/>
          <w:b w:val="1"/>
          <w:bCs w:val="1"/>
          <w:color w:val="399A7A"/>
        </w:rPr>
        <w:t xml:space="preserve"> </w:t>
      </w:r>
      <w:r>
        <w:rPr>
          <w:rFonts w:ascii="Arial" w:cs="Arial" w:eastAsia="Arial" w:hAnsi="Arial"/>
          <w:sz w:val="17"/>
          <w:szCs w:val="17"/>
          <w:color w:val="399A7A"/>
        </w:rPr>
        <w:t>T cells and active Caspase3 on tumor cells (bottom row) was measured upon co-culture with</w:t>
      </w:r>
      <w:r>
        <w:rPr>
          <w:rFonts w:ascii="Arial" w:cs="Arial" w:eastAsia="Arial" w:hAnsi="Arial"/>
          <w:sz w:val="17"/>
          <w:szCs w:val="17"/>
          <w:b w:val="1"/>
          <w:bCs w:val="1"/>
          <w:color w:val="399A7A"/>
        </w:rPr>
        <w:t xml:space="preserve"> </w:t>
      </w:r>
      <w:r>
        <w:rPr>
          <w:rFonts w:ascii="Arial" w:cs="Arial" w:eastAsia="Arial" w:hAnsi="Arial"/>
          <w:sz w:val="17"/>
          <w:szCs w:val="17"/>
          <w:color w:val="399A7A"/>
        </w:rPr>
        <w:t xml:space="preserve">un-transduced or transduced with a 200 aa construct A375 tumor cell line or peptide-loaded or unloaded A375 tumor cell lines. </w:t>
      </w:r>
      <w:r>
        <w:rPr>
          <w:rFonts w:ascii="Arial" w:cs="Arial" w:eastAsia="Arial" w:hAnsi="Arial"/>
          <w:sz w:val="17"/>
          <w:szCs w:val="17"/>
          <w:b w:val="1"/>
          <w:bCs w:val="1"/>
          <w:color w:val="399A7A"/>
        </w:rPr>
        <w:t>5B:</w:t>
      </w:r>
      <w:r>
        <w:rPr>
          <w:rFonts w:ascii="Arial" w:cs="Arial" w:eastAsia="Arial" w:hAnsi="Arial"/>
          <w:sz w:val="17"/>
          <w:szCs w:val="17"/>
          <w:color w:val="399A7A"/>
        </w:rPr>
        <w:t xml:space="preserve"> Neoantigen-specific T cells were tested for recognition of autologous tumor digest or peptide-loaded autologous tumor digest through a recall response assay. Readout: IFN-</w:t>
      </w:r>
      <w:r>
        <w:rPr>
          <w:rFonts w:ascii="Times New Roman" w:cs="Times New Roman" w:eastAsia="Times New Roman" w:hAnsi="Times New Roman"/>
          <w:sz w:val="17"/>
          <w:szCs w:val="17"/>
          <w:color w:val="399A7A"/>
        </w:rPr>
        <w:t>g</w:t>
      </w:r>
      <w:r>
        <w:rPr>
          <w:rFonts w:ascii="Arial" w:cs="Arial" w:eastAsia="Arial" w:hAnsi="Arial"/>
          <w:sz w:val="14"/>
          <w:szCs w:val="14"/>
          <w:color w:val="399A7A"/>
        </w:rPr>
        <w:t>+</w:t>
      </w:r>
      <w:r>
        <w:rPr>
          <w:rFonts w:ascii="Arial" w:cs="Arial" w:eastAsia="Arial" w:hAnsi="Arial"/>
          <w:sz w:val="17"/>
          <w:szCs w:val="17"/>
          <w:color w:val="399A7A"/>
        </w:rPr>
        <w:t xml:space="preserve"> and/or CD107a</w:t>
      </w:r>
      <w:r>
        <w:rPr>
          <w:rFonts w:ascii="Arial" w:cs="Arial" w:eastAsia="Arial" w:hAnsi="Arial"/>
          <w:sz w:val="14"/>
          <w:szCs w:val="14"/>
          <w:color w:val="399A7A"/>
        </w:rPr>
        <w:t>+</w:t>
      </w:r>
      <w:r>
        <w:rPr>
          <w:rFonts w:ascii="Arial" w:cs="Arial" w:eastAsia="Arial" w:hAnsi="Arial"/>
          <w:sz w:val="17"/>
          <w:szCs w:val="17"/>
          <w:color w:val="399A7A"/>
        </w:rPr>
        <w:t xml:space="preserve"> % of pMHC</w:t>
      </w:r>
      <w:r>
        <w:rPr>
          <w:rFonts w:ascii="Arial" w:cs="Arial" w:eastAsia="Arial" w:hAnsi="Arial"/>
          <w:sz w:val="14"/>
          <w:szCs w:val="14"/>
          <w:color w:val="399A7A"/>
        </w:rPr>
        <w:t>+</w:t>
      </w:r>
      <w:r>
        <w:rPr>
          <w:rFonts w:ascii="Arial" w:cs="Arial" w:eastAsia="Arial" w:hAnsi="Arial"/>
          <w:sz w:val="17"/>
          <w:szCs w:val="17"/>
          <w:color w:val="399A7A"/>
        </w:rPr>
        <w:t xml:space="preserve"> CD8</w:t>
      </w:r>
      <w:r>
        <w:rPr>
          <w:rFonts w:ascii="Arial" w:cs="Arial" w:eastAsia="Arial" w:hAnsi="Arial"/>
          <w:sz w:val="14"/>
          <w:szCs w:val="14"/>
          <w:color w:val="399A7A"/>
        </w:rPr>
        <w:t>+</w:t>
      </w:r>
      <w:r>
        <w:rPr>
          <w:rFonts w:ascii="Arial" w:cs="Arial" w:eastAsia="Arial" w:hAnsi="Arial"/>
          <w:sz w:val="17"/>
          <w:szCs w:val="17"/>
          <w:color w:val="399A7A"/>
        </w:rPr>
        <w:t xml:space="preserve"> and pMHC</w:t>
      </w:r>
      <w:r>
        <w:rPr>
          <w:rFonts w:ascii="Arial" w:cs="Arial" w:eastAsia="Arial" w:hAnsi="Arial"/>
          <w:sz w:val="14"/>
          <w:szCs w:val="14"/>
          <w:color w:val="399A7A"/>
        </w:rPr>
        <w:t>-</w:t>
      </w:r>
      <w:r>
        <w:rPr>
          <w:rFonts w:ascii="Arial" w:cs="Arial" w:eastAsia="Arial" w:hAnsi="Arial"/>
          <w:sz w:val="17"/>
          <w:szCs w:val="17"/>
          <w:color w:val="399A7A"/>
        </w:rPr>
        <w:t xml:space="preserve"> CD8</w:t>
      </w:r>
      <w:r>
        <w:rPr>
          <w:rFonts w:ascii="Arial" w:cs="Arial" w:eastAsia="Arial" w:hAnsi="Arial"/>
          <w:sz w:val="14"/>
          <w:szCs w:val="14"/>
          <w:color w:val="399A7A"/>
        </w:rPr>
        <w:t>+</w:t>
      </w:r>
      <w:r>
        <w:rPr>
          <w:rFonts w:ascii="Arial" w:cs="Arial" w:eastAsia="Arial" w:hAnsi="Arial"/>
          <w:sz w:val="17"/>
          <w:szCs w:val="17"/>
          <w:color w:val="399A7A"/>
        </w:rPr>
        <w:t xml:space="preserve"> T cells (Y axis). Significance assigned using a 1-way ANOVA, P &lt; 0.05.</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045A63"/>
        </w:rPr>
        <w:t xml:space="preserve">Figure 6: </w:t>
      </w:r>
      <w:r>
        <w:rPr>
          <w:rFonts w:ascii="Arial" w:cs="Arial" w:eastAsia="Arial" w:hAnsi="Arial"/>
          <w:sz w:val="17"/>
          <w:szCs w:val="17"/>
          <w:b w:val="1"/>
          <w:bCs w:val="1"/>
          <w:color w:val="000000"/>
        </w:rPr>
        <w:t>Clinical Study Design for NEO-PTC-01 in Metastatic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547995" cy="1452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47995"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45A63"/>
        </w:rPr>
        <w:t>A dose-escalation study will be performed on Cohort A in a 3x3 design. Up to 20 patients will be treated in the Dose Expansion Cohort B.</w:t>
      </w:r>
    </w:p>
    <w:p>
      <w:pPr>
        <w:spacing w:after="0" w:line="111" w:lineRule="exact"/>
        <w:rPr>
          <w:sz w:val="20"/>
          <w:szCs w:val="20"/>
          <w:color w:val="auto"/>
        </w:rPr>
      </w:pPr>
    </w:p>
    <w:p>
      <w:pPr>
        <w:spacing w:after="0"/>
        <w:rPr>
          <w:sz w:val="20"/>
          <w:szCs w:val="20"/>
          <w:color w:val="auto"/>
        </w:rPr>
      </w:pPr>
      <w:r>
        <w:rPr>
          <w:sz w:val="1"/>
          <w:szCs w:val="1"/>
          <w:color w:val="auto"/>
        </w:rPr>
        <w:drawing>
          <wp:inline distT="0" distB="0" distL="0" distR="0">
            <wp:extent cx="65405" cy="12255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05" cy="122555"/>
                    </a:xfrm>
                    <a:prstGeom prst="rect">
                      <a:avLst/>
                    </a:prstGeom>
                    <a:noFill/>
                    <a:ln>
                      <a:noFill/>
                    </a:ln>
                  </pic:spPr>
                </pic:pic>
              </a:graphicData>
            </a:graphic>
          </wp:inline>
        </w:drawing>
      </w:r>
      <w:r>
        <w:rPr>
          <w:rFonts w:ascii="Arial" w:cs="Arial" w:eastAsia="Arial" w:hAnsi="Arial"/>
          <w:sz w:val="17"/>
          <w:szCs w:val="17"/>
          <w:b w:val="1"/>
          <w:bCs w:val="1"/>
          <w:color w:val="FFFFFF"/>
        </w:rPr>
        <w:t>Key Takeaways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7138670" cy="1225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41" w:name="page42"/>
    <w:bookmarkEnd w:id="41"/>
    <w:p>
      <w:pPr>
        <w:ind w:left="260" w:hanging="171"/>
        <w:spacing w:after="0" w:line="280" w:lineRule="auto"/>
        <w:tabs>
          <w:tab w:leader="none" w:pos="245" w:val="left"/>
        </w:tabs>
        <w:numPr>
          <w:ilvl w:val="0"/>
          <w:numId w:val="51"/>
        </w:numPr>
        <w:rPr>
          <w:rFonts w:ascii="Arial" w:cs="Arial" w:eastAsia="Arial" w:hAnsi="Arial"/>
          <w:sz w:val="17"/>
          <w:szCs w:val="17"/>
          <w:color w:val="045A63"/>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1623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23695"/>
                    </a:xfrm>
                    <a:prstGeom prst="rect">
                      <a:avLst/>
                    </a:prstGeom>
                    <a:noFill/>
                  </pic:spPr>
                </pic:pic>
              </a:graphicData>
            </a:graphic>
          </wp:anchor>
        </w:drawing>
        <w:t>Using NEO-STIM, BioNTech’s proprietary T cell induction process, we have demonstrated that we can reproducibly generate a potent neoantigen-specific T cell product, NEO-PTC-01, from PBMCs of melanoma patients at a therapeutic scale:</w:t>
      </w:r>
    </w:p>
    <w:p>
      <w:pPr>
        <w:spacing w:after="0" w:line="44" w:lineRule="exact"/>
        <w:rPr>
          <w:rFonts w:ascii="Arial" w:cs="Arial" w:eastAsia="Arial" w:hAnsi="Arial"/>
          <w:sz w:val="17"/>
          <w:szCs w:val="17"/>
          <w:color w:val="045A63"/>
        </w:rPr>
      </w:pPr>
    </w:p>
    <w:p>
      <w:pPr>
        <w:ind w:left="420" w:hanging="160"/>
        <w:spacing w:after="0"/>
        <w:tabs>
          <w:tab w:leader="none" w:pos="420" w:val="left"/>
        </w:tabs>
        <w:numPr>
          <w:ilvl w:val="1"/>
          <w:numId w:val="51"/>
        </w:numPr>
        <w:rPr>
          <w:rFonts w:ascii="Arial" w:cs="Arial" w:eastAsia="Arial" w:hAnsi="Arial"/>
          <w:sz w:val="17"/>
          <w:szCs w:val="17"/>
          <w:color w:val="045A63"/>
        </w:rPr>
      </w:pPr>
      <w:r>
        <w:rPr>
          <w:rFonts w:ascii="Arial" w:cs="Arial" w:eastAsia="Arial" w:hAnsi="Arial"/>
          <w:sz w:val="17"/>
          <w:szCs w:val="17"/>
          <w:color w:val="auto"/>
        </w:rPr>
        <w:t>NEO-STIM induces multiple neoantigen-specific CD8</w:t>
      </w:r>
      <w:r>
        <w:rPr>
          <w:rFonts w:ascii="Arial" w:cs="Arial" w:eastAsia="Arial" w:hAnsi="Arial"/>
          <w:sz w:val="14"/>
          <w:szCs w:val="14"/>
          <w:color w:val="auto"/>
        </w:rPr>
        <w:t>+</w:t>
      </w:r>
      <w:r>
        <w:rPr>
          <w:rFonts w:ascii="Arial" w:cs="Arial" w:eastAsia="Arial" w:hAnsi="Arial"/>
          <w:sz w:val="17"/>
          <w:szCs w:val="17"/>
          <w:color w:val="auto"/>
        </w:rPr>
        <w:t xml:space="preserve"> and CD4</w:t>
      </w:r>
      <w:r>
        <w:rPr>
          <w:rFonts w:ascii="Arial" w:cs="Arial" w:eastAsia="Arial" w:hAnsi="Arial"/>
          <w:sz w:val="14"/>
          <w:szCs w:val="14"/>
          <w:color w:val="auto"/>
        </w:rPr>
        <w:t>+</w:t>
      </w:r>
      <w:r>
        <w:rPr>
          <w:rFonts w:ascii="Arial" w:cs="Arial" w:eastAsia="Arial" w:hAnsi="Arial"/>
          <w:sz w:val="17"/>
          <w:szCs w:val="17"/>
          <w:color w:val="auto"/>
        </w:rPr>
        <w:t xml:space="preserve"> T cell responses.</w:t>
      </w:r>
    </w:p>
    <w:p>
      <w:pPr>
        <w:spacing w:after="0" w:line="112" w:lineRule="exact"/>
        <w:rPr>
          <w:rFonts w:ascii="Arial" w:cs="Arial" w:eastAsia="Arial" w:hAnsi="Arial"/>
          <w:sz w:val="17"/>
          <w:szCs w:val="17"/>
          <w:color w:val="045A63"/>
        </w:rPr>
      </w:pPr>
    </w:p>
    <w:p>
      <w:pPr>
        <w:ind w:left="420" w:hanging="160"/>
        <w:spacing w:after="0"/>
        <w:tabs>
          <w:tab w:leader="none" w:pos="420" w:val="left"/>
        </w:tabs>
        <w:numPr>
          <w:ilvl w:val="1"/>
          <w:numId w:val="51"/>
        </w:numPr>
        <w:rPr>
          <w:rFonts w:ascii="Arial" w:cs="Arial" w:eastAsia="Arial" w:hAnsi="Arial"/>
          <w:sz w:val="17"/>
          <w:szCs w:val="17"/>
          <w:color w:val="045A63"/>
        </w:rPr>
      </w:pPr>
      <w:r>
        <w:rPr>
          <w:rFonts w:ascii="Arial" w:cs="Arial" w:eastAsia="Arial" w:hAnsi="Arial"/>
          <w:sz w:val="17"/>
          <w:szCs w:val="17"/>
          <w:color w:val="auto"/>
        </w:rPr>
        <w:t>The induced T cell responses are mutant-reactive, show a polyfunctional profile, and have central and effector memory phenotypes.</w:t>
      </w:r>
    </w:p>
    <w:p>
      <w:pPr>
        <w:spacing w:after="0" w:line="112" w:lineRule="exact"/>
        <w:rPr>
          <w:rFonts w:ascii="Arial" w:cs="Arial" w:eastAsia="Arial" w:hAnsi="Arial"/>
          <w:sz w:val="17"/>
          <w:szCs w:val="17"/>
          <w:color w:val="045A63"/>
        </w:rPr>
      </w:pPr>
    </w:p>
    <w:p>
      <w:pPr>
        <w:ind w:left="440" w:hanging="180"/>
        <w:spacing w:after="0" w:line="280" w:lineRule="auto"/>
        <w:tabs>
          <w:tab w:leader="none" w:pos="432" w:val="left"/>
        </w:tabs>
        <w:numPr>
          <w:ilvl w:val="1"/>
          <w:numId w:val="51"/>
        </w:numPr>
        <w:rPr>
          <w:rFonts w:ascii="Arial" w:cs="Arial" w:eastAsia="Arial" w:hAnsi="Arial"/>
          <w:sz w:val="17"/>
          <w:szCs w:val="17"/>
          <w:color w:val="045A63"/>
        </w:rPr>
      </w:pPr>
      <w:r>
        <w:rPr>
          <w:rFonts w:ascii="Arial" w:cs="Arial" w:eastAsia="Arial" w:hAnsi="Arial"/>
          <w:sz w:val="17"/>
          <w:szCs w:val="17"/>
          <w:color w:val="auto"/>
        </w:rPr>
        <w:t>The induced T cell responses have cytotoxic capability, shown by the upregulation of cytotoxic function upon recognition of antigen-expressing tumor cell lines.</w:t>
      </w:r>
    </w:p>
    <w:p>
      <w:pPr>
        <w:spacing w:after="0" w:line="44" w:lineRule="exact"/>
        <w:rPr>
          <w:rFonts w:ascii="Arial" w:cs="Arial" w:eastAsia="Arial" w:hAnsi="Arial"/>
          <w:sz w:val="17"/>
          <w:szCs w:val="17"/>
          <w:color w:val="045A63"/>
        </w:rPr>
      </w:pPr>
    </w:p>
    <w:p>
      <w:pPr>
        <w:ind w:left="420" w:hanging="160"/>
        <w:spacing w:after="0"/>
        <w:tabs>
          <w:tab w:leader="none" w:pos="420" w:val="left"/>
        </w:tabs>
        <w:numPr>
          <w:ilvl w:val="1"/>
          <w:numId w:val="51"/>
        </w:numPr>
        <w:rPr>
          <w:rFonts w:ascii="Arial" w:cs="Arial" w:eastAsia="Arial" w:hAnsi="Arial"/>
          <w:sz w:val="17"/>
          <w:szCs w:val="17"/>
          <w:color w:val="045A63"/>
        </w:rPr>
      </w:pPr>
      <w:r>
        <w:rPr>
          <w:rFonts w:ascii="Arial" w:cs="Arial" w:eastAsia="Arial" w:hAnsi="Arial"/>
          <w:sz w:val="17"/>
          <w:szCs w:val="17"/>
          <w:color w:val="auto"/>
        </w:rPr>
        <w:t>Importantly, we have shown that NEO-STIM-induced T cell cultures can directly recognize autologous tumor.</w:t>
      </w:r>
    </w:p>
    <w:p>
      <w:pPr>
        <w:spacing w:after="0" w:line="112" w:lineRule="exact"/>
        <w:rPr>
          <w:rFonts w:ascii="Arial" w:cs="Arial" w:eastAsia="Arial" w:hAnsi="Arial"/>
          <w:sz w:val="17"/>
          <w:szCs w:val="17"/>
          <w:color w:val="045A63"/>
        </w:rPr>
      </w:pPr>
    </w:p>
    <w:p>
      <w:pPr>
        <w:ind w:left="260" w:hanging="171"/>
        <w:spacing w:after="0" w:line="292" w:lineRule="auto"/>
        <w:tabs>
          <w:tab w:leader="none" w:pos="245" w:val="left"/>
        </w:tabs>
        <w:numPr>
          <w:ilvl w:val="0"/>
          <w:numId w:val="51"/>
        </w:numPr>
        <w:rPr>
          <w:rFonts w:ascii="Arial" w:cs="Arial" w:eastAsia="Arial" w:hAnsi="Arial"/>
          <w:sz w:val="17"/>
          <w:szCs w:val="17"/>
          <w:color w:val="045A63"/>
        </w:rPr>
      </w:pPr>
      <w:r>
        <w:rPr>
          <w:rFonts w:ascii="Arial" w:cs="Arial" w:eastAsia="Arial" w:hAnsi="Arial"/>
          <w:sz w:val="17"/>
          <w:szCs w:val="17"/>
          <w:color w:val="auto"/>
        </w:rPr>
        <w:t>NEO-PTC-01 (BNT-221), the neoantigen-specific T cell product generated from this process, is a potent adoptive cell therapy targeting multiple immunogenic neoantigens in patients with metastatic melanoma who are refractory to checkpoint inhibitor therapy (</w:t>
      </w:r>
      <w:r>
        <w:rPr>
          <w:rFonts w:ascii="Arial" w:cs="Arial" w:eastAsia="Arial" w:hAnsi="Arial"/>
          <w:sz w:val="17"/>
          <w:szCs w:val="17"/>
          <w:b w:val="1"/>
          <w:bCs w:val="1"/>
          <w:color w:val="045A63"/>
        </w:rPr>
        <w:t>Figure 6</w:t>
      </w:r>
      <w:r>
        <w:rPr>
          <w:rFonts w:ascii="Arial" w:cs="Arial" w:eastAsia="Arial" w:hAnsi="Arial"/>
          <w:sz w:val="17"/>
          <w:szCs w:val="17"/>
          <w:color w:val="auto"/>
        </w:rPr>
        <w:t>).</w:t>
      </w:r>
    </w:p>
    <w:p>
      <w:pPr>
        <w:spacing w:after="0" w:line="253"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b w:val="1"/>
          <w:bCs w:val="1"/>
          <w:color w:val="045A63"/>
        </w:rPr>
        <w:t xml:space="preserve">References: 1) </w:t>
      </w:r>
      <w:r>
        <w:rPr>
          <w:rFonts w:ascii="Arial" w:cs="Arial" w:eastAsia="Arial" w:hAnsi="Arial"/>
          <w:sz w:val="13"/>
          <w:szCs w:val="13"/>
          <w:color w:val="000000"/>
        </w:rPr>
        <w:t>Yarchoan M, Johnson III BA, Lutz ER, et al.</w:t>
      </w:r>
      <w:r>
        <w:rPr>
          <w:rFonts w:ascii="Arial" w:cs="Arial" w:eastAsia="Arial" w:hAnsi="Arial"/>
          <w:sz w:val="13"/>
          <w:szCs w:val="13"/>
          <w:b w:val="1"/>
          <w:bCs w:val="1"/>
          <w:color w:val="045A63"/>
        </w:rPr>
        <w:t xml:space="preserve"> </w:t>
      </w:r>
      <w:r>
        <w:rPr>
          <w:rFonts w:ascii="Arial" w:cs="Arial" w:eastAsia="Arial" w:hAnsi="Arial"/>
          <w:sz w:val="13"/>
          <w:szCs w:val="13"/>
          <w:i w:val="1"/>
          <w:iCs w:val="1"/>
          <w:color w:val="000000"/>
        </w:rPr>
        <w:t>Nat Rev</w:t>
      </w:r>
      <w:r>
        <w:rPr>
          <w:rFonts w:ascii="Arial" w:cs="Arial" w:eastAsia="Arial" w:hAnsi="Arial"/>
          <w:sz w:val="13"/>
          <w:szCs w:val="13"/>
          <w:b w:val="1"/>
          <w:bCs w:val="1"/>
          <w:color w:val="045A63"/>
        </w:rPr>
        <w:t xml:space="preserve"> </w:t>
      </w:r>
      <w:r>
        <w:rPr>
          <w:rFonts w:ascii="Arial" w:cs="Arial" w:eastAsia="Arial" w:hAnsi="Arial"/>
          <w:sz w:val="13"/>
          <w:szCs w:val="13"/>
          <w:color w:val="000000"/>
        </w:rPr>
        <w:t>Cancer. 2017;17(4):209-222.</w:t>
      </w:r>
      <w:r>
        <w:rPr>
          <w:rFonts w:ascii="Arial" w:cs="Arial" w:eastAsia="Arial" w:hAnsi="Arial"/>
          <w:sz w:val="13"/>
          <w:szCs w:val="13"/>
          <w:b w:val="1"/>
          <w:bCs w:val="1"/>
          <w:color w:val="045A63"/>
        </w:rPr>
        <w:t xml:space="preserve"> 2) </w:t>
      </w:r>
      <w:r>
        <w:rPr>
          <w:rFonts w:ascii="Arial" w:cs="Arial" w:eastAsia="Arial" w:hAnsi="Arial"/>
          <w:sz w:val="13"/>
          <w:szCs w:val="13"/>
          <w:color w:val="000000"/>
        </w:rPr>
        <w:t>Martin SD, Coukos G, Holt RA, et al.</w:t>
      </w:r>
      <w:r>
        <w:rPr>
          <w:rFonts w:ascii="Arial" w:cs="Arial" w:eastAsia="Arial" w:hAnsi="Arial"/>
          <w:sz w:val="13"/>
          <w:szCs w:val="13"/>
          <w:b w:val="1"/>
          <w:bCs w:val="1"/>
          <w:color w:val="045A63"/>
        </w:rPr>
        <w:t xml:space="preserve"> </w:t>
      </w:r>
      <w:r>
        <w:rPr>
          <w:rFonts w:ascii="Arial" w:cs="Arial" w:eastAsia="Arial" w:hAnsi="Arial"/>
          <w:sz w:val="13"/>
          <w:szCs w:val="13"/>
          <w:i w:val="1"/>
          <w:iCs w:val="1"/>
          <w:color w:val="000000"/>
        </w:rPr>
        <w:t>Ann Oncol</w:t>
      </w:r>
      <w:r>
        <w:rPr>
          <w:rFonts w:ascii="Arial" w:cs="Arial" w:eastAsia="Arial" w:hAnsi="Arial"/>
          <w:sz w:val="13"/>
          <w:szCs w:val="13"/>
          <w:color w:val="000000"/>
        </w:rPr>
        <w:t>. 2015;26(12):2367-2374.</w:t>
      </w:r>
      <w:r>
        <w:rPr>
          <w:rFonts w:ascii="Arial" w:cs="Arial" w:eastAsia="Arial" w:hAnsi="Arial"/>
          <w:sz w:val="13"/>
          <w:szCs w:val="13"/>
          <w:b w:val="1"/>
          <w:bCs w:val="1"/>
          <w:color w:val="045A63"/>
        </w:rPr>
        <w:t xml:space="preserve"> 3) </w:t>
      </w:r>
      <w:r>
        <w:rPr>
          <w:rFonts w:ascii="Arial" w:cs="Arial" w:eastAsia="Arial" w:hAnsi="Arial"/>
          <w:sz w:val="13"/>
          <w:szCs w:val="13"/>
          <w:color w:val="000000"/>
        </w:rPr>
        <w:t>Ott PA,</w:t>
      </w:r>
      <w:r>
        <w:rPr>
          <w:rFonts w:ascii="Arial" w:cs="Arial" w:eastAsia="Arial" w:hAnsi="Arial"/>
          <w:sz w:val="13"/>
          <w:szCs w:val="13"/>
          <w:b w:val="1"/>
          <w:bCs w:val="1"/>
          <w:color w:val="045A63"/>
        </w:rPr>
        <w:t xml:space="preserve"> </w:t>
      </w:r>
      <w:r>
        <w:rPr>
          <w:rFonts w:ascii="Arial" w:cs="Arial" w:eastAsia="Arial" w:hAnsi="Arial"/>
          <w:sz w:val="13"/>
          <w:szCs w:val="13"/>
          <w:color w:val="000000"/>
        </w:rPr>
        <w:t xml:space="preserve">Hu-Lieskovan S, Chmielowski B, et al. </w:t>
      </w:r>
      <w:r>
        <w:rPr>
          <w:rFonts w:ascii="Arial" w:cs="Arial" w:eastAsia="Arial" w:hAnsi="Arial"/>
          <w:sz w:val="13"/>
          <w:szCs w:val="13"/>
          <w:i w:val="1"/>
          <w:iCs w:val="1"/>
          <w:color w:val="000000"/>
        </w:rPr>
        <w:t>Unpublished</w:t>
      </w:r>
      <w:r>
        <w:rPr>
          <w:rFonts w:ascii="Arial" w:cs="Arial" w:eastAsia="Arial" w:hAnsi="Arial"/>
          <w:sz w:val="13"/>
          <w:szCs w:val="13"/>
          <w:color w:val="000000"/>
        </w:rPr>
        <w:t xml:space="preserve">. 2020. </w:t>
      </w:r>
      <w:r>
        <w:rPr>
          <w:rFonts w:ascii="Arial" w:cs="Arial" w:eastAsia="Arial" w:hAnsi="Arial"/>
          <w:sz w:val="13"/>
          <w:szCs w:val="13"/>
          <w:b w:val="1"/>
          <w:bCs w:val="1"/>
          <w:color w:val="045A63"/>
        </w:rPr>
        <w:t>4)</w:t>
      </w:r>
      <w:r>
        <w:rPr>
          <w:rFonts w:ascii="Arial" w:cs="Arial" w:eastAsia="Arial" w:hAnsi="Arial"/>
          <w:sz w:val="13"/>
          <w:szCs w:val="13"/>
          <w:color w:val="000000"/>
        </w:rPr>
        <w:t xml:space="preserve"> Tran E, Turcotte S, Gros A, et al. </w:t>
      </w:r>
      <w:r>
        <w:rPr>
          <w:rFonts w:ascii="Arial" w:cs="Arial" w:eastAsia="Arial" w:hAnsi="Arial"/>
          <w:sz w:val="13"/>
          <w:szCs w:val="13"/>
          <w:i w:val="1"/>
          <w:iCs w:val="1"/>
          <w:color w:val="000000"/>
        </w:rPr>
        <w:t>Science.</w:t>
      </w:r>
      <w:r>
        <w:rPr>
          <w:rFonts w:ascii="Arial" w:cs="Arial" w:eastAsia="Arial" w:hAnsi="Arial"/>
          <w:sz w:val="13"/>
          <w:szCs w:val="13"/>
          <w:color w:val="000000"/>
        </w:rPr>
        <w:t xml:space="preserve"> 2014;344(6184):641-645. </w:t>
      </w:r>
      <w:r>
        <w:rPr>
          <w:rFonts w:ascii="Arial" w:cs="Arial" w:eastAsia="Arial" w:hAnsi="Arial"/>
          <w:sz w:val="13"/>
          <w:szCs w:val="13"/>
          <w:b w:val="1"/>
          <w:bCs w:val="1"/>
          <w:color w:val="045A63"/>
        </w:rPr>
        <w:t>5)</w:t>
      </w:r>
      <w:r>
        <w:rPr>
          <w:rFonts w:ascii="Arial" w:cs="Arial" w:eastAsia="Arial" w:hAnsi="Arial"/>
          <w:sz w:val="13"/>
          <w:szCs w:val="13"/>
          <w:color w:val="000000"/>
        </w:rPr>
        <w:t xml:space="preserve"> Tran E, Robbins PF, Rosenberg SA. </w:t>
      </w:r>
      <w:r>
        <w:rPr>
          <w:rFonts w:ascii="Arial" w:cs="Arial" w:eastAsia="Arial" w:hAnsi="Arial"/>
          <w:sz w:val="13"/>
          <w:szCs w:val="13"/>
          <w:i w:val="1"/>
          <w:iCs w:val="1"/>
          <w:color w:val="000000"/>
        </w:rPr>
        <w:t>Nat Immunol</w:t>
      </w:r>
      <w:r>
        <w:rPr>
          <w:rFonts w:ascii="Arial" w:cs="Arial" w:eastAsia="Arial" w:hAnsi="Arial"/>
          <w:sz w:val="13"/>
          <w:szCs w:val="13"/>
          <w:color w:val="000000"/>
        </w:rPr>
        <w:t xml:space="preserve">. 2017;18(3):255-262. </w:t>
      </w:r>
      <w:r>
        <w:rPr>
          <w:rFonts w:ascii="Arial" w:cs="Arial" w:eastAsia="Arial" w:hAnsi="Arial"/>
          <w:sz w:val="13"/>
          <w:szCs w:val="13"/>
          <w:b w:val="1"/>
          <w:bCs w:val="1"/>
          <w:color w:val="045A63"/>
        </w:rPr>
        <w:t>6)</w:t>
      </w:r>
      <w:r>
        <w:rPr>
          <w:rFonts w:ascii="Arial" w:cs="Arial" w:eastAsia="Arial" w:hAnsi="Arial"/>
          <w:sz w:val="13"/>
          <w:szCs w:val="13"/>
          <w:color w:val="000000"/>
        </w:rPr>
        <w:t xml:space="preserve"> van Buuren MM, Calis JJ, Schumacher TN. </w:t>
      </w:r>
      <w:r>
        <w:rPr>
          <w:rFonts w:ascii="Arial" w:cs="Arial" w:eastAsia="Arial" w:hAnsi="Arial"/>
          <w:sz w:val="13"/>
          <w:szCs w:val="13"/>
          <w:i w:val="1"/>
          <w:iCs w:val="1"/>
          <w:color w:val="000000"/>
        </w:rPr>
        <w:t>Oncoimmunology.</w:t>
      </w:r>
      <w:r>
        <w:rPr>
          <w:rFonts w:ascii="Arial" w:cs="Arial" w:eastAsia="Arial" w:hAnsi="Arial"/>
          <w:sz w:val="13"/>
          <w:szCs w:val="13"/>
          <w:color w:val="000000"/>
        </w:rPr>
        <w:t xml:space="preserve"> 2014;3:e28836. </w:t>
      </w:r>
      <w:r>
        <w:rPr>
          <w:rFonts w:ascii="Arial" w:cs="Arial" w:eastAsia="Arial" w:hAnsi="Arial"/>
          <w:sz w:val="13"/>
          <w:szCs w:val="13"/>
          <w:b w:val="1"/>
          <w:bCs w:val="1"/>
          <w:color w:val="045A63"/>
        </w:rPr>
        <w:t>7)</w:t>
      </w:r>
      <w:r>
        <w:rPr>
          <w:rFonts w:ascii="Arial" w:cs="Arial" w:eastAsia="Arial" w:hAnsi="Arial"/>
          <w:sz w:val="13"/>
          <w:szCs w:val="13"/>
          <w:color w:val="000000"/>
        </w:rPr>
        <w:t xml:space="preserve"> Fritsch EF, Rajasagi M, Ott PA, et al. </w:t>
      </w:r>
      <w:r>
        <w:rPr>
          <w:rFonts w:ascii="Arial" w:cs="Arial" w:eastAsia="Arial" w:hAnsi="Arial"/>
          <w:sz w:val="13"/>
          <w:szCs w:val="13"/>
          <w:i w:val="1"/>
          <w:iCs w:val="1"/>
          <w:color w:val="000000"/>
        </w:rPr>
        <w:t>Cancer Immunol Res</w:t>
      </w:r>
      <w:r>
        <w:rPr>
          <w:rFonts w:ascii="Arial" w:cs="Arial" w:eastAsia="Arial" w:hAnsi="Arial"/>
          <w:sz w:val="13"/>
          <w:szCs w:val="13"/>
          <w:color w:val="000000"/>
        </w:rPr>
        <w:t>. 2014;2(6):522-529.</w:t>
      </w:r>
    </w:p>
    <w:p>
      <w:pPr>
        <w:ind w:right="300" w:firstLine="3"/>
        <w:spacing w:after="0" w:line="249" w:lineRule="auto"/>
        <w:tabs>
          <w:tab w:leader="none" w:pos="160" w:val="left"/>
        </w:tabs>
        <w:numPr>
          <w:ilvl w:val="0"/>
          <w:numId w:val="52"/>
        </w:numPr>
        <w:rPr>
          <w:rFonts w:ascii="Arial" w:cs="Arial" w:eastAsia="Arial" w:hAnsi="Arial"/>
          <w:sz w:val="14"/>
          <w:szCs w:val="14"/>
          <w:b w:val="1"/>
          <w:bCs w:val="1"/>
          <w:color w:val="045A63"/>
        </w:rPr>
      </w:pPr>
      <w:r>
        <w:rPr>
          <w:rFonts w:ascii="Arial" w:cs="Arial" w:eastAsia="Arial" w:hAnsi="Arial"/>
          <w:sz w:val="14"/>
          <w:szCs w:val="14"/>
          <w:color w:val="auto"/>
        </w:rPr>
        <w:t xml:space="preserve">Ott PA, Hu Z, Keskin DB, et al. </w:t>
      </w:r>
      <w:r>
        <w:rPr>
          <w:rFonts w:ascii="Arial" w:cs="Arial" w:eastAsia="Arial" w:hAnsi="Arial"/>
          <w:sz w:val="14"/>
          <w:szCs w:val="14"/>
          <w:i w:val="1"/>
          <w:iCs w:val="1"/>
          <w:color w:val="auto"/>
        </w:rPr>
        <w:t>Nature.</w:t>
      </w:r>
      <w:r>
        <w:rPr>
          <w:rFonts w:ascii="Arial" w:cs="Arial" w:eastAsia="Arial" w:hAnsi="Arial"/>
          <w:sz w:val="14"/>
          <w:szCs w:val="14"/>
          <w:color w:val="auto"/>
        </w:rPr>
        <w:t xml:space="preserve"> 2017;547(7662):217-221. </w:t>
      </w:r>
      <w:r>
        <w:rPr>
          <w:rFonts w:ascii="Arial" w:cs="Arial" w:eastAsia="Arial" w:hAnsi="Arial"/>
          <w:sz w:val="14"/>
          <w:szCs w:val="14"/>
          <w:b w:val="1"/>
          <w:bCs w:val="1"/>
          <w:color w:val="045A63"/>
        </w:rPr>
        <w:t>9)</w:t>
      </w:r>
      <w:r>
        <w:rPr>
          <w:rFonts w:ascii="Arial" w:cs="Arial" w:eastAsia="Arial" w:hAnsi="Arial"/>
          <w:sz w:val="14"/>
          <w:szCs w:val="14"/>
          <w:color w:val="auto"/>
        </w:rPr>
        <w:t xml:space="preserve"> Andersen RS, Kvistborg P, FrØsig TM, et al. Nature Protoc. 2012;7(5):891-902. </w:t>
      </w:r>
      <w:r>
        <w:rPr>
          <w:rFonts w:ascii="Arial" w:cs="Arial" w:eastAsia="Arial" w:hAnsi="Arial"/>
          <w:sz w:val="14"/>
          <w:szCs w:val="14"/>
          <w:b w:val="1"/>
          <w:bCs w:val="1"/>
          <w:color w:val="045A63"/>
        </w:rPr>
        <w:t>10)</w:t>
      </w:r>
      <w:r>
        <w:rPr>
          <w:rFonts w:ascii="Arial" w:cs="Arial" w:eastAsia="Arial" w:hAnsi="Arial"/>
          <w:sz w:val="14"/>
          <w:szCs w:val="14"/>
          <w:color w:val="auto"/>
        </w:rPr>
        <w:t xml:space="preserve"> Krutzik PO, Nolan GP. Nat </w:t>
      </w:r>
      <w:r>
        <w:rPr>
          <w:rFonts w:ascii="Arial" w:cs="Arial" w:eastAsia="Arial" w:hAnsi="Arial"/>
          <w:sz w:val="14"/>
          <w:szCs w:val="14"/>
          <w:i w:val="1"/>
          <w:iCs w:val="1"/>
          <w:color w:val="auto"/>
        </w:rPr>
        <w:t>Methods</w:t>
      </w:r>
      <w:r>
        <w:rPr>
          <w:rFonts w:ascii="Arial" w:cs="Arial" w:eastAsia="Arial" w:hAnsi="Arial"/>
          <w:sz w:val="14"/>
          <w:szCs w:val="14"/>
          <w:color w:val="auto"/>
        </w:rPr>
        <w:t>. 2006;3(5):361-368.</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045A63"/>
        </w:rPr>
        <w:t>11)</w:t>
      </w:r>
      <w:r>
        <w:rPr>
          <w:rFonts w:ascii="Arial" w:cs="Arial" w:eastAsia="Arial" w:hAnsi="Arial"/>
          <w:sz w:val="14"/>
          <w:szCs w:val="14"/>
          <w:i w:val="1"/>
          <w:iCs w:val="1"/>
          <w:color w:val="auto"/>
        </w:rPr>
        <w:t xml:space="preserve"> </w:t>
      </w:r>
      <w:r>
        <w:rPr>
          <w:rFonts w:ascii="Arial" w:cs="Arial" w:eastAsia="Arial" w:hAnsi="Arial"/>
          <w:sz w:val="14"/>
          <w:szCs w:val="14"/>
          <w:color w:val="auto"/>
        </w:rPr>
        <w:t>Pittet MJ, Valmori D, Dunbar PR, et al.</w:t>
      </w:r>
      <w:r>
        <w:rPr>
          <w:rFonts w:ascii="Arial" w:cs="Arial" w:eastAsia="Arial" w:hAnsi="Arial"/>
          <w:sz w:val="14"/>
          <w:szCs w:val="14"/>
          <w:i w:val="1"/>
          <w:iCs w:val="1"/>
          <w:color w:val="auto"/>
        </w:rPr>
        <w:t xml:space="preserve"> J Exp Med. </w:t>
      </w:r>
      <w:r>
        <w:rPr>
          <w:rFonts w:ascii="Arial" w:cs="Arial" w:eastAsia="Arial" w:hAnsi="Arial"/>
          <w:sz w:val="14"/>
          <w:szCs w:val="14"/>
          <w:color w:val="auto"/>
        </w:rPr>
        <w:t>1999;190(5):705-715.</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045A63"/>
        </w:rPr>
        <w:t xml:space="preserve">Disclosures: </w:t>
      </w:r>
      <w:r>
        <w:rPr>
          <w:rFonts w:ascii="Arial" w:cs="Arial" w:eastAsia="Arial" w:hAnsi="Arial"/>
          <w:sz w:val="13"/>
          <w:szCs w:val="13"/>
          <w:color w:val="000000"/>
        </w:rPr>
        <w:t>DL, JK, BMc, JMc, DK, PT, DH, RBG, MMvB: employees of BioNTech US Inc. (formerly Neon Therapeutics). MN, JS: former employee of BioNTech US Inc. (formerly Neon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Therapeutics). CN, JHvdB (former): employees of the Netherlands Cancer Institute.</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4"/>
          <w:szCs w:val="14"/>
          <w:b w:val="1"/>
          <w:bCs w:val="1"/>
          <w:color w:val="045A63"/>
        </w:rPr>
        <w:t xml:space="preserve">Acknowledgments: </w:t>
      </w:r>
      <w:r>
        <w:rPr>
          <w:rFonts w:ascii="Arial" w:cs="Arial" w:eastAsia="Arial" w:hAnsi="Arial"/>
          <w:sz w:val="14"/>
          <w:szCs w:val="14"/>
          <w:color w:val="000000"/>
        </w:rPr>
        <w:t>The authors are grateful for the contributions of Vikram Juneja, Christina Arieta, John Attanasio, Julia Papps, Diana Velez, Prerna Suri, Yvonne Ware, Yuting Huang,</w:t>
      </w:r>
      <w:r>
        <w:rPr>
          <w:rFonts w:ascii="Arial" w:cs="Arial" w:eastAsia="Arial" w:hAnsi="Arial"/>
          <w:sz w:val="14"/>
          <w:szCs w:val="14"/>
          <w:b w:val="1"/>
          <w:bCs w:val="1"/>
          <w:color w:val="045A63"/>
        </w:rPr>
        <w:t xml:space="preserve"> </w:t>
      </w:r>
      <w:r>
        <w:rPr>
          <w:rFonts w:ascii="Arial" w:cs="Arial" w:eastAsia="Arial" w:hAnsi="Arial"/>
          <w:sz w:val="14"/>
          <w:szCs w:val="14"/>
          <w:color w:val="000000"/>
        </w:rPr>
        <w:t>and Zakaria Khonder (employees of BioNTech US Inc.); Ed Fritsch, Matt Goldstein, Rachel DeBarge, Kaitlyn Izzo, Brian Sullivan, and Flavian Brown (former employees of BioNTech US Inc. [formerly Neon Therapeutics]); Rhianne Voogd, Maaike van Zon, Saskia Scheij, Brenda Raud, Noor Bakker, Renate de Boer, Maartje Rohaan, Ton Schumacher, and John Haanen (employees of the Netherlands Cancer Institute); and Myriam Armant (employee of Boston Children’s Hospital). The authors received editorial assistance from Acumen Medical Communications.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Poster 153 | Presented at The Society for Immunotherapy of Cancer Annual Meeting | November 9-14,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225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sectPr>
      <w:pgSz w:w="11900" w:h="16838" w:orient="portrait"/>
      <w:cols w:equalWidth="0" w:num="1">
        <w:col w:w="11240"/>
      </w:cols>
      <w:pgMar w:left="320" w:top="2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lvl w:ilvl="1">
      <w:lvlJc w:val="left"/>
      <w:lvlText w:val="\endash "/>
      <w:numFmt w:val="bullet"/>
      <w:start w:val="1"/>
    </w:lvl>
  </w:abstractNum>
  <w:abstractNum w:abstractNumId="14">
    <w:nsid w:val="3006C83E"/>
    <w:multiLevelType w:val="hybridMultilevel"/>
    <w:lvl w:ilvl="0">
      <w:lvlJc w:val="left"/>
      <w:lvlText w:val="●"/>
      <w:numFmt w:val="bullet"/>
      <w:start w:val="1"/>
    </w:lvl>
    <w:lvl w:ilvl="1">
      <w:lvlJc w:val="left"/>
      <w:lvlText w:val="\endash "/>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lvl w:ilvl="1">
      <w:lvlJc w:val="left"/>
      <w:lvlText w:val="\endash "/>
      <w:numFmt w:val="bullet"/>
      <w:start w:val="1"/>
    </w:lvl>
  </w:abstractNum>
  <w:abstractNum w:abstractNumId="20">
    <w:nsid w:val="3804823E"/>
    <w:multiLevelType w:val="hybridMultilevel"/>
    <w:lvl w:ilvl="0">
      <w:lvlJc w:val="left"/>
      <w:lvlText w:val="•"/>
      <w:numFmt w:val="bullet"/>
      <w:start w:val="1"/>
    </w:lvl>
    <w:lvl w:ilvl="1">
      <w:lvlJc w:val="left"/>
      <w:lvlText w:val="\endash "/>
      <w:numFmt w:val="bullet"/>
      <w:start w:val="1"/>
    </w:lvl>
  </w:abstractNum>
  <w:abstractNum w:abstractNumId="21">
    <w:nsid w:val="77465F01"/>
    <w:multiLevelType w:val="hybridMultilevel"/>
    <w:lvl w:ilvl="0">
      <w:lvlJc w:val="left"/>
      <w:lvlText w:val="●"/>
      <w:numFmt w:val="bullet"/>
      <w:start w:val="1"/>
    </w:lvl>
    <w:lvl w:ilvl="1">
      <w:lvlJc w:val="left"/>
      <w:lvlText w:val="\endash "/>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lvl w:ilvl="1">
      <w:lvlJc w:val="left"/>
      <w:lvlText w:val="\endash "/>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lvl w:ilvl="1">
      <w:lvlJc w:val="left"/>
      <w:lvlText w:val="\endash "/>
      <w:numFmt w:val="bullet"/>
      <w:start w:val="1"/>
    </w:lvl>
  </w:abstractNum>
  <w:abstractNum w:abstractNumId="28">
    <w:nsid w:val="580BD78F"/>
    <w:multiLevelType w:val="hybridMultilevel"/>
    <w:lvl w:ilvl="0">
      <w:lvlJc w:val="left"/>
      <w:lvlText w:val="\endash "/>
      <w:numFmt w:val="bullet"/>
      <w:start w:val="1"/>
    </w:lvl>
  </w:abstractNum>
  <w:abstractNum w:abstractNumId="29">
    <w:nsid w:val="153EA438"/>
    <w:multiLevelType w:val="hybridMultilevel"/>
    <w:lvl w:ilvl="0">
      <w:lvlJc w:val="left"/>
      <w:lvlText w:val="•"/>
      <w:numFmt w:val="bullet"/>
      <w:start w:val="1"/>
    </w:lvl>
    <w:lvl w:ilvl="1">
      <w:lvlJc w:val="left"/>
      <w:lvlText w:val="\endash "/>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lvl w:ilvl="1">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lvl w:ilvl="1">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upperLetter"/>
      <w:start w:val="1"/>
    </w:lvl>
  </w:abstractNum>
  <w:abstractNum w:abstractNumId="38">
    <w:nsid w:val="7A6D8D3C"/>
    <w:multiLevelType w:val="hybridMultilevel"/>
    <w:lvl w:ilvl="0">
      <w:lvlJc w:val="left"/>
      <w:lvlText w:val="%1:"/>
      <w:numFmt w:val="upperLetter"/>
      <w:start w:val="1"/>
    </w:lvl>
  </w:abstractNum>
  <w:abstractNum w:abstractNumId="39">
    <w:nsid w:val="4B588F54"/>
    <w:multiLevelType w:val="hybridMultilevel"/>
    <w:lvl w:ilvl="0">
      <w:lvlJc w:val="left"/>
      <w:lvlText w:val="%1:"/>
      <w:numFmt w:val="upperLetter"/>
      <w:start w:val="1"/>
    </w:lvl>
  </w:abstractNum>
  <w:abstractNum w:abstractNumId="40">
    <w:nsid w:val="542289EC"/>
    <w:multiLevelType w:val="hybridMultilevel"/>
    <w:lvl w:ilvl="0">
      <w:lvlJc w:val="left"/>
      <w:lvlText w:val="%1:"/>
      <w:numFmt w:val="upperLetter"/>
      <w:start w:val="1"/>
    </w:lvl>
  </w:abstractNum>
  <w:abstractNum w:abstractNumId="41">
    <w:nsid w:val="6DE91B18"/>
    <w:multiLevelType w:val="hybridMultilevel"/>
    <w:lvl w:ilvl="0">
      <w:lvlJc w:val="left"/>
      <w:lvlText w:val="%1:"/>
      <w:numFmt w:val="upperLetter"/>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3"/>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
      <w:numFmt w:val="bullet"/>
      <w:start w:val="1"/>
    </w:lvl>
  </w:abstractNum>
  <w:abstractNum w:abstractNumId="48">
    <w:nsid w:val="3DC240FB"/>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49">
    <w:nsid w:val="1BA026FA"/>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50">
    <w:nsid w:val="79A1DEAA"/>
    <w:multiLevelType w:val="hybridMultilevel"/>
    <w:lvl w:ilvl="0">
      <w:lvlJc w:val="left"/>
      <w:lvlText w:val="•"/>
      <w:numFmt w:val="bullet"/>
      <w:start w:val="1"/>
    </w:lvl>
    <w:lvl w:ilvl="1">
      <w:lvlJc w:val="left"/>
      <w:lvlText w:val="»"/>
      <w:numFmt w:val="bullet"/>
      <w:start w:val="1"/>
    </w:lvl>
  </w:abstractNum>
  <w:abstractNum w:abstractNumId="51">
    <w:nsid w:val="75C6C33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2020-11-09T16:25:55Z</dcterms:created>
  <dcterms:modified xsi:type="dcterms:W3CDTF">2020-11-09T16:25:55Z</dcterms:modified>
</cp:coreProperties>
</file>