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BioNTech SE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001-39081)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CureVac N.V.</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001-39446)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333-289468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160020</wp:posOffset>
            </wp:positionV>
            <wp:extent cx="3960495"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6049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dated November 11,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Prospectus dated October 20,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public offer to the shareholders of CureVac N.V. of 15,061,575 newly registered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 of BioNTech SE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by</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(Mainz, Federal Republic of Germany)</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exchange for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issued ordinary shares of</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CureVac N.V.</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(Tübingen, Federal Republic of Germany)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This supplement dated November 11, 2025 (the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constitutes a supplement within the meaning of Article 23(1) of Regulation (EU) 2017/1129 of the European Parliament and of the Council of 14 June 2017 on the prospectus to be published when securities are offered to the public or admitted to trading on a regulated market, as amended (the “</w:t>
      </w:r>
      <w:r>
        <w:rPr>
          <w:rFonts w:ascii="Times New Roman" w:cs="Times New Roman" w:eastAsia="Times New Roman" w:hAnsi="Times New Roman"/>
          <w:sz w:val="18"/>
          <w:szCs w:val="18"/>
          <w:b w:val="1"/>
          <w:bCs w:val="1"/>
          <w:color w:val="auto"/>
        </w:rPr>
        <w:t>Prospectus Regulation</w:t>
      </w:r>
      <w:r>
        <w:rPr>
          <w:rFonts w:ascii="Times New Roman" w:cs="Times New Roman" w:eastAsia="Times New Roman" w:hAnsi="Times New Roman"/>
          <w:sz w:val="18"/>
          <w:szCs w:val="18"/>
          <w:color w:val="auto"/>
        </w:rPr>
        <w:t>”) relating to the prospectus dated October 20, 2025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of BioNTech SE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Supplement has been approved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w:t>
      </w:r>
    </w:p>
    <w:p>
      <w:pPr>
        <w:spacing w:after="0" w:line="29" w:lineRule="exact"/>
        <w:rPr>
          <w:sz w:val="24"/>
          <w:szCs w:val="24"/>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BaFin</w:t>
      </w:r>
      <w:r>
        <w:rPr>
          <w:rFonts w:ascii="Times New Roman" w:cs="Times New Roman" w:eastAsia="Times New Roman" w:hAnsi="Times New Roman"/>
          <w:sz w:val="18"/>
          <w:szCs w:val="18"/>
          <w:color w:val="auto"/>
        </w:rPr>
        <w:t xml:space="preserve">”) as competent authority under the Prospectus Regulation. The Company has requested BaFin to provide the Austrian supervisory authority </w:t>
      </w:r>
      <w:r>
        <w:rPr>
          <w:rFonts w:ascii="Times New Roman" w:cs="Times New Roman" w:eastAsia="Times New Roman" w:hAnsi="Times New Roman"/>
          <w:sz w:val="18"/>
          <w:szCs w:val="18"/>
          <w:i w:val="1"/>
          <w:iCs w:val="1"/>
          <w:color w:val="auto"/>
        </w:rPr>
        <w:t>Österreichische Finanzmarktaufsicht</w:t>
      </w:r>
      <w:r>
        <w:rPr>
          <w:rFonts w:ascii="Times New Roman" w:cs="Times New Roman" w:eastAsia="Times New Roman" w:hAnsi="Times New Roman"/>
          <w:sz w:val="18"/>
          <w:szCs w:val="18"/>
          <w:color w:val="auto"/>
        </w:rPr>
        <w:t>, the French supervisory authority</w:t>
      </w:r>
      <w:r>
        <w:rPr>
          <w:rFonts w:ascii="Times New Roman" w:cs="Times New Roman" w:eastAsia="Times New Roman" w:hAnsi="Times New Roman"/>
          <w:sz w:val="18"/>
          <w:szCs w:val="18"/>
          <w:i w:val="1"/>
          <w:iCs w:val="1"/>
          <w:color w:val="auto"/>
        </w:rPr>
        <w:t xml:space="preserve"> Autorité des marchés financiers</w:t>
      </w:r>
      <w:r>
        <w:rPr>
          <w:rFonts w:ascii="Times New Roman" w:cs="Times New Roman" w:eastAsia="Times New Roman" w:hAnsi="Times New Roman"/>
          <w:sz w:val="18"/>
          <w:szCs w:val="18"/>
          <w:color w:val="auto"/>
        </w:rPr>
        <w:t>, the Dutch supervisory authority</w:t>
      </w:r>
      <w:r>
        <w:rPr>
          <w:rFonts w:ascii="Times New Roman" w:cs="Times New Roman" w:eastAsia="Times New Roman" w:hAnsi="Times New Roman"/>
          <w:sz w:val="18"/>
          <w:szCs w:val="18"/>
          <w:i w:val="1"/>
          <w:iCs w:val="1"/>
          <w:color w:val="auto"/>
        </w:rPr>
        <w:t xml:space="preserve"> Autoriteit Financiële Markten</w:t>
      </w:r>
      <w:r>
        <w:rPr>
          <w:rFonts w:ascii="Times New Roman" w:cs="Times New Roman" w:eastAsia="Times New Roman" w:hAnsi="Times New Roman"/>
          <w:sz w:val="18"/>
          <w:szCs w:val="18"/>
          <w:color w:val="auto"/>
        </w:rPr>
        <w:t>, the Italian supervisory authority</w:t>
      </w:r>
      <w:r>
        <w:rPr>
          <w:rFonts w:ascii="Times New Roman" w:cs="Times New Roman" w:eastAsia="Times New Roman" w:hAnsi="Times New Roman"/>
          <w:sz w:val="18"/>
          <w:szCs w:val="18"/>
          <w:i w:val="1"/>
          <w:iCs w:val="1"/>
          <w:color w:val="auto"/>
        </w:rPr>
        <w:t xml:space="preserve"> Commissione Nazionale per le Società e la Borsa </w:t>
      </w:r>
      <w:r>
        <w:rPr>
          <w:rFonts w:ascii="Times New Roman" w:cs="Times New Roman" w:eastAsia="Times New Roman" w:hAnsi="Times New Roman"/>
          <w:sz w:val="18"/>
          <w:szCs w:val="18"/>
          <w:color w:val="auto"/>
        </w:rPr>
        <w:t>and the Spanish supervisory authority</w:t>
      </w:r>
      <w:r>
        <w:rPr>
          <w:rFonts w:ascii="Times New Roman" w:cs="Times New Roman" w:eastAsia="Times New Roman" w:hAnsi="Times New Roman"/>
          <w:sz w:val="18"/>
          <w:szCs w:val="18"/>
          <w:i w:val="1"/>
          <w:iCs w:val="1"/>
          <w:color w:val="auto"/>
        </w:rPr>
        <w:t xml:space="preserve"> Comisión Nacional del Mercado de Valores </w:t>
      </w:r>
      <w:r>
        <w:rPr>
          <w:rFonts w:ascii="Times New Roman" w:cs="Times New Roman" w:eastAsia="Times New Roman" w:hAnsi="Times New Roman"/>
          <w:sz w:val="18"/>
          <w:szCs w:val="18"/>
          <w:color w:val="auto"/>
        </w:rPr>
        <w:t>with a certificate of approval attesting that the Supplement has been drawn up in accordance with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w:t>
      </w:r>
    </w:p>
    <w:p>
      <w:pPr>
        <w:spacing w:after="0" w:line="187"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will file this Supplement with the Swiss review body of SIX Exchange Regulation Ltd. pursuant to Article 54(2) of the Swiss Financial Services Act dated June 15, 2018.</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Supplement should only be distributed in connection with the Prospectus. It should only be read in conjunction with the Prospectus.</w:t>
      </w:r>
    </w:p>
    <w:p>
      <w:pPr>
        <w:spacing w:after="0" w:line="221" w:lineRule="exact"/>
        <w:rPr>
          <w:sz w:val="24"/>
          <w:szCs w:val="24"/>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color w:val="auto"/>
        </w:rPr>
        <w:t>In accordance with Article 23(2) of the Prospectus Regulation, investors who have already agreed to purchase or subscribe for the Offer ADSs during the initial Offer of the public offer in Germany, Austria, France, Italy, the Netherlands and Spain contemplated by the Prospectus before this Supplement is published have the right, exercisable within three working days after the publication of this Supplement, until November 14, 2025, to withdraw their acceptances, provided that the significant new factor, material mistake or material inaccuracy referred to in Article 23(1) of the Prospectus Regulation arose or was noted before the closing of the offer period or the delivery of the Offer ADSs, whichever occurs first. Investors wishing to exercise their right of withdrawal may contact Computershare Trust Company, N.A. as Exchange Agent under the Offer, as set forth under section “</w:t>
      </w:r>
      <w:r>
        <w:rPr>
          <w:rFonts w:ascii="Times New Roman" w:cs="Times New Roman" w:eastAsia="Times New Roman" w:hAnsi="Times New Roman"/>
          <w:sz w:val="18"/>
          <w:szCs w:val="18"/>
          <w:b w:val="1"/>
          <w:bCs w:val="1"/>
          <w:i w:val="1"/>
          <w:iCs w:val="1"/>
          <w:color w:val="auto"/>
        </w:rPr>
        <w:t>3.1.2.15 Withdrawal Rights</w:t>
      </w:r>
      <w:r>
        <w:rPr>
          <w:rFonts w:ascii="Times New Roman" w:cs="Times New Roman" w:eastAsia="Times New Roman" w:hAnsi="Times New Roman"/>
          <w:sz w:val="18"/>
          <w:szCs w:val="18"/>
          <w:b w:val="1"/>
          <w:bCs w:val="1"/>
          <w:color w:val="auto"/>
        </w:rPr>
        <w:t>” of the Prospectus. Investors in Switzerland who have already agreed to purchase or subscribe for the Offer ADSs during the initial Offer of the public offer in Switzerland may exercise their withdrawal right until the expiry of the initial Offer as set forth under section “</w:t>
      </w:r>
      <w:r>
        <w:rPr>
          <w:rFonts w:ascii="Times New Roman" w:cs="Times New Roman" w:eastAsia="Times New Roman" w:hAnsi="Times New Roman"/>
          <w:sz w:val="18"/>
          <w:szCs w:val="18"/>
          <w:b w:val="1"/>
          <w:bCs w:val="1"/>
          <w:i w:val="1"/>
          <w:iCs w:val="1"/>
          <w:color w:val="auto"/>
        </w:rPr>
        <w:t>3.1.2.15 Withdrawal Rights</w:t>
      </w:r>
      <w:r>
        <w:rPr>
          <w:rFonts w:ascii="Times New Roman" w:cs="Times New Roman" w:eastAsia="Times New Roman" w:hAnsi="Times New Roman"/>
          <w:sz w:val="18"/>
          <w:szCs w:val="18"/>
          <w:b w:val="1"/>
          <w:bCs w:val="1"/>
          <w:color w:val="auto"/>
        </w:rPr>
        <w:t>” of the Prospectus.</w:t>
      </w:r>
    </w:p>
    <w:p>
      <w:pPr>
        <w:spacing w:after="0" w:line="192"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This Supplement has been prepared following the publication of the Company’s unaudited interim condensed consolidated financial statements of the Company as of and for the three and nine months ended September 30, 2025 on November 3, 2025 and other recent developments.</w:t>
      </w:r>
    </w:p>
    <w:p>
      <w:pPr>
        <w:sectPr>
          <w:pgSz w:w="11900" w:h="16838" w:orient="portrait"/>
          <w:cols w:equalWidth="0" w:num="1">
            <w:col w:w="11020"/>
          </w:cols>
          <w:pgMar w:left="440" w:top="229" w:right="439" w:bottom="1440" w:gutter="0" w:footer="0" w:header="0"/>
        </w:sectPr>
      </w:pPr>
    </w:p>
    <w:bookmarkStart w:id="1" w:name="page2"/>
    <w:bookmarkEnd w:id="1"/>
    <w:p>
      <w:pPr>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Supplement will be published in accordance with Article 23(1) and Article 21(2) of the Prospectus Regulation on the Company’s website at https://investors.biontech.de under the “Investors — CureVac Tender Offer — CureVac Tender Offer Materials for EEA and Swiss Investors” section.</w:t>
      </w:r>
    </w:p>
    <w:p>
      <w:pPr>
        <w:spacing w:after="0" w:line="7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0"/>
          </w:cols>
          <w:pgMar w:left="440" w:top="270" w:right="6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changes are made to the Prospectus:</w:t>
      </w:r>
    </w:p>
    <w:p>
      <w:pPr>
        <w:spacing w:after="0" w:line="129" w:lineRule="exact"/>
        <w:rPr>
          <w:sz w:val="20"/>
          <w:szCs w:val="20"/>
          <w:color w:val="auto"/>
        </w:rPr>
      </w:pPr>
    </w:p>
    <w:p>
      <w:pPr>
        <w:ind w:left="544" w:hanging="544"/>
        <w:spacing w:after="0" w:line="284" w:lineRule="auto"/>
        <w:tabs>
          <w:tab w:leader="none" w:pos="5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section </w:t>
      </w:r>
      <w:r>
        <w:rPr>
          <w:rFonts w:ascii="Times New Roman" w:cs="Times New Roman" w:eastAsia="Times New Roman" w:hAnsi="Times New Roman"/>
          <w:sz w:val="18"/>
          <w:szCs w:val="18"/>
          <w:i w:val="1"/>
          <w:iCs w:val="1"/>
          <w:color w:val="auto"/>
        </w:rPr>
        <w:t>“1.2.2 What is the key financial information regarding the Issuer?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beginning on page S-2 of the Prospectus, the text shall be replaced by the following text:</w:t>
      </w:r>
    </w:p>
    <w:p>
      <w:pPr>
        <w:spacing w:after="0" w:line="52" w:lineRule="exact"/>
        <w:rPr>
          <w:rFonts w:ascii="Times New Roman" w:cs="Times New Roman" w:eastAsia="Times New Roman" w:hAnsi="Times New Roman"/>
          <w:sz w:val="18"/>
          <w:szCs w:val="18"/>
          <w:color w:val="auto"/>
        </w:rPr>
      </w:pPr>
    </w:p>
    <w:p>
      <w:pPr>
        <w:ind w:left="54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interim condensed consolidated financial statements of the Company as of and for the three and nine months ended September 30, 2025 were prepared by the Company in accordance with IFRS Accounting Standards applicable on interim financial reporting (IAS 34) as issued by the International Accounting Standards Board (IASB) and adopted by the European Union. The audited consolidated financial statements of the Company as of and for the year ended December 31, 2024 have been prepared by the Company in accordance with IFRS Accounting Standards as issued by the International Accounting Standards Board (IASB) and adopted by the European Union and the additional requirements of German commercial law pursuant to Section 315e para. 3 in conjunction with para. 1 of 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 The audited consolidated financial statements of the Company as of and for the years ended December 31, 2023 and December 31, 2022 have been prepared by the Company in accordance with International Financial Reporting Standards as adopted by the European Union and the additional requirements of German commercial law pursuant to Section 315e para. 3 in conjunction with para. 1 of 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544"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summary of the Prospectus, where financial information is presented as “audited” in tables, this means that it was taken from the audited consolidated financial statements referred to above. Where financial information is presented in tables as “unaudited”, this indicates that the financial information has not been taken from the audited consolidated financial statements referred to above but has been taken either from the unaudited interim condensed consolidated financial statements referred to above, or from the Company’s accounting records or internal management reporting system, or has been calculated based on figures from the above-mentioned sources. Financial information presented in parentheses or preceded by a “minus” sign denotes a negative amount.</w:t>
      </w:r>
    </w:p>
    <w:p>
      <w:pPr>
        <w:spacing w:after="0" w:line="33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1.2.2.1  Key financial information from the consolidated statements of profit or loss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Pr>
          <w:p>
            <w:pPr>
              <w:spacing w:after="0"/>
              <w:rPr>
                <w:sz w:val="15"/>
                <w:szCs w:val="15"/>
                <w:color w:val="auto"/>
              </w:rPr>
            </w:pPr>
          </w:p>
        </w:tc>
        <w:tc>
          <w:tcPr>
            <w:tcW w:w="244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6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7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unless otherwise indicated)</w:t>
            </w:r>
          </w:p>
        </w:tc>
        <w:tc>
          <w:tcPr>
            <w:tcW w:w="366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7"/>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0"/>
                <w:szCs w:val="10"/>
                <w:color w:val="auto"/>
              </w:rPr>
            </w:pPr>
          </w:p>
        </w:tc>
        <w:tc>
          <w:tcPr>
            <w:tcW w:w="2380" w:type="dxa"/>
            <w:vAlign w:val="bottom"/>
            <w:gridSpan w:val="6"/>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(audited, unless otherwise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40" w:type="dxa"/>
            <w:vAlign w:val="bottom"/>
            <w:tcBorders>
              <w:bottom w:val="single" w:sz="8" w:color="auto"/>
            </w:tcBorders>
            <w:gridSpan w:val="4"/>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indicated)</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1,962.5</w:t>
            </w:r>
          </w:p>
        </w:tc>
        <w:tc>
          <w:tcPr>
            <w:tcW w:w="7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1,561.1</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26"/>
              <w:spacing w:after="0" w:line="203" w:lineRule="exact"/>
              <w:rPr>
                <w:sz w:val="20"/>
                <w:szCs w:val="20"/>
                <w:color w:val="auto"/>
              </w:rPr>
            </w:pPr>
            <w:r>
              <w:rPr>
                <w:rFonts w:ascii="Times New Roman" w:cs="Times New Roman" w:eastAsia="Times New Roman" w:hAnsi="Times New Roman"/>
                <w:sz w:val="18"/>
                <w:szCs w:val="18"/>
                <w:color w:val="auto"/>
              </w:rPr>
              <w:t>2,751.1</w:t>
            </w: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6"/>
              <w:spacing w:after="0" w:line="203" w:lineRule="exact"/>
              <w:rPr>
                <w:sz w:val="20"/>
                <w:szCs w:val="20"/>
                <w:color w:val="auto"/>
              </w:rPr>
            </w:pPr>
            <w:r>
              <w:rPr>
                <w:rFonts w:ascii="Times New Roman" w:cs="Times New Roman" w:eastAsia="Times New Roman" w:hAnsi="Times New Roman"/>
                <w:sz w:val="18"/>
                <w:szCs w:val="18"/>
                <w:color w:val="auto"/>
                <w:w w:val="99"/>
              </w:rPr>
              <w:t>3,819.0</w:t>
            </w:r>
          </w:p>
        </w:tc>
        <w:tc>
          <w:tcPr>
            <w:tcW w:w="7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17,310.6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5"/>
          </w:tcPr>
          <w:p>
            <w:pPr>
              <w:ind w:left="360"/>
              <w:spacing w:after="0"/>
              <w:rPr>
                <w:sz w:val="20"/>
                <w:szCs w:val="20"/>
                <w:color w:val="auto"/>
              </w:rPr>
            </w:pPr>
            <w:r>
              <w:rPr>
                <w:rFonts w:ascii="Times New Roman" w:cs="Times New Roman" w:eastAsia="Times New Roman" w:hAnsi="Times New Roman"/>
                <w:sz w:val="18"/>
                <w:szCs w:val="18"/>
                <w:i w:val="1"/>
                <w:iCs w:val="1"/>
                <w:color w:val="auto"/>
              </w:rPr>
              <w:t>Period-on-period revenue growth (in %) (unaudited)</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25.7</w:t>
            </w:r>
          </w:p>
        </w:tc>
        <w:tc>
          <w:tcPr>
            <w:tcW w:w="200" w:type="dxa"/>
            <w:vAlign w:val="bottom"/>
          </w:tcPr>
          <w:p>
            <w:pPr>
              <w:spacing w:after="0"/>
              <w:rPr>
                <w:sz w:val="18"/>
                <w:szCs w:val="18"/>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(28.0)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(77.9)</w:t>
            </w:r>
          </w:p>
        </w:tc>
        <w:tc>
          <w:tcPr>
            <w:tcW w:w="360" w:type="dxa"/>
            <w:vAlign w:val="bottom"/>
          </w:tcPr>
          <w:p>
            <w:pPr>
              <w:spacing w:after="0"/>
              <w:rPr>
                <w:sz w:val="18"/>
                <w:szCs w:val="18"/>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— </w:t>
            </w:r>
          </w:p>
        </w:tc>
        <w:tc>
          <w:tcPr>
            <w:tcW w:w="0" w:type="dxa"/>
            <w:vAlign w:val="bottom"/>
          </w:tcPr>
          <w:p>
            <w:pPr>
              <w:spacing w:after="0"/>
              <w:rPr>
                <w:sz w:val="1"/>
                <w:szCs w:val="1"/>
                <w:color w:val="auto"/>
              </w:rPr>
            </w:pPr>
          </w:p>
        </w:tc>
      </w:tr>
      <w:tr>
        <w:trPr>
          <w:trHeight w:val="216"/>
        </w:trPr>
        <w:tc>
          <w:tcPr>
            <w:tcW w:w="6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 / (loss)</w:t>
            </w:r>
          </w:p>
        </w:tc>
        <w:tc>
          <w:tcPr>
            <w:tcW w:w="1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(1,082.1)</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(1,462.9)</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690.4</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12,642.7</w:t>
            </w:r>
          </w:p>
        </w:tc>
        <w:tc>
          <w:tcPr>
            <w:tcW w:w="0" w:type="dxa"/>
            <w:vAlign w:val="bottom"/>
          </w:tcPr>
          <w:p>
            <w:pPr>
              <w:spacing w:after="0"/>
              <w:rPr>
                <w:sz w:val="1"/>
                <w:szCs w:val="1"/>
                <w:color w:val="auto"/>
              </w:rPr>
            </w:pPr>
          </w:p>
        </w:tc>
      </w:tr>
      <w:tr>
        <w:trPr>
          <w:trHeight w:val="216"/>
        </w:trPr>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profit / (loss)</w:t>
            </w: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(831.1)</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(924.8)</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60" w:type="dxa"/>
            <w:vAlign w:val="bottom"/>
          </w:tcPr>
          <w:p>
            <w:pPr>
              <w:spacing w:after="0"/>
              <w:rPr>
                <w:sz w:val="18"/>
                <w:szCs w:val="18"/>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930.3</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9,434.4</w:t>
            </w:r>
          </w:p>
        </w:tc>
        <w:tc>
          <w:tcPr>
            <w:tcW w:w="0" w:type="dxa"/>
            <w:vAlign w:val="bottom"/>
          </w:tcPr>
          <w:p>
            <w:pPr>
              <w:spacing w:after="0"/>
              <w:rPr>
                <w:sz w:val="1"/>
                <w:szCs w:val="1"/>
                <w:color w:val="auto"/>
              </w:rPr>
            </w:pPr>
          </w:p>
        </w:tc>
      </w:tr>
      <w:tr>
        <w:trPr>
          <w:trHeight w:val="216"/>
        </w:trPr>
        <w:tc>
          <w:tcPr>
            <w:tcW w:w="6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 (Loss) per share</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5"/>
          </w:tcPr>
          <w:p>
            <w:pPr>
              <w:ind w:left="360"/>
              <w:spacing w:after="0"/>
              <w:rPr>
                <w:sz w:val="20"/>
                <w:szCs w:val="20"/>
                <w:color w:val="auto"/>
              </w:rPr>
            </w:pPr>
            <w:r>
              <w:rPr>
                <w:rFonts w:ascii="Times New Roman" w:cs="Times New Roman" w:eastAsia="Times New Roman" w:hAnsi="Times New Roman"/>
                <w:sz w:val="18"/>
                <w:szCs w:val="18"/>
                <w:i w:val="1"/>
                <w:iCs w:val="1"/>
                <w:color w:val="auto"/>
              </w:rPr>
              <w:t>Basic earnings / (loss) per share</w:t>
            </w: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(3.45)</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(3.83)</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(2.77)</w:t>
            </w:r>
          </w:p>
        </w:tc>
        <w:tc>
          <w:tcPr>
            <w:tcW w:w="160" w:type="dxa"/>
            <w:vAlign w:val="bottom"/>
          </w:tcPr>
          <w:p>
            <w:pPr>
              <w:spacing w:after="0"/>
              <w:rPr>
                <w:sz w:val="18"/>
                <w:szCs w:val="18"/>
                <w:color w:val="auto"/>
              </w:rPr>
            </w:pPr>
          </w:p>
        </w:tc>
        <w:tc>
          <w:tcPr>
            <w:tcW w:w="700" w:type="dxa"/>
            <w:vAlign w:val="bottom"/>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3.87</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38.78</w:t>
            </w:r>
          </w:p>
        </w:tc>
        <w:tc>
          <w:tcPr>
            <w:tcW w:w="0" w:type="dxa"/>
            <w:vAlign w:val="bottom"/>
          </w:tcPr>
          <w:p>
            <w:pPr>
              <w:spacing w:after="0"/>
              <w:rPr>
                <w:sz w:val="1"/>
                <w:szCs w:val="1"/>
                <w:color w:val="auto"/>
              </w:rPr>
            </w:pPr>
          </w:p>
        </w:tc>
      </w:tr>
      <w:tr>
        <w:trPr>
          <w:trHeight w:val="216"/>
        </w:trPr>
        <w:tc>
          <w:tcPr>
            <w:tcW w:w="6200" w:type="dxa"/>
            <w:vAlign w:val="bottom"/>
            <w:gridSpan w:val="5"/>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Diluted earnings / (loss) per share</w:t>
            </w:r>
          </w:p>
        </w:tc>
        <w:tc>
          <w:tcPr>
            <w:tcW w:w="1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(3.45)</w:t>
            </w:r>
          </w:p>
        </w:tc>
        <w:tc>
          <w:tcPr>
            <w:tcW w:w="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(3.83)</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i w:val="1"/>
                <w:iCs w:val="1"/>
                <w:color w:val="auto"/>
              </w:rPr>
              <w:t>3.83</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37.77</w:t>
            </w:r>
          </w:p>
        </w:tc>
        <w:tc>
          <w:tcPr>
            <w:tcW w:w="0" w:type="dxa"/>
            <w:vAlign w:val="bottom"/>
          </w:tcPr>
          <w:p>
            <w:pPr>
              <w:spacing w:after="0"/>
              <w:rPr>
                <w:sz w:val="1"/>
                <w:szCs w:val="1"/>
                <w:color w:val="auto"/>
              </w:rPr>
            </w:pPr>
          </w:p>
        </w:tc>
      </w:tr>
      <w:tr>
        <w:trPr>
          <w:trHeight w:val="580"/>
        </w:trPr>
        <w:tc>
          <w:tcPr>
            <w:tcW w:w="440" w:type="dxa"/>
            <w:vAlign w:val="bottom"/>
          </w:tcPr>
          <w:p>
            <w:pPr>
              <w:spacing w:after="0"/>
              <w:rPr>
                <w:sz w:val="24"/>
                <w:szCs w:val="24"/>
                <w:color w:val="auto"/>
              </w:rPr>
            </w:pPr>
          </w:p>
        </w:tc>
        <w:tc>
          <w:tcPr>
            <w:tcW w:w="7140" w:type="dxa"/>
            <w:vAlign w:val="bottom"/>
            <w:gridSpan w:val="8"/>
          </w:tcPr>
          <w:p>
            <w:pPr>
              <w:ind w:left="100"/>
              <w:spacing w:after="0"/>
              <w:rPr>
                <w:sz w:val="20"/>
                <w:szCs w:val="20"/>
                <w:color w:val="auto"/>
              </w:rPr>
            </w:pPr>
            <w:r>
              <w:rPr>
                <w:rFonts w:ascii="Times New Roman" w:cs="Times New Roman" w:eastAsia="Times New Roman" w:hAnsi="Times New Roman"/>
                <w:sz w:val="18"/>
                <w:szCs w:val="18"/>
                <w:i w:val="1"/>
                <w:iCs w:val="1"/>
                <w:color w:val="auto"/>
              </w:rPr>
              <w:t>1.2.2.2  Key financial information from the consolidated statements of financial position</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3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0" w:type="dxa"/>
            <w:vAlign w:val="bottom"/>
            <w:vMerge w:val="restart"/>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4900" w:type="dxa"/>
            <w:vAlign w:val="bottom"/>
            <w:gridSpan w:val="2"/>
            <w:vMerge w:val="restart"/>
          </w:tcPr>
          <w:p>
            <w:pPr>
              <w:spacing w:after="0"/>
              <w:rPr>
                <w:sz w:val="12"/>
                <w:szCs w:val="12"/>
                <w:color w:val="auto"/>
              </w:rPr>
            </w:pPr>
          </w:p>
        </w:tc>
        <w:tc>
          <w:tcPr>
            <w:tcW w:w="1240" w:type="dxa"/>
            <w:vAlign w:val="bottom"/>
            <w:tcBorders>
              <w:bottom w:val="single" w:sz="8" w:color="auto"/>
            </w:tcBorders>
            <w:gridSpan w:val="3"/>
          </w:tcPr>
          <w:p>
            <w:pPr>
              <w:jc w:val="right"/>
              <w:ind w:right="40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0" w:type="dxa"/>
            <w:vAlign w:val="bottom"/>
            <w:vMerge w:val="continue"/>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4900" w:type="dxa"/>
            <w:vAlign w:val="bottom"/>
            <w:gridSpan w:val="2"/>
            <w:vMerge w:val="continue"/>
          </w:tcPr>
          <w:p>
            <w:pPr>
              <w:spacing w:after="0"/>
              <w:rPr>
                <w:sz w:val="12"/>
                <w:szCs w:val="12"/>
                <w:color w:val="auto"/>
              </w:rPr>
            </w:pPr>
          </w:p>
        </w:tc>
        <w:tc>
          <w:tcPr>
            <w:tcW w:w="1240" w:type="dxa"/>
            <w:vAlign w:val="bottom"/>
            <w:gridSpan w:val="3"/>
          </w:tcPr>
          <w:p>
            <w:pPr>
              <w:jc w:val="right"/>
              <w:ind w:right="185"/>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(audited)</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76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21,341.1</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4"/>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22,529.7</w:t>
            </w:r>
          </w:p>
        </w:tc>
        <w:tc>
          <w:tcPr>
            <w:tcW w:w="1020" w:type="dxa"/>
            <w:vAlign w:val="bottom"/>
            <w:tcBorders>
              <w:top w:val="single" w:sz="8" w:color="auto"/>
            </w:tcBorders>
            <w:gridSpan w:val="3"/>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w w:val="98"/>
              </w:rPr>
              <w:t>23,006.3</w:t>
            </w:r>
          </w:p>
        </w:tc>
        <w:tc>
          <w:tcPr>
            <w:tcW w:w="106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23,279.1</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3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18,477.3</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19,411.1</w:t>
            </w: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98"/>
              </w:rPr>
              <w:t>20,245.9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20,055.6</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2"/>
        </w:trPr>
        <w:tc>
          <w:tcPr>
            <w:tcW w:w="440" w:type="dxa"/>
            <w:vAlign w:val="bottom"/>
          </w:tcPr>
          <w:p>
            <w:pPr>
              <w:spacing w:after="0"/>
              <w:rPr>
                <w:sz w:val="24"/>
                <w:szCs w:val="24"/>
                <w:color w:val="auto"/>
              </w:rPr>
            </w:pPr>
          </w:p>
        </w:tc>
        <w:tc>
          <w:tcPr>
            <w:tcW w:w="7140" w:type="dxa"/>
            <w:vAlign w:val="bottom"/>
            <w:gridSpan w:val="8"/>
          </w:tcPr>
          <w:p>
            <w:pPr>
              <w:ind w:left="100"/>
              <w:spacing w:after="0"/>
              <w:rPr>
                <w:sz w:val="20"/>
                <w:szCs w:val="20"/>
                <w:color w:val="auto"/>
              </w:rPr>
            </w:pPr>
            <w:r>
              <w:rPr>
                <w:rFonts w:ascii="Times New Roman" w:cs="Times New Roman" w:eastAsia="Times New Roman" w:hAnsi="Times New Roman"/>
                <w:sz w:val="18"/>
                <w:szCs w:val="18"/>
                <w:i w:val="1"/>
                <w:iCs w:val="1"/>
                <w:color w:val="auto"/>
              </w:rPr>
              <w:t>1.2.2.3  Key financial information from the consolidated statements of cash flows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 w:type="dxa"/>
            <w:vAlign w:val="bottom"/>
          </w:tcPr>
          <w:p>
            <w:pPr>
              <w:spacing w:after="0"/>
              <w:rPr>
                <w:sz w:val="24"/>
                <w:szCs w:val="24"/>
                <w:color w:val="auto"/>
              </w:rPr>
            </w:pPr>
          </w:p>
        </w:tc>
        <w:tc>
          <w:tcPr>
            <w:tcW w:w="1620" w:type="dxa"/>
            <w:vAlign w:val="bottom"/>
            <w:gridSpan w:val="3"/>
          </w:tcPr>
          <w:p>
            <w:pPr>
              <w:jc w:val="center"/>
              <w:ind w:left="486"/>
              <w:spacing w:after="0"/>
              <w:rPr>
                <w:sz w:val="20"/>
                <w:szCs w:val="20"/>
                <w:color w:val="auto"/>
              </w:rPr>
            </w:pPr>
            <w:r>
              <w:rPr>
                <w:rFonts w:ascii="Times New Roman" w:cs="Times New Roman" w:eastAsia="Times New Roman" w:hAnsi="Times New Roman"/>
                <w:sz w:val="14"/>
                <w:szCs w:val="14"/>
                <w:b w:val="1"/>
                <w:bCs w:val="1"/>
                <w:color w:val="auto"/>
                <w:w w:val="99"/>
              </w:rPr>
              <w:t>Years ended</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0" w:type="dxa"/>
            <w:vAlign w:val="bottom"/>
          </w:tcPr>
          <w:p>
            <w:pPr>
              <w:spacing w:after="0"/>
              <w:rPr>
                <w:sz w:val="15"/>
                <w:szCs w:val="15"/>
                <w:color w:val="auto"/>
              </w:rPr>
            </w:pPr>
          </w:p>
        </w:tc>
        <w:tc>
          <w:tcPr>
            <w:tcW w:w="1620" w:type="dxa"/>
            <w:vAlign w:val="bottom"/>
            <w:gridSpan w:val="3"/>
          </w:tcPr>
          <w:p>
            <w:pPr>
              <w:jc w:val="center"/>
              <w:ind w:left="48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2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36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2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70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2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gridSpan w:val="2"/>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flows from / (used in) operating activities</w:t>
            </w:r>
          </w:p>
        </w:tc>
        <w:tc>
          <w:tcPr>
            <w:tcW w:w="4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5"/>
              <w:spacing w:after="0" w:line="203" w:lineRule="exact"/>
              <w:rPr>
                <w:sz w:val="20"/>
                <w:szCs w:val="20"/>
                <w:color w:val="auto"/>
              </w:rPr>
            </w:pPr>
            <w:r>
              <w:rPr>
                <w:rFonts w:ascii="Times New Roman" w:cs="Times New Roman" w:eastAsia="Times New Roman" w:hAnsi="Times New Roman"/>
                <w:sz w:val="18"/>
                <w:szCs w:val="18"/>
                <w:color w:val="auto"/>
              </w:rPr>
              <w:t>146.5</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6"/>
              <w:spacing w:after="0" w:line="203" w:lineRule="exact"/>
              <w:rPr>
                <w:sz w:val="20"/>
                <w:szCs w:val="20"/>
                <w:color w:val="auto"/>
              </w:rPr>
            </w:pPr>
            <w:r>
              <w:rPr>
                <w:rFonts w:ascii="Times New Roman" w:cs="Times New Roman" w:eastAsia="Times New Roman" w:hAnsi="Times New Roman"/>
                <w:sz w:val="18"/>
                <w:szCs w:val="18"/>
                <w:color w:val="auto"/>
              </w:rPr>
              <w:t>207.7</w:t>
            </w:r>
          </w:p>
        </w:tc>
        <w:tc>
          <w:tcPr>
            <w:tcW w:w="860" w:type="dxa"/>
            <w:vAlign w:val="bottom"/>
            <w:gridSpan w:val="2"/>
            <w:shd w:val="clear" w:color="auto" w:fill="CCEEFF"/>
          </w:tcPr>
          <w:p>
            <w:pPr>
              <w:jc w:val="right"/>
              <w:ind w:right="116"/>
              <w:spacing w:after="0" w:line="203" w:lineRule="exact"/>
              <w:rPr>
                <w:sz w:val="20"/>
                <w:szCs w:val="20"/>
                <w:color w:val="auto"/>
              </w:rPr>
            </w:pPr>
            <w:r>
              <w:rPr>
                <w:rFonts w:ascii="Times New Roman" w:cs="Times New Roman" w:eastAsia="Times New Roman" w:hAnsi="Times New Roman"/>
                <w:sz w:val="18"/>
                <w:szCs w:val="18"/>
                <w:color w:val="auto"/>
              </w:rPr>
              <w:t>5,371.4</w:t>
            </w:r>
          </w:p>
        </w:tc>
        <w:tc>
          <w:tcPr>
            <w:tcW w:w="7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13,577.4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cash flows from / (used in) investing activities</w:t>
            </w:r>
          </w:p>
        </w:tc>
        <w:tc>
          <w:tcPr>
            <w:tcW w:w="1240" w:type="dxa"/>
            <w:vAlign w:val="bottom"/>
            <w:gridSpan w:val="3"/>
          </w:tcPr>
          <w:p>
            <w:pPr>
              <w:jc w:val="right"/>
              <w:ind w:right="25"/>
              <w:spacing w:after="0"/>
              <w:rPr>
                <w:sz w:val="20"/>
                <w:szCs w:val="20"/>
                <w:color w:val="auto"/>
              </w:rPr>
            </w:pPr>
            <w:r>
              <w:rPr>
                <w:rFonts w:ascii="Times New Roman" w:cs="Times New Roman" w:eastAsia="Times New Roman" w:hAnsi="Times New Roman"/>
                <w:sz w:val="18"/>
                <w:szCs w:val="18"/>
                <w:color w:val="auto"/>
              </w:rPr>
              <w:t>257.1</w:t>
            </w:r>
          </w:p>
        </w:tc>
        <w:tc>
          <w:tcPr>
            <w:tcW w:w="1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(2,687.9)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right"/>
              <w:ind w:right="106"/>
              <w:spacing w:after="0"/>
              <w:rPr>
                <w:sz w:val="20"/>
                <w:szCs w:val="20"/>
                <w:color w:val="auto"/>
              </w:rPr>
            </w:pPr>
            <w:r>
              <w:rPr>
                <w:rFonts w:ascii="Times New Roman" w:cs="Times New Roman" w:eastAsia="Times New Roman" w:hAnsi="Times New Roman"/>
                <w:sz w:val="18"/>
                <w:szCs w:val="18"/>
                <w:color w:val="auto"/>
                <w:w w:val="99"/>
              </w:rPr>
              <w:t>(2,081.2)</w:t>
            </w:r>
          </w:p>
        </w:tc>
        <w:tc>
          <w:tcPr>
            <w:tcW w:w="8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(6,954.5)</w:t>
            </w: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62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financing activities</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(778.6)</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(1,419.3)</w:t>
            </w:r>
          </w:p>
        </w:tc>
        <w:tc>
          <w:tcPr>
            <w:tcW w:w="0" w:type="dxa"/>
            <w:vAlign w:val="bottom"/>
          </w:tcPr>
          <w:p>
            <w:pPr>
              <w:spacing w:after="0"/>
              <w:rPr>
                <w:sz w:val="1"/>
                <w:szCs w:val="1"/>
                <w:color w:val="auto"/>
              </w:rPr>
            </w:pPr>
          </w:p>
        </w:tc>
      </w:tr>
      <w:tr>
        <w:trPr>
          <w:trHeight w:val="234"/>
        </w:trPr>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and cash equivalents as of the end of the period</w:t>
            </w:r>
          </w:p>
        </w:tc>
        <w:tc>
          <w:tcPr>
            <w:tcW w:w="1240" w:type="dxa"/>
            <w:vAlign w:val="bottom"/>
            <w:gridSpan w:val="3"/>
          </w:tcPr>
          <w:p>
            <w:pPr>
              <w:jc w:val="right"/>
              <w:ind w:right="25"/>
              <w:spacing w:after="0"/>
              <w:rPr>
                <w:sz w:val="20"/>
                <w:szCs w:val="20"/>
                <w:color w:val="auto"/>
              </w:rPr>
            </w:pPr>
            <w:r>
              <w:rPr>
                <w:rFonts w:ascii="Times New Roman" w:cs="Times New Roman" w:eastAsia="Times New Roman" w:hAnsi="Times New Roman"/>
                <w:sz w:val="18"/>
                <w:szCs w:val="18"/>
                <w:color w:val="auto"/>
              </w:rPr>
              <w:t>10,092.9</w:t>
            </w:r>
          </w:p>
        </w:tc>
        <w:tc>
          <w:tcPr>
            <w:tcW w:w="14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9,624.6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right"/>
              <w:ind w:right="166"/>
              <w:spacing w:after="0"/>
              <w:rPr>
                <w:sz w:val="20"/>
                <w:szCs w:val="20"/>
                <w:color w:val="auto"/>
              </w:rPr>
            </w:pPr>
            <w:r>
              <w:rPr>
                <w:rFonts w:ascii="Times New Roman" w:cs="Times New Roman" w:eastAsia="Times New Roman" w:hAnsi="Times New Roman"/>
                <w:sz w:val="18"/>
                <w:szCs w:val="18"/>
                <w:color w:val="auto"/>
              </w:rPr>
              <w:t>9,761.9</w:t>
            </w:r>
          </w:p>
        </w:tc>
        <w:tc>
          <w:tcPr>
            <w:tcW w:w="8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11,663.7</w:t>
            </w: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13,875.1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3" w:name="page4"/>
    <w:bookmarkEnd w:id="3"/>
    <w:p>
      <w:pPr>
        <w:ind w:left="544" w:right="320" w:hanging="544"/>
        <w:spacing w:after="0" w:line="284" w:lineRule="auto"/>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section </w:t>
      </w:r>
      <w:r>
        <w:rPr>
          <w:rFonts w:ascii="Times New Roman" w:cs="Times New Roman" w:eastAsia="Times New Roman" w:hAnsi="Times New Roman"/>
          <w:sz w:val="18"/>
          <w:szCs w:val="18"/>
          <w:i w:val="1"/>
          <w:iCs w:val="1"/>
          <w:color w:val="auto"/>
        </w:rPr>
        <w:t>“1.2.2 Welches sind die wesentlichen Finanzinformationen über die Emittentin?</w:t>
      </w:r>
      <w:r>
        <w:rPr>
          <w:rFonts w:ascii="Times New Roman" w:cs="Times New Roman" w:eastAsia="Times New Roman" w:hAnsi="Times New Roman"/>
          <w:sz w:val="18"/>
          <w:szCs w:val="18"/>
          <w:color w:val="auto"/>
        </w:rPr>
        <w:t>” beginning on page S-9 of the Prospectus, the text shall be replaced by the following text:</w:t>
      </w:r>
    </w:p>
    <w:p>
      <w:pPr>
        <w:spacing w:after="0" w:line="52" w:lineRule="exact"/>
        <w:rPr>
          <w:rFonts w:ascii="Times New Roman" w:cs="Times New Roman" w:eastAsia="Times New Roman" w:hAnsi="Times New Roman"/>
          <w:sz w:val="18"/>
          <w:szCs w:val="18"/>
          <w:color w:val="auto"/>
        </w:rPr>
      </w:pPr>
    </w:p>
    <w:p>
      <w:pPr>
        <w:ind w:left="54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 ungeprüfte verkürzte Konzernzwischenabschluss der Gesellschaft für die zum 30. September 2025 endenden Drei- und Neunmonatszeiträume wurde von der Gesellschaft in Übereinstimmung mit den vom International Accounting Standards Board (IASB) herausgegebenen IFRS Accounting Standards für Zwischenberichterstattung (IAS 34), wie sie in der Europäischen Union anzuwenden sind, erstellt. Der geprüfte Konzernabschluss der Gesellschaft für das zum 31. Dezember 2024 endende Geschäftsjahr wurde von der Gesellschaft in Übereinstimmung mit den vom International Accounting Standards Board (IASB) herausgegebenen IFRS Accounting Standards, wie sie in der Europäischen Union anzuwenden sind, und den ergänzend nach § 315e Abs. 3 in Verbindung mit Abs. 1 Handelsgesetzbuch anzuwendenden handelsrechtlichen Vorschriften erstellt. Die geprüften Konzernabschlüsse der Gesellschaft für die zum 31. Dezember 2023 und 31. Dezember 2022 endenden Geschäftsjahre wurden von der Gesellschaft in Übereinstimmung mit den International Financial Reporting Standards, wie sie in der Europäischen Union anzuwenden sind, und den ergänzend nach § 315e Abs. 3 in Verbindung mit Abs. 1 Handelsgesetzbuch anzuwendenden handelsrechtlichen Vorschriften erstellt.</w:t>
      </w:r>
    </w:p>
    <w:p>
      <w:pPr>
        <w:spacing w:after="0" w:line="86" w:lineRule="exact"/>
        <w:rPr>
          <w:rFonts w:ascii="Times New Roman" w:cs="Times New Roman" w:eastAsia="Times New Roman" w:hAnsi="Times New Roman"/>
          <w:sz w:val="18"/>
          <w:szCs w:val="18"/>
          <w:color w:val="auto"/>
        </w:rPr>
      </w:pPr>
    </w:p>
    <w:p>
      <w:pPr>
        <w:ind w:left="544" w:right="2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Soweit in dieser Zusammenfassung Finanzinformationen in Tabellen als „geprüft” bezeichnet sind, bedeutet dies, dass sie den vorstehend aufgeführten geprüften Konzernabschlüssen entnommen wurden. Wenn Finanzinformationen in Tabellen als „ungeprüft” bezeichnet werden, bedeutet dies, dass die Finanzinformationen nicht den vorstehend aufgeführten geprüften Konzernabschlüssen, sondern entweder dem oben aufgeführten ungeprüften verkürzten Konzernzwischenabschluss oder der Buchhaltung bzw. dem internen Berichtswesen der Gesellschaft entnommen wurden oder auf Grundlage von Zahlen aus den vorgenannten Quellen berechnet wurden. Finanzinformationen, die in Klammern dargestellt oder denen ein Minuszeichen vorangestellt sind, kennzeichnen einen negativen Betrag.</w:t>
      </w:r>
    </w:p>
    <w:p>
      <w:pPr>
        <w:spacing w:after="0" w:line="33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1.2.2.1  Wesentliche Finanzinformationen aus der Konzern-Gewinn-und-Verlustrechnung</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Neunmonatszeitraum</w:t>
            </w:r>
          </w:p>
        </w:tc>
        <w:tc>
          <w:tcPr>
            <w:tcW w:w="24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Geschäftsjahre zum 31. Dezember</w:t>
            </w: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zum 30. September</w:t>
            </w:r>
          </w:p>
        </w:tc>
        <w:tc>
          <w:tcPr>
            <w:tcW w:w="24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7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Millionen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soweit nicht anders angegeben)</w:t>
            </w:r>
          </w:p>
        </w:tc>
        <w:tc>
          <w:tcPr>
            <w:tcW w:w="2460" w:type="dxa"/>
            <w:vAlign w:val="bottom"/>
            <w:vMerge w:val="restart"/>
          </w:tcPr>
          <w:p>
            <w:pPr>
              <w:spacing w:after="0"/>
              <w:rPr>
                <w:sz w:val="10"/>
                <w:szCs w:val="10"/>
                <w:color w:val="auto"/>
              </w:rPr>
            </w:pPr>
          </w:p>
        </w:tc>
        <w:tc>
          <w:tcPr>
            <w:tcW w:w="1460" w:type="dxa"/>
            <w:vAlign w:val="bottom"/>
          </w:tcPr>
          <w:p>
            <w:pPr>
              <w:spacing w:after="0"/>
              <w:rPr>
                <w:sz w:val="10"/>
                <w:szCs w:val="10"/>
                <w:color w:val="auto"/>
              </w:rPr>
            </w:pPr>
          </w:p>
        </w:tc>
        <w:tc>
          <w:tcPr>
            <w:tcW w:w="176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(ungeprüft)</w:t>
            </w:r>
          </w:p>
        </w:tc>
        <w:tc>
          <w:tcPr>
            <w:tcW w:w="238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(geprüft, soweit nicht anders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90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1760" w:type="dxa"/>
            <w:vAlign w:val="bottom"/>
            <w:gridSpan w:val="3"/>
            <w:vMerge w:val="continue"/>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angegeben)</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Umsatzerlöse</w:t>
            </w:r>
          </w:p>
        </w:tc>
        <w:tc>
          <w:tcPr>
            <w:tcW w:w="1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04"/>
              <w:spacing w:after="0" w:line="203" w:lineRule="exact"/>
              <w:rPr>
                <w:sz w:val="20"/>
                <w:szCs w:val="20"/>
                <w:color w:val="auto"/>
              </w:rPr>
            </w:pPr>
            <w:r>
              <w:rPr>
                <w:rFonts w:ascii="Times New Roman" w:cs="Times New Roman" w:eastAsia="Times New Roman" w:hAnsi="Times New Roman"/>
                <w:sz w:val="18"/>
                <w:szCs w:val="18"/>
                <w:color w:val="auto"/>
              </w:rPr>
              <w:t>1.962,5</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1.561,1</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7"/>
              <w:spacing w:after="0" w:line="203" w:lineRule="exact"/>
              <w:rPr>
                <w:sz w:val="20"/>
                <w:szCs w:val="20"/>
                <w:color w:val="auto"/>
              </w:rPr>
            </w:pPr>
            <w:r>
              <w:rPr>
                <w:rFonts w:ascii="Times New Roman" w:cs="Times New Roman" w:eastAsia="Times New Roman" w:hAnsi="Times New Roman"/>
                <w:sz w:val="18"/>
                <w:szCs w:val="18"/>
                <w:color w:val="auto"/>
              </w:rPr>
              <w:t>2.751,1</w:t>
            </w:r>
          </w:p>
        </w:tc>
        <w:tc>
          <w:tcPr>
            <w:tcW w:w="860" w:type="dxa"/>
            <w:vAlign w:val="bottom"/>
            <w:tcBorders>
              <w:top w:val="single" w:sz="8" w:color="auto"/>
            </w:tcBorders>
            <w:shd w:val="clear" w:color="auto" w:fill="CCEEFF"/>
          </w:tcPr>
          <w:p>
            <w:pPr>
              <w:jc w:val="right"/>
              <w:ind w:right="75"/>
              <w:spacing w:after="0" w:line="203" w:lineRule="exact"/>
              <w:rPr>
                <w:sz w:val="20"/>
                <w:szCs w:val="20"/>
                <w:color w:val="auto"/>
              </w:rPr>
            </w:pPr>
            <w:r>
              <w:rPr>
                <w:rFonts w:ascii="Times New Roman" w:cs="Times New Roman" w:eastAsia="Times New Roman" w:hAnsi="Times New Roman"/>
                <w:sz w:val="18"/>
                <w:szCs w:val="18"/>
                <w:color w:val="auto"/>
              </w:rPr>
              <w:t>3.819,0</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17.310,6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Umsatzwachstum im Vergleich zum Vorjahreszeitraum (in %) (ungeprüft)</w:t>
            </w:r>
          </w:p>
        </w:tc>
        <w:tc>
          <w:tcPr>
            <w:tcW w:w="230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i w:val="1"/>
                <w:iCs w:val="1"/>
                <w:color w:val="auto"/>
              </w:rPr>
              <w:t>25,7</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(28.0)</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8"/>
                <w:szCs w:val="18"/>
                <w:i w:val="1"/>
                <w:iCs w:val="1"/>
                <w:color w:val="auto"/>
              </w:rPr>
              <w:t>(77.9)</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i w:val="1"/>
                <w:iCs w:val="1"/>
                <w:color w:val="auto"/>
              </w:rPr>
              <w:t>— </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Betriebsergebnis</w:t>
            </w:r>
          </w:p>
        </w:tc>
        <w:tc>
          <w:tcPr>
            <w:tcW w:w="2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(1.082,1)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(1.462,9)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690,4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12.642,7</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Nettogewinn / (verlust)</w:t>
            </w:r>
          </w:p>
        </w:tc>
        <w:tc>
          <w:tcPr>
            <w:tcW w:w="230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(831,1)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(924,8)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930,3</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9.434,4</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Ergebnis je Aktie</w:t>
            </w:r>
          </w:p>
        </w:tc>
        <w:tc>
          <w:tcPr>
            <w:tcW w:w="1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Unverwässertes Ergebnis je Aktie</w:t>
            </w:r>
          </w:p>
        </w:tc>
        <w:tc>
          <w:tcPr>
            <w:tcW w:w="230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i w:val="1"/>
                <w:iCs w:val="1"/>
                <w:color w:val="auto"/>
              </w:rPr>
              <w:t>(3,45)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(3,83)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(2,77)</w:t>
            </w:r>
          </w:p>
        </w:tc>
        <w:tc>
          <w:tcPr>
            <w:tcW w:w="860" w:type="dxa"/>
            <w:vAlign w:val="bottom"/>
          </w:tcPr>
          <w:p>
            <w:pPr>
              <w:jc w:val="right"/>
              <w:ind w:right="75"/>
              <w:spacing w:after="0"/>
              <w:rPr>
                <w:sz w:val="20"/>
                <w:szCs w:val="20"/>
                <w:color w:val="auto"/>
              </w:rPr>
            </w:pPr>
            <w:r>
              <w:rPr>
                <w:rFonts w:ascii="Times New Roman" w:cs="Times New Roman" w:eastAsia="Times New Roman" w:hAnsi="Times New Roman"/>
                <w:sz w:val="18"/>
                <w:szCs w:val="18"/>
                <w:i w:val="1"/>
                <w:iCs w:val="1"/>
                <w:color w:val="auto"/>
              </w:rPr>
              <w:t>3,87</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38,78</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Verwässertes Ergebnis je Aktie</w:t>
            </w:r>
          </w:p>
        </w:tc>
        <w:tc>
          <w:tcPr>
            <w:tcW w:w="2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i w:val="1"/>
                <w:iCs w:val="1"/>
                <w:color w:val="auto"/>
              </w:rPr>
              <w:t>(3,45)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(3,83)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(2,77)</w:t>
            </w:r>
          </w:p>
        </w:tc>
        <w:tc>
          <w:tcPr>
            <w:tcW w:w="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i w:val="1"/>
                <w:iCs w:val="1"/>
                <w:color w:val="auto"/>
              </w:rPr>
              <w:t>3,83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37,77</w:t>
            </w:r>
          </w:p>
        </w:tc>
        <w:tc>
          <w:tcPr>
            <w:tcW w:w="0" w:type="dxa"/>
            <w:vAlign w:val="bottom"/>
          </w:tcPr>
          <w:p>
            <w:pPr>
              <w:spacing w:after="0"/>
              <w:rPr>
                <w:sz w:val="1"/>
                <w:szCs w:val="1"/>
                <w:color w:val="auto"/>
              </w:rPr>
            </w:pPr>
          </w:p>
        </w:tc>
      </w:tr>
      <w:tr>
        <w:trPr>
          <w:trHeight w:val="365"/>
        </w:trPr>
        <w:tc>
          <w:tcPr>
            <w:tcW w:w="2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6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68" w:right="439" w:bottom="1440" w:gutter="0" w:footer="0" w:header="0"/>
        </w:sectPr>
      </w:pPr>
    </w:p>
    <w:bookmarkStart w:id="4" w:name="page5"/>
    <w:bookmarkEnd w:id="4"/>
    <w:p>
      <w:pPr>
        <w:ind w:left="544"/>
        <w:spacing w:after="0"/>
        <w:tabs>
          <w:tab w:leader="none" w:pos="1164" w:val="left"/>
        </w:tabs>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1.2.2.2</w:t>
      </w:r>
      <w:r>
        <w:rPr>
          <w:sz w:val="20"/>
          <w:szCs w:val="20"/>
          <w:color w:val="auto"/>
        </w:rPr>
        <w:tab/>
      </w:r>
      <w:r>
        <w:rPr>
          <w:rFonts w:ascii="Times New Roman" w:cs="Times New Roman" w:eastAsia="Times New Roman" w:hAnsi="Times New Roman"/>
          <w:sz w:val="17"/>
          <w:szCs w:val="17"/>
          <w:i w:val="1"/>
          <w:iCs w:val="1"/>
          <w:color w:val="auto"/>
        </w:rPr>
        <w:t>Wesentliche Finanzinformationen aus der Konzern-Bilanz</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9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Zum 30. September</w:t>
            </w: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Zum 31. Dezember</w:t>
            </w: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Millionen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4820" w:type="dxa"/>
            <w:vAlign w:val="bottom"/>
            <w:vMerge w:val="restart"/>
          </w:tcPr>
          <w:p>
            <w:pPr>
              <w:spacing w:after="0"/>
              <w:rPr>
                <w:sz w:val="12"/>
                <w:szCs w:val="12"/>
                <w:color w:val="auto"/>
              </w:rPr>
            </w:pPr>
          </w:p>
        </w:tc>
        <w:tc>
          <w:tcPr>
            <w:tcW w:w="1220" w:type="dxa"/>
            <w:vAlign w:val="bottom"/>
            <w:tcBorders>
              <w:bottom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72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bottom w:val="single" w:sz="8" w:color="auto"/>
            </w:tcBorders>
          </w:tcPr>
          <w:p>
            <w:pPr>
              <w:jc w:val="right"/>
              <w:ind w:right="44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bottom w:val="single" w:sz="8" w:color="auto"/>
            </w:tcBorders>
            <w:vMerge w:val="continue"/>
          </w:tcPr>
          <w:p>
            <w:pPr>
              <w:spacing w:after="0"/>
              <w:rPr>
                <w:sz w:val="12"/>
                <w:szCs w:val="12"/>
                <w:color w:val="auto"/>
              </w:rPr>
            </w:pPr>
          </w:p>
        </w:tc>
        <w:tc>
          <w:tcPr>
            <w:tcW w:w="4820" w:type="dxa"/>
            <w:vAlign w:val="bottom"/>
            <w:vMerge w:val="continue"/>
          </w:tcPr>
          <w:p>
            <w:pPr>
              <w:spacing w:after="0"/>
              <w:rPr>
                <w:sz w:val="12"/>
                <w:szCs w:val="12"/>
                <w:color w:val="auto"/>
              </w:rPr>
            </w:pPr>
          </w:p>
        </w:tc>
        <w:tc>
          <w:tcPr>
            <w:tcW w:w="1220" w:type="dxa"/>
            <w:vAlign w:val="bottom"/>
          </w:tcPr>
          <w:p>
            <w:pPr>
              <w:jc w:val="right"/>
              <w:ind w:right="181"/>
              <w:spacing w:after="0" w:line="129" w:lineRule="exact"/>
              <w:rPr>
                <w:sz w:val="20"/>
                <w:szCs w:val="20"/>
                <w:color w:val="auto"/>
              </w:rPr>
            </w:pPr>
            <w:r>
              <w:rPr>
                <w:rFonts w:ascii="Times New Roman" w:cs="Times New Roman" w:eastAsia="Times New Roman" w:hAnsi="Times New Roman"/>
                <w:sz w:val="14"/>
                <w:szCs w:val="14"/>
                <w:b w:val="1"/>
                <w:bCs w:val="1"/>
                <w:color w:val="auto"/>
              </w:rPr>
              <w:t>(ungeprüft)</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Pr>
          <w:p>
            <w:pPr>
              <w:ind w:left="360"/>
              <w:spacing w:after="0" w:line="129" w:lineRule="exact"/>
              <w:rPr>
                <w:sz w:val="20"/>
                <w:szCs w:val="20"/>
                <w:color w:val="auto"/>
              </w:rPr>
            </w:pPr>
            <w:r>
              <w:rPr>
                <w:rFonts w:ascii="Times New Roman" w:cs="Times New Roman" w:eastAsia="Times New Roman" w:hAnsi="Times New Roman"/>
                <w:sz w:val="14"/>
                <w:szCs w:val="14"/>
                <w:b w:val="1"/>
                <w:bCs w:val="1"/>
                <w:color w:val="auto"/>
              </w:rPr>
              <w:t>(geprüft)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Bilanzsumme</w:t>
            </w: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21.341,1</w:t>
            </w:r>
          </w:p>
        </w:tc>
        <w:tc>
          <w:tcPr>
            <w:tcW w:w="3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22.529,7</w:t>
            </w:r>
          </w:p>
        </w:tc>
        <w:tc>
          <w:tcPr>
            <w:tcW w:w="130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23.006,3</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23.279,1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Summe Eigenkapital</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18.477,3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19.411,1</w:t>
            </w:r>
          </w:p>
        </w:tc>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20.245,9</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20.055,6</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i w:val="1"/>
          <w:iCs w:val="1"/>
          <w:color w:val="auto"/>
        </w:rPr>
        <w:t>1.2.2.3</w:t>
      </w:r>
      <w:r>
        <w:rPr>
          <w:sz w:val="20"/>
          <w:szCs w:val="20"/>
          <w:color w:val="auto"/>
        </w:rPr>
        <w:tab/>
      </w:r>
      <w:r>
        <w:rPr>
          <w:rFonts w:ascii="Times New Roman" w:cs="Times New Roman" w:eastAsia="Times New Roman" w:hAnsi="Times New Roman"/>
          <w:sz w:val="17"/>
          <w:szCs w:val="17"/>
          <w:i w:val="1"/>
          <w:iCs w:val="1"/>
          <w:color w:val="auto"/>
        </w:rPr>
        <w:t>Wesentliche Finanzinformationen aus der Konzern-Kapitalflussrechnung</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7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Neunmonatszeitraum</w:t>
            </w:r>
          </w:p>
        </w:tc>
        <w:tc>
          <w:tcPr>
            <w:tcW w:w="25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Geschäftsjahre zum 31. Dezember</w:t>
            </w:r>
          </w:p>
        </w:tc>
        <w:tc>
          <w:tcPr>
            <w:tcW w:w="0" w:type="dxa"/>
            <w:vAlign w:val="bottom"/>
          </w:tcPr>
          <w:p>
            <w:pPr>
              <w:spacing w:after="0"/>
              <w:rPr>
                <w:sz w:val="1"/>
                <w:szCs w:val="1"/>
                <w:color w:val="auto"/>
              </w:rPr>
            </w:pPr>
          </w:p>
        </w:tc>
      </w:tr>
      <w:tr>
        <w:trPr>
          <w:trHeight w:val="173"/>
        </w:trPr>
        <w:tc>
          <w:tcPr>
            <w:tcW w:w="96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7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zum 30. September</w:t>
            </w:r>
          </w:p>
        </w:tc>
        <w:tc>
          <w:tcPr>
            <w:tcW w:w="25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Millionen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5700" w:type="dxa"/>
            <w:vAlign w:val="bottom"/>
            <w:vMerge w:val="restart"/>
          </w:tcPr>
          <w:p>
            <w:pPr>
              <w:spacing w:after="0"/>
              <w:rPr>
                <w:sz w:val="12"/>
                <w:szCs w:val="12"/>
                <w:color w:val="auto"/>
              </w:rPr>
            </w:pPr>
          </w:p>
        </w:tc>
        <w:tc>
          <w:tcPr>
            <w:tcW w:w="84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7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Borders>
              <w:bottom w:val="single" w:sz="8" w:color="auto"/>
            </w:tcBorders>
            <w:vMerge w:val="continue"/>
          </w:tcPr>
          <w:p>
            <w:pPr>
              <w:spacing w:after="0"/>
              <w:rPr>
                <w:sz w:val="12"/>
                <w:szCs w:val="12"/>
                <w:color w:val="auto"/>
              </w:rPr>
            </w:pPr>
          </w:p>
        </w:tc>
        <w:tc>
          <w:tcPr>
            <w:tcW w:w="5700" w:type="dxa"/>
            <w:vAlign w:val="bottom"/>
            <w:vMerge w:val="continue"/>
          </w:tcPr>
          <w:p>
            <w:pPr>
              <w:spacing w:after="0"/>
              <w:rPr>
                <w:sz w:val="12"/>
                <w:szCs w:val="12"/>
                <w:color w:val="auto"/>
              </w:rPr>
            </w:pPr>
          </w:p>
        </w:tc>
        <w:tc>
          <w:tcPr>
            <w:tcW w:w="1560" w:type="dxa"/>
            <w:vAlign w:val="bottom"/>
            <w:gridSpan w:val="2"/>
          </w:tcPr>
          <w:p>
            <w:pPr>
              <w:jc w:val="right"/>
              <w:ind w:right="334"/>
              <w:spacing w:after="0" w:line="129" w:lineRule="exact"/>
              <w:rPr>
                <w:sz w:val="20"/>
                <w:szCs w:val="20"/>
                <w:color w:val="auto"/>
              </w:rPr>
            </w:pPr>
            <w:r>
              <w:rPr>
                <w:rFonts w:ascii="Times New Roman" w:cs="Times New Roman" w:eastAsia="Times New Roman" w:hAnsi="Times New Roman"/>
                <w:sz w:val="14"/>
                <w:szCs w:val="14"/>
                <w:b w:val="1"/>
                <w:bCs w:val="1"/>
                <w:color w:val="auto"/>
              </w:rPr>
              <w:t>(ungeprüft)</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(geprüft)</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Cashflows aus der betrieblichen Tätigkeit</w:t>
            </w:r>
          </w:p>
        </w:tc>
        <w:tc>
          <w:tcPr>
            <w:tcW w:w="840" w:type="dxa"/>
            <w:vAlign w:val="bottom"/>
            <w:tcBorders>
              <w:top w:val="single" w:sz="8" w:color="auto"/>
            </w:tcBorders>
            <w:shd w:val="clear" w:color="auto" w:fill="CCEEFF"/>
          </w:tcPr>
          <w:p>
            <w:pPr>
              <w:jc w:val="right"/>
              <w:ind w:right="79"/>
              <w:spacing w:after="0" w:line="203" w:lineRule="exact"/>
              <w:rPr>
                <w:sz w:val="20"/>
                <w:szCs w:val="20"/>
                <w:color w:val="auto"/>
              </w:rPr>
            </w:pPr>
            <w:r>
              <w:rPr>
                <w:rFonts w:ascii="Times New Roman" w:cs="Times New Roman" w:eastAsia="Times New Roman" w:hAnsi="Times New Roman"/>
                <w:sz w:val="18"/>
                <w:szCs w:val="18"/>
                <w:color w:val="auto"/>
              </w:rPr>
              <w:t>146,5</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671,0</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76"/>
              <w:spacing w:after="0" w:line="203" w:lineRule="exact"/>
              <w:rPr>
                <w:sz w:val="20"/>
                <w:szCs w:val="20"/>
                <w:color w:val="auto"/>
              </w:rPr>
            </w:pPr>
            <w:r>
              <w:rPr>
                <w:rFonts w:ascii="Times New Roman" w:cs="Times New Roman" w:eastAsia="Times New Roman" w:hAnsi="Times New Roman"/>
                <w:sz w:val="18"/>
                <w:szCs w:val="18"/>
                <w:color w:val="auto"/>
              </w:rPr>
              <w:t>207,7</w:t>
            </w:r>
          </w:p>
        </w:tc>
        <w:tc>
          <w:tcPr>
            <w:tcW w:w="900" w:type="dxa"/>
            <w:vAlign w:val="bottom"/>
            <w:tcBorders>
              <w:top w:val="single" w:sz="8" w:color="auto"/>
            </w:tcBorders>
            <w:shd w:val="clear" w:color="auto" w:fill="CCEEFF"/>
          </w:tcPr>
          <w:p>
            <w:pPr>
              <w:jc w:val="right"/>
              <w:ind w:right="76"/>
              <w:spacing w:after="0" w:line="203" w:lineRule="exact"/>
              <w:rPr>
                <w:sz w:val="20"/>
                <w:szCs w:val="20"/>
                <w:color w:val="auto"/>
              </w:rPr>
            </w:pPr>
            <w:r>
              <w:rPr>
                <w:rFonts w:ascii="Times New Roman" w:cs="Times New Roman" w:eastAsia="Times New Roman" w:hAnsi="Times New Roman"/>
                <w:sz w:val="18"/>
                <w:szCs w:val="18"/>
                <w:color w:val="auto"/>
              </w:rPr>
              <w:t>5.371,4</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13.577,4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Cashflows aus der Investitionstätigkeit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257,1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(2.687,9)</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(2.081,2)</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(6.954,5)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Cashflows aus der Finanzierungstätigkeit</w:t>
            </w:r>
          </w:p>
        </w:tc>
        <w:tc>
          <w:tcPr>
            <w:tcW w:w="8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(38,6)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(45,9)</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(778,6)</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(1.419,3)</w:t>
            </w:r>
          </w:p>
        </w:tc>
        <w:tc>
          <w:tcPr>
            <w:tcW w:w="0" w:type="dxa"/>
            <w:vAlign w:val="bottom"/>
          </w:tcPr>
          <w:p>
            <w:pPr>
              <w:spacing w:after="0"/>
              <w:rPr>
                <w:sz w:val="1"/>
                <w:szCs w:val="1"/>
                <w:color w:val="auto"/>
              </w:rPr>
            </w:pPr>
          </w:p>
        </w:tc>
      </w:tr>
      <w:tr>
        <w:trPr>
          <w:trHeight w:val="198"/>
        </w:trPr>
        <w:tc>
          <w:tcPr>
            <w:tcW w:w="6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Zahlungsmittel und Zahlungsmitteläquivalente zum Ende des Berichtzeitraums</w:t>
            </w:r>
          </w:p>
        </w:tc>
        <w:tc>
          <w:tcPr>
            <w:tcW w:w="840" w:type="dxa"/>
            <w:vAlign w:val="bottom"/>
          </w:tcPr>
          <w:p>
            <w:pPr>
              <w:jc w:val="right"/>
              <w:ind w:right="79"/>
              <w:spacing w:after="0" w:line="198" w:lineRule="exact"/>
              <w:rPr>
                <w:sz w:val="20"/>
                <w:szCs w:val="20"/>
                <w:color w:val="auto"/>
              </w:rPr>
            </w:pPr>
            <w:r>
              <w:rPr>
                <w:rFonts w:ascii="Times New Roman" w:cs="Times New Roman" w:eastAsia="Times New Roman" w:hAnsi="Times New Roman"/>
                <w:sz w:val="18"/>
                <w:szCs w:val="18"/>
                <w:color w:val="auto"/>
              </w:rPr>
              <w:t>10.092,9</w:t>
            </w:r>
          </w:p>
        </w:tc>
        <w:tc>
          <w:tcPr>
            <w:tcW w:w="9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9.624,6</w:t>
            </w:r>
          </w:p>
        </w:tc>
        <w:tc>
          <w:tcPr>
            <w:tcW w:w="820" w:type="dxa"/>
            <w:vAlign w:val="bottom"/>
          </w:tcPr>
          <w:p>
            <w:pPr>
              <w:jc w:val="right"/>
              <w:ind w:right="76"/>
              <w:spacing w:after="0" w:line="198" w:lineRule="exact"/>
              <w:rPr>
                <w:sz w:val="20"/>
                <w:szCs w:val="20"/>
                <w:color w:val="auto"/>
              </w:rPr>
            </w:pPr>
            <w:r>
              <w:rPr>
                <w:rFonts w:ascii="Times New Roman" w:cs="Times New Roman" w:eastAsia="Times New Roman" w:hAnsi="Times New Roman"/>
                <w:sz w:val="18"/>
                <w:szCs w:val="18"/>
                <w:color w:val="auto"/>
              </w:rPr>
              <w:t>9.761,9</w:t>
            </w:r>
          </w:p>
        </w:tc>
        <w:tc>
          <w:tcPr>
            <w:tcW w:w="900" w:type="dxa"/>
            <w:vAlign w:val="bottom"/>
          </w:tcPr>
          <w:p>
            <w:pPr>
              <w:jc w:val="right"/>
              <w:ind w:right="76"/>
              <w:spacing w:after="0" w:line="198" w:lineRule="exact"/>
              <w:rPr>
                <w:sz w:val="20"/>
                <w:szCs w:val="20"/>
                <w:color w:val="auto"/>
              </w:rPr>
            </w:pPr>
            <w:r>
              <w:rPr>
                <w:rFonts w:ascii="Times New Roman" w:cs="Times New Roman" w:eastAsia="Times New Roman" w:hAnsi="Times New Roman"/>
                <w:sz w:val="18"/>
                <w:szCs w:val="18"/>
                <w:color w:val="auto"/>
              </w:rPr>
              <w:t>11.663,7</w:t>
            </w:r>
          </w:p>
        </w:tc>
        <w:tc>
          <w:tcPr>
            <w:tcW w:w="86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13.875,1</w:t>
            </w:r>
          </w:p>
        </w:tc>
        <w:tc>
          <w:tcPr>
            <w:tcW w:w="0" w:type="dxa"/>
            <w:vAlign w:val="bottom"/>
          </w:tcPr>
          <w:p>
            <w:pPr>
              <w:spacing w:after="0"/>
              <w:rPr>
                <w:sz w:val="1"/>
                <w:szCs w:val="1"/>
                <w:color w:val="auto"/>
              </w:rPr>
            </w:pPr>
          </w:p>
        </w:tc>
      </w:tr>
      <w:tr>
        <w:trPr>
          <w:trHeight w:val="234"/>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44" w:right="20" w:hanging="544"/>
        <w:spacing w:after="0" w:line="261" w:lineRule="auto"/>
        <w:tabs>
          <w:tab w:leader="none" w:pos="5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section </w:t>
      </w:r>
      <w:r>
        <w:rPr>
          <w:rFonts w:ascii="Times New Roman" w:cs="Times New Roman" w:eastAsia="Times New Roman" w:hAnsi="Times New Roman"/>
          <w:sz w:val="18"/>
          <w:szCs w:val="18"/>
          <w:i w:val="1"/>
          <w:iCs w:val="1"/>
          <w:color w:val="auto"/>
        </w:rPr>
        <w:t>“1.1.1 Demand for our COVID-19 vaccine, though difficult to predict, is expected to continue to decrease in the near future. Changing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dynamics will impact our revenues, which currently depends heavily on sales of our COVID-19 vaccine, and result in challenges relating to production of our COVID-19 vaccine.</w:t>
      </w:r>
      <w:r>
        <w:rPr>
          <w:rFonts w:ascii="Times New Roman" w:cs="Times New Roman" w:eastAsia="Times New Roman" w:hAnsi="Times New Roman"/>
          <w:sz w:val="18"/>
          <w:szCs w:val="18"/>
          <w:color w:val="auto"/>
        </w:rPr>
        <w:t>” beginning on page 1 of the Prospectus, the fourth bullet of the list following the first paragraph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replaced by the following bullet:</w:t>
      </w:r>
    </w:p>
    <w:p>
      <w:pPr>
        <w:sectPr>
          <w:pgSz w:w="11900" w:h="16838" w:orient="portrait"/>
          <w:cols w:equalWidth="0" w:num="1">
            <w:col w:w="11024"/>
          </w:cols>
          <w:pgMar w:left="436" w:top="268" w:right="439" w:bottom="1440" w:gutter="0" w:footer="0" w:header="0"/>
        </w:sectPr>
      </w:pPr>
    </w:p>
    <w:p>
      <w:pPr>
        <w:spacing w:after="0" w:line="87" w:lineRule="exact"/>
        <w:rPr>
          <w:sz w:val="20"/>
          <w:szCs w:val="20"/>
          <w:color w:val="auto"/>
        </w:rPr>
      </w:pPr>
    </w:p>
    <w:p>
      <w:pPr>
        <w:jc w:val="center"/>
        <w:ind w:left="544"/>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color w:val="auto"/>
        </w:rPr>
        <w:t>the extent to which changes in local, national and state government policy preferences in the United States of America, or the “</w:t>
      </w:r>
      <w:r>
        <w:rPr>
          <w:rFonts w:ascii="Times New Roman" w:cs="Times New Roman" w:eastAsia="Times New Roman" w:hAnsi="Times New Roman"/>
          <w:sz w:val="18"/>
          <w:szCs w:val="18"/>
          <w:b w:val="1"/>
          <w:bCs w:val="1"/>
          <w:color w:val="auto"/>
        </w:rPr>
        <w:t>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other jurisdictions, including in vaccine recommendations, and evolving public sentiment affect demand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COVID-19 vaccines or mRNA therapeutics and our ability to successfully commercialize our product candidates, if approved;”</w:t>
      </w:r>
    </w:p>
    <w:p>
      <w:pPr>
        <w:spacing w:after="0" w:line="78" w:lineRule="exact"/>
        <w:rPr>
          <w:sz w:val="20"/>
          <w:szCs w:val="20"/>
          <w:color w:val="auto"/>
        </w:rPr>
      </w:pPr>
    </w:p>
    <w:p>
      <w:pPr>
        <w:sectPr>
          <w:pgSz w:w="11900" w:h="16838" w:orient="portrait"/>
          <w:cols w:equalWidth="0" w:num="2">
            <w:col w:w="684" w:space="500"/>
            <w:col w:w="9840"/>
          </w:cols>
          <w:pgMar w:left="436" w:top="268" w:right="439" w:bottom="1440" w:gutter="0" w:footer="0" w:header="0"/>
          <w:type w:val="continuous"/>
        </w:sectPr>
      </w:pPr>
    </w:p>
    <w:p>
      <w:pPr>
        <w:ind w:left="544" w:right="180" w:hanging="544"/>
        <w:spacing w:after="0" w:line="267"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section </w:t>
      </w:r>
      <w:r>
        <w:rPr>
          <w:rFonts w:ascii="Times New Roman" w:cs="Times New Roman" w:eastAsia="Times New Roman" w:hAnsi="Times New Roman"/>
          <w:sz w:val="18"/>
          <w:szCs w:val="18"/>
          <w:i w:val="1"/>
          <w:iCs w:val="1"/>
          <w:color w:val="auto"/>
        </w:rPr>
        <w:t>“1.1.3 If we are unable to continue to increase our marketing and sales capabilities on our own or through third parties, we may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able to market and sell our product candidates effectively in the United States and other jurisdictions, if approved, or generate sufficient product sales revenue.</w:t>
      </w:r>
      <w:r>
        <w:rPr>
          <w:rFonts w:ascii="Times New Roman" w:cs="Times New Roman" w:eastAsia="Times New Roman" w:hAnsi="Times New Roman"/>
          <w:sz w:val="18"/>
          <w:szCs w:val="18"/>
          <w:color w:val="auto"/>
        </w:rPr>
        <w:t>” on page 4 of the Prospectus, the first two sentences shall be replaced by the following text:</w:t>
      </w:r>
    </w:p>
    <w:p>
      <w:pPr>
        <w:spacing w:after="0" w:line="6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only relatively recently developed our sales, distribution or marketing capabilities in the Federal Republic of Germany, or</w:t>
      </w:r>
    </w:p>
    <w:p>
      <w:pPr>
        <w:spacing w:after="0" w:line="27" w:lineRule="exact"/>
        <w:rPr>
          <w:rFonts w:ascii="Times New Roman" w:cs="Times New Roman" w:eastAsia="Times New Roman" w:hAnsi="Times New Roman"/>
          <w:sz w:val="18"/>
          <w:szCs w:val="18"/>
          <w:color w:val="auto"/>
        </w:rPr>
      </w:pPr>
    </w:p>
    <w:p>
      <w:pPr>
        <w:ind w:left="544" w:right="2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Germany</w:t>
      </w:r>
      <w:r>
        <w:rPr>
          <w:rFonts w:ascii="Times New Roman" w:cs="Times New Roman" w:eastAsia="Times New Roman" w:hAnsi="Times New Roman"/>
          <w:sz w:val="18"/>
          <w:szCs w:val="18"/>
          <w:color w:val="auto"/>
        </w:rPr>
        <w:t>”, and Türkiye. With respect to our COVID-19 vaccine, we rely heavily on the sales, distribution, and marketing capabilities of our partners, except in Germany and Türkiye.”</w:t>
      </w:r>
    </w:p>
    <w:p>
      <w:pPr>
        <w:spacing w:after="0" w:line="84" w:lineRule="exact"/>
        <w:rPr>
          <w:rFonts w:ascii="Times New Roman" w:cs="Times New Roman" w:eastAsia="Times New Roman" w:hAnsi="Times New Roman"/>
          <w:sz w:val="18"/>
          <w:szCs w:val="18"/>
          <w:color w:val="auto"/>
        </w:rPr>
      </w:pPr>
    </w:p>
    <w:p>
      <w:pPr>
        <w:ind w:left="544" w:right="60" w:hanging="544"/>
        <w:spacing w:after="0" w:line="290" w:lineRule="auto"/>
        <w:tabs>
          <w:tab w:leader="none" w:pos="5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section </w:t>
      </w:r>
      <w:r>
        <w:rPr>
          <w:rFonts w:ascii="Times New Roman" w:cs="Times New Roman" w:eastAsia="Times New Roman" w:hAnsi="Times New Roman"/>
          <w:sz w:val="17"/>
          <w:szCs w:val="17"/>
          <w:i w:val="1"/>
          <w:iCs w:val="1"/>
          <w:color w:val="auto"/>
        </w:rPr>
        <w:t>“1.1.7 Government policies, including relating to manufacturing, export controls, or tariffs, and negative public perception regarding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vaccines and mRNA-based therapeutics could severely and adversely impact the manufacturing and sales of our COVID-19 vaccine and other product candidates we may develop, if approved.</w:t>
      </w:r>
      <w:r>
        <w:rPr>
          <w:rFonts w:ascii="Times New Roman" w:cs="Times New Roman" w:eastAsia="Times New Roman" w:hAnsi="Times New Roman"/>
          <w:sz w:val="17"/>
          <w:szCs w:val="17"/>
          <w:color w:val="auto"/>
        </w:rPr>
        <w:t>” on page 6 of the Prospectus, the following text shall be added at the end of the first paragraph:</w:t>
      </w:r>
    </w:p>
    <w:p>
      <w:pPr>
        <w:spacing w:after="0" w:line="49" w:lineRule="exact"/>
        <w:rPr>
          <w:rFonts w:ascii="Times New Roman" w:cs="Times New Roman" w:eastAsia="Times New Roman" w:hAnsi="Times New Roman"/>
          <w:sz w:val="17"/>
          <w:szCs w:val="17"/>
          <w:color w:val="auto"/>
        </w:rPr>
      </w:pPr>
    </w:p>
    <w:p>
      <w:pPr>
        <w:ind w:left="544" w:right="22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example, the FDA’s approval of our LP.8.1-adapted monovalent COVID-19 vaccine is in a narrower patient population than our previous variant-adapted vaccines.”</w:t>
      </w:r>
    </w:p>
    <w:p>
      <w:pPr>
        <w:spacing w:after="0" w:line="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68" w:right="439" w:bottom="1440" w:gutter="0" w:footer="0" w:header="0"/>
          <w:type w:val="continuous"/>
        </w:sectPr>
      </w:pPr>
    </w:p>
    <w:bookmarkStart w:id="5" w:name="page6"/>
    <w:bookmarkEnd w:id="5"/>
    <w:p>
      <w:pPr>
        <w:ind w:left="544" w:right="180" w:hanging="544"/>
        <w:spacing w:after="0" w:line="284" w:lineRule="auto"/>
        <w:tabs>
          <w:tab w:leader="none" w:pos="5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section </w:t>
      </w:r>
      <w:r>
        <w:rPr>
          <w:rFonts w:ascii="Times New Roman" w:cs="Times New Roman" w:eastAsia="Times New Roman" w:hAnsi="Times New Roman"/>
          <w:sz w:val="18"/>
          <w:szCs w:val="18"/>
          <w:i w:val="1"/>
          <w:iCs w:val="1"/>
          <w:color w:val="auto"/>
        </w:rPr>
        <w:t>“1.2.3 Long-term sustainable profitability is difficult to achieve and maintain over time and is highly dependent on various factors.</w:t>
      </w:r>
      <w:r>
        <w:rPr>
          <w:rFonts w:ascii="Times New Roman" w:cs="Times New Roman" w:eastAsia="Times New Roman" w:hAnsi="Times New Roman"/>
          <w:sz w:val="18"/>
          <w:szCs w:val="18"/>
          <w:color w:val="auto"/>
        </w:rPr>
        <w:t>” beginning on page 15 of the Prospectus, the third sentence of the first paragraph shall be replaced the following text:</w:t>
      </w:r>
    </w:p>
    <w:p>
      <w:pPr>
        <w:spacing w:after="0" w:line="52" w:lineRule="exact"/>
        <w:rPr>
          <w:rFonts w:ascii="Times New Roman" w:cs="Times New Roman" w:eastAsia="Times New Roman" w:hAnsi="Times New Roman"/>
          <w:sz w:val="18"/>
          <w:szCs w:val="18"/>
          <w:color w:val="auto"/>
        </w:rPr>
      </w:pPr>
    </w:p>
    <w:p>
      <w:pPr>
        <w:ind w:left="544"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driven by factors such as new virus variants, regional policy changes, and public health measures may impact long-term demand of our COVID-19 vaccine.”</w:t>
      </w:r>
    </w:p>
    <w:p>
      <w:pPr>
        <w:spacing w:after="0" w:line="65" w:lineRule="exact"/>
        <w:rPr>
          <w:rFonts w:ascii="Times New Roman" w:cs="Times New Roman" w:eastAsia="Times New Roman" w:hAnsi="Times New Roman"/>
          <w:sz w:val="18"/>
          <w:szCs w:val="18"/>
          <w:color w:val="auto"/>
        </w:rPr>
      </w:pPr>
    </w:p>
    <w:p>
      <w:pPr>
        <w:ind w:left="544" w:hanging="544"/>
        <w:spacing w:after="0" w:line="258" w:lineRule="auto"/>
        <w:tabs>
          <w:tab w:leader="none" w:pos="5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section </w:t>
      </w:r>
      <w:r>
        <w:rPr>
          <w:rFonts w:ascii="Times New Roman" w:cs="Times New Roman" w:eastAsia="Times New Roman" w:hAnsi="Times New Roman"/>
          <w:sz w:val="18"/>
          <w:szCs w:val="18"/>
          <w:i w:val="1"/>
          <w:iCs w:val="1"/>
          <w:color w:val="auto"/>
        </w:rPr>
        <w:t>“1.2.5 The amount of, and our ability to use, net operating losses and research and development credits to offset future taxable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may be subject to certain limitations and uncertainty. In addition, pending and future tax audits within our Group, disputes with tax authorities and changes in tax law or fiscal regulations could lead to additional tax liabilities. We are subject to routine tax audits by the respective local tax authorities. Any additional tax liability could have an adverse effect on our business, financial conditions, results of operations or prospects.</w:t>
      </w:r>
      <w:r>
        <w:rPr>
          <w:rFonts w:ascii="Times New Roman" w:cs="Times New Roman" w:eastAsia="Times New Roman" w:hAnsi="Times New Roman"/>
          <w:sz w:val="18"/>
          <w:szCs w:val="18"/>
          <w:color w:val="auto"/>
        </w:rPr>
        <w: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18 of the Prospectus, the fifth paragraph shall be replaced by the following text:</w:t>
      </w:r>
    </w:p>
    <w:p>
      <w:pPr>
        <w:spacing w:after="0" w:line="77" w:lineRule="exact"/>
        <w:rPr>
          <w:rFonts w:ascii="Times New Roman" w:cs="Times New Roman" w:eastAsia="Times New Roman" w:hAnsi="Times New Roman"/>
          <w:sz w:val="18"/>
          <w:szCs w:val="18"/>
          <w:color w:val="auto"/>
        </w:rPr>
      </w:pPr>
    </w:p>
    <w:p>
      <w:pPr>
        <w:ind w:left="544" w:right="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“Furthermore, our ability to use our NOLs or credits is conditioned upon our attaining profitability and generating taxable income. Taxable income exceeding NOLs will be subject to taxation resulting in tax liabilities. As described above, we incurred significant net losses in every year since our inception other than 2018, 2021, 2022 and 2023 and anticipate that in the future, we may incur losses for the majority of the group entities. Our ability to utilize our NOL or credit carryforwards in the United States and for some other group entities is uncertain; therefore, we do not recognize deferred tax assets on NOLs and tax credit carryforwards in the United States, as the requirements of IAS 12 are not fulfilled.”</w:t>
      </w:r>
    </w:p>
    <w:p>
      <w:pPr>
        <w:spacing w:after="0" w:line="71" w:lineRule="exact"/>
        <w:rPr>
          <w:rFonts w:ascii="Times New Roman" w:cs="Times New Roman" w:eastAsia="Times New Roman" w:hAnsi="Times New Roman"/>
          <w:sz w:val="18"/>
          <w:szCs w:val="18"/>
          <w:color w:val="auto"/>
        </w:rPr>
      </w:pPr>
    </w:p>
    <w:p>
      <w:pPr>
        <w:ind w:left="544" w:right="60" w:hanging="544"/>
        <w:spacing w:after="0" w:line="258" w:lineRule="auto"/>
        <w:tabs>
          <w:tab w:leader="none" w:pos="5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section </w:t>
      </w:r>
      <w:r>
        <w:rPr>
          <w:rFonts w:ascii="Times New Roman" w:cs="Times New Roman" w:eastAsia="Times New Roman" w:hAnsi="Times New Roman"/>
          <w:sz w:val="18"/>
          <w:szCs w:val="18"/>
          <w:i w:val="1"/>
          <w:iCs w:val="1"/>
          <w:color w:val="auto"/>
        </w:rPr>
        <w:t>“1.2 Risks Related to our Financial Condition and Capital Requirements</w:t>
      </w:r>
      <w:r>
        <w:rPr>
          <w:rFonts w:ascii="Times New Roman" w:cs="Times New Roman" w:eastAsia="Times New Roman" w:hAnsi="Times New Roman"/>
          <w:sz w:val="18"/>
          <w:szCs w:val="18"/>
          <w:color w:val="auto"/>
        </w:rPr>
        <w:t>” beginning on page 13 of the Prospectus, the following section “</w:t>
      </w:r>
      <w:r>
        <w:rPr>
          <w:rFonts w:ascii="Times New Roman" w:cs="Times New Roman" w:eastAsia="Times New Roman" w:hAnsi="Times New Roman"/>
          <w:sz w:val="18"/>
          <w:szCs w:val="18"/>
          <w:i w:val="1"/>
          <w:iCs w:val="1"/>
          <w:color w:val="auto"/>
        </w:rPr>
        <w:t>1.2.8 If we fail to appropriately account for complex terms in our collaboration and licensing agreements, we could be required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restate our financial statements.</w:t>
      </w:r>
      <w:r>
        <w:rPr>
          <w:rFonts w:ascii="Times New Roman" w:cs="Times New Roman" w:eastAsia="Times New Roman" w:hAnsi="Times New Roman"/>
          <w:sz w:val="18"/>
          <w:szCs w:val="18"/>
          <w:color w:val="auto"/>
        </w:rPr>
        <w:t>” shall be inserted after section “</w:t>
      </w:r>
      <w:r>
        <w:rPr>
          <w:rFonts w:ascii="Times New Roman" w:cs="Times New Roman" w:eastAsia="Times New Roman" w:hAnsi="Times New Roman"/>
          <w:sz w:val="18"/>
          <w:szCs w:val="18"/>
          <w:i w:val="1"/>
          <w:iCs w:val="1"/>
          <w:color w:val="auto"/>
        </w:rPr>
        <w:t>1.2.7 We may require substantial additional financing to achieve our goals, and a failure to obtain this capital on acceptable terms, or at all, could force us to delay, limit, reduce or terminate our product development programs, commercialization efforts or other operations.</w:t>
      </w:r>
      <w:r>
        <w:rPr>
          <w:rFonts w:ascii="Times New Roman" w:cs="Times New Roman" w:eastAsia="Times New Roman" w:hAnsi="Times New Roman"/>
          <w:sz w:val="18"/>
          <w:szCs w:val="18"/>
          <w:color w:val="auto"/>
        </w:rPr>
        <w:t>” and the remaining sub-sections in this section shall be renumbered accordingly:</w:t>
      </w:r>
    </w:p>
    <w:p>
      <w:pPr>
        <w:spacing w:after="0" w:line="86" w:lineRule="exact"/>
        <w:rPr>
          <w:rFonts w:ascii="Times New Roman" w:cs="Times New Roman" w:eastAsia="Times New Roman" w:hAnsi="Times New Roman"/>
          <w:sz w:val="18"/>
          <w:szCs w:val="18"/>
          <w:color w:val="auto"/>
        </w:rPr>
      </w:pPr>
    </w:p>
    <w:p>
      <w:pPr>
        <w:ind w:left="1184" w:right="32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“1.2.8 If we fail to appropriately account for complex terms in our collaboration and licensing agreements, we could be required to restate our financial statements.</w:t>
      </w:r>
    </w:p>
    <w:p>
      <w:pPr>
        <w:spacing w:after="0" w:line="50" w:lineRule="exact"/>
        <w:rPr>
          <w:rFonts w:ascii="Times New Roman" w:cs="Times New Roman" w:eastAsia="Times New Roman" w:hAnsi="Times New Roman"/>
          <w:sz w:val="18"/>
          <w:szCs w:val="18"/>
          <w:color w:val="auto"/>
        </w:rPr>
      </w:pPr>
    </w:p>
    <w:p>
      <w:pPr>
        <w:ind w:left="544"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and licensing agreements, including our license agreement with Bristol-Myers Squibb Company, involve complex terms and significant judgment in determining the appropriate accounting treatment. The accounting for such agreements is often subject to interpretation and evolving guidance. If our accounting assessments are later determined to be incorrect, we may be required to restate previously issued financial statements, which could have a material adverse effect on our financial condition and results of operations.”</w:t>
      </w:r>
    </w:p>
    <w:p>
      <w:pPr>
        <w:spacing w:after="0" w:line="83" w:lineRule="exact"/>
        <w:rPr>
          <w:rFonts w:ascii="Times New Roman" w:cs="Times New Roman" w:eastAsia="Times New Roman" w:hAnsi="Times New Roman"/>
          <w:sz w:val="18"/>
          <w:szCs w:val="18"/>
          <w:color w:val="auto"/>
        </w:rPr>
      </w:pPr>
    </w:p>
    <w:p>
      <w:pPr>
        <w:ind w:left="544" w:right="160" w:hanging="544"/>
        <w:spacing w:after="0" w:line="261" w:lineRule="auto"/>
        <w:tabs>
          <w:tab w:leader="none" w:pos="5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section </w:t>
      </w:r>
      <w:r>
        <w:rPr>
          <w:rFonts w:ascii="Times New Roman" w:cs="Times New Roman" w:eastAsia="Times New Roman" w:hAnsi="Times New Roman"/>
          <w:sz w:val="18"/>
          <w:szCs w:val="18"/>
          <w:i w:val="1"/>
          <w:iCs w:val="1"/>
          <w:color w:val="auto"/>
        </w:rPr>
        <w:t>“1.3.1 Our business is dependent on the successful development, regulatory approval and commercialization of product candidates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based on our technology platforms. If we and our collaborators are unable to obtain approval for and effectively commercialize our product candidates for the treatment of patients in their intended indications, our business would be significantly harmed.</w:t>
      </w:r>
      <w:r>
        <w:rPr>
          <w:rFonts w:ascii="Times New Roman" w:cs="Times New Roman" w:eastAsia="Times New Roman" w:hAnsi="Times New Roman"/>
          <w:sz w:val="18"/>
          <w:szCs w:val="18"/>
          <w:color w:val="auto"/>
        </w:rPr>
        <w:t>” beginning on page 23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the following text shall be inserted after the sixth sentence in the third paragraph:</w:t>
      </w:r>
    </w:p>
    <w:p>
      <w:pPr>
        <w:spacing w:after="0" w:line="73" w:lineRule="exact"/>
        <w:rPr>
          <w:rFonts w:ascii="Times New Roman" w:cs="Times New Roman" w:eastAsia="Times New Roman" w:hAnsi="Times New Roman"/>
          <w:sz w:val="18"/>
          <w:szCs w:val="18"/>
          <w:color w:val="auto"/>
        </w:rPr>
      </w:pPr>
    </w:p>
    <w:p>
      <w:pPr>
        <w:ind w:left="544" w:right="1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example, the FDA’s approval of our LP.8.1-adapted monovalent COVID-19 vaccine is in a narrower population than our previous variant-adapted vaccines.”</w:t>
      </w:r>
    </w:p>
    <w:p>
      <w:pPr>
        <w:spacing w:after="0" w:line="65" w:lineRule="exact"/>
        <w:rPr>
          <w:rFonts w:ascii="Times New Roman" w:cs="Times New Roman" w:eastAsia="Times New Roman" w:hAnsi="Times New Roman"/>
          <w:sz w:val="18"/>
          <w:szCs w:val="18"/>
          <w:color w:val="auto"/>
        </w:rPr>
      </w:pPr>
    </w:p>
    <w:p>
      <w:pPr>
        <w:ind w:left="544" w:right="200" w:hanging="544"/>
        <w:spacing w:after="0" w:line="284" w:lineRule="auto"/>
        <w:tabs>
          <w:tab w:leader="none" w:pos="5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section </w:t>
      </w:r>
      <w:r>
        <w:rPr>
          <w:rFonts w:ascii="Times New Roman" w:cs="Times New Roman" w:eastAsia="Times New Roman" w:hAnsi="Times New Roman"/>
          <w:sz w:val="18"/>
          <w:szCs w:val="18"/>
          <w:i w:val="1"/>
          <w:iCs w:val="1"/>
          <w:color w:val="auto"/>
        </w:rPr>
        <w:t>“2.7 Documents Available for Inspection</w:t>
      </w:r>
      <w:r>
        <w:rPr>
          <w:rFonts w:ascii="Times New Roman" w:cs="Times New Roman" w:eastAsia="Times New Roman" w:hAnsi="Times New Roman"/>
          <w:sz w:val="18"/>
          <w:szCs w:val="18"/>
          <w:color w:val="auto"/>
        </w:rPr>
        <w:t>” beginning on page 98 of the Prospectus, after the sixth bullet of the list following the first paragraph, the following bullet shall be added:</w:t>
      </w:r>
    </w:p>
    <w:p>
      <w:pPr>
        <w:sectPr>
          <w:pgSz w:w="11900" w:h="16838" w:orient="portrait"/>
          <w:cols w:equalWidth="0" w:num="1">
            <w:col w:w="11004"/>
          </w:cols>
          <w:pgMar w:left="436" w:top="268" w:right="459" w:bottom="1440" w:gutter="0" w:footer="0" w:header="0"/>
        </w:sectPr>
      </w:pPr>
    </w:p>
    <w:p>
      <w:pPr>
        <w:spacing w:after="0" w:line="66" w:lineRule="exact"/>
        <w:rPr>
          <w:sz w:val="20"/>
          <w:szCs w:val="20"/>
          <w:color w:val="auto"/>
        </w:rPr>
      </w:pPr>
    </w:p>
    <w:p>
      <w:pPr>
        <w:jc w:val="center"/>
        <w:ind w:left="544"/>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as of and for the three and nine months ended September 30, 2025, prepared in accordance with the IFRS Accounting Standards applicable to interim financial reporting (IAS 34) as issued by the International Accounting Standards Board (IASB) and adopted by the European Union, or the “</w:t>
      </w:r>
      <w:r>
        <w:rPr>
          <w:rFonts w:ascii="Times New Roman" w:cs="Times New Roman" w:eastAsia="Times New Roman" w:hAnsi="Times New Roman"/>
          <w:sz w:val="18"/>
          <w:szCs w:val="18"/>
          <w:b w:val="1"/>
          <w:bCs w:val="1"/>
          <w:color w:val="auto"/>
        </w:rPr>
        <w:t>Q3 Unaudited 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Condensed Consolidated Financial Statements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sectPr>
          <w:pgSz w:w="11900" w:h="16838" w:orient="portrait"/>
          <w:cols w:equalWidth="0" w:num="2">
            <w:col w:w="684" w:space="500"/>
            <w:col w:w="9820"/>
          </w:cols>
          <w:pgMar w:left="436" w:top="268" w:right="45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004"/>
          </w:cols>
          <w:pgMar w:left="436" w:top="268" w:right="459" w:bottom="1440" w:gutter="0" w:footer="0" w:header="0"/>
          <w:type w:val="continuous"/>
        </w:sectPr>
      </w:pPr>
    </w:p>
    <w:bookmarkStart w:id="6" w:name="page7"/>
    <w:bookmarkEnd w:id="6"/>
    <w:p>
      <w:pPr>
        <w:ind w:left="544" w:right="20" w:hanging="544"/>
        <w:spacing w:after="0" w:line="267" w:lineRule="auto"/>
        <w:tabs>
          <w:tab w:leader="none" w:pos="5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section </w:t>
      </w:r>
      <w:r>
        <w:rPr>
          <w:rFonts w:ascii="Times New Roman" w:cs="Times New Roman" w:eastAsia="Times New Roman" w:hAnsi="Times New Roman"/>
          <w:sz w:val="18"/>
          <w:szCs w:val="18"/>
          <w:i w:val="1"/>
          <w:iCs w:val="1"/>
          <w:color w:val="auto"/>
        </w:rPr>
        <w:t>“2.10.1 Sales, general and administrative expenses</w:t>
      </w:r>
      <w:r>
        <w:rPr>
          <w:rFonts w:ascii="Times New Roman" w:cs="Times New Roman" w:eastAsia="Times New Roman" w:hAnsi="Times New Roman"/>
          <w:sz w:val="18"/>
          <w:szCs w:val="18"/>
          <w:color w:val="auto"/>
        </w:rPr>
        <w:t>” on page 101 of the Prospectus, the following columns titled “Three months ended September 30, 2025 | 2024 (unaudited)” and “Nine months ended September 30, 2025 | 2024 (unaudited)” shall be added to the table after the second paragraph:</w:t>
      </w:r>
    </w:p>
    <w:p>
      <w:pPr>
        <w:sectPr>
          <w:pgSz w:w="11900" w:h="16838" w:orient="portrait"/>
          <w:cols w:equalWidth="0" w:num="1">
            <w:col w:w="11004"/>
          </w:cols>
          <w:pgMar w:left="436" w:top="268" w:right="459" w:bottom="1440" w:gutter="0" w:footer="0" w:header="0"/>
        </w:sectPr>
      </w:pPr>
    </w:p>
    <w:p>
      <w:pPr>
        <w:spacing w:after="0" w:line="2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16510</wp:posOffset>
            </wp:positionV>
            <wp:extent cx="6429375"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9375" cy="145415"/>
                    </a:xfrm>
                    <a:prstGeom prst="rect">
                      <a:avLst/>
                    </a:prstGeom>
                    <a:noFill/>
                  </pic:spPr>
                </pic:pic>
              </a:graphicData>
            </a:graphic>
          </wp:anchor>
        </w:drawing>
      </w:r>
    </w:p>
    <w:p>
      <w:pPr>
        <w:spacing w:after="0" w:line="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Sales and marketing expenses</w:t>
      </w:r>
    </w:p>
    <w:p>
      <w:pPr>
        <w:ind w:left="444"/>
        <w:spacing w:after="0" w:line="213" w:lineRule="auto"/>
        <w:rPr>
          <w:sz w:val="20"/>
          <w:szCs w:val="20"/>
          <w:color w:val="auto"/>
        </w:rPr>
      </w:pPr>
      <w:r>
        <w:rPr>
          <w:rFonts w:ascii="Times New Roman" w:cs="Times New Roman" w:eastAsia="Times New Roman" w:hAnsi="Times New Roman"/>
          <w:sz w:val="18"/>
          <w:szCs w:val="18"/>
          <w:color w:val="auto"/>
        </w:rPr>
        <w:t>+ general and administrative expenses</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0</wp:posOffset>
            </wp:positionV>
            <wp:extent cx="64293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ind w:left="444"/>
        <w:spacing w:after="0"/>
        <w:rPr>
          <w:sz w:val="20"/>
          <w:szCs w:val="20"/>
          <w:color w:val="auto"/>
        </w:rPr>
      </w:pPr>
      <w:r>
        <w:rPr>
          <w:rFonts w:ascii="Times New Roman" w:cs="Times New Roman" w:eastAsia="Times New Roman" w:hAnsi="Times New Roman"/>
          <w:sz w:val="18"/>
          <w:szCs w:val="18"/>
          <w:b w:val="1"/>
          <w:bCs w:val="1"/>
          <w:color w:val="auto"/>
        </w:rPr>
        <w:t>= Sales, general and administrative expenses (unaudited)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73"/>
        </w:trPr>
        <w:tc>
          <w:tcPr>
            <w:tcW w:w="16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r>
      <w:tr>
        <w:trPr>
          <w:trHeight w:val="142"/>
        </w:trPr>
        <w:tc>
          <w:tcPr>
            <w:tcW w:w="138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138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2"/>
                <w:szCs w:val="12"/>
                <w:color w:val="auto"/>
              </w:rPr>
            </w:pPr>
          </w:p>
        </w:tc>
      </w:tr>
      <w:tr>
        <w:trPr>
          <w:trHeight w:val="191"/>
        </w:trPr>
        <w:tc>
          <w:tcPr>
            <w:tcW w:w="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27.3</w:t>
            </w:r>
          </w:p>
        </w:tc>
        <w:tc>
          <w:tcPr>
            <w:tcW w:w="8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16"/>
                <w:szCs w:val="16"/>
                <w:color w:val="auto"/>
              </w:rPr>
            </w:pPr>
          </w:p>
        </w:tc>
        <w:tc>
          <w:tcPr>
            <w:tcW w:w="800" w:type="dxa"/>
            <w:vAlign w:val="bottom"/>
            <w:gridSpan w:val="2"/>
          </w:tcPr>
          <w:p>
            <w:pPr>
              <w:jc w:val="right"/>
              <w:ind w:right="260"/>
              <w:spacing w:after="0" w:line="191" w:lineRule="exact"/>
              <w:rPr>
                <w:sz w:val="20"/>
                <w:szCs w:val="20"/>
                <w:color w:val="auto"/>
              </w:rPr>
            </w:pPr>
            <w:r>
              <w:rPr>
                <w:rFonts w:ascii="Times New Roman" w:cs="Times New Roman" w:eastAsia="Times New Roman" w:hAnsi="Times New Roman"/>
                <w:sz w:val="18"/>
                <w:szCs w:val="18"/>
                <w:color w:val="auto"/>
              </w:rPr>
              <w:t>60.7</w:t>
            </w:r>
          </w:p>
        </w:tc>
        <w:tc>
          <w:tcPr>
            <w:tcW w:w="5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46.6</w:t>
            </w:r>
          </w:p>
        </w:tc>
        <w:tc>
          <w:tcPr>
            <w:tcW w:w="20" w:type="dxa"/>
            <w:vAlign w:val="bottom"/>
          </w:tcPr>
          <w:p>
            <w:pPr>
              <w:spacing w:after="0"/>
              <w:rPr>
                <w:sz w:val="16"/>
                <w:szCs w:val="16"/>
                <w:color w:val="auto"/>
              </w:rPr>
            </w:pPr>
          </w:p>
        </w:tc>
      </w:tr>
      <w:tr>
        <w:trPr>
          <w:trHeight w:val="234"/>
        </w:trPr>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132.4</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345.8</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420.3</w:t>
            </w:r>
          </w:p>
        </w:tc>
      </w:tr>
      <w:tr>
        <w:trPr>
          <w:trHeight w:val="232"/>
        </w:trPr>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148.5</w:t>
            </w:r>
          </w:p>
        </w:tc>
        <w:tc>
          <w:tcPr>
            <w:tcW w:w="26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w:t>
            </w:r>
          </w:p>
        </w:tc>
        <w:tc>
          <w:tcPr>
            <w:tcW w:w="240" w:type="dxa"/>
            <w:vAlign w:val="bottom"/>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406.5</w:t>
            </w:r>
          </w:p>
        </w:tc>
        <w:tc>
          <w:tcPr>
            <w:tcW w:w="26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466.9</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6804" w:space="720"/>
            <w:col w:w="3480"/>
          </w:cols>
          <w:pgMar w:left="436" w:top="268" w:right="459" w:bottom="1440" w:gutter="0" w:footer="0" w:header="0"/>
          <w:type w:val="continuous"/>
        </w:sectPr>
      </w:pPr>
    </w:p>
    <w:p>
      <w:pPr>
        <w:spacing w:after="0" w:line="16" w:lineRule="exact"/>
        <w:rPr>
          <w:sz w:val="20"/>
          <w:szCs w:val="20"/>
          <w:color w:val="auto"/>
        </w:rPr>
      </w:pPr>
    </w:p>
    <w:p>
      <w:pPr>
        <w:ind w:left="544" w:hanging="544"/>
        <w:spacing w:after="0" w:line="220" w:lineRule="auto"/>
        <w:tabs>
          <w:tab w:leader="none" w:pos="544"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Adjustments to the figures related to the year ended December 31, 2022 were initially made in our Audited Consolidated Financial Statements 2023 due to change in functional allocation of general and administrative expenses and other operating expenses, see section “</w:t>
      </w:r>
      <w:r>
        <w:rPr>
          <w:rFonts w:ascii="Times New Roman" w:cs="Times New Roman" w:eastAsia="Times New Roman" w:hAnsi="Times New Roman"/>
          <w:sz w:val="18"/>
          <w:szCs w:val="18"/>
          <w:i w:val="1"/>
          <w:iCs w:val="1"/>
          <w:color w:val="auto"/>
        </w:rPr>
        <w:t>9.5.1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of Profit or Loss</w:t>
      </w:r>
      <w:r>
        <w:rPr>
          <w:rFonts w:ascii="Times New Roman" w:cs="Times New Roman" w:eastAsia="Times New Roman" w:hAnsi="Times New Roman"/>
          <w:sz w:val="18"/>
          <w:szCs w:val="18"/>
          <w:color w:val="auto"/>
        </w:rPr>
        <w:t>” and Note 7.2 to our Audited Consolidated Financial Statements 2024.”</w:t>
      </w:r>
    </w:p>
    <w:p>
      <w:pPr>
        <w:spacing w:after="0" w:line="103" w:lineRule="exact"/>
        <w:rPr>
          <w:sz w:val="20"/>
          <w:szCs w:val="20"/>
          <w:color w:val="auto"/>
        </w:rPr>
      </w:pPr>
    </w:p>
    <w:p>
      <w:pPr>
        <w:jc w:val="both"/>
        <w:ind w:left="544" w:right="220" w:hanging="544"/>
        <w:spacing w:after="0" w:line="267" w:lineRule="auto"/>
        <w:tabs>
          <w:tab w:leader="none" w:pos="5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2.10.2 Capital expenditures for operating activities</w:t>
      </w:r>
      <w:r>
        <w:rPr>
          <w:rFonts w:ascii="Times New Roman" w:cs="Times New Roman" w:eastAsia="Times New Roman" w:hAnsi="Times New Roman"/>
          <w:sz w:val="18"/>
          <w:szCs w:val="18"/>
          <w:color w:val="auto"/>
        </w:rPr>
        <w:t>” beginning on page 101 of the Prospectus, the following columns titled “Three months ended September 30, 2025 | 2024 (unaudited)” and “Nine months ended September 30, 2025 | 2024 (unaudited)” shall be added to the table after the second paragraph:</w:t>
      </w:r>
    </w:p>
    <w:p>
      <w:pPr>
        <w:sectPr>
          <w:pgSz w:w="11900" w:h="16838" w:orient="portrait"/>
          <w:cols w:equalWidth="0" w:num="1">
            <w:col w:w="11004"/>
          </w:cols>
          <w:pgMar w:left="436" w:top="268" w:right="459" w:bottom="1440" w:gutter="0" w:footer="0" w:header="0"/>
          <w:type w:val="continuous"/>
        </w:sectPr>
      </w:pP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699516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4"/>
        <w:spacing w:after="0" w:line="205" w:lineRule="auto"/>
        <w:rPr>
          <w:sz w:val="20"/>
          <w:szCs w:val="20"/>
          <w:color w:val="auto"/>
        </w:rPr>
      </w:pPr>
      <w:r>
        <w:rPr>
          <w:rFonts w:ascii="Times New Roman" w:cs="Times New Roman" w:eastAsia="Times New Roman" w:hAnsi="Times New Roman"/>
          <w:sz w:val="18"/>
          <w:szCs w:val="18"/>
          <w:color w:val="auto"/>
        </w:rPr>
        <w:t>Additions to acquisition and production costs for property, plant and equipment</w:t>
      </w:r>
      <w:r>
        <w:rPr>
          <w:rFonts w:ascii="Times New Roman" w:cs="Times New Roman" w:eastAsia="Times New Roman" w:hAnsi="Times New Roman"/>
          <w:sz w:val="26"/>
          <w:szCs w:val="26"/>
          <w:color w:val="auto"/>
          <w:vertAlign w:val="superscript"/>
        </w:rPr>
        <w:t>(1)</w:t>
      </w:r>
    </w:p>
    <w:p>
      <w:pPr>
        <w:ind w:left="4"/>
        <w:spacing w:after="0" w:line="181" w:lineRule="auto"/>
        <w:rPr>
          <w:sz w:val="20"/>
          <w:szCs w:val="20"/>
          <w:color w:val="auto"/>
        </w:rPr>
      </w:pPr>
      <w:r>
        <w:rPr>
          <w:rFonts w:ascii="Times New Roman" w:cs="Times New Roman" w:eastAsia="Times New Roman" w:hAnsi="Times New Roman"/>
          <w:sz w:val="17"/>
          <w:szCs w:val="17"/>
          <w:color w:val="auto"/>
        </w:rPr>
        <w:t>+ additions to acquisition costs for other intangible assets</w:t>
      </w:r>
      <w:r>
        <w:rPr>
          <w:rFonts w:ascii="Times New Roman" w:cs="Times New Roman" w:eastAsia="Times New Roman" w:hAnsi="Times New Roman"/>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99516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84" w:right="200" w:hanging="184"/>
        <w:spacing w:after="0" w:line="252" w:lineRule="auto"/>
        <w:tabs>
          <w:tab w:leader="none" w:pos="1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expenditure for non-operating activities related to business combinations, licensing and collaboration agreements (unaudited)</w:t>
      </w:r>
    </w:p>
    <w:p>
      <w:pPr>
        <w:ind w:left="4"/>
        <w:spacing w:after="0"/>
        <w:rPr>
          <w:sz w:val="20"/>
          <w:szCs w:val="20"/>
          <w:color w:val="auto"/>
        </w:rPr>
      </w:pPr>
      <w:r>
        <w:rPr>
          <w:rFonts w:ascii="Times New Roman" w:cs="Times New Roman" w:eastAsia="Times New Roman" w:hAnsi="Times New Roman"/>
          <w:sz w:val="18"/>
          <w:szCs w:val="18"/>
          <w:b w:val="1"/>
          <w:bCs w:val="1"/>
          <w:color w:val="auto"/>
        </w:rPr>
        <w:t>= Capital expenditures for operating activities (unaudited)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4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73"/>
        </w:trPr>
        <w:tc>
          <w:tcPr>
            <w:tcW w:w="15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4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42"/>
        </w:trPr>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142"/>
        </w:trPr>
        <w:tc>
          <w:tcPr>
            <w:tcW w:w="130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34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r>
      <w:tr>
        <w:trPr>
          <w:trHeight w:val="191"/>
        </w:trPr>
        <w:tc>
          <w:tcPr>
            <w:tcW w:w="700" w:type="dxa"/>
            <w:vAlign w:val="bottom"/>
            <w:gridSpan w:val="2"/>
          </w:tcPr>
          <w:p>
            <w:pPr>
              <w:jc w:val="right"/>
              <w:ind w:right="200"/>
              <w:spacing w:after="0" w:line="191" w:lineRule="exact"/>
              <w:rPr>
                <w:sz w:val="20"/>
                <w:szCs w:val="20"/>
                <w:color w:val="auto"/>
              </w:rPr>
            </w:pPr>
            <w:r>
              <w:rPr>
                <w:rFonts w:ascii="Times New Roman" w:cs="Times New Roman" w:eastAsia="Times New Roman" w:hAnsi="Times New Roman"/>
                <w:sz w:val="18"/>
                <w:szCs w:val="18"/>
                <w:color w:val="auto"/>
              </w:rPr>
              <w:t>39.2</w:t>
            </w:r>
          </w:p>
        </w:tc>
        <w:tc>
          <w:tcPr>
            <w:tcW w:w="6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72.8</w:t>
            </w:r>
          </w:p>
        </w:tc>
        <w:tc>
          <w:tcPr>
            <w:tcW w:w="200" w:type="dxa"/>
            <w:vAlign w:val="bottom"/>
          </w:tcPr>
          <w:p>
            <w:pPr>
              <w:spacing w:after="0"/>
              <w:rPr>
                <w:sz w:val="16"/>
                <w:szCs w:val="16"/>
                <w:color w:val="auto"/>
              </w:rPr>
            </w:pPr>
          </w:p>
        </w:tc>
        <w:tc>
          <w:tcPr>
            <w:tcW w:w="820" w:type="dxa"/>
            <w:vAlign w:val="bottom"/>
            <w:gridSpan w:val="2"/>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123.2</w:t>
            </w:r>
          </w:p>
        </w:tc>
        <w:tc>
          <w:tcPr>
            <w:tcW w:w="5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219.9</w:t>
            </w:r>
          </w:p>
        </w:tc>
        <w:tc>
          <w:tcPr>
            <w:tcW w:w="60" w:type="dxa"/>
            <w:vAlign w:val="bottom"/>
          </w:tcPr>
          <w:p>
            <w:pPr>
              <w:spacing w:after="0"/>
              <w:rPr>
                <w:sz w:val="16"/>
                <w:szCs w:val="16"/>
                <w:color w:val="auto"/>
              </w:rPr>
            </w:pPr>
          </w:p>
        </w:tc>
      </w:tr>
      <w:tr>
        <w:trPr>
          <w:trHeight w:val="234"/>
        </w:trPr>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575.0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w:t>
            </w:r>
          </w:p>
        </w:tc>
      </w:tr>
      <w:tr>
        <w:trPr>
          <w:trHeight w:val="432"/>
        </w:trPr>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(565.1)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32"/>
        </w:trPr>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200" w:type="dxa"/>
            <w:vAlign w:val="bottom"/>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w:t>
            </w:r>
          </w:p>
        </w:tc>
        <w:tc>
          <w:tcPr>
            <w:tcW w:w="200" w:type="dxa"/>
            <w:vAlign w:val="bottom"/>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133.1</w:t>
            </w:r>
          </w:p>
        </w:tc>
        <w:tc>
          <w:tcPr>
            <w:tcW w:w="240" w:type="dxa"/>
            <w:vAlign w:val="bottom"/>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7344" w:space="720"/>
            <w:col w:w="2940"/>
          </w:cols>
          <w:pgMar w:left="436" w:top="268" w:right="459" w:bottom="1440" w:gutter="0" w:footer="0" w:header="0"/>
          <w:type w:val="continuous"/>
        </w:sectPr>
      </w:pPr>
    </w:p>
    <w:p>
      <w:pPr>
        <w:spacing w:after="0" w:line="16" w:lineRule="exact"/>
        <w:rPr>
          <w:sz w:val="20"/>
          <w:szCs w:val="20"/>
          <w:color w:val="auto"/>
        </w:rPr>
      </w:pPr>
    </w:p>
    <w:p>
      <w:pPr>
        <w:ind w:left="544" w:right="100" w:hanging="544"/>
        <w:spacing w:after="0" w:line="220" w:lineRule="auto"/>
        <w:tabs>
          <w:tab w:leader="none" w:pos="54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‘Additions to acquisition and production costs for property, plant and equipment’ and ‘additions to acquisition costs for other intangible assets’ as disclosed in Notes 11 and 10 to our Audited Consolidated Financial Statements 2024, respectively. Excludes acquisition and production costs related to the acquisition of subsidiaries and business.”</w:t>
      </w:r>
    </w:p>
    <w:p>
      <w:pPr>
        <w:spacing w:after="0" w:line="103" w:lineRule="exact"/>
        <w:rPr>
          <w:sz w:val="20"/>
          <w:szCs w:val="20"/>
          <w:color w:val="auto"/>
        </w:rPr>
      </w:pPr>
    </w:p>
    <w:p>
      <w:pPr>
        <w:ind w:left="544" w:hanging="544"/>
        <w:spacing w:after="0"/>
        <w:tabs>
          <w:tab w:leader="none" w:pos="5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8.6 No Significant Change</w:t>
      </w:r>
      <w:r>
        <w:rPr>
          <w:rFonts w:ascii="Times New Roman" w:cs="Times New Roman" w:eastAsia="Times New Roman" w:hAnsi="Times New Roman"/>
          <w:sz w:val="18"/>
          <w:szCs w:val="18"/>
          <w:color w:val="auto"/>
        </w:rPr>
        <w:t>” on page 202 of the Prospectus, the text shall be replaced by the following text:</w:t>
      </w:r>
    </w:p>
    <w:p>
      <w:pPr>
        <w:spacing w:after="0" w:line="119" w:lineRule="exact"/>
        <w:rPr>
          <w:rFonts w:ascii="Times New Roman" w:cs="Times New Roman" w:eastAsia="Times New Roman" w:hAnsi="Times New Roman"/>
          <w:sz w:val="18"/>
          <w:szCs w:val="18"/>
          <w:color w:val="auto"/>
        </w:rPr>
      </w:pPr>
    </w:p>
    <w:p>
      <w:pPr>
        <w:ind w:left="544"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significant changes in the Group’s financial position or financial performance since September 30, 2025. For information on recent developments and full-year trends, see section “</w:t>
      </w:r>
      <w:r>
        <w:rPr>
          <w:rFonts w:ascii="Times New Roman" w:cs="Times New Roman" w:eastAsia="Times New Roman" w:hAnsi="Times New Roman"/>
          <w:sz w:val="18"/>
          <w:szCs w:val="18"/>
          <w:i w:val="1"/>
          <w:iCs w:val="1"/>
          <w:color w:val="auto"/>
        </w:rPr>
        <w:t>24 Recent Developments and Outlook”.</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9 Operating and Financial Review</w:t>
      </w:r>
      <w:r>
        <w:rPr>
          <w:rFonts w:ascii="Times New Roman" w:cs="Times New Roman" w:eastAsia="Times New Roman" w:hAnsi="Times New Roman"/>
          <w:sz w:val="18"/>
          <w:szCs w:val="18"/>
          <w:color w:val="auto"/>
        </w:rPr>
        <w:t>” on page 203 of the Prospectus, the first three paragraphs shall be replaced by the following text:</w:t>
      </w:r>
    </w:p>
    <w:p>
      <w:pPr>
        <w:spacing w:after="0" w:line="117" w:lineRule="exact"/>
        <w:rPr>
          <w:rFonts w:ascii="Times New Roman" w:cs="Times New Roman" w:eastAsia="Times New Roman" w:hAnsi="Times New Roman"/>
          <w:sz w:val="18"/>
          <w:szCs w:val="18"/>
          <w:color w:val="auto"/>
        </w:rPr>
      </w:pPr>
    </w:p>
    <w:p>
      <w:pPr>
        <w:ind w:left="544" w:right="1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Investors should read the following discussion and analysis of our results of operations, financial position and cash flows in conjunction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sections “1 Risk Factors”, “2.5 Forward-Looking Statements”, “2.8 Note Regarding the Presentation of Financial Information”, “2.10 Non-IFRS Measures/Alternative Performance Measures”, “8 Capitalization and Indebtedness” as well as the Audited Consolidated Financial Statements, the Q2 Unaudited Interim Condensed Consolidated Financial Statements and the Q3 Unaudited Interim Condensed Consolidated Financial Statements which are included in the Prospectus. The Audited Consolidated Financial Statements have been prepared in accordance with IFRSs and the additional requirements of</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8" w:right="459" w:bottom="1440" w:gutter="0" w:footer="0" w:header="0"/>
          <w:type w:val="continuous"/>
        </w:sectPr>
      </w:pPr>
    </w:p>
    <w:bookmarkStart w:id="7" w:name="page8"/>
    <w:bookmarkEnd w:id="7"/>
    <w:p>
      <w:pPr>
        <w:ind w:left="544"/>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German commercial law pursuant to Section 315e para. 3 in conjunction with para. 1 HGB. The Q2 Unaudited Interim Condensed Consolidated Financial Statements have been prepared in accordance with IFRS Accounting Standards as issued by the International Accounting Standards Board (IASB) applicable to interim financial reporting (IAS 34). The Q3 Unaudited Interim Condensed Consolidated Financial Statements have been prepared in accordance with IFRS Accounting Standards applicable to interim financial reporting (IAS 34) as issued by the International Accounting Standards Board (IASB) and adopted by the European Union.</w:t>
      </w:r>
    </w:p>
    <w:p>
      <w:pPr>
        <w:spacing w:after="0" w:line="75" w:lineRule="exact"/>
        <w:rPr>
          <w:sz w:val="20"/>
          <w:szCs w:val="20"/>
          <w:color w:val="auto"/>
        </w:rPr>
      </w:pPr>
    </w:p>
    <w:p>
      <w:pPr>
        <w:ind w:left="544"/>
        <w:spacing w:after="0" w:line="256" w:lineRule="auto"/>
        <w:rPr>
          <w:sz w:val="20"/>
          <w:szCs w:val="20"/>
          <w:color w:val="auto"/>
        </w:rPr>
      </w:pPr>
      <w:r>
        <w:rPr>
          <w:rFonts w:ascii="Times New Roman" w:cs="Times New Roman" w:eastAsia="Times New Roman" w:hAnsi="Times New Roman"/>
          <w:sz w:val="18"/>
          <w:szCs w:val="18"/>
          <w:i w:val="1"/>
          <w:iCs w:val="1"/>
          <w:color w:val="auto"/>
        </w:rPr>
        <w:t>In this section “9 Operating and Financial Review”, the Group’s financial information presented in sections “9.2 Selected Factors Affecting our Results of Operations and Financial Position” through “9.10 Significant Accounting Judgments, Estimates and Assumption” relates to the periods as of and for the financial years ended December 31, 2024, 2023, 2022 and as of June 30, 2025 and for the three and six months ended June 30, 2025 and 2024. Following the publication of its unaudited interim condensed consolidated financial statements as of and for the three and nine months ended September 30, 2025 on November 3, 2025, the Company has provided a supplemental discussion of the Group’s results of operations, financial position and cash flows as of September 30, 2025 and as of and for the three and nine months ended September 30, 2025 and 2024 in section “9.12 Financial Review for the Third Quarter and the First Nine Months of the Financial Year 2025”.</w:t>
      </w:r>
    </w:p>
    <w:p>
      <w:pPr>
        <w:spacing w:after="0" w:line="75" w:lineRule="exact"/>
        <w:rPr>
          <w:sz w:val="20"/>
          <w:szCs w:val="20"/>
          <w:color w:val="auto"/>
        </w:rPr>
      </w:pPr>
    </w:p>
    <w:p>
      <w:pPr>
        <w:ind w:left="544" w:right="200"/>
        <w:spacing w:after="0" w:line="258" w:lineRule="auto"/>
        <w:rPr>
          <w:sz w:val="20"/>
          <w:szCs w:val="20"/>
          <w:color w:val="auto"/>
        </w:rPr>
      </w:pPr>
      <w:r>
        <w:rPr>
          <w:rFonts w:ascii="Times New Roman" w:cs="Times New Roman" w:eastAsia="Times New Roman" w:hAnsi="Times New Roman"/>
          <w:sz w:val="18"/>
          <w:szCs w:val="18"/>
          <w:i w:val="1"/>
          <w:iCs w:val="1"/>
          <w:color w:val="auto"/>
        </w:rPr>
        <w:t>The Company’s Audited Consolidated Financial Statements, the Q2 Unaudited Interim Condensed Consolidated Financial Statements, the Q3 Unaudited Interim Condensed Consolidated Financial Statements and the other historical financial information included in the Prospectus do not necessarily indicate the Company’s or the Group’s future results of operations, financial position and cash flows. In addition, the results of operations for interim periods included in the Prospectus are not necessarily indicative of the results to be expected for the full year or any future reporting period.</w:t>
      </w:r>
    </w:p>
    <w:p>
      <w:pPr>
        <w:spacing w:after="0" w:line="75" w:lineRule="exact"/>
        <w:rPr>
          <w:sz w:val="20"/>
          <w:szCs w:val="20"/>
          <w:color w:val="auto"/>
        </w:rPr>
      </w:pPr>
    </w:p>
    <w:p>
      <w:pPr>
        <w:ind w:left="544" w:right="60"/>
        <w:spacing w:after="0" w:line="258" w:lineRule="auto"/>
        <w:rPr>
          <w:sz w:val="20"/>
          <w:szCs w:val="20"/>
          <w:color w:val="auto"/>
        </w:rPr>
      </w:pPr>
      <w:r>
        <w:rPr>
          <w:rFonts w:ascii="Times New Roman" w:cs="Times New Roman" w:eastAsia="Times New Roman" w:hAnsi="Times New Roman"/>
          <w:sz w:val="18"/>
          <w:szCs w:val="18"/>
          <w:i w:val="1"/>
          <w:iCs w:val="1"/>
          <w:color w:val="auto"/>
        </w:rPr>
        <w:t>In this section, where financial information is presented as “audited” in tables, this means that it was taken from the Audited Consolidated Financial Statements. Where financial information is presented in tables as “unaudited”, it indicates that the financial information has not been taken from the Audited Consolidated Financial Statements but has been taken either from the Q2 Unaudited Interim Condensed Consolidated Financial Statements, the Q3 Unaudited Interim Condensed Consolidated Financial Statements or the Company’s accounting records, its internal management reporting system or has been calculated based on figures from the above-mentioned sources.”</w:t>
      </w:r>
    </w:p>
    <w:p>
      <w:pPr>
        <w:spacing w:after="0" w:line="91" w:lineRule="exact"/>
        <w:rPr>
          <w:sz w:val="20"/>
          <w:szCs w:val="20"/>
          <w:color w:val="auto"/>
        </w:rPr>
      </w:pPr>
    </w:p>
    <w:p>
      <w:pPr>
        <w:ind w:left="544" w:right="100" w:hanging="544"/>
        <w:spacing w:after="0" w:line="282" w:lineRule="auto"/>
        <w:tabs>
          <w:tab w:leader="none" w:pos="5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section “9.11 Information from the Audited Annual Financial Statements” on page 234 of the Prospectus, the following new section “9.12 Financial Review for the Third Quarter and the First Nine Months of the Financial Year 2025” shall be added:</w:t>
      </w:r>
    </w:p>
    <w:p>
      <w:pPr>
        <w:spacing w:after="0" w:line="6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9.12   Financial Review for the Third Quarter and the First Nine Months of the Financial Year 2025</w:t>
      </w:r>
    </w:p>
    <w:p>
      <w:pPr>
        <w:spacing w:after="0" w:line="121" w:lineRule="exact"/>
        <w:rPr>
          <w:rFonts w:ascii="Times New Roman" w:cs="Times New Roman" w:eastAsia="Times New Roman" w:hAnsi="Times New Roman"/>
          <w:sz w:val="18"/>
          <w:szCs w:val="18"/>
          <w:color w:val="auto"/>
        </w:rPr>
      </w:pPr>
    </w:p>
    <w:p>
      <w:pPr>
        <w:ind w:left="544"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section provides a discussion of the Group’s results of operations, financial position and cash flows as of September 30, 2025 and for the three and nine months ended September30, 2025 and 2024.</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8" w:right="459" w:bottom="1440" w:gutter="0" w:footer="0" w:header="0"/>
        </w:sectPr>
      </w:pPr>
    </w:p>
    <w:bookmarkStart w:id="8" w:name="page9"/>
    <w:bookmarkEnd w:id="8"/>
    <w:p>
      <w:pPr>
        <w:ind w:left="100"/>
        <w:spacing w:after="0"/>
        <w:tabs>
          <w:tab w:leader="none" w:pos="720" w:val="left"/>
        </w:tabs>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9.12.1</w:t>
      </w:r>
      <w:r>
        <w:rPr>
          <w:sz w:val="20"/>
          <w:szCs w:val="20"/>
          <w:color w:val="auto"/>
        </w:rPr>
        <w:tab/>
      </w:r>
      <w:r>
        <w:rPr>
          <w:rFonts w:ascii="Times New Roman" w:cs="Times New Roman" w:eastAsia="Times New Roman" w:hAnsi="Times New Roman"/>
          <w:sz w:val="17"/>
          <w:szCs w:val="17"/>
          <w:i w:val="1"/>
          <w:iCs w:val="1"/>
          <w:color w:val="auto"/>
        </w:rPr>
        <w:t>Operating Results</w:t>
      </w:r>
    </w:p>
    <w:p>
      <w:pPr>
        <w:spacing w:after="0" w:line="1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9.12.1.1 Consolidated Statements of Profit or Loss</w:t>
      </w:r>
    </w:p>
    <w:p>
      <w:pPr>
        <w:spacing w:after="0" w:line="1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following table shows our unaudited interim condensed consolidated statements of profit or loss for each period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16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6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6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 unless otherwise indicated)</w:t>
            </w: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00" w:type="dxa"/>
            <w:vAlign w:val="bottom"/>
            <w:gridSpan w:val="2"/>
            <w:vMerge w:val="continue"/>
          </w:tcPr>
          <w:p>
            <w:pPr>
              <w:spacing w:after="0"/>
              <w:rPr>
                <w:sz w:val="12"/>
                <w:szCs w:val="12"/>
                <w:color w:val="auto"/>
              </w:rPr>
            </w:pPr>
          </w:p>
        </w:tc>
        <w:tc>
          <w:tcPr>
            <w:tcW w:w="14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5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1,518.9</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1,962.5</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(178.9)</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(308.5)</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(564.8)</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(550.3)</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(1,599.5)</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(121.2)</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(132.4)</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(345.8)</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(729.5)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(410.9)</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(884.7)</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56.3</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(46.9)</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10.5</w:t>
            </w: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(1,082.1)  (1,462.9)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24.7</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158.7</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(823.4)</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(978.9)</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 (loss)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(28.7)</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198.1</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(831.1)</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(924.8)</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Earnings / (Loss) per share</w:t>
            </w: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Basic earnings / (loss) per share</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(0.12)</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0.82</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(3.45)</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(3.83)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Diluted earnings / (loss) per share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(0.12)</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0.81</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(3.45)</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(3.83)</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9.12.1.2 Comparison of the Three and Nine Months Ended September 30, 2025 and the Three and Nine Months Ended September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revenues recognized for the periods indicated by category: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7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vMerge w:val="restart"/>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7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360" w:type="dxa"/>
            <w:vAlign w:val="bottom"/>
            <w:vMerge w:val="restart"/>
          </w:tcPr>
          <w:p>
            <w:pPr>
              <w:spacing w:after="0"/>
              <w:rPr>
                <w:sz w:val="12"/>
                <w:szCs w:val="12"/>
                <w:color w:val="auto"/>
              </w:rPr>
            </w:pPr>
          </w:p>
        </w:tc>
        <w:tc>
          <w:tcPr>
            <w:tcW w:w="7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Borders>
              <w:bottom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14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11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COVID-19 vaccine revenues</w:t>
            </w:r>
          </w:p>
        </w:tc>
        <w:tc>
          <w:tcPr>
            <w:tcW w:w="740" w:type="dxa"/>
            <w:vAlign w:val="bottom"/>
            <w:tcBorders>
              <w:top w:val="single" w:sz="8" w:color="auto"/>
            </w:tcBorders>
            <w:shd w:val="clear" w:color="auto" w:fill="CCEEFF"/>
          </w:tcPr>
          <w:p>
            <w:pPr>
              <w:jc w:val="right"/>
              <w:ind w:right="79"/>
              <w:spacing w:after="0" w:line="203" w:lineRule="exact"/>
              <w:rPr>
                <w:sz w:val="20"/>
                <w:szCs w:val="20"/>
                <w:color w:val="auto"/>
              </w:rPr>
            </w:pPr>
            <w:r>
              <w:rPr>
                <w:rFonts w:ascii="Times New Roman" w:cs="Times New Roman" w:eastAsia="Times New Roman" w:hAnsi="Times New Roman"/>
                <w:sz w:val="18"/>
                <w:szCs w:val="18"/>
                <w:color w:val="auto"/>
              </w:rPr>
              <w:t>853.3</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1,113.9</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18"/>
              <w:spacing w:after="0" w:line="203" w:lineRule="exact"/>
              <w:rPr>
                <w:sz w:val="20"/>
                <w:szCs w:val="20"/>
                <w:color w:val="auto"/>
              </w:rPr>
            </w:pPr>
            <w:r>
              <w:rPr>
                <w:rFonts w:ascii="Times New Roman" w:cs="Times New Roman" w:eastAsia="Times New Roman" w:hAnsi="Times New Roman"/>
                <w:sz w:val="18"/>
                <w:szCs w:val="18"/>
                <w:color w:val="auto"/>
              </w:rPr>
              <w:t>(260.6)</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Revenues from out-licensing</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613.0</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613.0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n.m.</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revenues</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52.6</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130.9</w:t>
            </w:r>
          </w:p>
        </w:tc>
        <w:tc>
          <w:tcPr>
            <w:tcW w:w="7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(78.3)</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8"/>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1,518.9</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1,244.8</w:t>
            </w:r>
          </w:p>
        </w:tc>
        <w:tc>
          <w:tcPr>
            <w:tcW w:w="780" w:type="dxa"/>
            <w:vAlign w:val="bottom"/>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274.1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344"/>
        </w:trPr>
        <w:tc>
          <w:tcPr>
            <w:tcW w:w="8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7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80" w:type="dxa"/>
            <w:vAlign w:val="bottom"/>
            <w:vMerge w:val="restart"/>
          </w:tcPr>
          <w:p>
            <w:pPr>
              <w:jc w:val="center"/>
              <w:ind w:left="21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7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360" w:type="dxa"/>
            <w:vAlign w:val="bottom"/>
            <w:vMerge w:val="restart"/>
          </w:tcPr>
          <w:p>
            <w:pPr>
              <w:spacing w:after="0"/>
              <w:rPr>
                <w:sz w:val="12"/>
                <w:szCs w:val="12"/>
                <w:color w:val="auto"/>
              </w:rPr>
            </w:pPr>
          </w:p>
        </w:tc>
        <w:tc>
          <w:tcPr>
            <w:tcW w:w="74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Borders>
              <w:bottom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14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11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COVID-19 vaccine revenues</w:t>
            </w:r>
          </w:p>
        </w:tc>
        <w:tc>
          <w:tcPr>
            <w:tcW w:w="740" w:type="dxa"/>
            <w:vAlign w:val="bottom"/>
            <w:tcBorders>
              <w:top w:val="single" w:sz="8" w:color="auto"/>
            </w:tcBorders>
            <w:shd w:val="clear" w:color="auto" w:fill="CCEEFF"/>
          </w:tcPr>
          <w:p>
            <w:pPr>
              <w:jc w:val="right"/>
              <w:ind w:right="79"/>
              <w:spacing w:after="0" w:line="203" w:lineRule="exact"/>
              <w:rPr>
                <w:sz w:val="20"/>
                <w:szCs w:val="20"/>
                <w:color w:val="auto"/>
              </w:rPr>
            </w:pPr>
            <w:r>
              <w:rPr>
                <w:rFonts w:ascii="Times New Roman" w:cs="Times New Roman" w:eastAsia="Times New Roman" w:hAnsi="Times New Roman"/>
                <w:sz w:val="18"/>
                <w:szCs w:val="18"/>
                <w:color w:val="auto"/>
              </w:rPr>
              <w:t>1,139.6</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18"/>
              <w:spacing w:after="0" w:line="203" w:lineRule="exact"/>
              <w:rPr>
                <w:sz w:val="20"/>
                <w:szCs w:val="20"/>
                <w:color w:val="auto"/>
              </w:rPr>
            </w:pPr>
            <w:r>
              <w:rPr>
                <w:rFonts w:ascii="Times New Roman" w:cs="Times New Roman" w:eastAsia="Times New Roman" w:hAnsi="Times New Roman"/>
                <w:sz w:val="18"/>
                <w:szCs w:val="18"/>
                <w:color w:val="auto"/>
              </w:rPr>
              <w:t>(170.4)</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Revenues from out-licensing</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613.0</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613.0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3"/>
              </w:rPr>
              <w:t>n.m.</w:t>
            </w: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revenues</w:t>
            </w: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209.9</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251.1</w:t>
            </w:r>
          </w:p>
        </w:tc>
        <w:tc>
          <w:tcPr>
            <w:tcW w:w="78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(41.2)</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8"/>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1,962.5</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1,561.1</w:t>
            </w:r>
          </w:p>
        </w:tc>
        <w:tc>
          <w:tcPr>
            <w:tcW w:w="780" w:type="dxa"/>
            <w:vAlign w:val="bottom"/>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rPr>
              <w:t>401.4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COVID-19 Vaccine Revenues</w:t>
      </w:r>
    </w:p>
    <w:p>
      <w:pPr>
        <w:spacing w:after="0" w:line="117" w:lineRule="exact"/>
        <w:rPr>
          <w:sz w:val="20"/>
          <w:szCs w:val="20"/>
          <w:color w:val="auto"/>
        </w:rPr>
      </w:pPr>
    </w:p>
    <w:p>
      <w:pPr>
        <w:ind w:left="100"/>
        <w:spacing w:after="0" w:line="255" w:lineRule="auto"/>
        <w:rPr>
          <w:sz w:val="20"/>
          <w:szCs w:val="20"/>
          <w:color w:val="auto"/>
        </w:rPr>
      </w:pPr>
      <w:r>
        <w:rPr>
          <w:rFonts w:ascii="Times New Roman" w:cs="Times New Roman" w:eastAsia="Times New Roman" w:hAnsi="Times New Roman"/>
          <w:sz w:val="18"/>
          <w:szCs w:val="18"/>
          <w:color w:val="auto"/>
        </w:rPr>
        <w:t>Our COVID-19 vaccine revenues decreased by €260.6 million, or 23%, from €1,113.9 million during the three months ended September 30, 2024, to €853.3 million during the three months ended September 30, 2025 and decreased by €170.4 million, or 13%, from €1,310.0 million during the nine months ended September 30, 2024, to €1,139.6 million during the nine months ended September 30, 2025. While our year-to-date revenues in the nine months ended September 30, 2025 were similar to those of the comparative nine months ended September 30, 2024, our revenues for the three months ended September 30, 2025 were lower compared to the three months ended September 30, 2024, largely driven by a lower volume of doses sold. Our COVID-19 vaccine revenues are subject to seasonal effects in the fall and winter of the northern hemisphere.</w:t>
      </w:r>
    </w:p>
    <w:p>
      <w:pPr>
        <w:spacing w:after="0" w:line="12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320"/>
          </w:cols>
          <w:pgMar w:left="880" w:top="268" w:right="6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Revenues from Out-Licensing</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revenues from out-licensing increased by €613.0 million from nil during the three months ended September 30, 2024 to €613.0 million during the three months ended September 30, 2025, and increased by €613.0 million from nil during the nine months ended September 30, 2024 to €613.0 million during the nine months ended September 30, 2025. On June 2, 2025, we and BMS announced a global strategic partnership to co-develop and co-commercialize our next-generation bispecific antibody candidate, pumitamig (BNT327/BMS986545), broadly for multiple solid tumor types. Under the terms of the BMS Agreement, we granted BMS a worldwide, co-exclusive license to use the licensed Relevant IP (as described in section “11.6.1 Bristol Myers Squibb”) for the development, manufacturing and commercialization of our investigational bispecific antibody pumitamig as monotherapy or in combination with other products. We and BMS will jointly share development and manufacturing costs on a 50:50 basis. Global profits and losses will be equally shared as well. We received an upfront payment amounting to $1.5 billion during the three months ended September 30, 2025, and are eligible to receive $2.0 billion total in non-contingent anniversary payments through 2028 as well as up to $7.6 billion in additional development, regulatory and commercial milestone payments contingent on achievement of certain development, regulatory and commercial milestones.</w:t>
      </w:r>
    </w:p>
    <w:p>
      <w:pPr>
        <w:spacing w:after="0" w:line="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August 15, 2025, we and BMS entered into an amended and restated agreement that replaced the Original BMS Agreement. The BMS Agreement, as amended, governs the collaboration, including in particular the performance-related rights and obligations, without affecting the financial terms agreed in the original agreement. The license granted in respect of our Relevant IP was determined to be a separate unit of account from the other promised good and services, which we refer to as development activities, and accounted for under IFRS 15 as the granting of a license to our Relevant IP is an output of our ordinary activities. Based on the terms of the contract, we have identified material rights relating to options to cancel the contract. In allocating revenues to the material rights throughout the development period, management determined an expected consideration of $3.5 billion, consisting of the upfront payment and the anniversary payments. The expected consideration is attributed to each option to cancel the contract using the practical alternative under IFRS 15.B43. Each material right is recognized as revenues at the point in time BMS makes use of its option or when such right expires. The upfront payment was recorded as contract liability (€1,313.6 million, converted as of the contract date of the initial agreement, June 2, 2025). We determined that the criteria in IFRS 15.9 were subsequently met with the conclusion of the amended and restated agreement as of August 15, 2025. During the three months ended September 30, 2025, revenues in the amount of €613.0 million was recognized on a cumulative catch-up basis as of June 2, 2025, the date the initial agreement was effective, and €700.6 million have been deferred and will be recognized upon BMS making use of its option or when such right expires. All milestone payments are considered to be constrained, as the achievement of the milestone events depends on the success of the underlying research and development activities, which is outside our control. Sales-based milestone payments will be recognized when the underlying sale transactions have occurred.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remaining other revenues were mainly derived from a pandemic preparedness contract with the German government, during the three and nine months ended September 30, 2025 and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cost of sales decreased by €30.6 million, or 17%, from €178.9 million during the three months ended September 30, 2024 to €148.3 million during the three months ended September 30, 2025 and increased by €10.7 million, or 4%, from €297.8 million during the nine months ended September 30, 2024 to €308.5 million during the nine months ended September 30, 2025. While the decrease in cost of sales for the three months ended September 30, 2025, compared to the three months ended September 30, 2024, was primarily driven by lower expenses arising from inventory write-downs to net realizable value, the increase in the nine months ended September 30, 2025 is mainly attributable to multiple positive extraordinary effects, for example</w:t>
      </w:r>
    </w:p>
    <w:p>
      <w:pPr>
        <w:spacing w:after="0" w:line="12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60"/>
          </w:cols>
          <w:pgMar w:left="980" w:top="270" w:right="459" w:bottom="1440" w:gutter="0" w:footer="0" w:header="0"/>
        </w:sectPr>
      </w:pPr>
    </w:p>
    <w:bookmarkStart w:id="10" w:name="page11"/>
    <w:bookmarkEnd w:id="10"/>
    <w:p>
      <w:pPr>
        <w:ind w:left="100"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derived from inventory valuation effects, that were recognized during the nine months ended September 30, 2024. Expenses arising from inventory write-downs to net realizable value amounted to €11.8 million and €76.1 million during the three and nine months ended September 30, 2025, respectively, compared to €39.7 million and €103.3 million during the three and nine months ended September 30, 2024, respectively. The inventories valued at net realizable value in our consolidated statement of financial position as of September 30, 2025 reflect contractual compensation payments.</w:t>
      </w:r>
    </w:p>
    <w:p>
      <w:pPr>
        <w:spacing w:after="0" w:line="2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00"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periods indicated (break-down as per internal cost allocation logic):</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6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6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600" w:type="dxa"/>
            <w:vAlign w:val="bottom"/>
            <w:vMerge w:val="restart"/>
          </w:tcPr>
          <w:p>
            <w:pPr>
              <w:spacing w:after="0"/>
              <w:rPr>
                <w:sz w:val="12"/>
                <w:szCs w:val="12"/>
                <w:color w:val="auto"/>
              </w:rPr>
            </w:pPr>
          </w:p>
        </w:tc>
        <w:tc>
          <w:tcPr>
            <w:tcW w:w="7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vMerge w:val="continue"/>
          </w:tcPr>
          <w:p>
            <w:pPr>
              <w:spacing w:after="0"/>
              <w:rPr>
                <w:sz w:val="12"/>
                <w:szCs w:val="12"/>
                <w:color w:val="auto"/>
              </w:rPr>
            </w:pPr>
          </w:p>
        </w:tc>
        <w:tc>
          <w:tcPr>
            <w:tcW w:w="6600" w:type="dxa"/>
            <w:vAlign w:val="bottom"/>
            <w:vMerge w:val="continue"/>
          </w:tcPr>
          <w:p>
            <w:pPr>
              <w:spacing w:after="0"/>
              <w:rPr>
                <w:sz w:val="12"/>
                <w:szCs w:val="12"/>
                <w:color w:val="auto"/>
              </w:rPr>
            </w:pPr>
          </w:p>
        </w:tc>
        <w:tc>
          <w:tcPr>
            <w:tcW w:w="13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2"/>
                <w:szCs w:val="12"/>
                <w:color w:val="auto"/>
              </w:rPr>
            </w:pPr>
          </w:p>
        </w:tc>
        <w:tc>
          <w:tcPr>
            <w:tcW w:w="940" w:type="dxa"/>
            <w:vAlign w:val="bottom"/>
            <w:gridSpan w:val="2"/>
          </w:tcPr>
          <w:p>
            <w:pPr>
              <w:jc w:val="right"/>
              <w:ind w:right="15"/>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Non-COVID-19 vaccine</w:t>
            </w:r>
          </w:p>
        </w:tc>
        <w:tc>
          <w:tcPr>
            <w:tcW w:w="740" w:type="dxa"/>
            <w:vAlign w:val="bottom"/>
            <w:tcBorders>
              <w:top w:val="single" w:sz="8" w:color="auto"/>
            </w:tcBorders>
            <w:shd w:val="clear" w:color="auto" w:fill="CCEEFF"/>
          </w:tcPr>
          <w:p>
            <w:pPr>
              <w:jc w:val="right"/>
              <w:ind w:right="120"/>
              <w:spacing w:after="0" w:line="203" w:lineRule="exact"/>
              <w:rPr>
                <w:sz w:val="20"/>
                <w:szCs w:val="20"/>
                <w:color w:val="auto"/>
              </w:rPr>
            </w:pPr>
            <w:r>
              <w:rPr>
                <w:rFonts w:ascii="Times New Roman" w:cs="Times New Roman" w:eastAsia="Times New Roman" w:hAnsi="Times New Roman"/>
                <w:sz w:val="18"/>
                <w:szCs w:val="18"/>
                <w:color w:val="auto"/>
              </w:rPr>
              <w:t>528.0</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437.8</w:t>
            </w: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79"/>
              <w:spacing w:after="0" w:line="203" w:lineRule="exact"/>
              <w:rPr>
                <w:sz w:val="20"/>
                <w:szCs w:val="20"/>
                <w:color w:val="auto"/>
              </w:rPr>
            </w:pPr>
            <w:r>
              <w:rPr>
                <w:rFonts w:ascii="Times New Roman" w:cs="Times New Roman" w:eastAsia="Times New Roman" w:hAnsi="Times New Roman"/>
                <w:sz w:val="18"/>
                <w:szCs w:val="18"/>
                <w:color w:val="auto"/>
              </w:rPr>
              <w:t>90.2</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COVID-19 vaccine</w:t>
            </w:r>
          </w:p>
        </w:tc>
        <w:tc>
          <w:tcPr>
            <w:tcW w:w="74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36.8</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112.5</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(75.7)</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7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564.8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550.3</w:t>
            </w:r>
          </w:p>
        </w:tc>
        <w:tc>
          <w:tcPr>
            <w:tcW w:w="6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14.5</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7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7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440" w:type="dxa"/>
            <w:vAlign w:val="bottom"/>
            <w:vMerge w:val="restart"/>
          </w:tcPr>
          <w:p>
            <w:pPr>
              <w:spacing w:after="0"/>
              <w:rPr>
                <w:sz w:val="12"/>
                <w:szCs w:val="12"/>
                <w:color w:val="auto"/>
              </w:rPr>
            </w:pPr>
          </w:p>
        </w:tc>
        <w:tc>
          <w:tcPr>
            <w:tcW w:w="74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vMerge w:val="continue"/>
          </w:tcPr>
          <w:p>
            <w:pPr>
              <w:spacing w:after="0"/>
              <w:rPr>
                <w:sz w:val="12"/>
                <w:szCs w:val="12"/>
                <w:color w:val="auto"/>
              </w:rPr>
            </w:pPr>
          </w:p>
        </w:tc>
        <w:tc>
          <w:tcPr>
            <w:tcW w:w="6440" w:type="dxa"/>
            <w:vAlign w:val="bottom"/>
            <w:vMerge w:val="continue"/>
          </w:tcPr>
          <w:p>
            <w:pPr>
              <w:spacing w:after="0"/>
              <w:rPr>
                <w:sz w:val="12"/>
                <w:szCs w:val="12"/>
                <w:color w:val="auto"/>
              </w:rPr>
            </w:pPr>
          </w:p>
        </w:tc>
        <w:tc>
          <w:tcPr>
            <w:tcW w:w="14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1020" w:type="dxa"/>
            <w:vAlign w:val="bottom"/>
            <w:gridSpan w:val="2"/>
          </w:tcPr>
          <w:p>
            <w:pPr>
              <w:jc w:val="right"/>
              <w:ind w:right="75"/>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3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Non-COVID-19 vaccine</w:t>
            </w:r>
          </w:p>
        </w:tc>
        <w:tc>
          <w:tcPr>
            <w:tcW w:w="740" w:type="dxa"/>
            <w:vAlign w:val="bottom"/>
            <w:tcBorders>
              <w:top w:val="single" w:sz="8" w:color="auto"/>
            </w:tcBorders>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1,512.5</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1,414.3</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59"/>
              <w:spacing w:after="0" w:line="203" w:lineRule="exact"/>
              <w:rPr>
                <w:sz w:val="20"/>
                <w:szCs w:val="20"/>
                <w:color w:val="auto"/>
              </w:rPr>
            </w:pPr>
            <w:r>
              <w:rPr>
                <w:rFonts w:ascii="Times New Roman" w:cs="Times New Roman" w:eastAsia="Times New Roman" w:hAnsi="Times New Roman"/>
                <w:sz w:val="18"/>
                <w:szCs w:val="18"/>
                <w:color w:val="auto"/>
              </w:rPr>
              <w:t>98.2</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COVID-19 vaccine</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87.0</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228.1</w:t>
            </w:r>
          </w:p>
        </w:tc>
        <w:tc>
          <w:tcPr>
            <w:tcW w:w="76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(141.1)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(62)</w:t>
            </w: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7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1,599.5</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1,642.4</w:t>
            </w:r>
          </w:p>
        </w:tc>
        <w:tc>
          <w:tcPr>
            <w:tcW w:w="7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(42.9)</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0"/>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increased by €14.5 million, or 3%, from €550.3 million during the three months ended September 30, 2024 to €564.8 million during the three months ended September 30, 2025 and decreased by €42.9 million, or 3%, from €1,642.4 million during the nine months ended September 30, 2024 to €1,599.5 million during the nine months ended September 30, 2025. The changes were mainly driven by the start of late-stage trials for our immune-oncology and antibody drug conjugate programs, partly offset by cost savings resulting from active portfolio management. In addition, research and development expenses for the three months ended September 30, 2025 were impacted by a one-time impairment of BNT323/DB-1303.</w:t>
      </w:r>
    </w:p>
    <w:p>
      <w:pPr>
        <w:spacing w:after="0" w:line="2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left="100"/>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increased by €9.2 million, or 51%, from €18.1 million during the three months ended September 30, 2024 to €27.3 million during the three months ended September 30, 2025 and increased by €14.1 million, or 30%, from €46.6 million during the nine months ended September 30, 2024 to €60.7 million during the nine months ended September 30, 2025. The increases were mainly driven by our ongoing commercial build-up.</w:t>
      </w:r>
    </w:p>
    <w:p>
      <w:pPr>
        <w:spacing w:after="0" w:line="2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0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decreased by €11.2 million, or 8%, from €132.4 million during the three months ended September 30, 2024 to €121.2 million during the three months ended September 30, 2025 and decreased by €74.5 million, or 18%, from €420.3 million during the nine months ended September 30, 2024 to €345.8 million during the nine months ended September 30, 2025. The decrease was primarily driven by a reduction in external services. For the three months ended September 30, 2025, lower insurance and personnel costs also contributed to the decline compared to the three months ended September 30, 2024.</w:t>
      </w:r>
    </w:p>
    <w:p>
      <w:pPr>
        <w:spacing w:after="0" w:line="1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00"/>
          </w:cols>
          <w:pgMar w:left="880" w:top="270"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Operating Result</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total other operating result decreased by €349.6 million, or 99%, from a negative operating result of €354.6 million during the three months ended September 30, 2024 to a negative operating result of €704.2 million during the three months ended September 30, 2025 and decreased by €113.2 million, or 18%, from a negative operating result of €616.9 million during the nine months ended September 30, 2024 to a negative operating result of €730.1 million during the nine months ended September 30, 2025. The decrease was mainly related to expenses incurred in connection with the GSK/CureVac Settlement Arrangements (see section “</w:t>
      </w:r>
      <w:r>
        <w:rPr>
          <w:rFonts w:ascii="Times New Roman" w:cs="Times New Roman" w:eastAsia="Times New Roman" w:hAnsi="Times New Roman"/>
          <w:sz w:val="18"/>
          <w:szCs w:val="18"/>
          <w:i w:val="1"/>
          <w:iCs w:val="1"/>
          <w:color w:val="auto"/>
        </w:rPr>
        <w:t>11.12.1.4 Settlement Arrangements with GSK and CureVac</w:t>
      </w:r>
      <w:r>
        <w:rPr>
          <w:rFonts w:ascii="Times New Roman" w:cs="Times New Roman" w:eastAsia="Times New Roman" w:hAnsi="Times New Roman"/>
          <w:sz w:val="18"/>
          <w:szCs w:val="18"/>
          <w:color w:val="auto"/>
        </w:rPr>
        <w:t>”). Under the terms of the GSK/CureVac Settlement Arrangements, we incurred other operating expenses of €678.5 million ($790.0 million), comprising €273.2 million ($320.0 million) in cash outflows (net of VAT), €362.3 million ($420.0 million) excluding VAT recognized as other financial liabilities (including VAT €417.6 million ($490.3 million)), and €42.9 million ($50.0 million) as a recognized provision. In addition, our other operating result was impacted by pipeline prioritization costs and a net loss from foreign exchange differences and related effects from derivative instruments in the nine months ended September 30, 2025.</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Profit / (Loss)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operating profit / (loss) decreased by €57.4 million from an operating profit of €10.5 million during the three months ended September 30, 2024 to an operating loss of €46.9 million during the three months ended September 30, 2025 and our operating loss decreased by</w:t>
      </w:r>
    </w:p>
    <w:p>
      <w:pPr>
        <w:ind w:right="320"/>
        <w:spacing w:after="0" w:line="260" w:lineRule="auto"/>
        <w:rPr>
          <w:sz w:val="20"/>
          <w:szCs w:val="20"/>
          <w:color w:val="auto"/>
        </w:rPr>
      </w:pPr>
      <w:r>
        <w:rPr>
          <w:rFonts w:ascii="Times New Roman" w:cs="Times New Roman" w:eastAsia="Times New Roman" w:hAnsi="Times New Roman"/>
          <w:sz w:val="18"/>
          <w:szCs w:val="18"/>
          <w:color w:val="auto"/>
        </w:rPr>
        <w:t>€380.8 million, or 26%, from an operating loss of €1,462.9 million during the nine months ended September 30, 2024 to an operating loss of €1,082.1 million during the nine months ended September 30, 2025, mainly as a result of the foregoing effects.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Result</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Our finance result during the three and nine months ended September 30, 2025 and 2024 was mainly derived from returns, such as interests, resulting from our financial investments as well as fair value adjustments of our money market funds. It decreased by €76.6 million, or 52%, from a positive finance result of €148.2 million during the three months ended September 30, 2024 to a positive finance result of €71.6 million during the three months ended September 30, 2025 and decreased by €225.3 million, or 47%, from a positive finance result of €484.0 million during the nine months ended September 30, 2024, to a positive finance result of €258.7 million during the nine months ended September 30, 2025. These changes are mainly due to lower interest income and negative foreign exchange differences, primarily derived from our security investments disclosed as cash equivalents and bank cash accounts held in foreign currency.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 / (Loss) before Tax</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profit before tax decreased by €134.0 million from a profit before tax of €158.7 million, or 84%, during the three months ended September 30, 2024 to a profit before tax of €24.7 million during the three months ended September 30, 2025 and our loss before tax decreased by €155.5 million, or 16%, from a loss before tax of €978.9 million during the nine months ended September 30, 2024 to a loss before tax of €823.4 million during the nine months ended September 30, 2025, mainly as a result of the foregoing effects.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income taxes changed by €92.8 million from an income taxes income of €39.4 million during the three months ended September 30, 2024 to an income taxes expense of €53.4 million during the three months ended September 30, 2025, and changed by €61.8 million from an income taxes income of €54.1 million during the nine months ended September 30, 2024 to an income taxes expense of €7.7 million during the nine months ended September 30, 2025. The effective income tax rate for the nine months ended September 30, 2025 was approximately (0.9)% and approximately 5.5% for the nine months ended September 30, 2024.</w:t>
      </w:r>
    </w:p>
    <w:p>
      <w:pPr>
        <w:spacing w:after="0" w:line="75" w:lineRule="exact"/>
        <w:rPr>
          <w:sz w:val="20"/>
          <w:szCs w:val="20"/>
          <w:color w:val="auto"/>
        </w:rPr>
      </w:pPr>
    </w:p>
    <w:p>
      <w:pPr>
        <w:jc w:val="center"/>
        <w:ind w:right="1000"/>
        <w:spacing w:after="0" w:line="454" w:lineRule="auto"/>
        <w:rPr>
          <w:sz w:val="20"/>
          <w:szCs w:val="20"/>
          <w:color w:val="auto"/>
        </w:rPr>
      </w:pPr>
      <w:r>
        <w:rPr>
          <w:rFonts w:ascii="Times New Roman" w:cs="Times New Roman" w:eastAsia="Times New Roman" w:hAnsi="Times New Roman"/>
          <w:sz w:val="18"/>
          <w:szCs w:val="18"/>
          <w:color w:val="auto"/>
        </w:rPr>
        <w:t>For more information on our income taxes, see Note 6 to our Q3 Unaudited Interim Condensed Consolidated Financial Statements. 12</w:t>
      </w:r>
    </w:p>
    <w:p>
      <w:pPr>
        <w:sectPr>
          <w:pgSz w:w="11900" w:h="16838" w:orient="portrait"/>
          <w:cols w:equalWidth="0" w:num="1">
            <w:col w:w="10460"/>
          </w:cols>
          <w:pgMar w:left="980" w:top="268" w:right="459" w:bottom="1440" w:gutter="0" w:footer="0" w:header="0"/>
        </w:sectPr>
      </w:pPr>
    </w:p>
    <w:bookmarkStart w:id="12" w:name="page13"/>
    <w:bookmarkEnd w:id="12"/>
    <w:p>
      <w:pPr>
        <w:ind w:left="10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Profit / (Loss)</w:t>
      </w:r>
    </w:p>
    <w:p>
      <w:pPr>
        <w:spacing w:after="0" w:line="119" w:lineRule="exact"/>
        <w:rPr>
          <w:sz w:val="20"/>
          <w:szCs w:val="20"/>
          <w:color w:val="auto"/>
        </w:rPr>
      </w:pPr>
    </w:p>
    <w:p>
      <w:pPr>
        <w:ind w:left="100" w:right="20"/>
        <w:spacing w:after="0" w:line="261" w:lineRule="auto"/>
        <w:rPr>
          <w:sz w:val="20"/>
          <w:szCs w:val="20"/>
          <w:color w:val="auto"/>
        </w:rPr>
      </w:pPr>
      <w:r>
        <w:rPr>
          <w:rFonts w:ascii="Times New Roman" w:cs="Times New Roman" w:eastAsia="Times New Roman" w:hAnsi="Times New Roman"/>
          <w:sz w:val="18"/>
          <w:szCs w:val="18"/>
          <w:color w:val="auto"/>
        </w:rPr>
        <w:t>Our net profit / (loss) decreased by €226.8 million from a net profit of €198.1 million during the three months ended September 30, 2024 to a net loss of €28.7 million during the three months ended September 30, 2025, and our net loss decreased by €93.7 million, or 10%, from a net loss of €924.8 million during the nine months ended September 30, 2024 to a net loss of €831.1 million during the nine months ended September 30, 2025, mainly as a result of the foregoing effects.</w:t>
      </w:r>
    </w:p>
    <w:p>
      <w:pPr>
        <w:spacing w:after="0" w:line="326" w:lineRule="exact"/>
        <w:rPr>
          <w:sz w:val="20"/>
          <w:szCs w:val="20"/>
          <w:color w:val="auto"/>
        </w:rPr>
      </w:pPr>
    </w:p>
    <w:p>
      <w:pPr>
        <w:ind w:left="100"/>
        <w:spacing w:after="0"/>
        <w:tabs>
          <w:tab w:leader="none" w:pos="720" w:val="left"/>
        </w:tabs>
        <w:rPr>
          <w:sz w:val="20"/>
          <w:szCs w:val="20"/>
          <w:color w:val="auto"/>
        </w:rPr>
      </w:pPr>
      <w:r>
        <w:rPr>
          <w:rFonts w:ascii="Times New Roman" w:cs="Times New Roman" w:eastAsia="Times New Roman" w:hAnsi="Times New Roman"/>
          <w:sz w:val="18"/>
          <w:szCs w:val="18"/>
          <w:i w:val="1"/>
          <w:iCs w:val="1"/>
          <w:color w:val="auto"/>
        </w:rPr>
        <w:t>9.12.2</w:t>
        <w:tab/>
        <w:t>Liquidity and Capital Resources</w:t>
      </w:r>
    </w:p>
    <w:p>
      <w:pPr>
        <w:spacing w:after="0" w:line="119" w:lineRule="exact"/>
        <w:rPr>
          <w:sz w:val="20"/>
          <w:szCs w:val="20"/>
          <w:color w:val="auto"/>
        </w:rPr>
      </w:pPr>
    </w:p>
    <w:p>
      <w:pPr>
        <w:ind w:left="100" w:right="300"/>
        <w:spacing w:after="0" w:line="282" w:lineRule="auto"/>
        <w:rPr>
          <w:sz w:val="20"/>
          <w:szCs w:val="20"/>
          <w:color w:val="auto"/>
        </w:rPr>
      </w:pPr>
      <w:r>
        <w:rPr>
          <w:rFonts w:ascii="Times New Roman" w:cs="Times New Roman" w:eastAsia="Times New Roman" w:hAnsi="Times New Roman"/>
          <w:sz w:val="18"/>
          <w:szCs w:val="18"/>
          <w:color w:val="auto"/>
        </w:rPr>
        <w:t>As of September 30, 2025, we had cash and cash equivalents of €10,092.9 million, current security investments of €4,275.6 million and non-current security investments of €2,336.4 million, accumulating to €16,704.9 million in cash, cash equivalents and security investments.</w:t>
      </w:r>
    </w:p>
    <w:p>
      <w:pPr>
        <w:spacing w:after="0" w:line="30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9.12.2.1 Consolidated Statements of Cash Flows</w:t>
      </w:r>
    </w:p>
    <w:p>
      <w:pPr>
        <w:spacing w:after="0" w:line="1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following table presents principal components of our consolidated statements of cash flows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7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5800" w:type="dxa"/>
            <w:vAlign w:val="bottom"/>
            <w:vMerge w:val="restart"/>
          </w:tcPr>
          <w:p>
            <w:pPr>
              <w:spacing w:after="0"/>
              <w:rPr>
                <w:sz w:val="12"/>
                <w:szCs w:val="12"/>
                <w:color w:val="auto"/>
              </w:rPr>
            </w:pPr>
          </w:p>
        </w:tc>
        <w:tc>
          <w:tcPr>
            <w:tcW w:w="84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vMerge w:val="continue"/>
          </w:tcPr>
          <w:p>
            <w:pPr>
              <w:spacing w:after="0"/>
              <w:rPr>
                <w:sz w:val="12"/>
                <w:szCs w:val="12"/>
                <w:color w:val="auto"/>
              </w:rPr>
            </w:pPr>
          </w:p>
        </w:tc>
        <w:tc>
          <w:tcPr>
            <w:tcW w:w="5800" w:type="dxa"/>
            <w:vAlign w:val="bottom"/>
            <w:vMerge w:val="continue"/>
          </w:tcPr>
          <w:p>
            <w:pPr>
              <w:spacing w:after="0"/>
              <w:rPr>
                <w:sz w:val="12"/>
                <w:szCs w:val="12"/>
                <w:color w:val="auto"/>
              </w:rPr>
            </w:pPr>
          </w:p>
        </w:tc>
        <w:tc>
          <w:tcPr>
            <w:tcW w:w="15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5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flows from / (used in) operating activities</w:t>
            </w:r>
          </w:p>
        </w:tc>
        <w:tc>
          <w:tcPr>
            <w:tcW w:w="840" w:type="dxa"/>
            <w:vAlign w:val="bottom"/>
            <w:tcBorders>
              <w:top w:val="single" w:sz="8" w:color="auto"/>
            </w:tcBorders>
            <w:shd w:val="clear" w:color="auto" w:fill="CCEEFF"/>
          </w:tcPr>
          <w:p>
            <w:pPr>
              <w:jc w:val="right"/>
              <w:ind w:right="76"/>
              <w:spacing w:after="0" w:line="203" w:lineRule="exact"/>
              <w:rPr>
                <w:sz w:val="20"/>
                <w:szCs w:val="20"/>
                <w:color w:val="auto"/>
              </w:rPr>
            </w:pPr>
            <w:r>
              <w:rPr>
                <w:rFonts w:ascii="Times New Roman" w:cs="Times New Roman" w:eastAsia="Times New Roman" w:hAnsi="Times New Roman"/>
                <w:sz w:val="18"/>
                <w:szCs w:val="18"/>
                <w:b w:val="1"/>
                <w:bCs w:val="1"/>
                <w:color w:val="auto"/>
              </w:rPr>
              <w:t>780.7</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(638.9)</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96"/>
              <w:spacing w:after="0" w:line="203" w:lineRule="exact"/>
              <w:rPr>
                <w:sz w:val="20"/>
                <w:szCs w:val="20"/>
                <w:color w:val="auto"/>
              </w:rPr>
            </w:pPr>
            <w:r>
              <w:rPr>
                <w:rFonts w:ascii="Times New Roman" w:cs="Times New Roman" w:eastAsia="Times New Roman" w:hAnsi="Times New Roman"/>
                <w:sz w:val="18"/>
                <w:szCs w:val="18"/>
                <w:b w:val="1"/>
                <w:bCs w:val="1"/>
                <w:color w:val="auto"/>
              </w:rPr>
              <w:t>146.5</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flows from / (used in) investing activities</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(925.3)</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(142.1)</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257.1</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(2,687.9)</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financing activities</w:t>
            </w: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(11.5)</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(7.9)</w:t>
            </w: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(38.6)</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 (decrease) in cash and cash equivalents</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(156.1)</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(788.9)</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365.0</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(2,055.5)</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cash equivalents resulting from exchange rate differences</w:t>
            </w:r>
          </w:p>
        </w:tc>
        <w:tc>
          <w:tcPr>
            <w:tcW w:w="8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(21.5)</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(28.4)</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cash and cash equivalents resulting from other valuation effects</w:t>
            </w:r>
          </w:p>
        </w:tc>
        <w:tc>
          <w:tcPr>
            <w:tcW w:w="8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8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10,269.5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10,376.7</w:t>
            </w:r>
          </w:p>
        </w:tc>
        <w:tc>
          <w:tcPr>
            <w:tcW w:w="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9,761.9</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11,663.7</w:t>
            </w:r>
          </w:p>
        </w:tc>
        <w:tc>
          <w:tcPr>
            <w:tcW w:w="0" w:type="dxa"/>
            <w:vAlign w:val="bottom"/>
          </w:tcPr>
          <w:p>
            <w:pPr>
              <w:spacing w:after="0"/>
              <w:rPr>
                <w:sz w:val="1"/>
                <w:szCs w:val="1"/>
                <w:color w:val="auto"/>
              </w:rPr>
            </w:pPr>
          </w:p>
        </w:tc>
      </w:tr>
      <w:tr>
        <w:trPr>
          <w:trHeight w:val="238"/>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end of the period</w:t>
            </w:r>
          </w:p>
        </w:tc>
        <w:tc>
          <w:tcPr>
            <w:tcW w:w="840" w:type="dxa"/>
            <w:vAlign w:val="bottom"/>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10,092.9</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9,624.6</w:t>
            </w:r>
          </w:p>
        </w:tc>
        <w:tc>
          <w:tcPr>
            <w:tcW w:w="860" w:type="dxa"/>
            <w:vAlign w:val="bottom"/>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10,092.9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9,624.6</w:t>
            </w: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Net Cash Flows from / (used in) Operating Activities</w:t>
      </w:r>
    </w:p>
    <w:p>
      <w:pPr>
        <w:spacing w:after="0" w:line="119" w:lineRule="exact"/>
        <w:rPr>
          <w:sz w:val="20"/>
          <w:szCs w:val="20"/>
          <w:color w:val="auto"/>
        </w:rPr>
      </w:pPr>
    </w:p>
    <w:p>
      <w:pPr>
        <w:ind w:left="100" w:right="280"/>
        <w:spacing w:after="0" w:line="261" w:lineRule="auto"/>
        <w:rPr>
          <w:sz w:val="20"/>
          <w:szCs w:val="20"/>
          <w:color w:val="auto"/>
        </w:rPr>
      </w:pPr>
      <w:r>
        <w:rPr>
          <w:rFonts w:ascii="Times New Roman" w:cs="Times New Roman" w:eastAsia="Times New Roman" w:hAnsi="Times New Roman"/>
          <w:sz w:val="18"/>
          <w:szCs w:val="18"/>
          <w:color w:val="auto"/>
        </w:rPr>
        <w:t>Our net cash flows from operating activities during the three months ended September 30, 2025 were €780.7 million. Cash received from our revenue streams and the BMS upfront payment exceeded the cash payments for our operating business, resulting in a cash inflow of</w:t>
      </w:r>
    </w:p>
    <w:p>
      <w:pPr>
        <w:jc w:val="both"/>
        <w:ind w:left="100"/>
        <w:spacing w:after="0" w:line="255" w:lineRule="auto"/>
        <w:rPr>
          <w:sz w:val="20"/>
          <w:szCs w:val="20"/>
          <w:color w:val="auto"/>
        </w:rPr>
      </w:pPr>
      <w:r>
        <w:rPr>
          <w:rFonts w:ascii="Times New Roman" w:cs="Times New Roman" w:eastAsia="Times New Roman" w:hAnsi="Times New Roman"/>
          <w:sz w:val="18"/>
          <w:szCs w:val="18"/>
          <w:color w:val="auto"/>
        </w:rPr>
        <w:t>€706.4 million for three months ended September 30, 2025. We generated positive cash contributions from interest and other payments related to the security investments of €83.5 million and grants of €7.0 million, which were partly offset by tax payments of €9.6 million and by share based payment programs of €4.2 million.</w:t>
      </w:r>
    </w:p>
    <w:p>
      <w:pPr>
        <w:spacing w:after="0" w:line="78" w:lineRule="exact"/>
        <w:rPr>
          <w:sz w:val="20"/>
          <w:szCs w:val="20"/>
          <w:color w:val="auto"/>
        </w:rPr>
      </w:pPr>
    </w:p>
    <w:p>
      <w:pPr>
        <w:ind w:left="100"/>
        <w:spacing w:after="0" w:line="258" w:lineRule="auto"/>
        <w:rPr>
          <w:sz w:val="20"/>
          <w:szCs w:val="20"/>
          <w:color w:val="auto"/>
        </w:rPr>
      </w:pPr>
      <w:r>
        <w:rPr>
          <w:rFonts w:ascii="Times New Roman" w:cs="Times New Roman" w:eastAsia="Times New Roman" w:hAnsi="Times New Roman"/>
          <w:sz w:val="18"/>
          <w:szCs w:val="18"/>
          <w:color w:val="auto"/>
        </w:rPr>
        <w:t>Our net cash flows used in operating activities during the three months ended September 30, 2024, were €638.9 million. Cash payments for our operating business exceeded our cash received from our revenue streams, resulting in a cash outflow of €638.3 million. Additionally, we received positive cash contributions from grants of €60.7 million and from returns such as interests or sales resulting from our financial investments of €73.1 million which were offset by €134.4 million for exercised share-based payment programs, especially the programs in which the Management Board members participate.</w:t>
      </w:r>
    </w:p>
    <w:p>
      <w:pPr>
        <w:spacing w:after="0" w:line="75" w:lineRule="exact"/>
        <w:rPr>
          <w:sz w:val="20"/>
          <w:szCs w:val="20"/>
          <w:color w:val="auto"/>
        </w:rPr>
      </w:pPr>
    </w:p>
    <w:p>
      <w:pPr>
        <w:ind w:left="100" w:right="120"/>
        <w:spacing w:after="0" w:line="258" w:lineRule="auto"/>
        <w:rPr>
          <w:sz w:val="20"/>
          <w:szCs w:val="20"/>
          <w:color w:val="auto"/>
        </w:rPr>
      </w:pPr>
      <w:r>
        <w:rPr>
          <w:rFonts w:ascii="Times New Roman" w:cs="Times New Roman" w:eastAsia="Times New Roman" w:hAnsi="Times New Roman"/>
          <w:sz w:val="18"/>
          <w:szCs w:val="18"/>
          <w:color w:val="auto"/>
        </w:rPr>
        <w:t>Our net cash flows from operating activities during the nine months ended September 30, 2025, were €146.5 million. Cash payments for our operating business exceeded our cash received from our revenue streams and the BMS upfront payment during the nine months ended September 30, 2025, resulting in a cash outflow of €102.5 million. We generated positive cash contributions from interest and other payments related to the security investments of €275.2 million and grants of €38.0 million, which were partly offset by tax payments of €36.7 million and by share based payment programs of €19.3 million.</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68" w:right="459" w:bottom="1440" w:gutter="0" w:footer="0" w:header="0"/>
        </w:sectPr>
      </w:pPr>
    </w:p>
    <w:bookmarkStart w:id="13" w:name="page14"/>
    <w:bookmarkEnd w:id="13"/>
    <w:p>
      <w:pPr>
        <w:ind w:right="1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net cash flows from operating activities during the nine months ended September 30, 2024, were €671.0 million. Cash received from our revenue streams exceeded the cash payments for our operating business, resulting in a cash inflow of €556.3 million. Additionally, we received positive cash contribution from grants of €102.7 million and from returns such as interests or sales resulting from our financial investments of €353.3 million. On the other hand, we paid income taxes of €190.8 million and the operating cash flow was impacted by cash payments of €143.6 million for exercised share-based payment programs, especially the programs in which the Management Board members participate.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 (used in) Investing Activities</w:t>
      </w:r>
    </w:p>
    <w:p>
      <w:pPr>
        <w:spacing w:after="0" w:line="1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net cash flows used in investing activities during the three months ended September 30, 2025 were €925.3 million. This amount includes €889.6 million mainly representing net payments in security investments. The net payments in property, plant and equipment and intangible assets of €35.7 million are related to investments in building our laboratory and office facilities in Mainz, Germany and elsewhere.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cash flows used in investing activities during the three months ended September 30, 2024 were €142.1 million. This amount includes</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€59.4 million mainly spent on security investments. The net payments in property, plant and equipment and intangible assets of €82.7 million are related to investments in building our laboratory and office facilities in Germany as well as our facilities in Singapore.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cash flows from investing activities during the nine months ended September 30, 2025 were €257.1 million. This amount includes</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€1,018.6 million representing mainly repayments from matured security investments offset by a payment of €565.1 million for the settlement of our pre-existing relationship in connection with the License and Collaboration Agreement with Biotheus entered into in November 2023, which is separate from the remaining purchase price to be transferred for the acquired business of Biotheus (see Note 5 to our Q3 Unaudited Interim Condensed Consolidated Financial Statements). Other offsetting effects are the remaining net cash outflow for the Biotheus business combination of €78.5 million and net payments in property, plant and equipment a of €108.0 million related to investments in building our laboratory and office facilities in Mainz, Germany and elsewhere.</w:t>
      </w:r>
    </w:p>
    <w:p>
      <w:pPr>
        <w:spacing w:after="0" w:line="8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Our net cash flows used in investing activities during the nine months ended September 30, 2024 were €2,687.9 million. The amount includes €2,327.2 million mainly spent on security investments. The net payments in property, plant and equipment and intangible assets of</w:t>
      </w:r>
    </w:p>
    <w:p>
      <w:pPr>
        <w:ind w:right="480"/>
        <w:spacing w:after="0" w:line="260" w:lineRule="auto"/>
        <w:rPr>
          <w:sz w:val="20"/>
          <w:szCs w:val="20"/>
          <w:color w:val="auto"/>
        </w:rPr>
      </w:pPr>
      <w:r>
        <w:rPr>
          <w:rFonts w:ascii="Times New Roman" w:cs="Times New Roman" w:eastAsia="Times New Roman" w:hAnsi="Times New Roman"/>
          <w:sz w:val="18"/>
          <w:szCs w:val="18"/>
          <w:color w:val="auto"/>
        </w:rPr>
        <w:t>€360.7 million are related to investments in building our laboratory and office facilities in Germany, Singapore and Rwanda and milestone payments for in-licensing.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used in Financing Activities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net cash flows used in financing activities during the three months ended September 30, 2025 were €11.5 million and mainly related to our lease payments of €10.3 million.</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net cash flows used in financing activities during the three months ended September 30, 2024 were €7.9 million and mainly related to our lease payments.</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net cash flows used in financing activities during the nine months ended September 30, 2025 were €38.6 million and mainly related to our lease payments of €29.2 million.</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net cash flows used in financing activities during the nine months ended September 30, 2024 were €38.6 million and mainly related to our lease payments.</w:t>
      </w:r>
    </w:p>
    <w:p>
      <w:pPr>
        <w:spacing w:after="0" w:line="9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60"/>
          </w:cols>
          <w:pgMar w:left="980" w:top="270"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9.12.2.2 Current and Future Capital Expenditures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 party to license and research and development agreements with universities and other third parties, as well as patent assignment agreements, under which we have obtained rights to patents, patent applications and know-how. We enter into contracts in the normal course of business with CROs for clinical trials and clinical and commercial supply manufacturing, and with vendors for preclinical research studies and for other services and products for operating purposes. We work together with CMOs who manufacture our product candidates and products, and enter into lease agreements to lease laboratory, GMP manufacturing, storage and office spaces. Purchase obligations under our agreements, to the extent that they are quantifiable and not cancellable, have been considered when defining our guidance for future cash commitments. Most of the committed cash outflow within one year as of September 30, 2025 is related to lease payments amounting to €47.5 million and commitments under purchase agreements and contractual obligations amounting to €217.5 million. Further, we have lease payment obligations with an amount of €183.5 million and commitments under purchase agreements and contractual obligations of €762.4 million for the years 2026 and beyond. Our capital expenditures for operating activities during the three and nine months ended September 30, 2025 amounted to €41.9 million and €133.1 million, respectively. In comparison, our capital expenditures for operating activities during the three and nine months ended September 30, 2024 amounted to €79.1 million and €236.3 million, respectively. During both years, these expenditures were mainly driven by investments in building our laboratory and office facilities in Germany and rest of world.</w:t>
      </w:r>
    </w:p>
    <w:p>
      <w:pPr>
        <w:spacing w:after="0" w:line="33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i w:val="1"/>
          <w:iCs w:val="1"/>
          <w:color w:val="auto"/>
        </w:rPr>
        <w:t>9.12.3</w:t>
      </w:r>
      <w:r>
        <w:rPr>
          <w:sz w:val="20"/>
          <w:szCs w:val="20"/>
          <w:color w:val="auto"/>
        </w:rPr>
        <w:tab/>
      </w:r>
      <w:r>
        <w:rPr>
          <w:rFonts w:ascii="Times New Roman" w:cs="Times New Roman" w:eastAsia="Times New Roman" w:hAnsi="Times New Roman"/>
          <w:sz w:val="17"/>
          <w:szCs w:val="17"/>
          <w:i w:val="1"/>
          <w:iCs w:val="1"/>
          <w:color w:val="auto"/>
        </w:rPr>
        <w:t>Financial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9.12.3.1 Consolidated Statements of Financial Position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an overview of our consolidated statements of financial position as of the reporting dates indicated:</w:t>
      </w:r>
    </w:p>
    <w:p>
      <w:pPr>
        <w:spacing w:after="0" w:line="23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9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3200" w:type="dxa"/>
            <w:vAlign w:val="bottom"/>
            <w:gridSpan w:val="2"/>
          </w:tcPr>
          <w:p>
            <w:pPr>
              <w:jc w:val="center"/>
              <w:ind w:left="18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14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12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740" w:type="dxa"/>
            <w:vAlign w:val="bottom"/>
          </w:tcPr>
          <w:p>
            <w:pPr>
              <w:spacing w:after="0"/>
              <w:rPr>
                <w:sz w:val="12"/>
                <w:szCs w:val="12"/>
                <w:color w:val="auto"/>
              </w:rPr>
            </w:pPr>
          </w:p>
        </w:tc>
        <w:tc>
          <w:tcPr>
            <w:tcW w:w="11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357.7</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380.6</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3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1,389.8</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1,039.7</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935.3</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201.0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3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2,476.0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1,254.0</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3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24.6</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17.7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5,510.4</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3,726.2</w:t>
            </w:r>
          </w:p>
        </w:tc>
        <w:tc>
          <w:tcPr>
            <w:tcW w:w="0" w:type="dxa"/>
            <w:vAlign w:val="bottom"/>
          </w:tcPr>
          <w:p>
            <w:pPr>
              <w:spacing w:after="0"/>
              <w:rPr>
                <w:sz w:val="1"/>
                <w:szCs w:val="1"/>
                <w:color w:val="auto"/>
              </w:rPr>
            </w:pPr>
          </w:p>
        </w:tc>
      </w:tr>
      <w:tr>
        <w:trPr>
          <w:trHeight w:val="22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9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225.7</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283.3</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3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690.8</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1,463.9</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8.9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3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4,434.7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7,021.7</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3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292.9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assets</w:t>
            </w:r>
          </w:p>
        </w:tc>
        <w:tc>
          <w:tcPr>
            <w:tcW w:w="3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84.8</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10,092.9</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9,761.9</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980" w:type="dxa"/>
            <w:vAlign w:val="bottom"/>
          </w:tcPr>
          <w:p>
            <w:pPr>
              <w:spacing w:after="0"/>
              <w:rPr>
                <w:sz w:val="18"/>
                <w:szCs w:val="18"/>
                <w:color w:val="auto"/>
              </w:rPr>
            </w:pP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15,830.7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18,803.5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21,341.1</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22,529.7</w:t>
            </w:r>
          </w:p>
        </w:tc>
        <w:tc>
          <w:tcPr>
            <w:tcW w:w="0" w:type="dxa"/>
            <w:vAlign w:val="bottom"/>
          </w:tcPr>
          <w:p>
            <w:pPr>
              <w:spacing w:after="0"/>
              <w:rPr>
                <w:sz w:val="1"/>
                <w:szCs w:val="1"/>
                <w:color w:val="auto"/>
              </w:rPr>
            </w:pPr>
          </w:p>
        </w:tc>
      </w:tr>
      <w:tr>
        <w:trPr>
          <w:trHeight w:val="22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9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9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248.6</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reserve</w:t>
            </w:r>
          </w:p>
        </w:tc>
        <w:tc>
          <w:tcPr>
            <w:tcW w:w="3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1,453.2</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1,398.6</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39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(8.1)</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94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18,266.9</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19,098.0</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9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(1,483.3)</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(1,325.5)</w:t>
            </w: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980" w:type="dxa"/>
            <w:vAlign w:val="bottom"/>
          </w:tcPr>
          <w:p>
            <w:pPr>
              <w:jc w:val="right"/>
              <w:ind w:right="751"/>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980" w:top="268" w:right="45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78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9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160" w:type="dxa"/>
            <w:vAlign w:val="bottom"/>
            <w:gridSpan w:val="2"/>
            <w:vMerge w:val="continue"/>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equity</w:t>
            </w:r>
          </w:p>
        </w:tc>
        <w:tc>
          <w:tcPr>
            <w:tcW w:w="12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18,477.3</w:t>
            </w:r>
          </w:p>
        </w:tc>
        <w:tc>
          <w:tcPr>
            <w:tcW w:w="740" w:type="dxa"/>
            <w:vAlign w:val="bottom"/>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19,411.1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loans and borrowings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192.0</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96.4</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24.2</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219.0</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85.5</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24.2</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641.3</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595.4</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loans and borrowings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53.4</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399.8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597.4</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1,443.4</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liabilities</w:t>
            </w: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6.3</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211.5</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796.1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158.0</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2,222.5</w:t>
            </w:r>
          </w:p>
        </w:tc>
        <w:tc>
          <w:tcPr>
            <w:tcW w:w="74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2,863.8</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3,118.6</w:t>
            </w:r>
          </w:p>
        </w:tc>
        <w:tc>
          <w:tcPr>
            <w:tcW w:w="0" w:type="dxa"/>
            <w:vAlign w:val="bottom"/>
          </w:tcPr>
          <w:p>
            <w:pPr>
              <w:spacing w:after="0"/>
              <w:rPr>
                <w:sz w:val="1"/>
                <w:szCs w:val="1"/>
                <w:color w:val="auto"/>
              </w:rPr>
            </w:pPr>
          </w:p>
        </w:tc>
      </w:tr>
      <w:tr>
        <w:trPr>
          <w:trHeight w:val="2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21,341.1</w:t>
            </w:r>
          </w:p>
        </w:tc>
        <w:tc>
          <w:tcPr>
            <w:tcW w:w="74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22,529.7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w:t>
      </w:r>
    </w:p>
    <w:p>
      <w:pPr>
        <w:spacing w:after="0" w:line="11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of September 30, 2025, our total assets amounted to €21,341.1 million, compared to €22,529.7 million as of December 31, 2024. The decrease was mainly due to the developments explained below.</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non-current assets increased by €1,784.2 million from €3,726.2 million as of December 31, 2024 to €5,510.4 million as of September 30, 2025, mainly as a result of an increase in non-current other financial assets by €1,222.0 million, primarily as a result of a reallocation of existing capital into investments disclosed as non-current, and an increase in other intangible assets by €599.4 million, mainly as a result of the acquisition of Biotheus.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Our current assets decreased by €2,972.8 million from €18,803.5 million as of December 31, 2024 to €15,830.7 million as of September 30, 2025, mainly due to a decrease of €2,587.0 million in current other financial assets, mainly resulting from a reallocation of existing capital and the usage of financial funds for the acquisition of Biotheus and the settlement of the contractual disputes outlined in section </w:t>
      </w:r>
      <w:r>
        <w:rPr>
          <w:rFonts w:ascii="Times New Roman" w:cs="Times New Roman" w:eastAsia="Times New Roman" w:hAnsi="Times New Roman"/>
          <w:sz w:val="18"/>
          <w:szCs w:val="18"/>
          <w:i w:val="1"/>
          <w:iCs w:val="1"/>
          <w:color w:val="auto"/>
        </w:rPr>
        <w:t>“9.12.3.2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and Provisions</w:t>
      </w:r>
      <w:r>
        <w:rPr>
          <w:rFonts w:ascii="Times New Roman" w:cs="Times New Roman" w:eastAsia="Times New Roman" w:hAnsi="Times New Roman"/>
          <w:sz w:val="18"/>
          <w:szCs w:val="18"/>
          <w:color w:val="auto"/>
        </w:rPr>
        <w:t>” below. In addition, trade and other receivables decreased by €773.1 million from €1,463.9 million as of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€690.8 million as of September 30, 2025, mainly due to payments received for the share of the collaboration partner’s gross profit derived from sales in the collaboration partner’s territory in financial year 2024. Cash and cash equivalents increased by €331.0 million from €9,761.9 million as of December 31, 2024 to €10,092.9 million as of September 30, 2025, mainly as a result of the aforementioned reallocation of capital.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Liabilities</w:t>
      </w:r>
    </w:p>
    <w:p>
      <w:pPr>
        <w:spacing w:after="0" w:line="1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September 30, 2025, our total liabilities amounted to €2,863.8 million, compared to €3,118.6 million as of December 31, 2024. The decrease was mainly due to the developments explained below.</w:t>
      </w:r>
    </w:p>
    <w:p>
      <w:pPr>
        <w:spacing w:after="0" w:line="9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80"/>
          </w:cols>
          <w:pgMar w:left="980" w:top="251" w:right="439" w:bottom="1440" w:gutter="0" w:footer="0" w:header="0"/>
        </w:sectPr>
      </w:pPr>
    </w:p>
    <w:bookmarkStart w:id="16" w:name="page17"/>
    <w:bookmarkEnd w:id="16"/>
    <w:p>
      <w:pPr>
        <w:ind w:left="54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non-current liabilities increased by €45.9 million from €595.4 million as of December 31, 2024 to €641.3 million as of September 30, 2025, mainly as a result of an increase of non-current other financial liabilities by €49.5 million from €46.9 million as of December 31, 2024 to €96.4 million as of September 30, 2025. The increase was mainly related to the recognition of contingent considerations (milestones) in connection with the acquisition of Biotheus.</w:t>
      </w:r>
    </w:p>
    <w:p>
      <w:pPr>
        <w:spacing w:after="0" w:line="72" w:lineRule="exact"/>
        <w:rPr>
          <w:sz w:val="20"/>
          <w:szCs w:val="20"/>
          <w:color w:val="auto"/>
        </w:rPr>
      </w:pPr>
    </w:p>
    <w:p>
      <w:pPr>
        <w:ind w:left="544"/>
        <w:spacing w:after="0" w:line="258" w:lineRule="auto"/>
        <w:rPr>
          <w:sz w:val="20"/>
          <w:szCs w:val="20"/>
          <w:color w:val="auto"/>
        </w:rPr>
      </w:pPr>
      <w:r>
        <w:rPr>
          <w:rFonts w:ascii="Times New Roman" w:cs="Times New Roman" w:eastAsia="Times New Roman" w:hAnsi="Times New Roman"/>
          <w:sz w:val="18"/>
          <w:szCs w:val="18"/>
          <w:color w:val="auto"/>
        </w:rPr>
        <w:t xml:space="preserve">Our current liabilities decreased by €300.7 million from €2,523.2 million as of December 31, 2024 to €2,222.5 million as of September 30, 2025, mainly as a result of a decrease in current other financial liabilities by €846.0 from €1,443.4 million as of December 31, 2024 to €597.4 million as of September 30, 2025, mainly related to the settlement of contractual disputes outlined in section </w:t>
      </w:r>
      <w:r>
        <w:rPr>
          <w:rFonts w:ascii="Times New Roman" w:cs="Times New Roman" w:eastAsia="Times New Roman" w:hAnsi="Times New Roman"/>
          <w:sz w:val="18"/>
          <w:szCs w:val="18"/>
          <w:i w:val="1"/>
          <w:iCs w:val="1"/>
          <w:color w:val="auto"/>
        </w:rPr>
        <w:t>“9.12.3.2 Financial Liabilities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Provisions</w:t>
      </w:r>
      <w:r>
        <w:rPr>
          <w:rFonts w:ascii="Times New Roman" w:cs="Times New Roman" w:eastAsia="Times New Roman" w:hAnsi="Times New Roman"/>
          <w:sz w:val="18"/>
          <w:szCs w:val="18"/>
          <w:color w:val="auto"/>
        </w:rPr>
        <w:t>” below. This was offset by an increase in current contract liabilities by €501.2 from €294.9 million as of December 31,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€796.1 million as of September 30, 2025, mainly related to the global strategic partnership with BMS.</w:t>
      </w:r>
    </w:p>
    <w:p>
      <w:pPr>
        <w:spacing w:after="0" w:line="28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i w:val="1"/>
          <w:iCs w:val="1"/>
          <w:color w:val="auto"/>
        </w:rPr>
        <w:t>Equity</w:t>
      </w:r>
    </w:p>
    <w:p>
      <w:pPr>
        <w:spacing w:after="0" w:line="11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Our total equity decreased by €933.8 million from €19,411.1 million as of December 31, 2024 to €18,477.3 million as of September 30, 2025.</w:t>
      </w:r>
    </w:p>
    <w:p>
      <w:pPr>
        <w:spacing w:after="0" w:line="2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decrease was mainly due to the net loss recorded during the nine months ended September 30, 2025 within retained earnings.</w:t>
      </w:r>
    </w:p>
    <w:p>
      <w:pPr>
        <w:spacing w:after="0" w:line="35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i w:val="1"/>
          <w:iCs w:val="1"/>
          <w:color w:val="auto"/>
        </w:rPr>
        <w:t>9.12.3.2 Financial Liabilities and Provisions</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i w:val="1"/>
          <w:iCs w:val="1"/>
          <w:color w:val="auto"/>
        </w:rPr>
        <w:t>Financial Liabilities</w:t>
      </w:r>
    </w:p>
    <w:p>
      <w:pPr>
        <w:spacing w:after="0" w:line="11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following table presents an overview of our non-current and current financial liabilities as of the reporting dates indicated:</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960" w:type="dxa"/>
            <w:vAlign w:val="bottom"/>
            <w:gridSpan w:val="2"/>
            <w:vMerge w:val="continue"/>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Loans and borrowings</w:t>
            </w:r>
          </w:p>
        </w:tc>
        <w:tc>
          <w:tcPr>
            <w:tcW w:w="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38.5</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399.8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liabilities (unaudited)</w:t>
            </w: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693.8</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1,490.3</w:t>
            </w: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207.0</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44" w:right="240"/>
        <w:spacing w:after="0" w:line="261" w:lineRule="auto"/>
        <w:rPr>
          <w:sz w:val="20"/>
          <w:szCs w:val="20"/>
          <w:color w:val="auto"/>
        </w:rPr>
      </w:pPr>
      <w:r>
        <w:rPr>
          <w:rFonts w:ascii="Times New Roman" w:cs="Times New Roman" w:eastAsia="Times New Roman" w:hAnsi="Times New Roman"/>
          <w:sz w:val="18"/>
          <w:szCs w:val="18"/>
          <w:color w:val="auto"/>
        </w:rPr>
        <w:t>Our other financial liabilities decreased by €796.5 million during the nine months ended September 30, 2025. A decrease of €1,369.9 million resulted from payments made in connection with the settlement of contractual disputes during the six months ended June 30, 2025. During the three months ended September 30, 2025, other financial liabilities increased by €417.6 million including VAT, as a result of the respective settlement agreements with the GSK/CureVac Settlement Arrangements.</w:t>
      </w:r>
    </w:p>
    <w:p>
      <w:pPr>
        <w:spacing w:after="0" w:line="286"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i w:val="1"/>
          <w:iCs w:val="1"/>
          <w:color w:val="auto"/>
        </w:rPr>
        <w:t>Provisions</w:t>
      </w:r>
    </w:p>
    <w:p>
      <w:pPr>
        <w:spacing w:after="0" w:line="11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following table presents an overview of our provisions as of the reporting dates indicated:</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5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 millions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7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0"/>
                <w:szCs w:val="10"/>
                <w:b w:val="1"/>
                <w:bCs w:val="1"/>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900" w:type="dxa"/>
            <w:vAlign w:val="bottom"/>
            <w:gridSpan w:val="2"/>
            <w:vMerge w:val="continue"/>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(audited)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Contractual disputes / settlements</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116.6</w:t>
            </w:r>
          </w:p>
        </w:tc>
        <w:tc>
          <w:tcPr>
            <w:tcW w:w="7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from onerous contracts</w:t>
            </w: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53.9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65.2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235.7</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165.7</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5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211.5</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3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non-current</w:t>
            </w: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24.2</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4" w:right="700" w:hanging="544"/>
        <w:spacing w:after="0" w:line="208" w:lineRule="auto"/>
        <w:tabs>
          <w:tab w:leader="none" w:pos="544"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Certain amounts as of December 31, 2024 have been reclassified to conform to current period presentation in our Q3 Unaudited Interim Condensed Consolidated Financial Statements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17" w:name="page18"/>
    <w:bookmarkEnd w:id="17"/>
    <w:p>
      <w:pPr>
        <w:ind w:left="544"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September 30, 2025, our current provisions included €116.6 million in contractual disputes mainly related to collaborators regarding, among other things, the interpretation of each party’s obligations or the amounts payable under the respective agreements. The increase in obligations identified as contractual disputes compared to December 31, 2024 was mainly due to entering settlement agreements, such as the GSK/CureVac Settlement Arrangements and a royalty on rest-of-world sales of licensed products to CureVac N.V. and GSK plc.</w:t>
      </w:r>
    </w:p>
    <w:p>
      <w:pPr>
        <w:spacing w:after="0" w:line="72" w:lineRule="exact"/>
        <w:rPr>
          <w:sz w:val="20"/>
          <w:szCs w:val="20"/>
          <w:color w:val="auto"/>
        </w:rPr>
      </w:pPr>
    </w:p>
    <w:p>
      <w:pPr>
        <w:jc w:val="both"/>
        <w:ind w:left="544" w:right="180"/>
        <w:spacing w:after="0" w:line="266" w:lineRule="auto"/>
        <w:rPr>
          <w:sz w:val="20"/>
          <w:szCs w:val="20"/>
          <w:color w:val="auto"/>
        </w:rPr>
      </w:pPr>
      <w:r>
        <w:rPr>
          <w:rFonts w:ascii="Times New Roman" w:cs="Times New Roman" w:eastAsia="Times New Roman" w:hAnsi="Times New Roman"/>
          <w:sz w:val="18"/>
          <w:szCs w:val="18"/>
          <w:color w:val="auto"/>
        </w:rPr>
        <w:t>As of September 30, 2025, our current provisions included €53.9 million (€56.6 million as of December 31, 2024) of obligations from onerous contracts, primarily relating to production capacities derived from contracts with contract manufacturing organizations, or CMOs, that became redundant.</w:t>
      </w:r>
    </w:p>
    <w:p>
      <w:pPr>
        <w:spacing w:after="0" w:line="68" w:lineRule="exact"/>
        <w:rPr>
          <w:sz w:val="20"/>
          <w:szCs w:val="20"/>
          <w:color w:val="auto"/>
        </w:rPr>
      </w:pPr>
    </w:p>
    <w:p>
      <w:pPr>
        <w:ind w:left="544" w:right="240"/>
        <w:spacing w:after="0" w:line="261" w:lineRule="auto"/>
        <w:rPr>
          <w:sz w:val="20"/>
          <w:szCs w:val="20"/>
          <w:color w:val="auto"/>
        </w:rPr>
      </w:pPr>
      <w:r>
        <w:rPr>
          <w:rFonts w:ascii="Times New Roman" w:cs="Times New Roman" w:eastAsia="Times New Roman" w:hAnsi="Times New Roman"/>
          <w:sz w:val="18"/>
          <w:szCs w:val="18"/>
          <w:color w:val="auto"/>
        </w:rPr>
        <w:t>As of September 30, 2025, our current provisions included €65.2 million in other obligations mainly comprising employee related obligations such as restructuring due to pipeline prioritization, social security costs related to share-based payment programs as well as inventor remunerations (€23.4 million as of December 31, 2024, mainly comprising employee related obligations). The change of €41.8 million compared to December 31, 2024, related mainly to additions.</w:t>
      </w:r>
    </w:p>
    <w:p>
      <w:pPr>
        <w:spacing w:after="0" w:line="326"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i w:val="1"/>
          <w:iCs w:val="1"/>
          <w:color w:val="auto"/>
        </w:rPr>
        <w:t>9.12.4</w:t>
        <w:tab/>
        <w:t>Contingent Liabilities</w:t>
      </w:r>
    </w:p>
    <w:p>
      <w:pPr>
        <w:spacing w:after="0" w:line="119" w:lineRule="exact"/>
        <w:rPr>
          <w:sz w:val="20"/>
          <w:szCs w:val="20"/>
          <w:color w:val="auto"/>
        </w:rPr>
      </w:pPr>
    </w:p>
    <w:p>
      <w:pPr>
        <w:jc w:val="both"/>
        <w:ind w:left="544"/>
        <w:spacing w:after="0" w:line="266" w:lineRule="auto"/>
        <w:rPr>
          <w:sz w:val="20"/>
          <w:szCs w:val="20"/>
          <w:color w:val="auto"/>
        </w:rPr>
      </w:pPr>
      <w:r>
        <w:rPr>
          <w:rFonts w:ascii="Times New Roman" w:cs="Times New Roman" w:eastAsia="Times New Roman" w:hAnsi="Times New Roman"/>
          <w:sz w:val="18"/>
          <w:szCs w:val="18"/>
          <w:color w:val="auto"/>
        </w:rPr>
        <w:t>Our contingent liabilities include, but are not limited to, intellectual property disputes and contractual disputes regarding, among other things, the interpretation of each party’s obligations or the amounts payable under the respective agreements, product-related disputes, and actions by or on behalf of our shareholders.</w:t>
      </w:r>
    </w:p>
    <w:p>
      <w:pPr>
        <w:spacing w:after="0" w:line="68" w:lineRule="exact"/>
        <w:rPr>
          <w:sz w:val="20"/>
          <w:szCs w:val="20"/>
          <w:color w:val="auto"/>
        </w:rPr>
      </w:pPr>
    </w:p>
    <w:p>
      <w:pPr>
        <w:ind w:left="544" w:right="200"/>
        <w:spacing w:after="0" w:line="261" w:lineRule="auto"/>
        <w:rPr>
          <w:sz w:val="20"/>
          <w:szCs w:val="20"/>
          <w:color w:val="auto"/>
        </w:rPr>
      </w:pPr>
      <w:r>
        <w:rPr>
          <w:rFonts w:ascii="Times New Roman" w:cs="Times New Roman" w:eastAsia="Times New Roman" w:hAnsi="Times New Roman"/>
          <w:sz w:val="18"/>
          <w:szCs w:val="18"/>
          <w:color w:val="auto"/>
        </w:rPr>
        <w:t>From time to time, in the normal course and conduct of our business, we may be involved in proceedings with third parties, including proceedings regarding, for example, the use and/or remuneration for use of such third party’s intellectual property. As of September 30, 2025, none of the intellectual property-related considerations outlined in section “11.12.2 Pending Proceedings”, of which we have either been notified, or for which potential claims could be brought against us or our subsidiaries in the future, fulfill the criteria for recording a provision.</w:t>
      </w:r>
    </w:p>
    <w:p>
      <w:pPr>
        <w:spacing w:after="0" w:line="72" w:lineRule="exact"/>
        <w:rPr>
          <w:sz w:val="20"/>
          <w:szCs w:val="20"/>
          <w:color w:val="auto"/>
        </w:rPr>
      </w:pPr>
    </w:p>
    <w:p>
      <w:pPr>
        <w:ind w:left="544" w:right="200"/>
        <w:spacing w:after="0" w:line="261" w:lineRule="auto"/>
        <w:rPr>
          <w:sz w:val="20"/>
          <w:szCs w:val="20"/>
          <w:color w:val="auto"/>
        </w:rPr>
      </w:pPr>
      <w:r>
        <w:rPr>
          <w:rFonts w:ascii="Times New Roman" w:cs="Times New Roman" w:eastAsia="Times New Roman" w:hAnsi="Times New Roman"/>
          <w:sz w:val="18"/>
          <w:szCs w:val="18"/>
          <w:color w:val="auto"/>
        </w:rPr>
        <w:t>We are subject to an increasing number of product-related disputes. Our product liability claims often involve highly complex issues related to medical causation, correctness and completeness of product information (Summary of Product Characteristics/package leaflet) as well as label warnings and reliance thereon, scientific evidence and findings, actual and provable defectiveness and injury, and other matters. These complexities vary from matter to matter. As of September 30, 2025, none of these claims fulfill the criteria for recording a provision.</w:t>
      </w:r>
    </w:p>
    <w:p>
      <w:pPr>
        <w:spacing w:after="0" w:line="70" w:lineRule="exact"/>
        <w:rPr>
          <w:sz w:val="20"/>
          <w:szCs w:val="20"/>
          <w:color w:val="auto"/>
        </w:rPr>
      </w:pPr>
    </w:p>
    <w:p>
      <w:pPr>
        <w:ind w:left="544" w:right="600"/>
        <w:spacing w:after="0" w:line="284" w:lineRule="auto"/>
        <w:rPr>
          <w:sz w:val="20"/>
          <w:szCs w:val="20"/>
          <w:color w:val="auto"/>
        </w:rPr>
      </w:pPr>
      <w:r>
        <w:rPr>
          <w:rFonts w:ascii="Times New Roman" w:cs="Times New Roman" w:eastAsia="Times New Roman" w:hAnsi="Times New Roman"/>
          <w:sz w:val="18"/>
          <w:szCs w:val="18"/>
          <w:color w:val="auto"/>
        </w:rPr>
        <w:t>We are currently subject to certain claims by or on behalf of our shareholders, particularly the proceeding described in section “</w:t>
      </w:r>
      <w:r>
        <w:rPr>
          <w:rFonts w:ascii="Times New Roman" w:cs="Times New Roman" w:eastAsia="Times New Roman" w:hAnsi="Times New Roman"/>
          <w:sz w:val="18"/>
          <w:szCs w:val="18"/>
          <w:i w:val="1"/>
          <w:iCs w:val="1"/>
          <w:color w:val="auto"/>
        </w:rPr>
        <w:t>11.12.2.7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Ladewig Proceedings</w:t>
      </w:r>
      <w:r>
        <w:rPr>
          <w:rFonts w:ascii="Times New Roman" w:cs="Times New Roman" w:eastAsia="Times New Roman" w:hAnsi="Times New Roman"/>
          <w:sz w:val="18"/>
          <w:szCs w:val="18"/>
          <w:color w:val="auto"/>
        </w:rPr>
        <w:t>”. As of September 30, 2025, these claims do not fulfill the criteria for recording a provision.</w:t>
      </w:r>
    </w:p>
    <w:p>
      <w:pPr>
        <w:spacing w:after="0" w:line="307"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i w:val="1"/>
          <w:iCs w:val="1"/>
          <w:color w:val="auto"/>
        </w:rPr>
        <w:t>9.12.5</w:t>
        <w:tab/>
        <w:t>Significant Accounting Judgments, Estimates and Assumption</w:t>
      </w:r>
    </w:p>
    <w:p>
      <w:pPr>
        <w:spacing w:after="0" w:line="119" w:lineRule="exact"/>
        <w:rPr>
          <w:sz w:val="20"/>
          <w:szCs w:val="20"/>
          <w:color w:val="auto"/>
        </w:rPr>
      </w:pPr>
    </w:p>
    <w:p>
      <w:pPr>
        <w:ind w:left="544" w:right="160"/>
        <w:spacing w:after="0" w:line="266" w:lineRule="auto"/>
        <w:rPr>
          <w:sz w:val="20"/>
          <w:szCs w:val="20"/>
          <w:color w:val="auto"/>
        </w:rPr>
      </w:pPr>
      <w:r>
        <w:rPr>
          <w:rFonts w:ascii="Times New Roman" w:cs="Times New Roman" w:eastAsia="Times New Roman" w:hAnsi="Times New Roman"/>
          <w:sz w:val="18"/>
          <w:szCs w:val="18"/>
          <w:color w:val="auto"/>
        </w:rPr>
        <w:t>Our significant accounting judgments, estimates and assumptions and accounting policies applied in the periods presented in this section are explained in Note 2 to our Q3 Unaudited Interim Condensed Consolidated Financial Statements and further discussed in Note 3 to our Audited Consolidated Financial Statements 2024.”</w:t>
      </w:r>
    </w:p>
    <w:p>
      <w:pPr>
        <w:spacing w:after="0" w:line="79" w:lineRule="exact"/>
        <w:rPr>
          <w:sz w:val="20"/>
          <w:szCs w:val="20"/>
          <w:color w:val="auto"/>
        </w:rPr>
      </w:pPr>
    </w:p>
    <w:p>
      <w:pPr>
        <w:ind w:left="544" w:hanging="544"/>
        <w:spacing w:after="0"/>
        <w:tabs>
          <w:tab w:leader="none" w:pos="5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section </w:t>
      </w:r>
      <w:r>
        <w:rPr>
          <w:rFonts w:ascii="Times New Roman" w:cs="Times New Roman" w:eastAsia="Times New Roman" w:hAnsi="Times New Roman"/>
          <w:sz w:val="18"/>
          <w:szCs w:val="18"/>
          <w:i w:val="1"/>
          <w:iCs w:val="1"/>
          <w:color w:val="auto"/>
        </w:rPr>
        <w:t>“10.2 Profit Forecast 2025 of Net Profit / (Loss)</w:t>
      </w:r>
      <w:r>
        <w:rPr>
          <w:rFonts w:ascii="Times New Roman" w:cs="Times New Roman" w:eastAsia="Times New Roman" w:hAnsi="Times New Roman"/>
          <w:sz w:val="18"/>
          <w:szCs w:val="18"/>
          <w:color w:val="auto"/>
        </w:rPr>
        <w:t>” on page 235 of the Prospectus, the text shall be replaced by the following text:</w:t>
      </w:r>
    </w:p>
    <w:p>
      <w:pPr>
        <w:spacing w:after="0" w:line="119" w:lineRule="exact"/>
        <w:rPr>
          <w:rFonts w:ascii="Times New Roman" w:cs="Times New Roman" w:eastAsia="Times New Roman" w:hAnsi="Times New Roman"/>
          <w:sz w:val="18"/>
          <w:szCs w:val="18"/>
          <w:color w:val="auto"/>
        </w:rPr>
      </w:pPr>
    </w:p>
    <w:p>
      <w:pPr>
        <w:ind w:left="544"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press release dated November 3, 2025 on the publication of its financial results for the three and nine months ended September 30, 2025, the Company stated that: “The Company does not expect to report a positive net income figure for the 2025 financial year”.</w:t>
      </w:r>
    </w:p>
    <w:p>
      <w:pPr>
        <w:spacing w:after="0" w:line="53" w:lineRule="exact"/>
        <w:rPr>
          <w:rFonts w:ascii="Times New Roman" w:cs="Times New Roman" w:eastAsia="Times New Roman" w:hAnsi="Times New Roman"/>
          <w:sz w:val="18"/>
          <w:szCs w:val="18"/>
          <w:color w:val="auto"/>
        </w:rPr>
      </w:pPr>
    </w:p>
    <w:p>
      <w:pPr>
        <w:ind w:left="544"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current development of the year 2025, the Company confirms that it does not expect to report a positive net profit / (loss) figure for the year 2025.”</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18" w:name="page19"/>
    <w:bookmarkEnd w:id="18"/>
    <w:p>
      <w:pPr>
        <w:ind w:left="544" w:right="340" w:hanging="544"/>
        <w:spacing w:after="0" w:line="324" w:lineRule="auto"/>
        <w:tabs>
          <w:tab w:leader="none" w:pos="5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section “</w:t>
      </w:r>
      <w:r>
        <w:rPr>
          <w:rFonts w:ascii="Times New Roman" w:cs="Times New Roman" w:eastAsia="Times New Roman" w:hAnsi="Times New Roman"/>
          <w:sz w:val="18"/>
          <w:szCs w:val="18"/>
          <w:i w:val="1"/>
          <w:iCs w:val="1"/>
          <w:color w:val="auto"/>
        </w:rPr>
        <w:t>10.3.1 Basis of Preparation</w:t>
      </w:r>
      <w:r>
        <w:rPr>
          <w:rFonts w:ascii="Times New Roman" w:cs="Times New Roman" w:eastAsia="Times New Roman" w:hAnsi="Times New Roman"/>
          <w:sz w:val="18"/>
          <w:szCs w:val="18"/>
          <w:color w:val="auto"/>
        </w:rPr>
        <w:t>” beginning on page 235 of the Prospectus, the first paragraph shall be replaced by the following text: “The Profit Forecast 2025 has been compiled based on the factors and assumptions stated below and prepared on a basis which is both</w:t>
      </w:r>
    </w:p>
    <w:p>
      <w:pPr>
        <w:spacing w:after="0" w:line="1" w:lineRule="exact"/>
        <w:rPr>
          <w:rFonts w:ascii="Times New Roman" w:cs="Times New Roman" w:eastAsia="Times New Roman" w:hAnsi="Times New Roman"/>
          <w:sz w:val="18"/>
          <w:szCs w:val="18"/>
          <w:color w:val="auto"/>
        </w:rPr>
      </w:pPr>
    </w:p>
    <w:p>
      <w:pPr>
        <w:ind w:left="544" w:right="60" w:firstLine="7"/>
        <w:spacing w:after="0" w:line="269" w:lineRule="auto"/>
        <w:tabs>
          <w:tab w:leader="none" w:pos="759"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comparable with the historical financial information of the Group, and (ii) consistent with the Group’s accounting policies. The Group’s significant accounting policies are disclosed in (a) the audited consolidated financial statements of the Company as of and for the year ended December 31, 2024 prepared in accordance with IFRS Accounting Standards as issued by the International Accounting Standards Board (IASB) and adopted by the EU and the additional requirements of German commercial law pursuant to Section 315e para. 3 in conjunction with para. 1 German Commercial Code </w:t>
      </w:r>
      <w:r>
        <w:rPr>
          <w:rFonts w:ascii="Times New Roman" w:cs="Times New Roman" w:eastAsia="Times New Roman" w:hAnsi="Times New Roman"/>
          <w:sz w:val="17"/>
          <w:szCs w:val="17"/>
          <w:i w:val="1"/>
          <w:iCs w:val="1"/>
          <w:color w:val="auto"/>
        </w:rPr>
        <w:t>(Handelsgesetzbuch</w:t>
      </w:r>
      <w:r>
        <w:rPr>
          <w:rFonts w:ascii="Times New Roman" w:cs="Times New Roman" w:eastAsia="Times New Roman" w:hAnsi="Times New Roman"/>
          <w:sz w:val="17"/>
          <w:szCs w:val="17"/>
          <w:color w:val="auto"/>
        </w:rPr>
        <w:t>) and (b) the unaudited interim condensed consolidated financial statements of the Company as of and for the three and nine months ended September 30, 2025, prepared in accordance with IFRS Accounting Standards applicable to interim financial reporting (IAS 34) as issued by the International Accounting Standards Board (IASB) and adopted by the European Union.”</w:t>
      </w:r>
    </w:p>
    <w:p>
      <w:pPr>
        <w:spacing w:after="0" w:line="79"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10.3.2.2.1 Revenues</w:t>
      </w:r>
      <w:r>
        <w:rPr>
          <w:rFonts w:ascii="Times New Roman" w:cs="Times New Roman" w:eastAsia="Times New Roman" w:hAnsi="Times New Roman"/>
          <w:sz w:val="18"/>
          <w:szCs w:val="18"/>
          <w:color w:val="auto"/>
        </w:rPr>
        <w:t>” on page 238 of the Prospectus, the second and third paragraph shall be replaced by the following text:</w:t>
      </w:r>
    </w:p>
    <w:p>
      <w:pPr>
        <w:spacing w:after="0" w:line="119" w:lineRule="exact"/>
        <w:rPr>
          <w:rFonts w:ascii="Times New Roman" w:cs="Times New Roman" w:eastAsia="Times New Roman" w:hAnsi="Times New Roman"/>
          <w:sz w:val="18"/>
          <w:szCs w:val="18"/>
          <w:color w:val="auto"/>
        </w:rPr>
      </w:pPr>
    </w:p>
    <w:p>
      <w:pPr>
        <w:ind w:left="5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COVID-19 vaccine-related revenues, the Company assumes to generate further revenues, including from the framework agreement signed with the Federal Republic of Germany on pandemic preparedness, the production and supply of mRNA-based vaccines, and revenues from the service business, including by our subsidiaries InstaDeep Ltd, JPT Peptide Technologies GmbH, and BioNTech Individualized mRNA Manufacturing GmbH as well as revenues from out-licensing under a collaboration agreement.</w:t>
      </w:r>
    </w:p>
    <w:p>
      <w:pPr>
        <w:spacing w:after="0" w:line="71" w:lineRule="exact"/>
        <w:rPr>
          <w:rFonts w:ascii="Times New Roman" w:cs="Times New Roman" w:eastAsia="Times New Roman" w:hAnsi="Times New Roman"/>
          <w:sz w:val="18"/>
          <w:szCs w:val="18"/>
          <w:color w:val="auto"/>
        </w:rPr>
      </w:pPr>
    </w:p>
    <w:p>
      <w:pPr>
        <w:ind w:left="544" w:right="2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Profit Forecast 2025, the Company assumed revenues to amount to between €2.6 billion and €2.8 billion in year 2025 and mainly include commercial sales from our COVID-19 vaccine business as well as revenues from a collaboration agreement.”</w:t>
      </w:r>
    </w:p>
    <w:p>
      <w:pPr>
        <w:spacing w:after="0" w:line="65" w:lineRule="exact"/>
        <w:rPr>
          <w:rFonts w:ascii="Times New Roman" w:cs="Times New Roman" w:eastAsia="Times New Roman" w:hAnsi="Times New Roman"/>
          <w:sz w:val="18"/>
          <w:szCs w:val="18"/>
          <w:color w:val="auto"/>
        </w:rPr>
      </w:pPr>
    </w:p>
    <w:p>
      <w:pPr>
        <w:ind w:left="544" w:right="100" w:hanging="544"/>
        <w:spacing w:after="0" w:line="284" w:lineRule="auto"/>
        <w:tabs>
          <w:tab w:leader="none" w:pos="5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10.3.2.2.2 Research and Development Expenses</w:t>
      </w:r>
      <w:r>
        <w:rPr>
          <w:rFonts w:ascii="Times New Roman" w:cs="Times New Roman" w:eastAsia="Times New Roman" w:hAnsi="Times New Roman"/>
          <w:sz w:val="18"/>
          <w:szCs w:val="18"/>
          <w:color w:val="auto"/>
        </w:rPr>
        <w:t>” on page 238 of the Prospectus, the second and third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44" w:right="6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the financial year 2025, we expect to make significant progress in several clinical studies in the oncology pipeline, such as our key clinical product candidate BNT327. We anticipate to continue using the potential of our pipeline and focus investments in research and development for late-stage development in oncology. We also intend continuing to develop our COVID-19 vaccine, including in combination with flu protection. Overall, in focus areas, we expect to increase our expenditure on research and development while, in line with our cost-conscious portfolio optimization strategy, we expect to reduce it outside our focus area. For purposes of the Profit Forecast 2025, we have assumed research and development expenses being impacted by an impairment of a product candidate due to a revision of our commercial forecast assumptions but do not assume any further impairments. Furthermore, we assume that jointly shared development and manufacturing costs under a collaboration agreement will result in reimbursements for research and development cost which will be offset against research and development expenses.</w:t>
      </w:r>
    </w:p>
    <w:p>
      <w:pPr>
        <w:spacing w:after="0" w:line="63" w:lineRule="exact"/>
        <w:rPr>
          <w:rFonts w:ascii="Times New Roman" w:cs="Times New Roman" w:eastAsia="Times New Roman" w:hAnsi="Times New Roman"/>
          <w:sz w:val="18"/>
          <w:szCs w:val="18"/>
          <w:color w:val="auto"/>
        </w:rPr>
      </w:pPr>
    </w:p>
    <w:p>
      <w:pPr>
        <w:ind w:left="544"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Profit Forecast 2025, the Company assumed research and development expenses for the financial year 2025 to amount to between €2.0 billion and €2.2 billion.”</w:t>
      </w:r>
    </w:p>
    <w:p>
      <w:pPr>
        <w:spacing w:after="0" w:line="65" w:lineRule="exact"/>
        <w:rPr>
          <w:rFonts w:ascii="Times New Roman" w:cs="Times New Roman" w:eastAsia="Times New Roman" w:hAnsi="Times New Roman"/>
          <w:sz w:val="18"/>
          <w:szCs w:val="18"/>
          <w:color w:val="auto"/>
        </w:rPr>
      </w:pPr>
    </w:p>
    <w:p>
      <w:pPr>
        <w:ind w:left="544" w:right="560" w:hanging="544"/>
        <w:spacing w:after="0" w:line="284" w:lineRule="auto"/>
        <w:tabs>
          <w:tab w:leader="none" w:pos="5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10.3.2.2.3 Sales, General and Administrative Expenses</w:t>
      </w:r>
      <w:r>
        <w:rPr>
          <w:rFonts w:ascii="Times New Roman" w:cs="Times New Roman" w:eastAsia="Times New Roman" w:hAnsi="Times New Roman"/>
          <w:sz w:val="18"/>
          <w:szCs w:val="18"/>
          <w:color w:val="auto"/>
        </w:rPr>
        <w:t>” beginning on page 238 of the Prospectus, the third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44" w:righ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Profit Forecast 2025, the Company assumed combined sales and marketing expenses plus general and administrative expenses in the financial year 2025 to amount to between €550.0 million and €650.0 million.”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68" w:right="459" w:bottom="1440" w:gutter="0" w:footer="0" w:header="0"/>
        </w:sectPr>
      </w:pPr>
    </w:p>
    <w:bookmarkStart w:id="19" w:name="page20"/>
    <w:bookmarkEnd w:id="19"/>
    <w:p>
      <w:pPr>
        <w:ind w:left="544" w:hanging="544"/>
        <w:spacing w:after="0"/>
        <w:tabs>
          <w:tab w:leader="none" w:pos="5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section “</w:t>
      </w:r>
      <w:r>
        <w:rPr>
          <w:rFonts w:ascii="Times New Roman" w:cs="Times New Roman" w:eastAsia="Times New Roman" w:hAnsi="Times New Roman"/>
          <w:sz w:val="18"/>
          <w:szCs w:val="18"/>
          <w:i w:val="1"/>
          <w:iCs w:val="1"/>
          <w:color w:val="auto"/>
        </w:rPr>
        <w:t>10.3.3 Other Explanatory Notes</w:t>
      </w:r>
      <w:r>
        <w:rPr>
          <w:rFonts w:ascii="Times New Roman" w:cs="Times New Roman" w:eastAsia="Times New Roman" w:hAnsi="Times New Roman"/>
          <w:sz w:val="18"/>
          <w:szCs w:val="18"/>
          <w:color w:val="auto"/>
        </w:rPr>
        <w:t>” on page 239 of the Prospectus, the third paragraph shall be replaced by the following text:</w:t>
      </w:r>
    </w:p>
    <w:p>
      <w:pPr>
        <w:spacing w:after="0" w:line="119" w:lineRule="exact"/>
        <w:rPr>
          <w:rFonts w:ascii="Times New Roman" w:cs="Times New Roman" w:eastAsia="Times New Roman" w:hAnsi="Times New Roman"/>
          <w:sz w:val="18"/>
          <w:szCs w:val="18"/>
          <w:color w:val="auto"/>
        </w:rPr>
      </w:pPr>
    </w:p>
    <w:p>
      <w:pPr>
        <w:ind w:left="5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Profit Forecast 2025 was prepared solely for the inclusion in this Prospectus and represents the best estimates of the Management Board as of November 3, 2025 and is still valid as of November 11, 2025.”</w:t>
      </w:r>
    </w:p>
    <w:p>
      <w:pPr>
        <w:spacing w:after="0" w:line="65" w:lineRule="exact"/>
        <w:rPr>
          <w:rFonts w:ascii="Times New Roman" w:cs="Times New Roman" w:eastAsia="Times New Roman" w:hAnsi="Times New Roman"/>
          <w:sz w:val="18"/>
          <w:szCs w:val="18"/>
          <w:color w:val="auto"/>
        </w:rPr>
      </w:pPr>
    </w:p>
    <w:p>
      <w:pPr>
        <w:ind w:left="544" w:hanging="544"/>
        <w:spacing w:after="0" w:line="284" w:lineRule="auto"/>
        <w:tabs>
          <w:tab w:leader="none" w:pos="5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11.3.1.4 Regulatory Updates</w:t>
      </w:r>
      <w:r>
        <w:rPr>
          <w:rFonts w:ascii="Times New Roman" w:cs="Times New Roman" w:eastAsia="Times New Roman" w:hAnsi="Times New Roman"/>
          <w:sz w:val="18"/>
          <w:szCs w:val="18"/>
          <w:color w:val="auto"/>
        </w:rPr>
        <w:t>” beginning on page 246 of the Prospectus, after the last bullet of the list in sub-section “</w:t>
      </w:r>
      <w:r>
        <w:rPr>
          <w:rFonts w:ascii="Times New Roman" w:cs="Times New Roman" w:eastAsia="Times New Roman" w:hAnsi="Times New Roman"/>
          <w:sz w:val="18"/>
          <w:szCs w:val="18"/>
          <w:i w:val="1"/>
          <w:iCs w:val="1"/>
          <w:color w:val="auto"/>
        </w:rPr>
        <w:t>Omicron LP.8.1-adapted monovalent COVID-19 vaccine</w:t>
      </w:r>
      <w:r>
        <w:rPr>
          <w:rFonts w:ascii="Times New Roman" w:cs="Times New Roman" w:eastAsia="Times New Roman" w:hAnsi="Times New Roman"/>
          <w:sz w:val="18"/>
          <w:szCs w:val="18"/>
          <w:color w:val="auto"/>
        </w:rPr>
        <w:t>.” beginning on page 247 of the Prospectus, the following bullet shall be added:</w:t>
      </w:r>
    </w:p>
    <w:p>
      <w:pPr>
        <w:sectPr>
          <w:pgSz w:w="11900" w:h="16838" w:orient="portrait"/>
          <w:cols w:equalWidth="0" w:num="1">
            <w:col w:w="11004"/>
          </w:cols>
          <w:pgMar w:left="436" w:top="268" w:right="459" w:bottom="1440" w:gutter="0" w:footer="0" w:header="0"/>
        </w:sectPr>
      </w:pPr>
    </w:p>
    <w:p>
      <w:pPr>
        <w:spacing w:after="0" w:line="66" w:lineRule="exact"/>
        <w:rPr>
          <w:sz w:val="20"/>
          <w:szCs w:val="20"/>
          <w:color w:val="auto"/>
        </w:rPr>
      </w:pPr>
    </w:p>
    <w:p>
      <w:pPr>
        <w:jc w:val="center"/>
        <w:ind w:left="544"/>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Ahead of the 2025-2026 COVID-19 vaccination season, we initiated a Phase 3 (NCT07069309) study to investigate the safety, tolerability, and immunogenicity of our LP.8.1-adapted COVID-19 vaccine in adults 65 and older and adults aged 18 through 64 with at least one underlying risk condition for severe COVID-19. In September 2025, we announced positive topline results from the Phase 3 trial. The preliminary data show a robust increase in neutralizing antibodies targeting the LP.8.1 sublineage of SARS-CoV-2 following vaccination. The safety profile of the vaccine was consistent with previous studies, with no new safety concerns identified.”</w:t>
      </w:r>
    </w:p>
    <w:p>
      <w:pPr>
        <w:spacing w:after="0" w:line="87" w:lineRule="exact"/>
        <w:rPr>
          <w:sz w:val="20"/>
          <w:szCs w:val="20"/>
          <w:color w:val="auto"/>
        </w:rPr>
      </w:pPr>
    </w:p>
    <w:p>
      <w:pPr>
        <w:sectPr>
          <w:pgSz w:w="11900" w:h="16838" w:orient="portrait"/>
          <w:cols w:equalWidth="0" w:num="2">
            <w:col w:w="684" w:space="500"/>
            <w:col w:w="9820"/>
          </w:cols>
          <w:pgMar w:left="436" w:top="268" w:right="459" w:bottom="1440" w:gutter="0" w:footer="0" w:header="0"/>
          <w:type w:val="continuous"/>
        </w:sectPr>
      </w:pPr>
    </w:p>
    <w:p>
      <w:pPr>
        <w:ind w:left="544" w:right="300" w:hanging="544"/>
        <w:spacing w:after="0" w:line="284"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BNT111 in Advanced Melanoma</w:t>
      </w:r>
      <w:r>
        <w:rPr>
          <w:rFonts w:ascii="Times New Roman" w:cs="Times New Roman" w:eastAsia="Times New Roman" w:hAnsi="Times New Roman"/>
          <w:sz w:val="18"/>
          <w:szCs w:val="18"/>
          <w:color w:val="auto"/>
        </w:rPr>
        <w:t>” beginning on page 250 of the Prospectus, the third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4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data from this trial were presented at the 2025 ESMO Congress. As previously disclosed in August 2024, the trial met its primary efficacy outcome measure, demonstrating a statistically significant improvement in ORR in patients treated with BNT111 in combination with cemiplimab, as compared to a historical control. The data showed that the combination of BNT111 and cemiplimab induced anti-tumor responses that were deep and durable and a manageable safety profile for BNT111 as a single agent and in combination. Follow up showed a positive impact on long-term survival: 37% of patients were still alive at 24 months, 21% were free of tumor progression. In addition, follow-up data showed a positive trend towards improved long-term survival for the combination of BNT111 and cemiplimab. No further development of BNT111 in advanced melanoma is currently planned.”</w:t>
      </w:r>
    </w:p>
    <w:p>
      <w:pPr>
        <w:spacing w:after="0" w:line="92" w:lineRule="exact"/>
        <w:rPr>
          <w:rFonts w:ascii="Times New Roman" w:cs="Times New Roman" w:eastAsia="Times New Roman" w:hAnsi="Times New Roman"/>
          <w:sz w:val="18"/>
          <w:szCs w:val="18"/>
          <w:color w:val="auto"/>
        </w:rPr>
      </w:pPr>
    </w:p>
    <w:p>
      <w:pPr>
        <w:ind w:left="544" w:right="620" w:hanging="544"/>
        <w:spacing w:after="0" w:line="284"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BNT116 in Advanced Non-small Cell Lung Cancer, or “NSCLC</w:t>
      </w:r>
      <w:r>
        <w:rPr>
          <w:rFonts w:ascii="Times New Roman" w:cs="Times New Roman" w:eastAsia="Times New Roman" w:hAnsi="Times New Roman"/>
          <w:sz w:val="18"/>
          <w:szCs w:val="18"/>
          <w:color w:val="auto"/>
        </w:rPr>
        <w:t>”” on page 251 of the Prospectus, the third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44" w:right="4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 clinical trial (LuCa-MERIT-1; NCT05142189) is being conducted to evaluate the safety, tolerability and preliminary efficacy of BNT116 as monotherapy and in several combinations including with chemotherapy, cemiplimab, and some of our proprietary assets across various treatment lines and clinical settings in patients with NSCLC. In May 2025, the first patient was dosed in a new cohort evaluating BNT116 in combination with our and DualityBio’s B7-H3 antibody-drug conjugate, BNT324/DB-1311.”</w:t>
      </w:r>
    </w:p>
    <w:p>
      <w:pPr>
        <w:spacing w:after="0" w:line="83" w:lineRule="exact"/>
        <w:rPr>
          <w:rFonts w:ascii="Times New Roman" w:cs="Times New Roman" w:eastAsia="Times New Roman" w:hAnsi="Times New Roman"/>
          <w:sz w:val="18"/>
          <w:szCs w:val="18"/>
          <w:color w:val="auto"/>
        </w:rPr>
      </w:pPr>
    </w:p>
    <w:p>
      <w:pPr>
        <w:ind w:left="544" w:right="460" w:hanging="544"/>
        <w:spacing w:after="0" w:line="284" w:lineRule="auto"/>
        <w:tabs>
          <w:tab w:leader="none" w:pos="5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Phase 2 Clinical Trial in First-line Advanced Melanoma</w:t>
      </w:r>
      <w:r>
        <w:rPr>
          <w:rFonts w:ascii="Times New Roman" w:cs="Times New Roman" w:eastAsia="Times New Roman" w:hAnsi="Times New Roman"/>
          <w:sz w:val="18"/>
          <w:szCs w:val="18"/>
          <w:color w:val="auto"/>
        </w:rPr>
        <w:t>” beginning on page 254 of the Prospectus, the third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data from this trial including exploratory endpoints and biomarker correlations were presented at the 2025 European Society For Medical Oncology, or ESMO, Congress. In addition to the previous disclosure, data showed that autogene cevumeran induced durable immune responses against the encoded neoantigens that persisted for up to 1.5 years after treatment completion in the majority of evaluable patients. In the combination arm, the breadth of immune response correlated with a prolonged PFS. Further translational data showed a trend of improved OS in the combination arm compared to pembrolizumab monotherapy in patients with low tumor mutational burden, a population that usually responds poorly to checkpoint inhibitor treatment, and in tumors where immune-cell PD-L1 was high. These data support the immunological mechanism of our mRNA cancer immunotherapy approach and our therapeutic strategy to pursue autogene cevumeran to address the unmet medical need in the treatment of resectable cancers as well as in adjuvant or minimal residual disease treatment settings. These settings are characterized by lower tumor burden and heterogeneity, alongside higher T cell proficiency, which aligns with the focus of our ongoing randomized Phase 2 trials in colorectal, pancreatic, and bladder cancer.”</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8" w:right="459" w:bottom="1440" w:gutter="0" w:footer="0" w:header="0"/>
          <w:type w:val="continuous"/>
        </w:sectPr>
      </w:pPr>
    </w:p>
    <w:bookmarkStart w:id="20" w:name="page21"/>
    <w:bookmarkEnd w:id="20"/>
    <w:p>
      <w:pPr>
        <w:ind w:left="544" w:right="300" w:hanging="544"/>
        <w:spacing w:after="0" w:line="284"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section “</w:t>
      </w:r>
      <w:r>
        <w:rPr>
          <w:rFonts w:ascii="Times New Roman" w:cs="Times New Roman" w:eastAsia="Times New Roman" w:hAnsi="Times New Roman"/>
          <w:sz w:val="18"/>
          <w:szCs w:val="18"/>
          <w:i w:val="1"/>
          <w:iCs w:val="1"/>
          <w:color w:val="auto"/>
        </w:rPr>
        <w:t>i) BNT327, a Bispecific Antibody Candidate Targeting PD-L1 and VEGF-A</w:t>
      </w:r>
      <w:r>
        <w:rPr>
          <w:rFonts w:ascii="Times New Roman" w:cs="Times New Roman" w:eastAsia="Times New Roman" w:hAnsi="Times New Roman"/>
          <w:sz w:val="18"/>
          <w:szCs w:val="18"/>
          <w:color w:val="auto"/>
        </w:rPr>
        <w:t>” beginning on page 256 of the Prospectus, the second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44"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“BNT327 is currently being evaluated in multiple Phase 2 and Phase 3 global and China-only clinical trials to assess its efficacy and safety as monotherapy or in combination with chemotherapy in various indications. BNT327 is also being evaluated in combination with next-generation ADC candidates BNT323/DB-1303, BNT324/DB13-11, BNT325/DB-1305, BNT326/YL202, BNT3212, and in combination with bispecific candidates BNT3213 and BNT314/GEN1059.”</w:t>
      </w:r>
    </w:p>
    <w:p>
      <w:pPr>
        <w:spacing w:after="0" w:line="83" w:lineRule="exact"/>
        <w:rPr>
          <w:rFonts w:ascii="Times New Roman" w:cs="Times New Roman" w:eastAsia="Times New Roman" w:hAnsi="Times New Roman"/>
          <w:sz w:val="18"/>
          <w:szCs w:val="18"/>
          <w:color w:val="auto"/>
        </w:rPr>
      </w:pPr>
    </w:p>
    <w:p>
      <w:pPr>
        <w:ind w:left="544" w:right="280" w:hanging="544"/>
        <w:spacing w:after="0" w:line="284"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Ongoing Phase 2 Clinical Trial in ES-SCLC</w:t>
      </w:r>
      <w:r>
        <w:rPr>
          <w:rFonts w:ascii="Times New Roman" w:cs="Times New Roman" w:eastAsia="Times New Roman" w:hAnsi="Times New Roman"/>
          <w:sz w:val="18"/>
          <w:szCs w:val="18"/>
          <w:color w:val="auto"/>
        </w:rPr>
        <w:t>” beginning on page 256 of the Prospectus, the text shall be replaced by the following text:</w:t>
      </w:r>
    </w:p>
    <w:p>
      <w:pPr>
        <w:spacing w:after="0" w:line="52" w:lineRule="exact"/>
        <w:rPr>
          <w:rFonts w:ascii="Times New Roman" w:cs="Times New Roman" w:eastAsia="Times New Roman" w:hAnsi="Times New Roman"/>
          <w:sz w:val="18"/>
          <w:szCs w:val="18"/>
          <w:color w:val="auto"/>
        </w:rPr>
      </w:pPr>
    </w:p>
    <w:p>
      <w:pPr>
        <w:ind w:left="544"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2 clinical trial (NCT06449209) is being conducted to evaluate BNT327 in combination with chemotherapy in patients with untreated ES-SCLC and in patients with SCLC that progressed after first- or second-line treatment. The trial is fully enrolled and treatment is ongoing.</w:t>
      </w:r>
    </w:p>
    <w:p>
      <w:pPr>
        <w:spacing w:after="0" w:line="53" w:lineRule="exact"/>
        <w:rPr>
          <w:rFonts w:ascii="Times New Roman" w:cs="Times New Roman" w:eastAsia="Times New Roman" w:hAnsi="Times New Roman"/>
          <w:sz w:val="18"/>
          <w:szCs w:val="18"/>
          <w:color w:val="auto"/>
        </w:rPr>
      </w:pPr>
    </w:p>
    <w:p>
      <w:pPr>
        <w:ind w:left="544"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interim data from this trial were presented at the IASLC 2025 WCLC. The data, which are consistent with data presented at European Lung Cancer Congress, or ELCC, 2025 from a Phase 2 clinical trial conducted in China (NCT05844150), showed encouraging anti-tumor responses and progression free survival with a positive trend in the secondary endpoint progression free survival. Pumitamig plus chemotherapy demonstrated a manageable safety profile with no new safety signals and a low discontinuation rate.”</w:t>
      </w:r>
    </w:p>
    <w:p>
      <w:pPr>
        <w:spacing w:after="0" w:line="83" w:lineRule="exact"/>
        <w:rPr>
          <w:rFonts w:ascii="Times New Roman" w:cs="Times New Roman" w:eastAsia="Times New Roman" w:hAnsi="Times New Roman"/>
          <w:sz w:val="18"/>
          <w:szCs w:val="18"/>
          <w:color w:val="auto"/>
        </w:rPr>
      </w:pPr>
    </w:p>
    <w:p>
      <w:pPr>
        <w:ind w:left="544" w:hanging="544"/>
        <w:spacing w:after="0" w:line="267"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section </w:t>
      </w:r>
      <w:r>
        <w:rPr>
          <w:rFonts w:ascii="Times New Roman" w:cs="Times New Roman" w:eastAsia="Times New Roman" w:hAnsi="Times New Roman"/>
          <w:sz w:val="18"/>
          <w:szCs w:val="18"/>
          <w:i w:val="1"/>
          <w:iCs w:val="1"/>
          <w:color w:val="auto"/>
        </w:rPr>
        <w:t>“i) BNT327, a Bispecific Antibody Candidate Targeting PD-L1 and VEGF-A</w:t>
      </w:r>
      <w:r>
        <w:rPr>
          <w:rFonts w:ascii="Times New Roman" w:cs="Times New Roman" w:eastAsia="Times New Roman" w:hAnsi="Times New Roman"/>
          <w:sz w:val="18"/>
          <w:szCs w:val="18"/>
          <w:color w:val="auto"/>
        </w:rPr>
        <w:t xml:space="preserve">” beginning on page 256 of the Prospectus, the following sections </w:t>
      </w:r>
      <w:r>
        <w:rPr>
          <w:rFonts w:ascii="Times New Roman" w:cs="Times New Roman" w:eastAsia="Times New Roman" w:hAnsi="Times New Roman"/>
          <w:sz w:val="18"/>
          <w:szCs w:val="18"/>
          <w:i w:val="1"/>
          <w:iCs w:val="1"/>
          <w:color w:val="auto"/>
        </w:rPr>
        <w:t>“Phase 2/3 Clinical Trial in Metastatic First-Line CRC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Phase 2/3 Clinical Trial in Metastatic First-Line Gastric Cancer</w:t>
      </w:r>
      <w:r>
        <w:rPr>
          <w:rFonts w:ascii="Times New Roman" w:cs="Times New Roman" w:eastAsia="Times New Roman" w:hAnsi="Times New Roman"/>
          <w:sz w:val="18"/>
          <w:szCs w:val="18"/>
          <w:color w:val="auto"/>
        </w:rPr>
        <w:t>” shall be inserted after the sub-section “</w:t>
      </w:r>
      <w:r>
        <w:rPr>
          <w:rFonts w:ascii="Times New Roman" w:cs="Times New Roman" w:eastAsia="Times New Roman" w:hAnsi="Times New Roman"/>
          <w:sz w:val="18"/>
          <w:szCs w:val="18"/>
          <w:i w:val="1"/>
          <w:iCs w:val="1"/>
          <w:color w:val="auto"/>
        </w:rPr>
        <w:t>Ongoing Phase 1/2 Clinical Trial in Locally Advanced/Metastatic TNBC</w:t>
      </w:r>
      <w:r>
        <w:rPr>
          <w:rFonts w:ascii="Times New Roman" w:cs="Times New Roman" w:eastAsia="Times New Roman" w:hAnsi="Times New Roman"/>
          <w:sz w:val="18"/>
          <w:szCs w:val="18"/>
          <w:color w:val="auto"/>
        </w:rPr>
        <w:t>” on page 258 of the Prospectus:</w:t>
      </w:r>
    </w:p>
    <w:p>
      <w:pPr>
        <w:spacing w:after="0" w:line="65"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Phase 2/3 Clinical Trial in Metastatic First-Line CRC</w:t>
      </w:r>
    </w:p>
    <w:p>
      <w:pPr>
        <w:spacing w:after="0" w:line="119" w:lineRule="exact"/>
        <w:rPr>
          <w:rFonts w:ascii="Times New Roman" w:cs="Times New Roman" w:eastAsia="Times New Roman" w:hAnsi="Times New Roman"/>
          <w:sz w:val="18"/>
          <w:szCs w:val="18"/>
          <w:color w:val="auto"/>
        </w:rPr>
      </w:pPr>
    </w:p>
    <w:p>
      <w:pPr>
        <w:ind w:left="544"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Phase 2/3 clinical trial (ROSETTA CRC-203; NCT07221357) in patients with first-line MSS, MSI-L/pMMR metastatic CRC is planned.</w:t>
      </w:r>
    </w:p>
    <w:p>
      <w:pPr>
        <w:spacing w:after="0" w:line="51"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2/3 Clinical Trial in Metastatic First-Line Gastric Cancer</w:t>
      </w:r>
    </w:p>
    <w:p>
      <w:pPr>
        <w:spacing w:after="0" w:line="119"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Phase 2/3 clinical trial (ROSETTA Gastric-204; NCT07221149) in patients with first-line metastatic gastric cancer is planned.”</w:t>
      </w:r>
    </w:p>
    <w:p>
      <w:pPr>
        <w:spacing w:after="0" w:line="128" w:lineRule="exact"/>
        <w:rPr>
          <w:rFonts w:ascii="Times New Roman" w:cs="Times New Roman" w:eastAsia="Times New Roman" w:hAnsi="Times New Roman"/>
          <w:sz w:val="18"/>
          <w:szCs w:val="18"/>
          <w:color w:val="auto"/>
        </w:rPr>
      </w:pPr>
    </w:p>
    <w:p>
      <w:pPr>
        <w:ind w:left="544" w:right="260" w:hanging="544"/>
        <w:spacing w:after="0" w:line="284"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Ongoing Phase 3 Clinical Trial in Metastatic Squamous NSCLC</w:t>
      </w:r>
      <w:r>
        <w:rPr>
          <w:rFonts w:ascii="Times New Roman" w:cs="Times New Roman" w:eastAsia="Times New Roman" w:hAnsi="Times New Roman"/>
          <w:sz w:val="18"/>
          <w:szCs w:val="18"/>
          <w:color w:val="auto"/>
        </w:rPr>
        <w:t>” on page 260 of the Prospectus, the following text shall be added after the end of the sub-section:</w:t>
      </w:r>
    </w:p>
    <w:p>
      <w:pPr>
        <w:spacing w:after="0" w:line="52" w:lineRule="exact"/>
        <w:rPr>
          <w:rFonts w:ascii="Times New Roman" w:cs="Times New Roman" w:eastAsia="Times New Roman" w:hAnsi="Times New Roman"/>
          <w:sz w:val="18"/>
          <w:szCs w:val="18"/>
          <w:color w:val="auto"/>
        </w:rPr>
      </w:pPr>
    </w:p>
    <w:p>
      <w:pPr>
        <w:ind w:left="544"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China’s National Medical Product Administration (NMPA) granted Breakthrough Therapy Designation for gotistobart for the treatment of patients with squamous non-small cell lung cancer (sqNSCLC) who have progressed on prior standard immuno-oncology therapies.”</w:t>
      </w:r>
    </w:p>
    <w:p>
      <w:pPr>
        <w:spacing w:after="0" w:line="79" w:lineRule="exact"/>
        <w:rPr>
          <w:rFonts w:ascii="Times New Roman" w:cs="Times New Roman" w:eastAsia="Times New Roman" w:hAnsi="Times New Roman"/>
          <w:sz w:val="18"/>
          <w:szCs w:val="18"/>
          <w:color w:val="auto"/>
        </w:rPr>
      </w:pPr>
    </w:p>
    <w:p>
      <w:pPr>
        <w:ind w:left="544" w:right="320" w:hanging="544"/>
        <w:spacing w:after="0" w:line="284" w:lineRule="auto"/>
        <w:tabs>
          <w:tab w:leader="none" w:pos="5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iv) BNT312/GEN1042, BNT314/GEN1059, BNT315/GEN1055 and BNT322/GEN1056 are being developed in collaboration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Genmab</w:t>
      </w:r>
      <w:r>
        <w:rPr>
          <w:rFonts w:ascii="Times New Roman" w:cs="Times New Roman" w:eastAsia="Times New Roman" w:hAnsi="Times New Roman"/>
          <w:sz w:val="18"/>
          <w:szCs w:val="18"/>
          <w:color w:val="auto"/>
        </w:rPr>
        <w:t>” beginning on page 261 of the Prospectus, the first sentence of the first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4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“BNT312/GEN1042 is a novel, agonistic, bispecific antibody candidate that combines targeting and conditional activation of the costimulatory molecules CD40 and 4-1BB on immune cells. The development program for BNT312/GEN1042 in combination with pembrolizumab and chemotherapy beyond the currently ongoing clinical trials has been discontinued. This is due to strategic evaluation of the development program within the context of BioNTech’s and Genmab’s portfolios. The companies reserve the option for future potential combination opportunities with BNT312/GEN1042.”</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8" w:right="459" w:bottom="1440" w:gutter="0" w:footer="0" w:header="0"/>
        </w:sectPr>
      </w:pPr>
    </w:p>
    <w:bookmarkStart w:id="21" w:name="page22"/>
    <w:bookmarkEnd w:id="21"/>
    <w:p>
      <w:pPr>
        <w:ind w:left="544" w:right="80" w:hanging="544"/>
        <w:spacing w:after="0" w:line="284" w:lineRule="auto"/>
        <w:tabs>
          <w:tab w:leader="none" w:pos="5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section “</w:t>
      </w:r>
      <w:r>
        <w:rPr>
          <w:rFonts w:ascii="Times New Roman" w:cs="Times New Roman" w:eastAsia="Times New Roman" w:hAnsi="Times New Roman"/>
          <w:sz w:val="18"/>
          <w:szCs w:val="18"/>
          <w:i w:val="1"/>
          <w:iCs w:val="1"/>
          <w:color w:val="auto"/>
        </w:rPr>
        <w:t>i) BNT323/DB-1303, an ADC in Development in Collaboration with DualityBio</w:t>
      </w:r>
      <w:r>
        <w:rPr>
          <w:rFonts w:ascii="Times New Roman" w:cs="Times New Roman" w:eastAsia="Times New Roman" w:hAnsi="Times New Roman"/>
          <w:sz w:val="18"/>
          <w:szCs w:val="18"/>
          <w:color w:val="auto"/>
        </w:rPr>
        <w:t>” beginning on page 262 of the Prospectus, the fifth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the first patient was dosed in a Phase 3 trial (NCT06340568) to evaluate BNT323/DB-1303 versus investigator’s choice of chemotherapy in approximately 504 patients with HER2-expressing recurrent endometrial cancer whose disease has progressed on at least one line of platinum-based therapy. The primary endpoint is PFS. Secondary endpoints include OS, ORR, DOR and safety.”</w:t>
      </w:r>
    </w:p>
    <w:p>
      <w:pPr>
        <w:spacing w:after="0" w:line="6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same section, the following text shall be added after the last paragraph:</w:t>
      </w:r>
    </w:p>
    <w:p>
      <w:pPr>
        <w:spacing w:after="0" w:line="117" w:lineRule="exact"/>
        <w:rPr>
          <w:rFonts w:ascii="Times New Roman" w:cs="Times New Roman" w:eastAsia="Times New Roman" w:hAnsi="Times New Roman"/>
          <w:sz w:val="18"/>
          <w:szCs w:val="18"/>
          <w:color w:val="auto"/>
        </w:rPr>
      </w:pPr>
    </w:p>
    <w:p>
      <w:pPr>
        <w:ind w:left="5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DualityBio continue discussions with the FDA and now plan to file a biologics license application in second line endometrial cancer in 2026, subject to regulatory feedback.”</w:t>
      </w:r>
    </w:p>
    <w:p>
      <w:pPr>
        <w:spacing w:after="0" w:line="65" w:lineRule="exact"/>
        <w:rPr>
          <w:rFonts w:ascii="Times New Roman" w:cs="Times New Roman" w:eastAsia="Times New Roman" w:hAnsi="Times New Roman"/>
          <w:sz w:val="18"/>
          <w:szCs w:val="18"/>
          <w:color w:val="auto"/>
        </w:rPr>
      </w:pPr>
    </w:p>
    <w:p>
      <w:pPr>
        <w:ind w:left="544" w:right="360" w:hanging="544"/>
        <w:spacing w:after="0" w:line="284" w:lineRule="auto"/>
        <w:tabs>
          <w:tab w:leader="none" w:pos="5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v) BNT329, an ADC for the Treatment of Advanced Solid Tumors</w:t>
      </w:r>
      <w:r>
        <w:rPr>
          <w:rFonts w:ascii="Times New Roman" w:cs="Times New Roman" w:eastAsia="Times New Roman" w:hAnsi="Times New Roman"/>
          <w:sz w:val="18"/>
          <w:szCs w:val="18"/>
          <w:color w:val="auto"/>
        </w:rPr>
        <w:t>” on page 263 of the Prospectus, the second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1/2 clinical trial (NCT07186842) to evaluate BNT329 in advanced solid tumors is planned.”</w:t>
      </w:r>
    </w:p>
    <w:p>
      <w:pPr>
        <w:spacing w:after="0" w:line="128" w:lineRule="exact"/>
        <w:rPr>
          <w:rFonts w:ascii="Times New Roman" w:cs="Times New Roman" w:eastAsia="Times New Roman" w:hAnsi="Times New Roman"/>
          <w:sz w:val="18"/>
          <w:szCs w:val="18"/>
          <w:color w:val="auto"/>
        </w:rPr>
      </w:pPr>
    </w:p>
    <w:p>
      <w:pPr>
        <w:ind w:left="544" w:hanging="544"/>
        <w:spacing w:after="0" w:line="284" w:lineRule="auto"/>
        <w:tabs>
          <w:tab w:leader="none" w:pos="5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11.3.2.2.2 COVID-19 – Influenza Combination mRNA Vaccine Program – BNT162b2 + BNT161</w:t>
      </w:r>
      <w:r>
        <w:rPr>
          <w:rFonts w:ascii="Times New Roman" w:cs="Times New Roman" w:eastAsia="Times New Roman" w:hAnsi="Times New Roman"/>
          <w:sz w:val="18"/>
          <w:szCs w:val="18"/>
          <w:color w:val="auto"/>
        </w:rPr>
        <w:t>” on page 263 of the Prospectus, the text shall be replaced by the following text:</w:t>
      </w:r>
    </w:p>
    <w:p>
      <w:pPr>
        <w:spacing w:after="0" w:line="52" w:lineRule="exact"/>
        <w:rPr>
          <w:rFonts w:ascii="Times New Roman" w:cs="Times New Roman" w:eastAsia="Times New Roman" w:hAnsi="Times New Roman"/>
          <w:sz w:val="18"/>
          <w:szCs w:val="18"/>
          <w:color w:val="auto"/>
        </w:rPr>
      </w:pPr>
    </w:p>
    <w:p>
      <w:pPr>
        <w:ind w:left="5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collaboration with Pfizer clinical trials are being conducted to evaluate the safety, tolerability and immunogenicity of the combination of the companies’ mRNA vaccine candidates against influenza and COVID-19. We will provide updates as the program progresses.”</w:t>
      </w:r>
    </w:p>
    <w:p>
      <w:pPr>
        <w:spacing w:after="0" w:line="65" w:lineRule="exact"/>
        <w:rPr>
          <w:rFonts w:ascii="Times New Roman" w:cs="Times New Roman" w:eastAsia="Times New Roman" w:hAnsi="Times New Roman"/>
          <w:sz w:val="18"/>
          <w:szCs w:val="18"/>
          <w:color w:val="auto"/>
        </w:rPr>
      </w:pPr>
    </w:p>
    <w:p>
      <w:pPr>
        <w:ind w:left="544" w:right="100" w:hanging="544"/>
        <w:spacing w:after="0" w:line="376" w:lineRule="auto"/>
        <w:tabs>
          <w:tab w:leader="none" w:pos="5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11.11.3 ESG Ratings</w:t>
      </w:r>
      <w:r>
        <w:rPr>
          <w:rFonts w:ascii="Times New Roman" w:cs="Times New Roman" w:eastAsia="Times New Roman" w:hAnsi="Times New Roman"/>
          <w:sz w:val="18"/>
          <w:szCs w:val="18"/>
          <w:color w:val="auto"/>
        </w:rPr>
        <w:t>” on page 303 of the Prospectus, the last sentence of the first paragraph shall be replaced by the following text: “The numbers are as of November 1, 2025 for Quality Scores “Environment”, “Social” and “Governance” dimension.”</w:t>
      </w:r>
    </w:p>
    <w:p>
      <w:pPr>
        <w:spacing w:after="0" w:line="1"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same section, the first sentence of the third paragraph shall be replaced by the following text:</w:t>
      </w:r>
    </w:p>
    <w:p>
      <w:pPr>
        <w:spacing w:after="0" w:line="117" w:lineRule="exact"/>
        <w:rPr>
          <w:rFonts w:ascii="Times New Roman" w:cs="Times New Roman" w:eastAsia="Times New Roman" w:hAnsi="Times New Roman"/>
          <w:sz w:val="18"/>
          <w:szCs w:val="18"/>
          <w:color w:val="auto"/>
        </w:rPr>
      </w:pPr>
    </w:p>
    <w:p>
      <w:pPr>
        <w:jc w:val="both"/>
        <w:ind w:left="544"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“BioNTech received an ESG Risk Rating of 21.4 (as per last update of September 23, 2025; the full rating update was conducted by May 29, 2025) by the rating agency Morningstar Sustainalytics and was assessed to be at medium risk of experiencing material financial impacts from ESG factors.”</w:t>
      </w:r>
    </w:p>
    <w:p>
      <w:pPr>
        <w:spacing w:after="0" w:line="79" w:lineRule="exact"/>
        <w:rPr>
          <w:rFonts w:ascii="Times New Roman" w:cs="Times New Roman" w:eastAsia="Times New Roman" w:hAnsi="Times New Roman"/>
          <w:sz w:val="18"/>
          <w:szCs w:val="18"/>
          <w:color w:val="auto"/>
        </w:rPr>
      </w:pPr>
    </w:p>
    <w:p>
      <w:pPr>
        <w:ind w:left="544" w:right="300" w:hanging="544"/>
        <w:spacing w:after="0" w:line="284" w:lineRule="auto"/>
        <w:tabs>
          <w:tab w:leader="none" w:pos="5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11.12.2.1.1 Infringement Proceedings – EP’122, DE’961, DE’974, DE’575, and EP’668</w:t>
      </w:r>
      <w:r>
        <w:rPr>
          <w:rFonts w:ascii="Times New Roman" w:cs="Times New Roman" w:eastAsia="Times New Roman" w:hAnsi="Times New Roman"/>
          <w:sz w:val="18"/>
          <w:szCs w:val="18"/>
          <w:color w:val="auto"/>
        </w:rPr>
        <w:t>” on page 306 of the Prospectus, the last three sentences of the second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44"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oral hearing with respect to infringement of EP’668 is currently scheduled for January 27, 2026. On July 3, 2025, GlaxoSmithKline Biologicals SA filed a request seeking to intervene in the EP’668 infringement proceedings, and its request to intervene will be heard at this same hearing.”</w:t>
      </w:r>
    </w:p>
    <w:p>
      <w:pPr>
        <w:spacing w:after="0" w:line="79" w:lineRule="exact"/>
        <w:rPr>
          <w:rFonts w:ascii="Times New Roman" w:cs="Times New Roman" w:eastAsia="Times New Roman" w:hAnsi="Times New Roman"/>
          <w:sz w:val="18"/>
          <w:szCs w:val="18"/>
          <w:color w:val="auto"/>
        </w:rPr>
      </w:pPr>
    </w:p>
    <w:p>
      <w:pPr>
        <w:ind w:left="544" w:right="420" w:hanging="544"/>
        <w:spacing w:after="0" w:line="284" w:lineRule="auto"/>
        <w:tabs>
          <w:tab w:leader="none" w:pos="5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11.12.2.1.2 Infringement Proceedings – EP’755, DE’123, and DE’130</w:t>
      </w:r>
      <w:r>
        <w:rPr>
          <w:rFonts w:ascii="Times New Roman" w:cs="Times New Roman" w:eastAsia="Times New Roman" w:hAnsi="Times New Roman"/>
          <w:sz w:val="18"/>
          <w:szCs w:val="18"/>
          <w:color w:val="auto"/>
        </w:rPr>
        <w:t>” beginning on page 306 of the Prospectus, the last three sentences shall be replaced by the following text:</w:t>
      </w:r>
    </w:p>
    <w:p>
      <w:pPr>
        <w:spacing w:after="0" w:line="52" w:lineRule="exact"/>
        <w:rPr>
          <w:rFonts w:ascii="Times New Roman" w:cs="Times New Roman" w:eastAsia="Times New Roman" w:hAnsi="Times New Roman"/>
          <w:sz w:val="18"/>
          <w:szCs w:val="18"/>
          <w:color w:val="auto"/>
        </w:rPr>
      </w:pPr>
    </w:p>
    <w:p>
      <w:pPr>
        <w:ind w:left="544"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hearing on infringement with respect to EP’755 is currently scheduled for January 27, 2026. On July 3, 2025, GlaxoSmithKline Biologicals SA filed a request to intervene in the EP’755 infringement proceedings, and its request to intervene will be heard at this same hearing.”</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4"/>
          </w:cols>
          <w:pgMar w:left="436" w:top="268" w:right="539" w:bottom="1440" w:gutter="0" w:footer="0" w:header="0"/>
        </w:sectPr>
      </w:pPr>
    </w:p>
    <w:bookmarkStart w:id="22" w:name="page23"/>
    <w:bookmarkEnd w:id="22"/>
    <w:p>
      <w:pPr>
        <w:ind w:left="544" w:right="540" w:hanging="544"/>
        <w:spacing w:after="0" w:line="284" w:lineRule="auto"/>
        <w:tabs>
          <w:tab w:leader="none" w:pos="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section “</w:t>
      </w:r>
      <w:r>
        <w:rPr>
          <w:rFonts w:ascii="Times New Roman" w:cs="Times New Roman" w:eastAsia="Times New Roman" w:hAnsi="Times New Roman"/>
          <w:sz w:val="18"/>
          <w:szCs w:val="18"/>
          <w:i w:val="1"/>
          <w:iCs w:val="1"/>
          <w:color w:val="auto"/>
        </w:rPr>
        <w:t>11.12.2.7 Ladewig Proceedings</w:t>
      </w:r>
      <w:r>
        <w:rPr>
          <w:rFonts w:ascii="Times New Roman" w:cs="Times New Roman" w:eastAsia="Times New Roman" w:hAnsi="Times New Roman"/>
          <w:sz w:val="18"/>
          <w:szCs w:val="18"/>
          <w:color w:val="auto"/>
        </w:rPr>
        <w:t>” on page 311 of the Prospectus, the last sentence of the first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44"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“Plaintiffs did not file a notice of appeal to the U.S. Court of Appeals for the Second Circuit by the October 30, 2025 deadline to do so. Nor have plaintiffs moved the U.S. District Court for the Southern District of New York for leave to amend their pleading so far.”</w:t>
      </w:r>
    </w:p>
    <w:p>
      <w:pPr>
        <w:spacing w:after="0" w:line="53"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same section, the first sentence of the second paragraph shall be replaced by the following text:</w:t>
      </w:r>
    </w:p>
    <w:p>
      <w:pPr>
        <w:spacing w:after="0" w:line="117" w:lineRule="exact"/>
        <w:rPr>
          <w:rFonts w:ascii="Times New Roman" w:cs="Times New Roman" w:eastAsia="Times New Roman" w:hAnsi="Times New Roman"/>
          <w:sz w:val="18"/>
          <w:szCs w:val="18"/>
          <w:color w:val="auto"/>
        </w:rPr>
      </w:pPr>
    </w:p>
    <w:p>
      <w:pPr>
        <w:jc w:val="both"/>
        <w:ind w:left="544" w:righ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any such request for amendment would be meritless and untimely. However, should plaintiffs obtain leave to amend their pleading, we believe that we have strong defenses against the allegations claimed and intend to vigorously defend ourselves in the lawsuit mentioned above.”</w:t>
      </w:r>
    </w:p>
    <w:p>
      <w:pPr>
        <w:spacing w:after="0" w:line="79" w:lineRule="exact"/>
        <w:rPr>
          <w:rFonts w:ascii="Times New Roman" w:cs="Times New Roman" w:eastAsia="Times New Roman" w:hAnsi="Times New Roman"/>
          <w:sz w:val="18"/>
          <w:szCs w:val="18"/>
          <w:color w:val="auto"/>
        </w:rPr>
      </w:pPr>
    </w:p>
    <w:p>
      <w:pPr>
        <w:ind w:left="544" w:right="500" w:hanging="544"/>
        <w:spacing w:after="0" w:line="284" w:lineRule="auto"/>
        <w:tabs>
          <w:tab w:leader="none" w:pos="54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15 Shareholder Structure</w:t>
      </w:r>
      <w:r>
        <w:rPr>
          <w:rFonts w:ascii="Times New Roman" w:cs="Times New Roman" w:eastAsia="Times New Roman" w:hAnsi="Times New Roman"/>
          <w:sz w:val="18"/>
          <w:szCs w:val="18"/>
          <w:color w:val="auto"/>
        </w:rPr>
        <w:t>” beginning on page 346 of the Prospectus, the first four paragraphs and the table following the fourth paragraph shall be replaced by the following text:</w:t>
      </w:r>
    </w:p>
    <w:p>
      <w:pPr>
        <w:spacing w:after="0" w:line="52" w:lineRule="exact"/>
        <w:rPr>
          <w:rFonts w:ascii="Times New Roman" w:cs="Times New Roman" w:eastAsia="Times New Roman" w:hAnsi="Times New Roman"/>
          <w:sz w:val="18"/>
          <w:szCs w:val="18"/>
          <w:color w:val="auto"/>
        </w:rPr>
      </w:pPr>
    </w:p>
    <w:p>
      <w:pPr>
        <w:ind w:left="544"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to the best of the Company’s knowledge, information regarding the beneficial ownership of its ordinary shares for:</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the Company to own beneficially 5% or more of our outstanding shares;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Supervisory Board;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Management Board;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Supervisory Board and Management Board as a group.</w:t>
      </w:r>
    </w:p>
    <w:p>
      <w:pPr>
        <w:spacing w:after="0" w:line="117" w:lineRule="exact"/>
        <w:rPr>
          <w:sz w:val="20"/>
          <w:szCs w:val="20"/>
          <w:color w:val="auto"/>
        </w:rPr>
      </w:pPr>
    </w:p>
    <w:p>
      <w:pPr>
        <w:ind w:left="544" w:right="180"/>
        <w:spacing w:after="0" w:line="255" w:lineRule="auto"/>
        <w:rPr>
          <w:sz w:val="20"/>
          <w:szCs w:val="20"/>
          <w:color w:val="auto"/>
        </w:rPr>
      </w:pPr>
      <w:r>
        <w:rPr>
          <w:rFonts w:ascii="Times New Roman" w:cs="Times New Roman" w:eastAsia="Times New Roman" w:hAnsi="Times New Roman"/>
          <w:sz w:val="18"/>
          <w:szCs w:val="18"/>
          <w:color w:val="auto"/>
        </w:rPr>
        <w:t>The number of ordinary shares beneficially owned by each entity, person, and member of the Supervisory Board and the Management Board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November 7, 2025, through the exercise of any option, warrant or other right. Except as otherwise indicated, and subject to applicable community property laws, the persons named in the following table have sole voting and investment power with respect to all ordinary shares held by that person. All of our ordinary shares and ADSs representing our ordinary shares vote on an equal basis.</w:t>
      </w:r>
    </w:p>
    <w:p>
      <w:pPr>
        <w:spacing w:after="0" w:line="81" w:lineRule="exact"/>
        <w:rPr>
          <w:sz w:val="20"/>
          <w:szCs w:val="20"/>
          <w:color w:val="auto"/>
        </w:rPr>
      </w:pPr>
    </w:p>
    <w:p>
      <w:pPr>
        <w:ind w:left="544" w:right="460"/>
        <w:spacing w:after="0" w:line="282" w:lineRule="auto"/>
        <w:rPr>
          <w:sz w:val="20"/>
          <w:szCs w:val="20"/>
          <w:color w:val="auto"/>
        </w:rPr>
      </w:pPr>
      <w:r>
        <w:rPr>
          <w:rFonts w:ascii="Times New Roman" w:cs="Times New Roman" w:eastAsia="Times New Roman" w:hAnsi="Times New Roman"/>
          <w:sz w:val="18"/>
          <w:szCs w:val="18"/>
          <w:color w:val="auto"/>
        </w:rPr>
        <w:t>The percentage of currently outstanding ordinary shares is computed on the basis of 240,455,450 ordinary shares outstanding. This amount excludes 8,096,750 shares held in treasury. Amounts presented in this section include ordinary shares held in the form of ADSs.</w:t>
      </w:r>
    </w:p>
    <w:p>
      <w:pPr>
        <w:spacing w:after="0" w:line="54" w:lineRule="exact"/>
        <w:rPr>
          <w:sz w:val="20"/>
          <w:szCs w:val="20"/>
          <w:color w:val="auto"/>
        </w:rPr>
      </w:pPr>
    </w:p>
    <w:p>
      <w:pPr>
        <w:ind w:left="544" w:right="440"/>
        <w:spacing w:after="0" w:line="312" w:lineRule="auto"/>
        <w:rPr>
          <w:sz w:val="20"/>
          <w:szCs w:val="20"/>
          <w:color w:val="auto"/>
        </w:rPr>
      </w:pPr>
      <w:r>
        <w:rPr>
          <w:rFonts w:ascii="Times New Roman" w:cs="Times New Roman" w:eastAsia="Times New Roman" w:hAnsi="Times New Roman"/>
          <w:sz w:val="17"/>
          <w:szCs w:val="17"/>
          <w:color w:val="auto"/>
        </w:rPr>
        <w:t>Following completion of the Offer, the shareholder structure of the Company will be as shown below, assuming issuance of 15,061,575, 12,049,725 and 10,042,601 of ordinary shares held through Offer ADSs issued to CureVac Shareholders following completion of the Offer.</w:t>
      </w:r>
    </w:p>
    <w:p>
      <w:pPr>
        <w:sectPr>
          <w:pgSz w:w="11900" w:h="16838" w:orient="portrait"/>
          <w:cols w:equalWidth="0" w:num="1">
            <w:col w:w="11024"/>
          </w:cols>
          <w:pgMar w:left="436" w:top="268"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Name of Beneficial Owner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 shareholders: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4"/>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Prior to the Offer</w:t>
            </w:r>
          </w:p>
        </w:tc>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Beneficially Owned Following</w:t>
            </w:r>
          </w:p>
        </w:tc>
        <w:tc>
          <w:tcPr>
            <w:tcW w:w="0" w:type="dxa"/>
            <w:vAlign w:val="bottom"/>
          </w:tcPr>
          <w:p>
            <w:pPr>
              <w:spacing w:after="0"/>
              <w:rPr>
                <w:sz w:val="1"/>
                <w:szCs w:val="1"/>
                <w:color w:val="auto"/>
              </w:rPr>
            </w:pPr>
          </w:p>
        </w:tc>
      </w:tr>
      <w:tr>
        <w:trPr>
          <w:trHeight w:val="173"/>
        </w:trPr>
        <w:tc>
          <w:tcPr>
            <w:tcW w:w="2660" w:type="dxa"/>
            <w:vAlign w:val="bottom"/>
            <w:gridSpan w:val="4"/>
            <w:vMerge w:val="continue"/>
          </w:tcPr>
          <w:p>
            <w:pPr>
              <w:spacing w:after="0"/>
              <w:rPr>
                <w:sz w:val="15"/>
                <w:szCs w:val="15"/>
                <w:color w:val="auto"/>
              </w:rPr>
            </w:pPr>
          </w:p>
        </w:tc>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Completion of the Offer at Exchange Ratio of:</w:t>
            </w:r>
          </w:p>
        </w:tc>
        <w:tc>
          <w:tcPr>
            <w:tcW w:w="0" w:type="dxa"/>
            <w:vAlign w:val="bottom"/>
          </w:tcPr>
          <w:p>
            <w:pPr>
              <w:spacing w:after="0"/>
              <w:rPr>
                <w:sz w:val="1"/>
                <w:szCs w:val="1"/>
                <w:color w:val="auto"/>
              </w:rPr>
            </w:pPr>
          </w:p>
        </w:tc>
      </w:tr>
      <w:tr>
        <w:trPr>
          <w:trHeight w:val="117"/>
        </w:trPr>
        <w:tc>
          <w:tcPr>
            <w:tcW w:w="138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No. of Shares</w:t>
            </w: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5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0.06476</w:t>
            </w:r>
          </w:p>
        </w:tc>
        <w:tc>
          <w:tcPr>
            <w:tcW w:w="13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0.05181</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0.04318</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4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56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-8255</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3984" w:space="720"/>
            <w:col w:w="6320"/>
          </w:cols>
          <w:pgMar w:left="436" w:top="268" w:right="439" w:bottom="1440" w:gutter="0" w:footer="0" w:header="0"/>
          <w:type w:val="continuous"/>
        </w:sectPr>
      </w:pPr>
    </w:p>
    <w:tbl>
      <w:tblPr>
        <w:tblLayout w:type="fixed"/>
        <w:tblInd w:w="4" w:type="dxa"/>
        <w:tblCellMar>
          <w:top w:w="0" w:type="dxa"/>
          <w:left w:w="0" w:type="dxa"/>
          <w:bottom w:w="0" w:type="dxa"/>
          <w:right w:w="0" w:type="dxa"/>
        </w:tblCellMar>
      </w:tblPr>
      <w:tr>
        <w:trPr>
          <w:trHeight w:val="223"/>
        </w:trPr>
        <w:tc>
          <w:tcPr>
            <w:tcW w:w="362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AT Impf GmbH</w:t>
            </w:r>
            <w:r>
              <w:rPr>
                <w:rFonts w:ascii="Times New Roman" w:cs="Times New Roman" w:eastAsia="Times New Roman" w:hAnsi="Times New Roman"/>
                <w:sz w:val="25"/>
                <w:szCs w:val="25"/>
                <w:color w:val="auto"/>
                <w:vertAlign w:val="superscript"/>
              </w:rPr>
              <w:t>(1)</w:t>
            </w:r>
          </w:p>
        </w:tc>
        <w:tc>
          <w:tcPr>
            <w:tcW w:w="24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101,279,878</w:t>
            </w:r>
          </w:p>
        </w:tc>
        <w:tc>
          <w:tcPr>
            <w:tcW w:w="12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42.1%</w:t>
            </w:r>
          </w:p>
        </w:tc>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39.7%</w:t>
            </w:r>
          </w:p>
        </w:tc>
        <w:tc>
          <w:tcPr>
            <w:tcW w:w="13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40.1%</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36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Medine GmbH </w:t>
            </w:r>
            <w:r>
              <w:rPr>
                <w:rFonts w:ascii="Times New Roman" w:cs="Times New Roman" w:eastAsia="Times New Roman" w:hAnsi="Times New Roman"/>
                <w:sz w:val="25"/>
                <w:szCs w:val="25"/>
                <w:color w:val="auto"/>
                <w:vertAlign w:val="superscript"/>
              </w:rPr>
              <w:t>(2)</w:t>
            </w:r>
          </w:p>
        </w:tc>
        <w:tc>
          <w:tcPr>
            <w:tcW w:w="24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40,131,958</w:t>
            </w:r>
          </w:p>
        </w:tc>
        <w:tc>
          <w:tcPr>
            <w:tcW w:w="12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16.7%</w:t>
            </w:r>
          </w:p>
        </w:tc>
        <w:tc>
          <w:tcPr>
            <w:tcW w:w="1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15.7%</w:t>
            </w:r>
          </w:p>
        </w:tc>
        <w:tc>
          <w:tcPr>
            <w:tcW w:w="1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15.9%</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16.0%</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5% shareholders, as a group</w:t>
            </w:r>
          </w:p>
        </w:tc>
        <w:tc>
          <w:tcPr>
            <w:tcW w:w="24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141,411,836</w:t>
            </w:r>
          </w:p>
        </w:tc>
        <w:tc>
          <w:tcPr>
            <w:tcW w:w="12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58.8%</w:t>
            </w:r>
          </w:p>
        </w:tc>
        <w:tc>
          <w:tcPr>
            <w:tcW w:w="1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55.3%</w:t>
            </w:r>
          </w:p>
        </w:tc>
        <w:tc>
          <w:tcPr>
            <w:tcW w:w="13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56.0%</w:t>
            </w:r>
          </w:p>
        </w:tc>
        <w:tc>
          <w:tcPr>
            <w:tcW w:w="10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56.5%</w:t>
            </w:r>
          </w:p>
        </w:tc>
      </w:tr>
      <w:tr>
        <w:trPr>
          <w:trHeight w:val="342"/>
        </w:trPr>
        <w:tc>
          <w:tcPr>
            <w:tcW w:w="3620" w:type="dxa"/>
            <w:vAlign w:val="bottom"/>
          </w:tcPr>
          <w:p>
            <w:pPr>
              <w:spacing w:after="0"/>
              <w:rPr>
                <w:sz w:val="24"/>
                <w:szCs w:val="24"/>
                <w:color w:val="auto"/>
              </w:rPr>
            </w:pPr>
          </w:p>
        </w:tc>
        <w:tc>
          <w:tcPr>
            <w:tcW w:w="2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23</w:t>
            </w: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024"/>
          </w:cols>
          <w:pgMar w:left="436" w:top="268" w:right="439" w:bottom="1440" w:gutter="0" w:footer="0" w:header="0"/>
          <w:type w:val="continuous"/>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60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Prior to the Offer</w:t>
            </w:r>
          </w:p>
        </w:tc>
        <w:tc>
          <w:tcPr>
            <w:tcW w:w="36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 Beneficially Owned Following</w:t>
            </w:r>
          </w:p>
        </w:tc>
        <w:tc>
          <w:tcPr>
            <w:tcW w:w="0" w:type="dxa"/>
            <w:vAlign w:val="bottom"/>
          </w:tcPr>
          <w:p>
            <w:pPr>
              <w:spacing w:after="0"/>
              <w:rPr>
                <w:sz w:val="1"/>
                <w:szCs w:val="1"/>
                <w:color w:val="auto"/>
              </w:rPr>
            </w:pPr>
          </w:p>
        </w:tc>
      </w:tr>
      <w:tr>
        <w:trPr>
          <w:trHeight w:val="173"/>
        </w:trPr>
        <w:tc>
          <w:tcPr>
            <w:tcW w:w="16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600" w:type="dxa"/>
            <w:vAlign w:val="bottom"/>
            <w:gridSpan w:val="4"/>
            <w:vMerge w:val="continue"/>
          </w:tcPr>
          <w:p>
            <w:pPr>
              <w:spacing w:after="0"/>
              <w:rPr>
                <w:sz w:val="15"/>
                <w:szCs w:val="15"/>
                <w:color w:val="auto"/>
              </w:rPr>
            </w:pPr>
          </w:p>
        </w:tc>
        <w:tc>
          <w:tcPr>
            <w:tcW w:w="368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Completion of the Offer at Exchange Ratio of:</w:t>
            </w: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No. of Shares</w:t>
            </w: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5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120" w:type="dxa"/>
            <w:vAlign w:val="bottom"/>
            <w:vMerge w:val="restart"/>
          </w:tcPr>
          <w:p>
            <w:pPr>
              <w:spacing w:after="0"/>
              <w:rPr>
                <w:sz w:val="12"/>
                <w:szCs w:val="12"/>
                <w:color w:val="auto"/>
              </w:rPr>
            </w:pPr>
          </w:p>
        </w:tc>
        <w:tc>
          <w:tcPr>
            <w:tcW w:w="13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0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68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0.06476</w:t>
            </w:r>
          </w:p>
        </w:tc>
        <w:tc>
          <w:tcPr>
            <w:tcW w:w="6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0.05181</w:t>
            </w:r>
          </w:p>
        </w:tc>
        <w:tc>
          <w:tcPr>
            <w:tcW w:w="680" w:type="dxa"/>
            <w:vAlign w:val="bottom"/>
          </w:tcPr>
          <w:p>
            <w:pPr>
              <w:spacing w:after="0"/>
              <w:rPr>
                <w:sz w:val="12"/>
                <w:szCs w:val="12"/>
                <w:color w:val="auto"/>
              </w:rPr>
            </w:pPr>
          </w:p>
        </w:tc>
        <w:tc>
          <w:tcPr>
            <w:tcW w:w="72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0.04318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130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130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6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74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Members of the Supervisory Board and the</w:t>
            </w:r>
          </w:p>
        </w:tc>
        <w:tc>
          <w:tcPr>
            <w:tcW w:w="8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Management Board:</w:t>
            </w: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Prof. Ugur Sahin, M.D. </w:t>
            </w:r>
            <w:r>
              <w:rPr>
                <w:rFonts w:ascii="Times New Roman" w:cs="Times New Roman" w:eastAsia="Times New Roman" w:hAnsi="Times New Roman"/>
                <w:sz w:val="25"/>
                <w:szCs w:val="25"/>
                <w:color w:val="auto"/>
                <w:vertAlign w:val="superscript"/>
              </w:rPr>
              <w:t>(3)</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41,375,868</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17.2%</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16.2%</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16.4%</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Annemarie Hanekamp</w:t>
            </w:r>
          </w:p>
        </w:tc>
        <w:tc>
          <w:tcPr>
            <w:tcW w:w="13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Ramón Zapata-Gomez</w:t>
            </w: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Sierk Poetting, Ph.D.</w:t>
            </w:r>
            <w:r>
              <w:rPr>
                <w:rFonts w:ascii="Times New Roman" w:cs="Times New Roman" w:eastAsia="Times New Roman" w:hAnsi="Times New Roman"/>
                <w:sz w:val="25"/>
                <w:szCs w:val="25"/>
                <w:color w:val="auto"/>
                <w:vertAlign w:val="superscript"/>
              </w:rPr>
              <w:t>(4)</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692,539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Ryan Richardson (former member)</w:t>
            </w:r>
            <w:r>
              <w:rPr>
                <w:rFonts w:ascii="Times New Roman" w:cs="Times New Roman" w:eastAsia="Times New Roman" w:hAnsi="Times New Roman"/>
                <w:sz w:val="25"/>
                <w:szCs w:val="25"/>
                <w:color w:val="auto"/>
                <w:vertAlign w:val="superscript"/>
              </w:rPr>
              <w:t>(5)</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23,048</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Ryan, Ph.D.</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1,426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 Özlem Türeci, M.D.</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131,915</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Helmut Jeggle </w:t>
            </w:r>
            <w:r>
              <w:rPr>
                <w:rFonts w:ascii="Times New Roman" w:cs="Times New Roman" w:eastAsia="Times New Roman" w:hAnsi="Times New Roman"/>
                <w:sz w:val="25"/>
                <w:szCs w:val="25"/>
                <w:color w:val="auto"/>
                <w:vertAlign w:val="superscript"/>
              </w:rPr>
              <w:t>(6)</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1,125,967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Ulrich Wandschneider, Ph.D.</w:t>
            </w:r>
            <w:r>
              <w:rPr>
                <w:rFonts w:ascii="Times New Roman" w:cs="Times New Roman" w:eastAsia="Times New Roman" w:hAnsi="Times New Roman"/>
                <w:sz w:val="25"/>
                <w:szCs w:val="25"/>
                <w:color w:val="auto"/>
                <w:vertAlign w:val="superscript"/>
              </w:rPr>
              <w:t>(7)</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1,480</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Baroness Nicola Blackwood</w:t>
            </w:r>
          </w:p>
        </w:tc>
        <w:tc>
          <w:tcPr>
            <w:tcW w:w="13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Prof. Anja Morawietz, Ph.D.</w:t>
            </w:r>
            <w:r>
              <w:rPr>
                <w:rFonts w:ascii="Times New Roman" w:cs="Times New Roman" w:eastAsia="Times New Roman" w:hAnsi="Times New Roman"/>
                <w:sz w:val="25"/>
                <w:szCs w:val="25"/>
                <w:color w:val="auto"/>
                <w:vertAlign w:val="superscript"/>
              </w:rPr>
              <w:t>(8)</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240</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Motschmann</w:t>
            </w:r>
          </w:p>
        </w:tc>
        <w:tc>
          <w:tcPr>
            <w:tcW w:w="13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 Rudolf Staudigl, Ph.D.</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400</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members of the Supervisory Board and Management</w:t>
            </w: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Board, as a group</w:t>
            </w:r>
          </w:p>
        </w:tc>
        <w:tc>
          <w:tcPr>
            <w:tcW w:w="13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43,352,883</w:t>
            </w: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18.0%</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17.0%</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17.2%</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17.3%</w:t>
            </w:r>
          </w:p>
        </w:tc>
        <w:tc>
          <w:tcPr>
            <w:tcW w:w="0" w:type="dxa"/>
            <w:vAlign w:val="bottom"/>
          </w:tcPr>
          <w:p>
            <w:pPr>
              <w:spacing w:after="0"/>
              <w:rPr>
                <w:sz w:val="1"/>
                <w:szCs w:val="1"/>
                <w:color w:val="auto"/>
              </w:rPr>
            </w:pPr>
          </w:p>
        </w:tc>
      </w:tr>
      <w:tr>
        <w:trPr>
          <w:trHeight w:val="194"/>
        </w:trPr>
        <w:tc>
          <w:tcPr>
            <w:tcW w:w="47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existing shareholders of the Company prior to the</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Offer</w:t>
            </w:r>
          </w:p>
        </w:tc>
        <w:tc>
          <w:tcPr>
            <w:tcW w:w="13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95,822,689</w:t>
            </w: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39.9%</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37.5%</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37.9%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38.3%</w:t>
            </w:r>
          </w:p>
        </w:tc>
        <w:tc>
          <w:tcPr>
            <w:tcW w:w="0" w:type="dxa"/>
            <w:vAlign w:val="bottom"/>
          </w:tcPr>
          <w:p>
            <w:pPr>
              <w:spacing w:after="0"/>
              <w:rPr>
                <w:sz w:val="1"/>
                <w:szCs w:val="1"/>
                <w:color w:val="auto"/>
              </w:rPr>
            </w:pPr>
          </w:p>
        </w:tc>
      </w:tr>
      <w:tr>
        <w:trPr>
          <w:trHeight w:val="194"/>
        </w:trPr>
        <w:tc>
          <w:tcPr>
            <w:tcW w:w="4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CureVac Shareholders as a group following completion</w:t>
            </w: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40" w:type="dxa"/>
            <w:vAlign w:val="bottom"/>
            <w:gridSpan w:val="2"/>
            <w:shd w:val="clear" w:color="auto" w:fill="CCEEFF"/>
          </w:tcPr>
          <w:p>
            <w:pPr>
              <w:ind w:left="180"/>
              <w:spacing w:after="0" w:line="238" w:lineRule="exact"/>
              <w:rPr>
                <w:sz w:val="20"/>
                <w:szCs w:val="20"/>
                <w:color w:val="auto"/>
              </w:rPr>
            </w:pPr>
            <w:r>
              <w:rPr>
                <w:rFonts w:ascii="Times New Roman" w:cs="Times New Roman" w:eastAsia="Times New Roman" w:hAnsi="Times New Roman"/>
                <w:sz w:val="18"/>
                <w:szCs w:val="18"/>
                <w:b w:val="1"/>
                <w:bCs w:val="1"/>
                <w:color w:val="auto"/>
              </w:rPr>
              <w:t>of the Offer</w:t>
            </w:r>
            <w:r>
              <w:rPr>
                <w:rFonts w:ascii="Times New Roman" w:cs="Times New Roman" w:eastAsia="Times New Roman" w:hAnsi="Times New Roman"/>
                <w:sz w:val="26"/>
                <w:szCs w:val="26"/>
                <w:b w:val="1"/>
                <w:bCs w:val="1"/>
                <w:color w:val="auto"/>
                <w:vertAlign w:val="superscript"/>
              </w:rPr>
              <w:t>(10)</w:t>
            </w:r>
          </w:p>
        </w:tc>
        <w:tc>
          <w:tcPr>
            <w:tcW w:w="13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— </w:t>
            </w:r>
          </w:p>
        </w:tc>
        <w:tc>
          <w:tcPr>
            <w:tcW w:w="13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5.9%</w:t>
            </w:r>
          </w:p>
        </w:tc>
        <w:tc>
          <w:tcPr>
            <w:tcW w:w="13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4.8%</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4" w:right="160" w:hanging="544"/>
        <w:spacing w:after="0" w:line="227" w:lineRule="auto"/>
        <w:tabs>
          <w:tab w:leader="none" w:pos="544"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101,279,878 ordinary shares held by AT Impf GmbH. The sole shareholder of AT Impf GmbH is ATHOS KG, and, as a result, ATHOS KG is deemed to be the beneficial owner of the securities held by AT Impf GmbH. Thomas Maier is a general partner (</w:t>
      </w:r>
      <w:r>
        <w:rPr>
          <w:rFonts w:ascii="Times New Roman" w:cs="Times New Roman" w:eastAsia="Times New Roman" w:hAnsi="Times New Roman"/>
          <w:sz w:val="18"/>
          <w:szCs w:val="18"/>
          <w:i w:val="1"/>
          <w:iCs w:val="1"/>
          <w:color w:val="auto"/>
        </w:rPr>
        <w:t>Komplementär</w:t>
      </w:r>
      <w:r>
        <w:rPr>
          <w:rFonts w:ascii="Times New Roman" w:cs="Times New Roman" w:eastAsia="Times New Roman" w:hAnsi="Times New Roman"/>
          <w:sz w:val="18"/>
          <w:szCs w:val="18"/>
          <w:color w:val="auto"/>
        </w:rPr>
        <w:t>) of ATHOS KG and may be deemed to be beneficial owners of the securities held by AT Impf GmbH. Mr. Maier disclaims beneficial ownership of such shares except to the extent of their pecuniary interest therein.</w:t>
      </w:r>
    </w:p>
    <w:p>
      <w:pPr>
        <w:spacing w:after="0" w:line="1" w:lineRule="exact"/>
        <w:rPr>
          <w:rFonts w:ascii="Times New Roman" w:cs="Times New Roman" w:eastAsia="Times New Roman" w:hAnsi="Times New Roman"/>
          <w:sz w:val="27"/>
          <w:szCs w:val="27"/>
          <w:color w:val="auto"/>
          <w:vertAlign w:val="superscript"/>
        </w:rPr>
      </w:pPr>
    </w:p>
    <w:p>
      <w:pPr>
        <w:ind w:left="544" w:right="40" w:hanging="544"/>
        <w:spacing w:after="0" w:line="227" w:lineRule="auto"/>
        <w:tabs>
          <w:tab w:leader="none" w:pos="544"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sole shareholder of Medine GmbH is Prof. Ugur Sahin, M.D. and, as a result, Ugur Sahin is deemed to be the beneficial owner of the securities held by Medine GmbH. Consists of 39,111,390 ordinary shares held by Medine GmbH and 1,020,568 ordinary shares held by a former colleague, over which shares Prof. Sahin retains voting power pursuant to a written arrangement. Pursuant to this arrangement, Prof. Sahin retains voting power, but not dispositive power, over such shares, and accordingly Medine GmbH and Prof. Sahin each may be deemed beneficially to own such shares.</w:t>
      </w:r>
    </w:p>
    <w:p>
      <w:pPr>
        <w:spacing w:after="0" w:line="3" w:lineRule="exact"/>
        <w:rPr>
          <w:rFonts w:ascii="Times New Roman" w:cs="Times New Roman" w:eastAsia="Times New Roman" w:hAnsi="Times New Roman"/>
          <w:sz w:val="27"/>
          <w:szCs w:val="27"/>
          <w:color w:val="auto"/>
          <w:vertAlign w:val="superscript"/>
        </w:rPr>
      </w:pPr>
    </w:p>
    <w:p>
      <w:pPr>
        <w:ind w:left="544" w:right="260" w:hanging="544"/>
        <w:spacing w:after="0" w:line="200" w:lineRule="auto"/>
        <w:tabs>
          <w:tab w:leader="none" w:pos="544"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the shares described in footnote 2 above, plus 1,243,910 ordinary shares held directly by Ugur Sahin. He is the sole shareholder of Medine GmbH.</w:t>
      </w:r>
    </w:p>
    <w:p>
      <w:pPr>
        <w:ind w:left="544" w:right="120" w:hanging="544"/>
        <w:spacing w:after="0" w:line="214" w:lineRule="auto"/>
        <w:tabs>
          <w:tab w:leader="none" w:pos="544"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Consists of (a) 549,387 ordinary shares held by Tofino GmbH (Sierk Poetting is sole shareholder of Tofino GmbH), (b) 141,514 ordinary shares held directly by Sierk Poetting and (c) 1,638 ordinary shares held by his immediate family. Mr. Poetting disclaims beneficial ownership of the 1,638 ordinary shares held by his immediate family except to the extent of his pecuniary interest therein.</w:t>
      </w:r>
    </w:p>
    <w:p>
      <w:pPr>
        <w:spacing w:after="0" w:line="2" w:lineRule="exact"/>
        <w:rPr>
          <w:rFonts w:ascii="Times New Roman" w:cs="Times New Roman" w:eastAsia="Times New Roman" w:hAnsi="Times New Roman"/>
          <w:sz w:val="27"/>
          <w:szCs w:val="27"/>
          <w:color w:val="auto"/>
          <w:vertAlign w:val="superscript"/>
        </w:rPr>
      </w:pPr>
    </w:p>
    <w:p>
      <w:pPr>
        <w:ind w:left="544" w:hanging="544"/>
        <w:spacing w:after="0" w:line="180" w:lineRule="auto"/>
        <w:tabs>
          <w:tab w:leader="none" w:pos="544"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Mr. Richardson stepped down from his positions on September 30, 2025.</w:t>
      </w:r>
    </w:p>
    <w:p>
      <w:pPr>
        <w:spacing w:after="0" w:line="2" w:lineRule="exact"/>
        <w:rPr>
          <w:rFonts w:ascii="Times New Roman" w:cs="Times New Roman" w:eastAsia="Times New Roman" w:hAnsi="Times New Roman"/>
          <w:sz w:val="25"/>
          <w:szCs w:val="25"/>
          <w:color w:val="auto"/>
          <w:vertAlign w:val="superscript"/>
        </w:rPr>
      </w:pPr>
    </w:p>
    <w:p>
      <w:pPr>
        <w:ind w:left="544" w:hanging="544"/>
        <w:spacing w:after="0" w:line="186" w:lineRule="auto"/>
        <w:tabs>
          <w:tab w:leader="none" w:pos="544"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Consists of (a) 332,316 ordinary shares held directly by Helmut Jeggle and (b) 793,651 ordinary shares held by Salvia GmbH.</w:t>
      </w:r>
    </w:p>
    <w:p>
      <w:pPr>
        <w:spacing w:after="0" w:line="2" w:lineRule="exact"/>
        <w:rPr>
          <w:rFonts w:ascii="Times New Roman" w:cs="Times New Roman" w:eastAsia="Times New Roman" w:hAnsi="Times New Roman"/>
          <w:sz w:val="24"/>
          <w:szCs w:val="24"/>
          <w:color w:val="auto"/>
          <w:vertAlign w:val="superscript"/>
        </w:rPr>
      </w:pPr>
    </w:p>
    <w:p>
      <w:pPr>
        <w:ind w:left="544" w:hanging="544"/>
        <w:spacing w:after="0" w:line="186" w:lineRule="auto"/>
        <w:tabs>
          <w:tab w:leader="none" w:pos="544"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Consists of 1,480 ordinary shares held by beebusy Capital GmbH. Ulrich Wandschneider is sole shareholder of beebusy Capital GmbH.</w:t>
      </w:r>
    </w:p>
    <w:p>
      <w:pPr>
        <w:spacing w:after="0" w:line="2" w:lineRule="exact"/>
        <w:rPr>
          <w:rFonts w:ascii="Times New Roman" w:cs="Times New Roman" w:eastAsia="Times New Roman" w:hAnsi="Times New Roman"/>
          <w:sz w:val="24"/>
          <w:szCs w:val="24"/>
          <w:color w:val="auto"/>
          <w:vertAlign w:val="superscript"/>
        </w:rPr>
      </w:pPr>
    </w:p>
    <w:p>
      <w:pPr>
        <w:ind w:left="544" w:hanging="544"/>
        <w:spacing w:after="0" w:line="186" w:lineRule="auto"/>
        <w:tabs>
          <w:tab w:leader="none" w:pos="544"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Consists of (a) 200 ordinary shares held directly by Anja Morawietz and (b) 40 ordinary shares held by her immediate family.</w:t>
      </w:r>
    </w:p>
    <w:p>
      <w:pPr>
        <w:spacing w:after="0" w:line="2" w:lineRule="exact"/>
        <w:rPr>
          <w:rFonts w:ascii="Times New Roman" w:cs="Times New Roman" w:eastAsia="Times New Roman" w:hAnsi="Times New Roman"/>
          <w:sz w:val="24"/>
          <w:szCs w:val="24"/>
          <w:color w:val="auto"/>
          <w:vertAlign w:val="superscript"/>
        </w:rPr>
      </w:pPr>
    </w:p>
    <w:p>
      <w:pPr>
        <w:ind w:left="544" w:hanging="544"/>
        <w:spacing w:after="0" w:line="186" w:lineRule="auto"/>
        <w:tabs>
          <w:tab w:leader="none" w:pos="544"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Less than one percent.</w:t>
      </w:r>
    </w:p>
    <w:p>
      <w:pPr>
        <w:spacing w:after="0" w:line="2" w:lineRule="exact"/>
        <w:rPr>
          <w:rFonts w:ascii="Times New Roman" w:cs="Times New Roman" w:eastAsia="Times New Roman" w:hAnsi="Times New Roman"/>
          <w:sz w:val="24"/>
          <w:szCs w:val="24"/>
          <w:color w:val="auto"/>
          <w:vertAlign w:val="superscript"/>
        </w:rPr>
      </w:pPr>
    </w:p>
    <w:p>
      <w:pPr>
        <w:ind w:left="544" w:right="100" w:hanging="544"/>
        <w:spacing w:after="0" w:line="208" w:lineRule="auto"/>
        <w:tabs>
          <w:tab w:leader="none" w:pos="544"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Assuming 232,575,292 CureVac Shares are held by one shareholder and tendered in the Offer, CureVac Shareholders do not hold any BioNTech ADSs and no existing shareholder of the Company holds CureVac Shares which are contributed to the Company in connection with the Offer.”</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51" w:right="439" w:bottom="1440" w:gutter="0" w:footer="0" w:header="0"/>
        </w:sectPr>
      </w:pPr>
    </w:p>
    <w:bookmarkStart w:id="24" w:name="page25"/>
    <w:bookmarkEnd w:id="24"/>
    <w:p>
      <w:pPr>
        <w:ind w:left="544" w:right="20" w:hanging="544"/>
        <w:spacing w:after="0" w:line="267" w:lineRule="auto"/>
        <w:tabs>
          <w:tab w:leader="none" w:pos="5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section “</w:t>
      </w:r>
      <w:r>
        <w:rPr>
          <w:rFonts w:ascii="Times New Roman" w:cs="Times New Roman" w:eastAsia="Times New Roman" w:hAnsi="Times New Roman"/>
          <w:sz w:val="18"/>
          <w:szCs w:val="18"/>
          <w:i w:val="1"/>
          <w:iCs w:val="1"/>
          <w:color w:val="auto"/>
        </w:rPr>
        <w:t>19 FINANCIAL INFORMATION OF BIONTECH</w:t>
      </w:r>
      <w:r>
        <w:rPr>
          <w:rFonts w:ascii="Times New Roman" w:cs="Times New Roman" w:eastAsia="Times New Roman" w:hAnsi="Times New Roman"/>
          <w:sz w:val="18"/>
          <w:szCs w:val="18"/>
          <w:color w:val="auto"/>
        </w:rPr>
        <w:t xml:space="preserve">” beginning on page F-B-1 of the Prospectus, the following text shall be added after the section </w:t>
      </w:r>
      <w:r>
        <w:rPr>
          <w:rFonts w:ascii="Times New Roman" w:cs="Times New Roman" w:eastAsia="Times New Roman" w:hAnsi="Times New Roman"/>
          <w:sz w:val="18"/>
          <w:szCs w:val="18"/>
          <w:i w:val="1"/>
          <w:iCs w:val="1"/>
          <w:color w:val="auto"/>
        </w:rPr>
        <w:t>“19.5 Audited Annual Financial Statements of BioNTech SE prepared in accordance with German generally accepted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principles of the German Commercial Code (Handelsgesetzbuch) as of and for the Year Ended December 31, 2024</w:t>
      </w:r>
      <w:r>
        <w:rPr>
          <w:rFonts w:ascii="Times New Roman" w:cs="Times New Roman" w:eastAsia="Times New Roman" w:hAnsi="Times New Roman"/>
          <w:sz w:val="18"/>
          <w:szCs w:val="18"/>
          <w:color w:val="auto"/>
        </w:rPr>
        <w:t>”:</w:t>
      </w:r>
    </w:p>
    <w:p>
      <w:pPr>
        <w:spacing w:after="0" w:line="189" w:lineRule="exact"/>
        <w:rPr>
          <w:sz w:val="20"/>
          <w:szCs w:val="20"/>
          <w:color w:val="auto"/>
        </w:rPr>
      </w:pPr>
    </w:p>
    <w:tbl>
      <w:tblPr>
        <w:tblLayout w:type="fixed"/>
        <w:tblInd w:w="444" w:type="dxa"/>
        <w:tblCellMar>
          <w:top w:w="0" w:type="dxa"/>
          <w:left w:w="0" w:type="dxa"/>
          <w:bottom w:w="0" w:type="dxa"/>
          <w:right w:w="0" w:type="dxa"/>
        </w:tblCellMar>
      </w:tblPr>
      <w:tr>
        <w:trPr>
          <w:trHeight w:val="207"/>
        </w:trPr>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 xml:space="preserve">“19.6  </w:t>
            </w:r>
            <w:r>
              <w:rPr>
                <w:rFonts w:ascii="Times New Roman" w:cs="Times New Roman" w:eastAsia="Times New Roman" w:hAnsi="Times New Roman"/>
                <w:sz w:val="18"/>
                <w:szCs w:val="18"/>
                <w:b w:val="1"/>
                <w:bCs w:val="1"/>
                <w:color w:val="0000EE"/>
              </w:rPr>
              <w:t>Unaudited Interim Condensed Consolidated Financial Statements of BioNTech SE prepared in accordance with IFRS</w:t>
            </w: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F-B-1</w:t>
            </w:r>
          </w:p>
        </w:tc>
      </w:tr>
      <w:tr>
        <w:trPr>
          <w:trHeight w:val="196"/>
        </w:trPr>
        <w:tc>
          <w:tcPr>
            <w:tcW w:w="540" w:type="dxa"/>
            <w:vAlign w:val="bottom"/>
          </w:tcPr>
          <w:p>
            <w:pPr>
              <w:spacing w:after="0"/>
              <w:rPr>
                <w:sz w:val="17"/>
                <w:szCs w:val="17"/>
                <w:color w:val="auto"/>
              </w:rPr>
            </w:pPr>
          </w:p>
        </w:tc>
        <w:tc>
          <w:tcPr>
            <w:tcW w:w="90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Accounting Standards applicable to Interim Financial Reporting (IAS 34) as issued by the International Accounting</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84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Standards Board (IASB) and adopted by the European Union as of and for the Three and Nine Months Ended</w:t>
            </w:r>
          </w:p>
        </w:tc>
        <w:tc>
          <w:tcPr>
            <w:tcW w:w="420" w:type="dxa"/>
            <w:vAlign w:val="bottom"/>
            <w:tcBorders>
              <w:top w:val="single" w:sz="8" w:color="0000EE"/>
            </w:tcBorders>
          </w:tcPr>
          <w:p>
            <w:pPr>
              <w:spacing w:after="0"/>
              <w:rPr>
                <w:sz w:val="17"/>
                <w:szCs w:val="17"/>
                <w:color w:val="auto"/>
              </w:rPr>
            </w:pPr>
          </w:p>
        </w:tc>
        <w:tc>
          <w:tcPr>
            <w:tcW w:w="38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92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September 30, 2025</w:t>
            </w:r>
          </w:p>
        </w:tc>
        <w:tc>
          <w:tcPr>
            <w:tcW w:w="76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4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Profit or Loss</w:t>
            </w:r>
          </w:p>
        </w:tc>
        <w:tc>
          <w:tcPr>
            <w:tcW w:w="4820" w:type="dxa"/>
            <w:vAlign w:val="bottom"/>
            <w:gridSpan w:val="8"/>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F-B-3</w:t>
            </w:r>
          </w:p>
        </w:tc>
      </w:tr>
      <w:tr>
        <w:trPr>
          <w:trHeight w:val="304"/>
        </w:trPr>
        <w:tc>
          <w:tcPr>
            <w:tcW w:w="540" w:type="dxa"/>
            <w:vAlign w:val="bottom"/>
          </w:tcPr>
          <w:p>
            <w:pPr>
              <w:spacing w:after="0"/>
              <w:rPr>
                <w:sz w:val="24"/>
                <w:szCs w:val="24"/>
                <w:color w:val="auto"/>
              </w:rPr>
            </w:pPr>
          </w:p>
        </w:tc>
        <w:tc>
          <w:tcPr>
            <w:tcW w:w="51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Comprehensive Income</w:t>
            </w:r>
          </w:p>
        </w:tc>
        <w:tc>
          <w:tcPr>
            <w:tcW w:w="4100" w:type="dxa"/>
            <w:vAlign w:val="bottom"/>
            <w:gridSpan w:val="6"/>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F-B-4</w:t>
            </w:r>
          </w:p>
        </w:tc>
      </w:tr>
      <w:tr>
        <w:trPr>
          <w:trHeight w:val="304"/>
        </w:trPr>
        <w:tc>
          <w:tcPr>
            <w:tcW w:w="540" w:type="dxa"/>
            <w:vAlign w:val="bottom"/>
          </w:tcPr>
          <w:p>
            <w:pPr>
              <w:spacing w:after="0"/>
              <w:rPr>
                <w:sz w:val="24"/>
                <w:szCs w:val="24"/>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Interim Condensed Consolidated Statements of Financial Position</w:t>
            </w: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F-B-5</w:t>
            </w:r>
          </w:p>
        </w:tc>
      </w:tr>
      <w:tr>
        <w:trPr>
          <w:trHeight w:val="20"/>
        </w:trPr>
        <w:tc>
          <w:tcPr>
            <w:tcW w:w="540" w:type="dxa"/>
            <w:vAlign w:val="bottom"/>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58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Changes in Stockholders’ Equity</w:t>
            </w:r>
          </w:p>
        </w:tc>
        <w:tc>
          <w:tcPr>
            <w:tcW w:w="3440" w:type="dxa"/>
            <w:vAlign w:val="bottom"/>
            <w:gridSpan w:val="5"/>
          </w:tcPr>
          <w:p>
            <w:pPr>
              <w:spacing w:after="0"/>
              <w:rPr>
                <w:sz w:val="24"/>
                <w:szCs w:val="24"/>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F-B-6</w:t>
            </w:r>
          </w:p>
        </w:tc>
      </w:tr>
      <w:tr>
        <w:trPr>
          <w:trHeight w:val="304"/>
        </w:trPr>
        <w:tc>
          <w:tcPr>
            <w:tcW w:w="540" w:type="dxa"/>
            <w:vAlign w:val="bottom"/>
          </w:tcPr>
          <w:p>
            <w:pPr>
              <w:spacing w:after="0"/>
              <w:rPr>
                <w:sz w:val="24"/>
                <w:szCs w:val="24"/>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Interim Condensed Consolidated Statements of Cash Flows</w:t>
            </w: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F-B-7</w:t>
            </w:r>
          </w:p>
        </w:tc>
      </w:tr>
      <w:tr>
        <w:trPr>
          <w:trHeight w:val="20"/>
        </w:trPr>
        <w:tc>
          <w:tcPr>
            <w:tcW w:w="540" w:type="dxa"/>
            <w:vAlign w:val="bottom"/>
          </w:tcPr>
          <w:p>
            <w:pPr>
              <w:spacing w:after="0" w:line="20" w:lineRule="exact"/>
              <w:rPr>
                <w:sz w:val="1"/>
                <w:szCs w:val="1"/>
                <w:color w:val="auto"/>
              </w:rPr>
            </w:pPr>
          </w:p>
        </w:tc>
        <w:tc>
          <w:tcPr>
            <w:tcW w:w="4280" w:type="dxa"/>
            <w:vAlign w:val="bottom"/>
            <w:gridSpan w:val="2"/>
            <w:shd w:val="clear" w:color="auto" w:fill="0000EE"/>
          </w:tcPr>
          <w:p>
            <w:pPr>
              <w:spacing w:after="0" w:line="20" w:lineRule="exact"/>
              <w:rPr>
                <w:sz w:val="1"/>
                <w:szCs w:val="1"/>
                <w:color w:val="auto"/>
              </w:rPr>
            </w:pPr>
          </w:p>
        </w:tc>
        <w:tc>
          <w:tcPr>
            <w:tcW w:w="292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Selected Explanatory Notes to the Unaudited Interim Condensed Consolidated Financial Statements</w:t>
            </w: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7"/>
              </w:rPr>
              <w:t>F-B-8”</w:t>
            </w:r>
          </w:p>
        </w:tc>
      </w:tr>
      <w:tr>
        <w:trPr>
          <w:trHeight w:val="20"/>
        </w:trPr>
        <w:tc>
          <w:tcPr>
            <w:tcW w:w="54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28" w:lineRule="exact"/>
        <w:rPr>
          <w:sz w:val="20"/>
          <w:szCs w:val="20"/>
          <w:color w:val="auto"/>
        </w:rPr>
      </w:pPr>
    </w:p>
    <w:p>
      <w:pPr>
        <w:ind w:left="544" w:right="100" w:hanging="544"/>
        <w:spacing w:after="0" w:line="284" w:lineRule="auto"/>
        <w:tabs>
          <w:tab w:leader="none" w:pos="5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19 FINANCIAL INFORMATION OF BIONTECH</w:t>
      </w:r>
      <w:r>
        <w:rPr>
          <w:rFonts w:ascii="Times New Roman" w:cs="Times New Roman" w:eastAsia="Times New Roman" w:hAnsi="Times New Roman"/>
          <w:sz w:val="18"/>
          <w:szCs w:val="18"/>
          <w:color w:val="auto"/>
        </w:rPr>
        <w:t>” beginning on page F-B-1 of the Prospectus, the information set forth in Exhibit 1 to this Supplement, which forms an integral part of this Supplement, shall be added as pages F-B-311 to F-B-345.</w:t>
      </w:r>
    </w:p>
    <w:p>
      <w:pPr>
        <w:spacing w:after="0" w:line="6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section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24.1.1 Operative Developments” on page O-1 of the Prospectus, the following text shall be added at the end of the section:</w:t>
      </w:r>
    </w:p>
    <w:p>
      <w:pPr>
        <w:spacing w:after="0" w:line="119" w:lineRule="exact"/>
        <w:rPr>
          <w:rFonts w:ascii="Times New Roman" w:cs="Times New Roman" w:eastAsia="Times New Roman" w:hAnsi="Times New Roman"/>
          <w:sz w:val="18"/>
          <w:szCs w:val="18"/>
          <w:color w:val="auto"/>
        </w:rPr>
      </w:pPr>
    </w:p>
    <w:p>
      <w:pPr>
        <w:ind w:left="544"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3, 2025, the Company published its unaudited interim condensed consolidated financial statements as of and for the three and nine months ended September 30, 2025, see sections </w:t>
      </w:r>
      <w:r>
        <w:rPr>
          <w:rFonts w:ascii="Times New Roman" w:cs="Times New Roman" w:eastAsia="Times New Roman" w:hAnsi="Times New Roman"/>
          <w:sz w:val="18"/>
          <w:szCs w:val="18"/>
          <w:i w:val="1"/>
          <w:iCs w:val="1"/>
          <w:color w:val="auto"/>
        </w:rPr>
        <w:t>“9.12 Financial Review for the Third Quarter and the First Nine Months of the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Year 2025” and “19 Financial Information of BioNTech”.”</w:t>
      </w:r>
    </w:p>
    <w:p>
      <w:pPr>
        <w:spacing w:after="0" w:line="79" w:lineRule="exact"/>
        <w:rPr>
          <w:rFonts w:ascii="Times New Roman" w:cs="Times New Roman" w:eastAsia="Times New Roman" w:hAnsi="Times New Roman"/>
          <w:sz w:val="18"/>
          <w:szCs w:val="18"/>
          <w:color w:val="auto"/>
        </w:rPr>
      </w:pPr>
    </w:p>
    <w:p>
      <w:pPr>
        <w:jc w:val="both"/>
        <w:ind w:left="544" w:right="1320" w:hanging="544"/>
        <w:spacing w:after="0" w:line="376" w:lineRule="auto"/>
        <w:tabs>
          <w:tab w:leader="none" w:pos="5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w:t>
      </w:r>
      <w:r>
        <w:rPr>
          <w:rFonts w:ascii="Times New Roman" w:cs="Times New Roman" w:eastAsia="Times New Roman" w:hAnsi="Times New Roman"/>
          <w:sz w:val="18"/>
          <w:szCs w:val="18"/>
          <w:i w:val="1"/>
          <w:iCs w:val="1"/>
          <w:color w:val="auto"/>
        </w:rPr>
        <w:t>24.2 Outlook</w:t>
      </w:r>
      <w:r>
        <w:rPr>
          <w:rFonts w:ascii="Times New Roman" w:cs="Times New Roman" w:eastAsia="Times New Roman" w:hAnsi="Times New Roman"/>
          <w:sz w:val="18"/>
          <w:szCs w:val="18"/>
          <w:color w:val="auto"/>
        </w:rPr>
        <w:t>” beginning on page O-1 of the Prospectus, the following text shall be added after the fifth paragraph: “We have already launched our variant-adapted COVID-19 vaccine for the 2025/2026 vaccination season in multiple regions.” In the same section, the eight to eleventh paragraphs shall be replaced by the following text:</w:t>
      </w:r>
    </w:p>
    <w:p>
      <w:pPr>
        <w:spacing w:after="0" w:line="1" w:lineRule="exact"/>
        <w:rPr>
          <w:rFonts w:ascii="Times New Roman" w:cs="Times New Roman" w:eastAsia="Times New Roman" w:hAnsi="Times New Roman"/>
          <w:sz w:val="18"/>
          <w:szCs w:val="18"/>
          <w:color w:val="auto"/>
        </w:rPr>
      </w:pPr>
    </w:p>
    <w:p>
      <w:pPr>
        <w:ind w:left="544"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collaboration with BMS, we aim to jointly develop and commercialize our investigational bispecific antibody pumitamig (BNT327/BMS986545) (see section “</w:t>
      </w:r>
      <w:r>
        <w:rPr>
          <w:rFonts w:ascii="Times New Roman" w:cs="Times New Roman" w:eastAsia="Times New Roman" w:hAnsi="Times New Roman"/>
          <w:sz w:val="18"/>
          <w:szCs w:val="18"/>
          <w:i w:val="1"/>
          <w:iCs w:val="1"/>
          <w:color w:val="auto"/>
        </w:rPr>
        <w:t>11.3.2.1.3 Antibody Product Candidates in Oncology</w:t>
      </w:r>
      <w:r>
        <w:rPr>
          <w:rFonts w:ascii="Times New Roman" w:cs="Times New Roman" w:eastAsia="Times New Roman" w:hAnsi="Times New Roman"/>
          <w:sz w:val="18"/>
          <w:szCs w:val="18"/>
          <w:color w:val="auto"/>
        </w:rPr>
        <w:t>”), including its development as monotherapy and in combination with other products.</w:t>
      </w:r>
    </w:p>
    <w:p>
      <w:pPr>
        <w:spacing w:after="0" w:line="67" w:lineRule="exact"/>
        <w:rPr>
          <w:rFonts w:ascii="Times New Roman" w:cs="Times New Roman" w:eastAsia="Times New Roman" w:hAnsi="Times New Roman"/>
          <w:sz w:val="18"/>
          <w:szCs w:val="18"/>
          <w:color w:val="auto"/>
        </w:rPr>
      </w:pPr>
    </w:p>
    <w:p>
      <w:pPr>
        <w:ind w:left="544"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agreement with BMS, we granted BMS a worldwide, co-exclusive license to use the Relevant IP (as described in section “</w:t>
      </w:r>
      <w:r>
        <w:rPr>
          <w:rFonts w:ascii="Times New Roman" w:cs="Times New Roman" w:eastAsia="Times New Roman" w:hAnsi="Times New Roman"/>
          <w:sz w:val="18"/>
          <w:szCs w:val="18"/>
          <w:i w:val="1"/>
          <w:iCs w:val="1"/>
          <w:color w:val="auto"/>
        </w:rPr>
        <w:t>11.3.2.1.3 Antibody Product Candidates in Oncology</w:t>
      </w:r>
      <w:r>
        <w:rPr>
          <w:rFonts w:ascii="Times New Roman" w:cs="Times New Roman" w:eastAsia="Times New Roman" w:hAnsi="Times New Roman"/>
          <w:sz w:val="18"/>
          <w:szCs w:val="18"/>
          <w:color w:val="auto"/>
        </w:rPr>
        <w:t>”) for the development, manufacturing and commercialization of our investigational bispecific antibody pumitamig as monotherapy or in combination with other products. We and BMS will jointly share development and manufacturing costs on a 50:50 basis. Global profits and losses will be equally shared as well. We received an upfront payment amounting to $1.5 billion during the three months ended September 30, 2025, and are eligible to receive $2.0 billion total in non-contingent anniversary payments through 2028 as well as up to $7.6 billion in additional development, regulatory and commercial milestone payments contingent on achievement of certain development, regulatory and commercial milestones.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8" w:right="459" w:bottom="1440" w:gutter="0" w:footer="0" w:header="0"/>
        </w:sectPr>
      </w:pPr>
    </w:p>
    <w:bookmarkStart w:id="25" w:name="page26"/>
    <w:bookmarkEnd w:id="25"/>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financial year 2025, we expect operating investments in property, plant, and equipment and intangible assets of between €200.0 million and €250.0 million, not considering any investments made by CureVac following potential successful completion of the Offer. This includes expenditure for the expansion and improvement of our research and development and certain of our manufacturing facilities, as well as further investments in IT infrastructure that will support the Group in its bio-digital transformation and our focus as a data-driven company.</w:t>
      </w:r>
    </w:p>
    <w:p>
      <w:pPr>
        <w:spacing w:after="0" w:line="72"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Based on our management’s current knowledge about the business development of the Group since December 31, 2024 as well as the assumptions made, and the factors taken into account, by our management in arriving at our Profit Forecast 2025 (as set forth in section</w:t>
      </w: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10 Profit Forecast</w:t>
      </w:r>
      <w:r>
        <w:rPr>
          <w:rFonts w:ascii="Times New Roman" w:cs="Times New Roman" w:eastAsia="Times New Roman" w:hAnsi="Times New Roman"/>
          <w:sz w:val="18"/>
          <w:szCs w:val="18"/>
          <w:color w:val="auto"/>
        </w:rPr>
        <w:t>”), we currently expect (i) our revenues to amount to between €2.6 billion and €2.8 billion, (ii) our research and development expenses to amount to between €2.0 billion and €2.2 billion, (iii) our sales, general and administrative expenses to amount to between €550.0 million and €650.0 million and (iv) to incur a net loss in the financial year 2025.”</w:t>
      </w:r>
    </w:p>
    <w:p>
      <w:pPr>
        <w:spacing w:after="0" w:line="1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400"/>
          </w:cols>
          <w:pgMar w:left="980" w:top="270" w:right="519" w:bottom="1440" w:gutter="0" w:footer="0" w:header="0"/>
        </w:sectPr>
      </w:pPr>
    </w:p>
    <w:bookmarkStart w:id="26" w:name="page27"/>
    <w:bookmarkEnd w:id="2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Interim Condensed Consolidated Financial Statements of BioNTech SE prepared in accordance with IFRS Accounting Standards applicable to Interim Financial Reporting (IAS 34) as issued by the International Accounting Standards Board (IASB) and adopted by the European Union as of and for the Three and Nine Months Ended September 30, 2025</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F-B-1</w:t>
      </w:r>
    </w:p>
    <w:p>
      <w:pPr>
        <w:sectPr>
          <w:pgSz w:w="11900" w:h="16838" w:orient="portrait"/>
          <w:cols w:equalWidth="0" w:num="1">
            <w:col w:w="10760"/>
          </w:cols>
          <w:pgMar w:left="560" w:top="266" w:right="5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88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tc>
        <w:tc>
          <w:tcPr>
            <w:tcW w:w="2160" w:type="dxa"/>
            <w:vAlign w:val="bottom"/>
          </w:tcPr>
          <w:p>
            <w:pPr>
              <w:spacing w:after="0"/>
              <w:rPr>
                <w:sz w:val="20"/>
                <w:szCs w:val="20"/>
                <w:color w:val="auto"/>
              </w:rPr>
            </w:pPr>
          </w:p>
        </w:tc>
      </w:tr>
      <w:tr>
        <w:trPr>
          <w:trHeight w:val="418"/>
        </w:trPr>
        <w:tc>
          <w:tcPr>
            <w:tcW w:w="88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Interim Condensed Consolidated Statements of Profit or Loss</w:t>
            </w: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F-B-3</w:t>
            </w: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51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Comprehensive Income</w:t>
            </w:r>
          </w:p>
        </w:tc>
        <w:tc>
          <w:tcPr>
            <w:tcW w:w="3680" w:type="dxa"/>
            <w:vAlign w:val="bottom"/>
            <w:gridSpan w:val="3"/>
          </w:tcPr>
          <w:p>
            <w:pPr>
              <w:spacing w:after="0"/>
              <w:rPr>
                <w:sz w:val="24"/>
                <w:szCs w:val="24"/>
                <w:color w:val="auto"/>
              </w:rPr>
            </w:pP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F-B-4</w:t>
            </w:r>
          </w:p>
        </w:tc>
      </w:tr>
      <w:tr>
        <w:trPr>
          <w:trHeight w:val="304"/>
        </w:trPr>
        <w:tc>
          <w:tcPr>
            <w:tcW w:w="88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Interim Condensed Consolidated Statements of Financial Position</w:t>
            </w: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F-B-5</w:t>
            </w: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58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Changes in Stockholders’ Equity</w:t>
            </w:r>
          </w:p>
        </w:tc>
        <w:tc>
          <w:tcPr>
            <w:tcW w:w="3020" w:type="dxa"/>
            <w:vAlign w:val="bottom"/>
            <w:gridSpan w:val="2"/>
          </w:tcPr>
          <w:p>
            <w:pPr>
              <w:spacing w:after="0"/>
              <w:rPr>
                <w:sz w:val="24"/>
                <w:szCs w:val="24"/>
                <w:color w:val="auto"/>
              </w:rPr>
            </w:pP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F-B-6</w:t>
            </w:r>
          </w:p>
        </w:tc>
      </w:tr>
      <w:tr>
        <w:trPr>
          <w:trHeight w:val="304"/>
        </w:trPr>
        <w:tc>
          <w:tcPr>
            <w:tcW w:w="88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Interim Condensed Consolidated Statements of Cash Flows</w:t>
            </w: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F-B-7</w:t>
            </w:r>
          </w:p>
        </w:tc>
      </w:tr>
      <w:tr>
        <w:trPr>
          <w:trHeight w:val="20"/>
        </w:trPr>
        <w:tc>
          <w:tcPr>
            <w:tcW w:w="1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88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Selected Explanatory Notes to the Unaudited Interim Condensed Consolidated Financial Statements</w:t>
            </w: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F-B-8</w:t>
            </w:r>
          </w:p>
        </w:tc>
      </w:tr>
      <w:tr>
        <w:trPr>
          <w:trHeight w:val="304"/>
        </w:trPr>
        <w:tc>
          <w:tcPr>
            <w:tcW w:w="780" w:type="dxa"/>
            <w:vAlign w:val="bottom"/>
            <w:tcBorders>
              <w:top w:val="single" w:sz="8" w:color="0000EE"/>
            </w:tcBorders>
          </w:tcPr>
          <w:p>
            <w:pPr>
              <w:ind w:left="360"/>
              <w:spacing w:after="0"/>
              <w:rPr>
                <w:sz w:val="20"/>
                <w:szCs w:val="20"/>
                <w:color w:val="auto"/>
              </w:rPr>
            </w:pPr>
            <w:r>
              <w:rPr>
                <w:rFonts w:ascii="Times New Roman" w:cs="Times New Roman" w:eastAsia="Times New Roman" w:hAnsi="Times New Roman"/>
                <w:sz w:val="18"/>
                <w:szCs w:val="18"/>
                <w:color w:val="auto"/>
              </w:rPr>
              <w:t>1</w:t>
            </w:r>
          </w:p>
        </w:tc>
        <w:tc>
          <w:tcPr>
            <w:tcW w:w="642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Corporate Information</w:t>
            </w:r>
          </w:p>
        </w:tc>
        <w:tc>
          <w:tcPr>
            <w:tcW w:w="1640" w:type="dxa"/>
            <w:vAlign w:val="bottom"/>
          </w:tcPr>
          <w:p>
            <w:pPr>
              <w:spacing w:after="0"/>
              <w:rPr>
                <w:sz w:val="24"/>
                <w:szCs w:val="24"/>
                <w:color w:val="auto"/>
              </w:rPr>
            </w:pP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F-B-8</w:t>
            </w:r>
          </w:p>
        </w:tc>
      </w:tr>
      <w:tr>
        <w:trPr>
          <w:trHeight w:val="20"/>
        </w:trPr>
        <w:tc>
          <w:tcPr>
            <w:tcW w:w="7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38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Basis of Preparation, Significant Accounting Policies</w:t>
            </w:r>
          </w:p>
        </w:tc>
        <w:tc>
          <w:tcPr>
            <w:tcW w:w="4220" w:type="dxa"/>
            <w:vAlign w:val="bottom"/>
            <w:gridSpan w:val="5"/>
          </w:tcPr>
          <w:p>
            <w:pPr>
              <w:spacing w:after="0"/>
              <w:rPr>
                <w:sz w:val="24"/>
                <w:szCs w:val="24"/>
                <w:color w:val="auto"/>
              </w:rPr>
            </w:pP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F-B-9</w:t>
            </w:r>
          </w:p>
        </w:tc>
      </w:tr>
      <w:tr>
        <w:trPr>
          <w:trHeight w:val="30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w:t>
            </w: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Revenues from Contracts with Customers</w:t>
            </w: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6"/>
              </w:rPr>
              <w:t>F-B-11</w:t>
            </w:r>
          </w:p>
        </w:tc>
      </w:tr>
      <w:tr>
        <w:trPr>
          <w:trHeight w:val="30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w:t>
            </w:r>
          </w:p>
        </w:tc>
        <w:tc>
          <w:tcPr>
            <w:tcW w:w="300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Income and Expenses</w:t>
            </w:r>
          </w:p>
        </w:tc>
        <w:tc>
          <w:tcPr>
            <w:tcW w:w="5060" w:type="dxa"/>
            <w:vAlign w:val="bottom"/>
            <w:gridSpan w:val="8"/>
          </w:tcPr>
          <w:p>
            <w:pPr>
              <w:spacing w:after="0"/>
              <w:rPr>
                <w:sz w:val="24"/>
                <w:szCs w:val="24"/>
                <w:color w:val="auto"/>
              </w:rPr>
            </w:pP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6"/>
              </w:rPr>
              <w:t>F-B-13</w:t>
            </w:r>
          </w:p>
        </w:tc>
      </w:tr>
      <w:tr>
        <w:trPr>
          <w:trHeight w:val="20"/>
        </w:trPr>
        <w:tc>
          <w:tcPr>
            <w:tcW w:w="7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w:t>
            </w: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Business Combination</w:t>
            </w: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6"/>
              </w:rPr>
              <w:t>F-B-16</w:t>
            </w:r>
          </w:p>
        </w:tc>
      </w:tr>
      <w:tr>
        <w:trPr>
          <w:trHeight w:val="30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w:t>
            </w:r>
          </w:p>
        </w:tc>
        <w:tc>
          <w:tcPr>
            <w:tcW w:w="16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Income Taxes</w:t>
            </w:r>
          </w:p>
        </w:tc>
        <w:tc>
          <w:tcPr>
            <w:tcW w:w="6440" w:type="dxa"/>
            <w:vAlign w:val="bottom"/>
            <w:gridSpan w:val="14"/>
          </w:tcPr>
          <w:p>
            <w:pPr>
              <w:spacing w:after="0"/>
              <w:rPr>
                <w:sz w:val="24"/>
                <w:szCs w:val="24"/>
                <w:color w:val="auto"/>
              </w:rPr>
            </w:pP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6"/>
              </w:rPr>
              <w:t>F-B-18</w:t>
            </w:r>
          </w:p>
        </w:tc>
      </w:tr>
      <w:tr>
        <w:trPr>
          <w:trHeight w:val="20"/>
        </w:trPr>
        <w:tc>
          <w:tcPr>
            <w:tcW w:w="78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80" w:type="dxa"/>
            <w:vAlign w:val="bottom"/>
            <w:gridSpan w:val="9"/>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0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w:t>
            </w:r>
          </w:p>
        </w:tc>
        <w:tc>
          <w:tcPr>
            <w:tcW w:w="17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Intangible Assets</w:t>
            </w:r>
          </w:p>
        </w:tc>
        <w:tc>
          <w:tcPr>
            <w:tcW w:w="6360" w:type="dxa"/>
            <w:vAlign w:val="bottom"/>
            <w:gridSpan w:val="13"/>
          </w:tcPr>
          <w:p>
            <w:pPr>
              <w:spacing w:after="0"/>
              <w:rPr>
                <w:sz w:val="24"/>
                <w:szCs w:val="24"/>
                <w:color w:val="auto"/>
              </w:rPr>
            </w:pP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6"/>
              </w:rPr>
              <w:t>F-B-19</w:t>
            </w:r>
          </w:p>
        </w:tc>
      </w:tr>
      <w:tr>
        <w:trPr>
          <w:trHeight w:val="30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w:t>
            </w:r>
          </w:p>
        </w:tc>
        <w:tc>
          <w:tcPr>
            <w:tcW w:w="29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Financial Assets and Financial Liabilities</w:t>
            </w:r>
          </w:p>
        </w:tc>
        <w:tc>
          <w:tcPr>
            <w:tcW w:w="5080" w:type="dxa"/>
            <w:vAlign w:val="bottom"/>
            <w:gridSpan w:val="9"/>
          </w:tcPr>
          <w:p>
            <w:pPr>
              <w:spacing w:after="0"/>
              <w:rPr>
                <w:sz w:val="24"/>
                <w:szCs w:val="24"/>
                <w:color w:val="auto"/>
              </w:rPr>
            </w:pP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6"/>
              </w:rPr>
              <w:t>F-B-20</w:t>
            </w:r>
          </w:p>
        </w:tc>
      </w:tr>
      <w:tr>
        <w:trPr>
          <w:trHeight w:val="30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w:t>
            </w: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Issued Capital and Reserves</w:t>
            </w: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6"/>
              </w:rPr>
              <w:t>F-B-24</w:t>
            </w:r>
          </w:p>
        </w:tc>
      </w:tr>
      <w:tr>
        <w:trPr>
          <w:trHeight w:val="30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Provisions</w:t>
            </w:r>
          </w:p>
        </w:tc>
        <w:tc>
          <w:tcPr>
            <w:tcW w:w="1260" w:type="dxa"/>
            <w:vAlign w:val="bottom"/>
            <w:tcBorders>
              <w:top w:val="single" w:sz="8" w:color="0000EE"/>
            </w:tcBorders>
            <w:gridSpan w:val="6"/>
          </w:tcPr>
          <w:p>
            <w:pPr>
              <w:spacing w:after="0"/>
              <w:rPr>
                <w:sz w:val="24"/>
                <w:szCs w:val="24"/>
                <w:color w:val="auto"/>
              </w:rPr>
            </w:pPr>
          </w:p>
        </w:tc>
        <w:tc>
          <w:tcPr>
            <w:tcW w:w="6040" w:type="dxa"/>
            <w:vAlign w:val="bottom"/>
            <w:gridSpan w:val="11"/>
          </w:tcPr>
          <w:p>
            <w:pPr>
              <w:spacing w:after="0"/>
              <w:rPr>
                <w:sz w:val="24"/>
                <w:szCs w:val="24"/>
                <w:color w:val="auto"/>
              </w:rPr>
            </w:pP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6"/>
              </w:rPr>
              <w:t>F-B-24</w:t>
            </w:r>
          </w:p>
        </w:tc>
      </w:tr>
      <w:tr>
        <w:trPr>
          <w:trHeight w:val="30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16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Contingent Liabilities</w:t>
            </w:r>
          </w:p>
        </w:tc>
        <w:tc>
          <w:tcPr>
            <w:tcW w:w="6440" w:type="dxa"/>
            <w:vAlign w:val="bottom"/>
            <w:gridSpan w:val="14"/>
          </w:tcPr>
          <w:p>
            <w:pPr>
              <w:spacing w:after="0"/>
              <w:rPr>
                <w:sz w:val="24"/>
                <w:szCs w:val="24"/>
                <w:color w:val="auto"/>
              </w:rPr>
            </w:pP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6"/>
              </w:rPr>
              <w:t>F-B-25</w:t>
            </w:r>
          </w:p>
        </w:tc>
      </w:tr>
      <w:tr>
        <w:trPr>
          <w:trHeight w:val="30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18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Related Party Disclosures</w:t>
            </w:r>
          </w:p>
        </w:tc>
        <w:tc>
          <w:tcPr>
            <w:tcW w:w="6200" w:type="dxa"/>
            <w:vAlign w:val="bottom"/>
            <w:gridSpan w:val="12"/>
          </w:tcPr>
          <w:p>
            <w:pPr>
              <w:spacing w:after="0"/>
              <w:rPr>
                <w:sz w:val="24"/>
                <w:szCs w:val="24"/>
                <w:color w:val="auto"/>
              </w:rPr>
            </w:pP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6"/>
              </w:rPr>
              <w:t>F-B-34</w:t>
            </w:r>
          </w:p>
        </w:tc>
      </w:tr>
      <w:tr>
        <w:trPr>
          <w:trHeight w:val="304"/>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Events after the Reporting Period</w:t>
            </w:r>
          </w:p>
        </w:tc>
        <w:tc>
          <w:tcPr>
            <w:tcW w:w="216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6"/>
              </w:rPr>
              <w:t>F-B-35</w:t>
            </w:r>
          </w:p>
        </w:tc>
      </w:tr>
      <w:tr>
        <w:trPr>
          <w:trHeight w:val="385"/>
        </w:trPr>
        <w:tc>
          <w:tcPr>
            <w:tcW w:w="78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F-B-2</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00"/>
          </w:cols>
          <w:pgMar w:left="440" w:top="26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Interim Condensed Consolidated Statements of Profit or Loss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2"/>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except per share data)</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00" w:type="dxa"/>
            <w:vAlign w:val="bottom"/>
            <w:gridSpan w:val="2"/>
            <w:vMerge w:val="continue"/>
          </w:tcPr>
          <w:p>
            <w:pPr>
              <w:spacing w:after="0"/>
              <w:rPr>
                <w:sz w:val="15"/>
                <w:szCs w:val="15"/>
                <w:color w:val="auto"/>
              </w:rPr>
            </w:pPr>
          </w:p>
        </w:tc>
        <w:tc>
          <w:tcPr>
            <w:tcW w:w="4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i w:val="1"/>
                <w:iCs w:val="1"/>
                <w:color w:val="auto"/>
                <w:w w:val="97"/>
              </w:rPr>
              <w:t>(unaudited)</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8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80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203"/>
        </w:trPr>
        <w:tc>
          <w:tcPr>
            <w:tcW w:w="2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4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1,518.9</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1,244.8</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1,962.5</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1,561.1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(564.8)</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(550.3)</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(1,599.5)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(1,642.4)</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(60.7)</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(121.2)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(132.4)</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(729.5)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(884.7)</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(719.9)</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154.6</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profit / (loss)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2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(1,082.1)</w:t>
            </w:r>
          </w:p>
        </w:tc>
        <w:tc>
          <w:tcPr>
            <w:tcW w:w="2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(1,462.9)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96.8</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324.8</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158.7</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(823.4)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(978.9)</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(28.7)</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198.1</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(831.1)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(924.8)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 (Loss) per share</w:t>
            </w: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1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 (loss) per share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0.82</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 (loss) per share</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F-B-3</w:t>
      </w:r>
    </w:p>
    <w:p>
      <w:pPr>
        <w:sectPr>
          <w:pgSz w:w="11900" w:h="16838" w:orient="portrait"/>
          <w:cols w:equalWidth="0" w:num="1">
            <w:col w:w="11020"/>
          </w:cols>
          <w:pgMar w:left="440" w:top="270"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Interim Condensed Consolidated Statements of Comprehensive Income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59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4"/>
                <w:szCs w:val="14"/>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vMerge w:val="continue"/>
          </w:tcPr>
          <w:p>
            <w:pPr>
              <w:spacing w:after="0"/>
              <w:rPr>
                <w:sz w:val="13"/>
                <w:szCs w:val="13"/>
                <w:color w:val="auto"/>
              </w:rPr>
            </w:pPr>
          </w:p>
        </w:tc>
        <w:tc>
          <w:tcPr>
            <w:tcW w:w="5900" w:type="dxa"/>
            <w:vAlign w:val="bottom"/>
            <w:vMerge w:val="continue"/>
          </w:tcPr>
          <w:p>
            <w:pPr>
              <w:spacing w:after="0"/>
              <w:rPr>
                <w:sz w:val="13"/>
                <w:szCs w:val="13"/>
                <w:color w:val="auto"/>
              </w:rPr>
            </w:pPr>
          </w:p>
        </w:tc>
        <w:tc>
          <w:tcPr>
            <w:tcW w:w="56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Note</w:t>
            </w:r>
          </w:p>
        </w:tc>
        <w:tc>
          <w:tcPr>
            <w:tcW w:w="9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98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980" w:type="dxa"/>
            <w:vAlign w:val="bottom"/>
            <w:gridSpan w:val="2"/>
          </w:tcPr>
          <w:p>
            <w:pPr>
              <w:jc w:val="center"/>
              <w:ind w:right="30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80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20"/>
        </w:trPr>
        <w:tc>
          <w:tcPr>
            <w:tcW w:w="6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profit / (loss)</w:t>
            </w: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3" w:lineRule="exact"/>
              <w:rPr>
                <w:sz w:val="20"/>
                <w:szCs w:val="20"/>
                <w:color w:val="auto"/>
              </w:rPr>
            </w:pPr>
            <w:r>
              <w:rPr>
                <w:rFonts w:ascii="Times New Roman" w:cs="Times New Roman" w:eastAsia="Times New Roman" w:hAnsi="Times New Roman"/>
                <w:sz w:val="18"/>
                <w:szCs w:val="18"/>
                <w:b w:val="1"/>
                <w:bCs w:val="1"/>
                <w:color w:val="auto"/>
              </w:rPr>
              <w:t>(28.7)</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198.1</w:t>
            </w:r>
          </w:p>
        </w:tc>
        <w:tc>
          <w:tcPr>
            <w:tcW w:w="30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8"/>
                <w:szCs w:val="18"/>
                <w:b w:val="1"/>
                <w:bCs w:val="1"/>
                <w:color w:val="auto"/>
              </w:rPr>
              <w:t>(831.1)</w:t>
            </w:r>
          </w:p>
        </w:tc>
        <w:tc>
          <w:tcPr>
            <w:tcW w:w="8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b w:val="1"/>
                <w:bCs w:val="1"/>
                <w:color w:val="auto"/>
              </w:rPr>
              <w:t>(924.8)</w:t>
            </w: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Other comprehensive income that may be reclassified to profit or loss in subsequent</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periods, net of tax</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(101.5)</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194"/>
        </w:trPr>
        <w:tc>
          <w:tcPr>
            <w:tcW w:w="67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other comprehensive income / (loss) that may be reclassified to profit or loss in</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subsequent periods</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(101.5)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comprehensive loss that will not be reclassified to profit or loss in subsequent</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periods, net of tax</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gain / (loss) on equity instruments designated at fair value through other</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1"/>
        </w:trPr>
        <w:tc>
          <w:tcPr>
            <w:tcW w:w="672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other comprehensive income / (loss) that will not be reclassified to profit or loss</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7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 subsequent periods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0.7</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(108.3)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net of tax</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(22.3)</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(11.3)</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(123.6)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(96.6)</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income / (loss), net of tax</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3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(954.7)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F-B-4</w:t>
      </w:r>
    </w:p>
    <w:p>
      <w:pPr>
        <w:sectPr>
          <w:pgSz w:w="11900" w:h="16838" w:orient="portrait"/>
          <w:cols w:equalWidth="0" w:num="1">
            <w:col w:w="11020"/>
          </w:cols>
          <w:pgMar w:left="440" w:top="270"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Interim Condensed Consolidated Statements of Financial Position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8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Assets</w:t>
            </w:r>
          </w:p>
        </w:tc>
        <w:tc>
          <w:tcPr>
            <w:tcW w:w="792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Non-current assets</w:t>
            </w:r>
          </w:p>
        </w:tc>
        <w:tc>
          <w:tcPr>
            <w:tcW w:w="3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380.6</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1,389.8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790.4</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1,039.7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935.3</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2,476.0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1,254.0</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5,510.4</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225.7</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283.3</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690.8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1,463.9</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4,434.7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7,021.7</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292.9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assets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10,092.9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9,761.9</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15,830.7</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18,803.5</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21,341.1</w:t>
            </w:r>
          </w:p>
        </w:tc>
        <w:tc>
          <w:tcPr>
            <w:tcW w:w="3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248.6</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reserve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1,453.2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1,398.6</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18,266.9</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19,098.0</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reserves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(1,483.3)</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(1,325.5)</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18,477.3</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loans and borrowings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192.0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214.7</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219.0</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24.2</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23"/>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641.3</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 loans and borrowings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399.8</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426.7</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597.4</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1,443.4</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liabilities</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211.5</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796.1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non-financial liabilities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158.0</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2,222.5</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2,523.2</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2,863.8</w:t>
            </w:r>
          </w:p>
        </w:tc>
        <w:tc>
          <w:tcPr>
            <w:tcW w:w="3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21,341.1</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22,529.7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F-B-5</w:t>
      </w:r>
    </w:p>
    <w:p>
      <w:pPr>
        <w:sectPr>
          <w:pgSz w:w="11900" w:h="16838" w:orient="portrait"/>
          <w:cols w:equalWidth="0" w:num="1">
            <w:col w:w="11020"/>
          </w:cols>
          <w:pgMar w:left="440" w:top="270"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Interim Condensed Consolidated Statements of Changes in Stockholders’ Equity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40" w:type="dxa"/>
            <w:vAlign w:val="bottom"/>
            <w:gridSpan w:val="11"/>
          </w:tcPr>
          <w:p>
            <w:pPr>
              <w:ind w:left="320"/>
              <w:spacing w:after="0"/>
              <w:rPr>
                <w:sz w:val="20"/>
                <w:szCs w:val="20"/>
                <w:color w:val="auto"/>
              </w:rPr>
            </w:pPr>
            <w:r>
              <w:rPr>
                <w:rFonts w:ascii="Times New Roman" w:cs="Times New Roman" w:eastAsia="Times New Roman" w:hAnsi="Times New Roman"/>
                <w:sz w:val="14"/>
                <w:szCs w:val="14"/>
                <w:b w:val="1"/>
                <w:bCs w:val="1"/>
                <w:color w:val="auto"/>
              </w:rPr>
              <w:t>Equity attributable to equity holders of the parent</w:t>
            </w: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500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Share</w:t>
            </w:r>
          </w:p>
        </w:tc>
        <w:tc>
          <w:tcPr>
            <w:tcW w:w="76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Capital</w:t>
            </w:r>
          </w:p>
        </w:tc>
        <w:tc>
          <w:tcPr>
            <w:tcW w:w="780" w:type="dxa"/>
            <w:vAlign w:val="bottom"/>
            <w:tcBorders>
              <w:top w:val="single" w:sz="8" w:color="auto"/>
            </w:tcBorders>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90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660" w:type="dxa"/>
            <w:vAlign w:val="bottom"/>
            <w:tcBorders>
              <w:top w:val="single" w:sz="8" w:color="auto"/>
            </w:tcBorders>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Other</w:t>
            </w:r>
          </w:p>
        </w:tc>
        <w:tc>
          <w:tcPr>
            <w:tcW w:w="2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5000" w:type="dxa"/>
            <w:vAlign w:val="bottom"/>
            <w:vMerge w:val="continue"/>
          </w:tcPr>
          <w:p>
            <w:pPr>
              <w:spacing w:after="0"/>
              <w:rPr>
                <w:sz w:val="15"/>
                <w:szCs w:val="15"/>
                <w:color w:val="auto"/>
              </w:rPr>
            </w:pPr>
          </w:p>
        </w:tc>
        <w:tc>
          <w:tcPr>
            <w:tcW w:w="1080" w:type="dxa"/>
            <w:vAlign w:val="bottom"/>
            <w:gridSpan w:val="5"/>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Note  capital</w:t>
            </w:r>
          </w:p>
        </w:tc>
        <w:tc>
          <w:tcPr>
            <w:tcW w:w="76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reserve</w:t>
            </w:r>
          </w:p>
        </w:tc>
        <w:tc>
          <w:tcPr>
            <w:tcW w:w="78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right"/>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80" w:type="dxa"/>
            <w:vAlign w:val="bottom"/>
            <w:gridSpan w:val="2"/>
          </w:tcPr>
          <w:p>
            <w:pPr>
              <w:jc w:val="right"/>
              <w:ind w:right="221"/>
              <w:spacing w:after="0" w:line="160" w:lineRule="exact"/>
              <w:rPr>
                <w:sz w:val="20"/>
                <w:szCs w:val="20"/>
                <w:color w:val="auto"/>
              </w:rPr>
            </w:pPr>
            <w:r>
              <w:rPr>
                <w:rFonts w:ascii="Times New Roman" w:cs="Times New Roman" w:eastAsia="Times New Roman" w:hAnsi="Times New Roman"/>
                <w:sz w:val="14"/>
                <w:szCs w:val="14"/>
                <w:b w:val="1"/>
                <w:bCs w:val="1"/>
                <w:color w:val="auto"/>
              </w:rPr>
              <w:t>reserves</w:t>
            </w:r>
          </w:p>
        </w:tc>
        <w:tc>
          <w:tcPr>
            <w:tcW w:w="8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of January 1, 2024</w:t>
            </w: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w w:val="98"/>
              </w:rPr>
              <w:t>248.6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w w:val="96"/>
              </w:rPr>
              <w:t>1,229.4</w:t>
            </w: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(10.8)</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19,763.3</w:t>
            </w: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(984.6)</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20,245.9</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b w:val="1"/>
                <w:bCs w:val="1"/>
                <w:color w:val="auto"/>
                <w:w w:val="81"/>
              </w:rPr>
              <w:t>— </w:t>
            </w: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(924.8)</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143.6</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(255.6)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248.6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1,373.0</w:t>
            </w:r>
          </w:p>
        </w:tc>
        <w:tc>
          <w:tcPr>
            <w:tcW w:w="1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18,838.5</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(1,336.8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2025</w:t>
            </w:r>
          </w:p>
        </w:tc>
        <w:tc>
          <w:tcPr>
            <w:tcW w:w="460" w:type="dxa"/>
            <w:vAlign w:val="bottom"/>
            <w:gridSpan w:val="2"/>
            <w:shd w:val="clear" w:color="auto" w:fill="CCEEFF"/>
          </w:tcPr>
          <w:p>
            <w:pPr>
              <w:spacing w:after="0"/>
              <w:rPr>
                <w:sz w:val="18"/>
                <w:szCs w:val="18"/>
                <w:color w:val="auto"/>
              </w:rPr>
            </w:pPr>
          </w:p>
        </w:tc>
        <w:tc>
          <w:tcPr>
            <w:tcW w:w="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248.6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1,398.6</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19,098.0</w:t>
            </w: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(1,325.5)</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19,411.1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58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81"/>
              </w:rPr>
              <w:t>— </w:t>
            </w:r>
          </w:p>
        </w:tc>
        <w:tc>
          <w:tcPr>
            <w:tcW w:w="18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continue"/>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(831.1)</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81"/>
              </w:rPr>
              <w:t>— </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(123.6)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— </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b w:val="1"/>
                <w:bCs w:val="1"/>
                <w:color w:val="auto"/>
                <w:w w:val="81"/>
              </w:rPr>
              <w:t>— </w:t>
            </w: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(831.1)</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(123.6)</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5"/>
              </w:rPr>
              <w:t>54.6</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(34.2)</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248.6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6"/>
              </w:rPr>
              <w:t>1,453.2</w:t>
            </w: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18,266.9</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(1,483.3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F-B-6</w:t>
      </w:r>
    </w:p>
    <w:p>
      <w:pPr>
        <w:sectPr>
          <w:pgSz w:w="11900" w:h="16838" w:orient="portrait"/>
          <w:cols w:equalWidth="0" w:num="1">
            <w:col w:w="11020"/>
          </w:cols>
          <w:pgMar w:left="440" w:top="270"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Interim Condensed Consolidated Statements of Cash Flows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8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8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6620" w:type="dxa"/>
            <w:vAlign w:val="bottom"/>
            <w:vMerge w:val="restart"/>
          </w:tcPr>
          <w:p>
            <w:pPr>
              <w:spacing w:after="0"/>
              <w:rPr>
                <w:sz w:val="14"/>
                <w:szCs w:val="14"/>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4"/>
                <w:szCs w:val="14"/>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620" w:type="dxa"/>
            <w:vAlign w:val="bottom"/>
            <w:vMerge w:val="continue"/>
          </w:tcPr>
          <w:p>
            <w:pPr>
              <w:spacing w:after="0"/>
              <w:rPr>
                <w:sz w:val="15"/>
                <w:szCs w:val="15"/>
                <w:color w:val="auto"/>
              </w:rPr>
            </w:pP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880" w:type="dxa"/>
            <w:vAlign w:val="bottom"/>
            <w:gridSpan w:val="2"/>
          </w:tcPr>
          <w:p>
            <w:pPr>
              <w:jc w:val="right"/>
              <w:ind w:right="160"/>
              <w:spacing w:after="0" w:line="160" w:lineRule="exact"/>
              <w:rPr>
                <w:sz w:val="20"/>
                <w:szCs w:val="20"/>
                <w:color w:val="auto"/>
              </w:rPr>
            </w:pPr>
            <w:r>
              <w:rPr>
                <w:rFonts w:ascii="Times New Roman" w:cs="Times New Roman" w:eastAsia="Times New Roman" w:hAnsi="Times New Roman"/>
                <w:sz w:val="14"/>
                <w:szCs w:val="14"/>
                <w:i w:val="1"/>
                <w:iCs w:val="1"/>
                <w:color w:val="auto"/>
              </w:rPr>
              <w:t>(unaudited)</w:t>
            </w:r>
          </w:p>
        </w:tc>
        <w:tc>
          <w:tcPr>
            <w:tcW w:w="0" w:type="dxa"/>
            <w:vAlign w:val="bottom"/>
          </w:tcPr>
          <w:p>
            <w:pPr>
              <w:spacing w:after="0"/>
              <w:rPr>
                <w:sz w:val="1"/>
                <w:szCs w:val="1"/>
                <w:color w:val="auto"/>
              </w:rPr>
            </w:pPr>
          </w:p>
        </w:tc>
      </w:tr>
      <w:tr>
        <w:trPr>
          <w:trHeight w:val="189"/>
        </w:trPr>
        <w:tc>
          <w:tcPr>
            <w:tcW w:w="7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 /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(831.1)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(924.8)</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(39.4)</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Profit / (Loss) before tax</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2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158.7</w:t>
            </w:r>
          </w:p>
        </w:tc>
        <w:tc>
          <w:tcPr>
            <w:tcW w:w="220" w:type="dxa"/>
            <w:vAlign w:val="bottom"/>
            <w:vMerge w:val="continue"/>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(823.4)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(978.9)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loss before tax to net cash flows: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Depreciation, amortization and impairment of property, plant, equipment, intangible assets and</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right-of-use assets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218.0</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payment expenses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foreign exchange differences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(35.5)</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 Loss on disposal of property, plant and equipment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Finance income excluding foreign exchange differences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(96.8)</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(156.2)</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(324.8)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(498.8)</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expense excluding foreign exchange differences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Government grants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(income) / loss</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Unrealized (gain) / loss on derivative instruments at fair value through profit or loss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Working capital adjustments: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Decrease / (Increase) in trade and other receivables, contract assets and other assets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(830.2)</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1,002.7</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1,267.6</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 inventories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61.7</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198"/>
        </w:trPr>
        <w:tc>
          <w:tcPr>
            <w:tcW w:w="74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(Decrease) / Increase in trade payables, other financial liabilities, other liabilities, contract</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liabilities, refund liabilities and provisions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(242.8)</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590.7</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 and realized gains from cash and cash equivalents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275.2</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 and realized losses from cash and cash equivalents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received / (paid), net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(134.4)</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received</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flows from / (used in) operating activities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780.7</w:t>
            </w:r>
          </w:p>
        </w:tc>
        <w:tc>
          <w:tcPr>
            <w:tcW w:w="220" w:type="dxa"/>
            <w:vAlign w:val="bottom"/>
            <w:vMerge w:val="continue"/>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(638.9)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146.5</w:t>
            </w:r>
          </w:p>
        </w:tc>
        <w:tc>
          <w:tcPr>
            <w:tcW w:w="20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(72.8)</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(575.0)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subsidiaries and businesses, net of cash acquired</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(78.5)</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other financial assets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(2,869.0)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(2,958.2)</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(7,046.7)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(10,301.5)</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maturity of other financial assets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1,979.4</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2,898.8</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8,065.3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7,974.3</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flows from / (used in) investing activities</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(925.3)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257.1</w:t>
            </w:r>
          </w:p>
        </w:tc>
        <w:tc>
          <w:tcPr>
            <w:tcW w:w="20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(2,687.9)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related to lease liabilities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financing activities</w:t>
            </w: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vMerge w:val="continue"/>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 (decrease) in cash and cash equivalents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(156.1)</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(2,055.5)</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cash and cash equivalents resulting from exchange rate differences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cash equivalents resulting from other valuation effects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10,269.</w:t>
            </w:r>
            <w:r>
              <w:rPr>
                <w:rFonts w:ascii="Times New Roman" w:cs="Times New Roman" w:eastAsia="Times New Roman" w:hAnsi="Times New Roman"/>
                <w:sz w:val="18"/>
                <w:szCs w:val="18"/>
                <w:u w:val="single" w:color="auto"/>
                <w:color w:val="auto"/>
              </w:rPr>
              <w:t>5</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10,376.7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9,761.9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11,663.7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September 30</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10,092.</w:t>
            </w:r>
            <w:r>
              <w:rPr>
                <w:rFonts w:ascii="Times New Roman" w:cs="Times New Roman" w:eastAsia="Times New Roman" w:hAnsi="Times New Roman"/>
                <w:sz w:val="18"/>
                <w:szCs w:val="18"/>
                <w:b w:val="1"/>
                <w:bCs w:val="1"/>
                <w:u w:val="single" w:color="auto"/>
                <w:color w:val="auto"/>
              </w:rPr>
              <w:t>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9,624.6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10,092.9</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9,624.6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unaudited interim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F-B-7</w:t>
      </w:r>
    </w:p>
    <w:p>
      <w:pPr>
        <w:sectPr>
          <w:pgSz w:w="11900" w:h="16838" w:orient="portrait"/>
          <w:cols w:equalWidth="0" w:num="1">
            <w:col w:w="11020"/>
          </w:cols>
          <w:pgMar w:left="440" w:top="270" w:right="439" w:bottom="1440" w:gutter="0" w:footer="0" w:header="0"/>
        </w:sectPr>
      </w:pPr>
    </w:p>
    <w:bookmarkStart w:id="33" w:name="page34"/>
    <w:bookmarkEnd w:id="33"/>
    <w:p>
      <w:pPr>
        <w:ind w:right="3240"/>
        <w:spacing w:after="0" w:line="37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Selected Explanatory Notes to the Unaudited Interim Condensed Consolidated Financial Statements </w:t>
      </w:r>
      <w:r>
        <w:rPr>
          <w:rFonts w:ascii="Times New Roman" w:cs="Times New Roman" w:eastAsia="Times New Roman" w:hAnsi="Times New Roman"/>
          <w:sz w:val="18"/>
          <w:szCs w:val="18"/>
          <w:color w:val="auto"/>
        </w:rPr>
        <w:t>1. Corporate Information</w:t>
      </w:r>
    </w:p>
    <w:p>
      <w:pPr>
        <w:spacing w:after="0" w:line="258" w:lineRule="auto"/>
        <w:rPr>
          <w:sz w:val="20"/>
          <w:szCs w:val="20"/>
          <w:color w:val="auto"/>
        </w:rPr>
      </w:pPr>
      <w:r>
        <w:rPr>
          <w:rFonts w:ascii="Times New Roman" w:cs="Times New Roman" w:eastAsia="Times New Roman" w:hAnsi="Times New Roman"/>
          <w:sz w:val="18"/>
          <w:szCs w:val="18"/>
          <w:color w:val="auto"/>
        </w:rPr>
        <w:t>BioNTech SE is a limited company incorporated and domiciled in Germany. The registered office is located in Mainz, Germany (An der Goldgrube 12, 55131 Mainz). The accompanying unaudited interim condensed consolidated financial statements present the financial position and the results of operation of BioNTech SE and its subsidiaries and have been prepared on a going concern basis in accordance with the IFRS Accounting Standards as issued by the International Accounting Standards Board and as endorsed by the European Union. References to the “Company”, “BioNTech”, “Group”, “we”, “us” and “our” refer to BioNTech SE and its consolidated subsidiaries.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a global next-generation immunotherapy company aiming to pioneer novel medicines against cancer, infectious diseases and other serious diseases. Since our founding in 2008, we have focused on harnessing the power of the immune system to address human diseases with unmet medical needs and major global health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ML, capabilities to discover, develop and commercialize our marketed product and product candidates.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built a broad toolkit across multiple technology platforms, including a diverse range of potentially first-in-class therapeutic approaches. This includes investigational messenger ribonucleic acid, or mRNA immunotherapies, protein-based therapeutics (including targeted antibodies such as monoclonal, bispecific and antibody-drug conjugates, or ADCs) and cell therapies.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Our multi-technology combination of platforms and product candidates aims to position us as pioneers in the field of individualized, patient-centric therapeutic approaches in oncology and infectious diseases.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primary focus is oncology, where we endeavor to address the full continuum of cancer from early to late disease stages. The root causes of cancer treatment failure are cancer heterogeneity and interindividual variability. Driven by random sequential mutations, every patient’s cancer is different and within one patient’s tumor, every cell is different. Addressing these two challenges is the core of our strategy. To augment anti-tumor activity and to counteract resistance mechanisms, we seek to combine compounds with non-overlapping, potentially synergistic mechanisms of action.</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F-B-8</w:t>
      </w:r>
    </w:p>
    <w:p>
      <w:pPr>
        <w:sectPr>
          <w:pgSz w:w="11900" w:h="16838" w:orient="portrait"/>
          <w:cols w:equalWidth="0" w:num="1">
            <w:col w:w="10920"/>
          </w:cols>
          <w:pgMar w:left="440" w:top="266" w:right="539" w:bottom="1440" w:gutter="0" w:footer="0" w:header="0"/>
        </w:sectPr>
      </w:pPr>
    </w:p>
    <w:bookmarkStart w:id="34" w:name="page35"/>
    <w:bookmarkEnd w:id="34"/>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Our approach has generated a robust and diversified product candidate pipeline across a range of technologies in oncology and infectious disease, and has led to the approval of our first marketed product, Comirnaty.</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unaudited interim condensed consolidated financial statements as of and for the three and nine months ended September 30, 2025 were authorized for issuance in accordance with a resolution of the Audit Committee of our Supervisory Board on November 2, 2025.</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Basis of Preparation, Significant Accounting Policies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Preparation and Principles of Consolidation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as of and for the three and nine months ended September 30, 2025 have been prepared in accordance with IAS 34 Interim Financial Reporting.</w:t>
      </w:r>
    </w:p>
    <w:p>
      <w:pPr>
        <w:spacing w:after="0" w:line="16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do not include all the information and disclosures required in the audited consolidated financial statements, and should be read in conjunction with our audited consolidated financial statements and accompanying notes included in our Annual Report on Form 20-F as of and for the year ended December 31, 2024.</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prepare and present our unaudited interim condensed consolidated financial statements in Euros and round numbers to millions of Euros. Accordingly, numerical figures rounded in the table context may be adjusted to match totals in some tables while some totals may not be the exact arithmetic aggregations of the figures.</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as of and for the three and nine months ended September 30, 2025, include BioNTech SE and its subsidiaries. All intercompany transactions and balances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Judgments, Estimates and Assumptions and Accounting Policies</w:t>
      </w:r>
    </w:p>
    <w:p>
      <w:pPr>
        <w:spacing w:after="0" w:line="121" w:lineRule="exact"/>
        <w:rPr>
          <w:sz w:val="20"/>
          <w:szCs w:val="20"/>
          <w:color w:val="auto"/>
        </w:rPr>
      </w:pPr>
    </w:p>
    <w:p>
      <w:pPr>
        <w:jc w:val="both"/>
        <w:ind w:right="420"/>
        <w:spacing w:after="0" w:line="312" w:lineRule="auto"/>
        <w:rPr>
          <w:sz w:val="20"/>
          <w:szCs w:val="20"/>
          <w:color w:val="auto"/>
        </w:rPr>
      </w:pPr>
      <w:r>
        <w:rPr>
          <w:rFonts w:ascii="Times New Roman" w:cs="Times New Roman" w:eastAsia="Times New Roman" w:hAnsi="Times New Roman"/>
          <w:sz w:val="17"/>
          <w:szCs w:val="17"/>
          <w:color w:val="auto"/>
        </w:rPr>
        <w:t>The preparation of the unaudited interim condensed consolidated financial statements requires our management to make judgments, estimates and assumptions that affect the reported amounts of revenues, expenses, assets, liabilities and contingent liabilities and the accompanying disclosures.</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includes, but is not limited to, our judgment relating to our collaboration with Pfizer, Inc., or Pfizer, as described under the subheading “Pfizer Agreement Characteristics” in Note 3 to our audited consolidated financial statements as of and for the year ended December 31, 2024. In order to determine our share of the collaboration partner’s gross profits, we used certain information from the collaboration partner, including revenues from the sale of products and certain other sharable expense items, some of which is based on preliminary data shared between the partners.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F-B-9</w:t>
      </w:r>
    </w:p>
    <w:p>
      <w:pPr>
        <w:sectPr>
          <w:pgSz w:w="11900" w:h="16838" w:orient="portrait"/>
          <w:cols w:equalWidth="0" w:num="1">
            <w:col w:w="10920"/>
          </w:cols>
          <w:pgMar w:left="440" w:top="270" w:right="539" w:bottom="1440" w:gutter="0" w:footer="0" w:header="0"/>
        </w:sectPr>
      </w:pPr>
    </w:p>
    <w:bookmarkStart w:id="35" w:name="page36"/>
    <w:bookmarkEnd w:id="35"/>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further includes, but is not limited to, judgments relating to the impairment tests of our goodwill and intangible assets, as the outcome of these tests is highly dependent on management’s assumptions regarding future cash flow projections, which require significant judgments and assumptions about future developments. They can be affected by a variety of factors, including but not limited to peak sales assumptions, clinical trial success rates and/or estimation of weighted-average cost of capital. Changes to the assumptions underlying our goodwill and intangible assets impairment assessments could require material adjustments to the carrying amount of our recognized goodwill and intangible assets and may lead to impairment charges recognized in our condensed consolidated statements of profit or loss.</w:t>
      </w:r>
    </w:p>
    <w:p>
      <w:pPr>
        <w:spacing w:after="0" w:line="18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Judgment is also required including, but not limited to, when accounting for business combinations. This includes determining whether an intangible asset is identifiable and whether it should be recorded separately from goodwill. Additionally, estimating the acquisition date fair values in conjunction with the purchase price allocation and with the settlement of pre-existing relationships involves estimation uncertainty and discretionary decisions. The necessary measurements are based on information available on the acquisition date and on expectations and assumptions that have been deemed reasonable by management. These judgments, estimates and assumptions can materially affect our financial position and our profit or loss statements.</w:t>
      </w:r>
    </w:p>
    <w:p>
      <w:pPr>
        <w:spacing w:after="0" w:line="1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further includes, but is not limited to, judgments related to our new collaboration with Bristol-Myers Squibb Company, or BMS, as described in Note 3 below. Under the terms of the collaboration, we and BMS will jointly share development and manufacturing costs on a 50:50 basis. In determining the amount payable to or receivable from BMS, we rely on BMS for its costs incurred in the respective reporting period. Management used judgment to identify the license as a separate unit of account from the development activities defined in the contract, and applied IFRS 15 to the upfront, anniversary and milestone payments in respect of the license component. Determining whether the performance obligation in relation to the license granted to BMS is satisfied over time or at a point in time, included judgment to assess that the nature of our promise to grant the license is a right-to-use our intellectual property. We have determined that the contract does not contain a substantive termination penalty and therefore contains material rights based on the option to cancel the contract during the development period under the contract, which management determined to be 5 years. The development period is an estimate made by management that is required to be re-evaluated each reporting period (see Note 3).</w:t>
      </w:r>
    </w:p>
    <w:p>
      <w:pPr>
        <w:spacing w:after="0" w:line="188"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Management bases its judgments and estimates on parameters available at the time when the unaudited interim condensed consolidated financial statements were prepared. Existing circumstances and assumptions about future developments, however, may change due to market changes or circumstances arising that are beyond our control. Such changes are reflected in the assumptions when they occur.</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accordance with IFRS 11 (Joint Arrangements), we classify our joint arrangements (i.e. arrangements in which we exercise joint control with one or more other parties) either as a joint operation or as joint venture. We exercise joint control over a joint arrangement when decisions relating to the relevant activities of the arrangement require the unanimous consent of us and the other parties with whom control is shared. We have assessed that we exercise joint control with BMS in relation to the development activities in the co-development and co-commercialization agreement and classified those activities as a joint operation.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F-B-10</w:t>
      </w:r>
    </w:p>
    <w:p>
      <w:pPr>
        <w:sectPr>
          <w:pgSz w:w="11900" w:h="16838" w:orient="portrait"/>
          <w:cols w:equalWidth="0" w:num="1">
            <w:col w:w="11000"/>
          </w:cols>
          <w:pgMar w:left="440" w:top="270" w:right="459" w:bottom="1440" w:gutter="0" w:footer="0" w:header="0"/>
        </w:sectPr>
      </w:pPr>
    </w:p>
    <w:bookmarkStart w:id="36" w:name="page37"/>
    <w:bookmarkEnd w:id="3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accounting policies adopted in the preparation of the unaudited interim condensed consolidated financial statements are consistent with those followed in the preparation of our audited consolidated financial statements as of and for the year ended December 31, 2024, except for income taxes, which are accounted for using the expected annual tax rate in our unaudited interim condensed consolidated financial statements (see Note 6). In addition, the assets, liabilities, revenues and expenses in relation to the joint arrangement with BMS, which is not structured through a separate vehicle, are accounted for in accordance with the IFRS Accounting standards applicable to the particular assets, liabilities, revenues and expenses. We account for our share of the development activities in accordance with IFRS 11 and we account for the license component under IFRS 15. Reimbursements for research and development are offset against research and development expenses.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Applied for the First Time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IFRS Accounting Standards that were applied for the first time as of January 1, 2025, as disclosed in the notes to the audited consolidated financial statements as of and for the year ended December 31, 2024, had no impact on our unaudited interim condensed consolidated financial statements as of and for the three and nine months ended September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Revenues from Contracts with Customers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Disaggregated Information on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the disaggregation of our revenues from contracts with customers:</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7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4"/>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 millions </w:t>
            </w: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w:t>
            </w:r>
          </w:p>
        </w:tc>
        <w:tc>
          <w:tcPr>
            <w:tcW w:w="6060" w:type="dxa"/>
            <w:vAlign w:val="bottom"/>
            <w:vMerge w:val="restart"/>
          </w:tcPr>
          <w:p>
            <w:pPr>
              <w:spacing w:after="0"/>
              <w:rPr>
                <w:sz w:val="14"/>
                <w:szCs w:val="14"/>
                <w:color w:val="auto"/>
              </w:rPr>
            </w:pPr>
          </w:p>
        </w:tc>
        <w:tc>
          <w:tcPr>
            <w:tcW w:w="17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0"/>
        </w:trPr>
        <w:tc>
          <w:tcPr>
            <w:tcW w:w="860" w:type="dxa"/>
            <w:vAlign w:val="bottom"/>
            <w:tcBorders>
              <w:bottom w:val="single" w:sz="8" w:color="auto"/>
            </w:tcBorders>
            <w:vMerge w:val="continue"/>
          </w:tcPr>
          <w:p>
            <w:pPr>
              <w:spacing w:after="0"/>
              <w:rPr>
                <w:sz w:val="15"/>
                <w:szCs w:val="15"/>
                <w:color w:val="auto"/>
              </w:rPr>
            </w:pPr>
          </w:p>
        </w:tc>
        <w:tc>
          <w:tcPr>
            <w:tcW w:w="6060" w:type="dxa"/>
            <w:vAlign w:val="bottom"/>
            <w:vMerge w:val="continue"/>
          </w:tcPr>
          <w:p>
            <w:pPr>
              <w:spacing w:after="0"/>
              <w:rPr>
                <w:sz w:val="15"/>
                <w:szCs w:val="15"/>
                <w:color w:val="auto"/>
              </w:rPr>
            </w:pPr>
          </w:p>
        </w:tc>
        <w:tc>
          <w:tcPr>
            <w:tcW w:w="600" w:type="dxa"/>
            <w:vAlign w:val="bottom"/>
          </w:tcPr>
          <w:p>
            <w:pPr>
              <w:jc w:val="right"/>
              <w:ind w:right="78"/>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7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600" w:type="dxa"/>
            <w:vAlign w:val="bottom"/>
          </w:tcPr>
          <w:p>
            <w:pPr>
              <w:jc w:val="right"/>
              <w:ind w:right="78"/>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600" w:type="dxa"/>
            <w:vAlign w:val="bottom"/>
          </w:tcPr>
          <w:p>
            <w:pPr>
              <w:jc w:val="right"/>
              <w:ind w:right="7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COVID-19 vaccine revenues</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853.3</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1,113.9</w:t>
            </w: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1,139.6</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 from out-licensing</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613.0</w:t>
            </w:r>
          </w:p>
        </w:tc>
        <w:tc>
          <w:tcPr>
            <w:tcW w:w="240" w:type="dxa"/>
            <w:vAlign w:val="bottom"/>
          </w:tcPr>
          <w:p>
            <w:pPr>
              <w:spacing w:after="0"/>
              <w:rPr>
                <w:sz w:val="18"/>
                <w:szCs w:val="18"/>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613.0</w:t>
            </w:r>
          </w:p>
        </w:tc>
        <w:tc>
          <w:tcPr>
            <w:tcW w:w="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52.6</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130.9</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251.1</w:t>
            </w:r>
          </w:p>
        </w:tc>
        <w:tc>
          <w:tcPr>
            <w:tcW w:w="0" w:type="dxa"/>
            <w:vAlign w:val="bottom"/>
          </w:tcPr>
          <w:p>
            <w:pPr>
              <w:spacing w:after="0"/>
              <w:rPr>
                <w:sz w:val="1"/>
                <w:szCs w:val="1"/>
                <w:color w:val="auto"/>
              </w:rPr>
            </w:pPr>
          </w:p>
        </w:tc>
      </w:tr>
      <w:tr>
        <w:trPr>
          <w:trHeight w:val="223"/>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1,518.</w:t>
            </w:r>
            <w:r>
              <w:rPr>
                <w:rFonts w:ascii="Times New Roman" w:cs="Times New Roman" w:eastAsia="Times New Roman" w:hAnsi="Times New Roman"/>
                <w:sz w:val="18"/>
                <w:szCs w:val="18"/>
                <w:b w:val="1"/>
                <w:bCs w:val="1"/>
                <w:u w:val="single" w:color="auto"/>
                <w:color w:val="auto"/>
              </w:rPr>
              <w:t>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1,244.</w:t>
            </w:r>
            <w:r>
              <w:rPr>
                <w:rFonts w:ascii="Times New Roman" w:cs="Times New Roman" w:eastAsia="Times New Roman" w:hAnsi="Times New Roman"/>
                <w:sz w:val="18"/>
                <w:szCs w:val="18"/>
                <w:b w:val="1"/>
                <w:bCs w:val="1"/>
                <w:u w:val="single" w:color="auto"/>
                <w:color w:val="auto"/>
              </w:rPr>
              <w:t>8</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1,962.5</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COVID-19 Vaccine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COVID-19 vaccine revenues were recognized from the supply and sales of our COVID-19 vaccine worldwide during the three and nine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2025 and 2024, mainly comprising our share of the collaboration partner’s gross profit derived from sales in the collaboration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territory. Overall, our COVID-19 vaccine revenues amounted to €853.3 million and €1,139.6 million during the three and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respectively. During the three and nine months ended September 30, 2024, COVID-19 vaccine revenues amounted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€1,113.9 million and €1,310.0 million, respectively. While our year-to-date revenues were similar to those of the comparative prior year period,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three months ended September 30, 2025 were lower compared to the comparative prior year period, largely driven by a lower volume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doses sold. Our COVID-19 vaccine revenues are subject to seasonal effects in the fall and winter of the northern hemisphere.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F-B-11</w:t>
      </w:r>
    </w:p>
    <w:p>
      <w:pPr>
        <w:sectPr>
          <w:pgSz w:w="11900" w:h="16838" w:orient="portrait"/>
          <w:cols w:equalWidth="0" w:num="1">
            <w:col w:w="10900"/>
          </w:cols>
          <w:pgMar w:left="440" w:top="270"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Revenues from Out-Licensing</w:t>
      </w:r>
    </w:p>
    <w:p>
      <w:pPr>
        <w:spacing w:after="0" w:line="11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June 2, 2025, we and Bristol-Myers Squibb Company, or BMS, announced a global strategic partnership to co-develop and co-commercialize our next-generation bispecific antibody candidate, pumitamig (BNT327/BMS986545), broadly for multiple solid tumor types. Under the terms of the agreement, we granted BMS a worldwide, co-exclusive license to use the licensed intellectual property, or IP, for the development, manufacturing and commercialization of our investigational bispecific antibody pumitamig as monotherapy or in combination with other products. We and BMS will jointly share development and manufacturing costs on a 50:50 basis. Global profits and losses will be equally shared as well. We received an upfront payment amounting to $1.5 billion during the three months ended September 30, 2025, and are eligible to receive $2.0 billion total in non-contingent anniversary payments through 2028 as well as up to $7.6 billion in additional development, regulatory and commercial milestone payments contingent on achievement of certain development, regulatory and commercial milestones.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August 15, 2025, we and BMS entered into an amended and restated agreement that replaced the original agreement. The new agreement governs the collaboration, including in particular the performance-related rights and obligations, without affecting the financial terms agreed in the original agreement. The license granted in respect of our IP was determined to be a separate unit of account from the other promised good and services, which we refer to as development activities, and accounted for under IFRS 15 as the granting of a license to our IP is an output of our ordinary activities. Based on the terms of the contract, we have identified material rights relating to options to cancel the contract. In allocating revenue to the material rights throughout the development period, management determined an expected consideration of $3.5 billion, consisting of the upfront payment and the anniversary payments. The expected consideration is attributed to each option to cancel the contract using the practical alternative under IFRS 15.B43. Each material right is recognized as revenue at the point in time BMS makes use of its option or when such right expires. The upfront payment was recorded as contract liability (€1,313.6 million, converted as of the contract date of the initial agreement, June 2, 2025). We determined that the criteria in IFRS 15.9 were subsequently met with the conclusion of the amended and restated agreement as of August 15, 2025. During the three months ended September 30, 2025, revenue in the amount of €613.0 million was recognized on a cumulative catch-up basis as of June 2, 2025, the date the initial agreement was effective, and €700.6 million have been deferred and will be recognized upon BMS makes use of its option or when such right expires. All milestone payments are considered to be constrained, as the achievement of the milestone events depends on the success of the underlying research and development activities, which is outside our control. Sales-based milestone payments will be recognized when the underlying sale transactions have occurred.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F-B-12</w:t>
      </w:r>
    </w:p>
    <w:p>
      <w:pPr>
        <w:sectPr>
          <w:pgSz w:w="11900" w:h="16838" w:orient="portrait"/>
          <w:cols w:equalWidth="0" w:num="1">
            <w:col w:w="11000"/>
          </w:cols>
          <w:pgMar w:left="440" w:top="270"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Revenues</w:t>
      </w:r>
    </w:p>
    <w:p>
      <w:pPr>
        <w:spacing w:after="0" w:line="11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remaining other revenues were mainly derived from a pandemic preparedness contract with the German government, during the three and nine months ended September 30, 2025 and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contracts with customers were recognized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17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4"/>
        </w:trPr>
        <w:tc>
          <w:tcPr>
            <w:tcW w:w="300" w:type="dxa"/>
            <w:vAlign w:val="bottom"/>
          </w:tcPr>
          <w:p>
            <w:pPr>
              <w:spacing w:after="0"/>
              <w:rPr>
                <w:sz w:val="14"/>
                <w:szCs w:val="14"/>
                <w:color w:val="auto"/>
              </w:rPr>
            </w:pPr>
          </w:p>
        </w:tc>
        <w:tc>
          <w:tcPr>
            <w:tcW w:w="140" w:type="dxa"/>
            <w:vAlign w:val="bottom"/>
            <w:vMerge w:val="restart"/>
          </w:tcPr>
          <w:p>
            <w:pPr>
              <w:spacing w:after="0"/>
              <w:rPr>
                <w:sz w:val="14"/>
                <w:szCs w:val="14"/>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6100" w:type="dxa"/>
            <w:vAlign w:val="bottom"/>
            <w:vMerge w:val="restart"/>
          </w:tcPr>
          <w:p>
            <w:pPr>
              <w:spacing w:after="0"/>
              <w:rPr>
                <w:sz w:val="14"/>
                <w:szCs w:val="14"/>
                <w:color w:val="auto"/>
              </w:rPr>
            </w:pPr>
          </w:p>
        </w:tc>
        <w:tc>
          <w:tcPr>
            <w:tcW w:w="17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100" w:type="dxa"/>
            <w:vAlign w:val="bottom"/>
            <w:vMerge w:val="continue"/>
          </w:tcPr>
          <w:p>
            <w:pPr>
              <w:spacing w:after="0"/>
              <w:rPr>
                <w:sz w:val="15"/>
                <w:szCs w:val="15"/>
                <w:color w:val="auto"/>
              </w:rPr>
            </w:pPr>
          </w:p>
        </w:tc>
        <w:tc>
          <w:tcPr>
            <w:tcW w:w="600" w:type="dxa"/>
            <w:vAlign w:val="bottom"/>
          </w:tcPr>
          <w:p>
            <w:pPr>
              <w:jc w:val="right"/>
              <w:ind w:right="78"/>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600" w:type="dxa"/>
            <w:vAlign w:val="bottom"/>
          </w:tcPr>
          <w:p>
            <w:pPr>
              <w:jc w:val="right"/>
              <w:ind w:right="7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600" w:type="dxa"/>
            <w:vAlign w:val="bottom"/>
          </w:tcPr>
          <w:p>
            <w:pPr>
              <w:jc w:val="right"/>
              <w:ind w:right="78"/>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600" w:type="dxa"/>
            <w:vAlign w:val="bottom"/>
          </w:tcPr>
          <w:p>
            <w:pPr>
              <w:jc w:val="right"/>
              <w:ind w:right="7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793.3</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247.0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930.3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Goods and services transferred over time</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44.8</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124.8</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193.4</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2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Revenue recognition applying the sales-based or usage-based royalty recognition</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920" w:type="dxa"/>
            <w:vAlign w:val="bottom"/>
            <w:gridSpan w:val="2"/>
          </w:tcPr>
          <w:p>
            <w:pPr>
              <w:ind w:left="540"/>
              <w:spacing w:after="0" w:line="235" w:lineRule="exact"/>
              <w:rPr>
                <w:sz w:val="20"/>
                <w:szCs w:val="20"/>
                <w:color w:val="auto"/>
              </w:rPr>
            </w:pPr>
            <w:r>
              <w:rPr>
                <w:rFonts w:ascii="Times New Roman" w:cs="Times New Roman" w:eastAsia="Times New Roman" w:hAnsi="Times New Roman"/>
                <w:sz w:val="18"/>
                <w:szCs w:val="18"/>
                <w:color w:val="auto"/>
              </w:rPr>
              <w:t xml:space="preserve">constraint model </w:t>
            </w:r>
            <w:r>
              <w:rPr>
                <w:rFonts w:ascii="Times New Roman" w:cs="Times New Roman" w:eastAsia="Times New Roman" w:hAnsi="Times New Roman"/>
                <w:sz w:val="26"/>
                <w:szCs w:val="26"/>
                <w:color w:val="auto"/>
                <w:vertAlign w:val="superscript"/>
              </w:rPr>
              <w:t>(1)</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680.8</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873.0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838.8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1,027.8</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1,518.</w:t>
            </w:r>
            <w:r>
              <w:rPr>
                <w:rFonts w:ascii="Times New Roman" w:cs="Times New Roman" w:eastAsia="Times New Roman" w:hAnsi="Times New Roman"/>
                <w:sz w:val="18"/>
                <w:szCs w:val="18"/>
                <w:b w:val="1"/>
                <w:bCs w:val="1"/>
                <w:u w:val="single" w:color="auto"/>
                <w:color w:val="auto"/>
              </w:rPr>
              <w:t>9</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1,244.</w:t>
            </w:r>
            <w:r>
              <w:rPr>
                <w:rFonts w:ascii="Times New Roman" w:cs="Times New Roman" w:eastAsia="Times New Roman" w:hAnsi="Times New Roman"/>
                <w:sz w:val="18"/>
                <w:szCs w:val="18"/>
                <w:b w:val="1"/>
                <w:bCs w:val="1"/>
                <w:u w:val="single" w:color="auto"/>
                <w:color w:val="auto"/>
              </w:rPr>
              <w:t>8</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1,962.5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1,561.1</w:t>
            </w: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w w:val="92"/>
              </w:rPr>
              <w:t>(1)</w:t>
            </w:r>
          </w:p>
        </w:tc>
        <w:tc>
          <w:tcPr>
            <w:tcW w:w="140" w:type="dxa"/>
            <w:vAlign w:val="bottom"/>
          </w:tcPr>
          <w:p>
            <w:pPr>
              <w:spacing w:after="0" w:line="20" w:lineRule="exact"/>
              <w:rPr>
                <w:sz w:val="1"/>
                <w:szCs w:val="1"/>
                <w:color w:val="auto"/>
              </w:rPr>
            </w:pPr>
          </w:p>
        </w:tc>
        <w:tc>
          <w:tcPr>
            <w:tcW w:w="6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Represents sales based on the share of the collaboration partners’ gross profit.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9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Income and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 General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w:t>
      </w:r>
    </w:p>
    <w:p>
      <w:pPr>
        <w:spacing w:after="0" w:line="11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cost of sales decreased by €30.6 million, or 17%, from €178.9 million during the three months ended September 30, 2024 to €148.3 million during the three months ended September 30, 2025 and increased by €10.7 million, or 4%, from €297.8 million during the nine months ended September 30, 2024 to €308.5 million during the nine months ended September 30, 2025. While the decrease in cost of sales for the three months ended September 30, 2025, compared to the same period in 2024, was primarily driven by lower expenses arising from inventory write-downs to net realizable value, the year-to-date increase is mainly attributable to multiple positive extraordinary effects, for example derived from inventory valuation effects, that were recognized during the nine months ended September 30, 2024. Expenses arising from inventory write-downs to net realizable value amounted to €11.8 million and €76.1 million during the three and nine months ended September 30, 2025, respectively, compared to €39.7 million and</w:t>
      </w:r>
    </w:p>
    <w:p>
      <w:pPr>
        <w:spacing w:after="0" w:line="3" w:lineRule="exact"/>
        <w:rPr>
          <w:sz w:val="20"/>
          <w:szCs w:val="20"/>
          <w:color w:val="auto"/>
        </w:rPr>
      </w:pPr>
    </w:p>
    <w:p>
      <w:pPr>
        <w:ind w:right="780"/>
        <w:spacing w:after="0" w:line="260" w:lineRule="auto"/>
        <w:rPr>
          <w:sz w:val="20"/>
          <w:szCs w:val="20"/>
          <w:color w:val="auto"/>
        </w:rPr>
      </w:pPr>
      <w:r>
        <w:rPr>
          <w:rFonts w:ascii="Times New Roman" w:cs="Times New Roman" w:eastAsia="Times New Roman" w:hAnsi="Times New Roman"/>
          <w:sz w:val="18"/>
          <w:szCs w:val="18"/>
          <w:color w:val="auto"/>
        </w:rPr>
        <w:t>€103.3 million during the three and nine months ended September 30, 2024, respectively. The inventories valued at net realizable value in our consolidated statement of financial position as of September 30, 2025 reflect contractual compensation payments.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increased by €14.5 million, or 3%, from €550.3 million during the three months ended September 30, 2024 to €564.8 million during the three months ended September 30, 2025 and decreased by €42.9 million, or 3%, from €1,642.4 million during the nine months ended September 30, 2024 to €1,599.5 million during the nine months ended September 30, 2025. The changes were mainly driven by the start of late-stage trials for our immuno-oncology, or IO, and antibody-drug conjugate, or ADC, programs, partly offset by cost savings resulting from active portfolio management. In addition, research and development expenses for the three months ended September 30, 2025 were impacted by a one-time impairment of BNT323/DB-1303 (see Note 7).</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F-B-13</w:t>
      </w:r>
    </w:p>
    <w:p>
      <w:pPr>
        <w:sectPr>
          <w:pgSz w:w="11900" w:h="16838" w:orient="portrait"/>
          <w:cols w:equalWidth="0" w:num="1">
            <w:col w:w="11000"/>
          </w:cols>
          <w:pgMar w:left="440" w:top="270"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and Administrative Expenses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decreased by €11.2 million, or 8%, from €132.4 million during the three months ended September 30, 2024 to €121.2 million during the three months ended September 30, 2025 and decreased by €74.5 million, or 18%, from €420.3 million during the nine months ended September 30, 2024 to €345.8 million during the nine months ended September 30, 2025. The decrease was primarily driven by a reduction in external services. For the three months ended September 30, 2025, lower insurance and personnel costs also contributed to the decline compared to the prior-year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Other Operating Result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operating result recognized during the three and nine months ended September 30, 2025 and 2024 is shown in the following table:</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7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6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17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0"/>
        </w:trPr>
        <w:tc>
          <w:tcPr>
            <w:tcW w:w="6960" w:type="dxa"/>
            <w:vAlign w:val="bottom"/>
            <w:gridSpan w:val="3"/>
            <w:vMerge w:val="continue"/>
          </w:tcPr>
          <w:p>
            <w:pPr>
              <w:spacing w:after="0"/>
              <w:rPr>
                <w:sz w:val="13"/>
                <w:szCs w:val="13"/>
                <w:color w:val="auto"/>
              </w:rPr>
            </w:pPr>
          </w:p>
        </w:tc>
        <w:tc>
          <w:tcPr>
            <w:tcW w:w="540" w:type="dxa"/>
            <w:vAlign w:val="bottom"/>
          </w:tcPr>
          <w:p>
            <w:pPr>
              <w:jc w:val="right"/>
              <w:ind w:right="33"/>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3"/>
                <w:szCs w:val="13"/>
                <w:color w:val="auto"/>
              </w:rPr>
            </w:pPr>
          </w:p>
        </w:tc>
        <w:tc>
          <w:tcPr>
            <w:tcW w:w="540" w:type="dxa"/>
            <w:vAlign w:val="bottom"/>
          </w:tcPr>
          <w:p>
            <w:pPr>
              <w:jc w:val="right"/>
              <w:ind w:right="31"/>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3"/>
                <w:szCs w:val="13"/>
                <w:color w:val="auto"/>
              </w:rPr>
            </w:pPr>
          </w:p>
        </w:tc>
        <w:tc>
          <w:tcPr>
            <w:tcW w:w="520" w:type="dxa"/>
            <w:vAlign w:val="bottom"/>
          </w:tcPr>
          <w:p>
            <w:pPr>
              <w:jc w:val="right"/>
              <w:ind w:right="33"/>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3"/>
                <w:szCs w:val="13"/>
                <w:color w:val="auto"/>
              </w:rPr>
            </w:pPr>
          </w:p>
        </w:tc>
        <w:tc>
          <w:tcPr>
            <w:tcW w:w="520" w:type="dxa"/>
            <w:vAlign w:val="bottom"/>
          </w:tcPr>
          <w:p>
            <w:pPr>
              <w:jc w:val="right"/>
              <w:ind w:right="31"/>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9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Other operating result</w:t>
            </w: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3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56.3</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154.6</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derivative instruments at fair value through profit or loss</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6"/>
              </w:rPr>
              <w:t>— </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59.6</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Grants</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43.5</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Bargain purchase</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60" w:type="dxa"/>
            <w:vAlign w:val="bottom"/>
            <w:gridSpan w:val="3"/>
            <w:vMerge w:val="continue"/>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(729.5)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(410.9)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(884.7)</w:t>
            </w:r>
          </w:p>
        </w:tc>
        <w:tc>
          <w:tcPr>
            <w:tcW w:w="32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(719.9)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Pipeline prioritization costs</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(64.7)</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Contractual disputes / settlements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(678.5)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(365.9)</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(678.5)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Litigation costs</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(41.2)</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(65.3)</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derivative instruments at fair value through profit or loss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8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(52.7)</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result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(704.2)</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(354.6)</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(730.1)</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total other operating result decreased by €349.6 million, or 99%, from a negative operating result of €354.6 million during the three months ended September 30, 2024 to a negative operating result of €704.2 million during the three months ended September 30, 2025 and decreased by</w:t>
      </w:r>
    </w:p>
    <w:p>
      <w:pPr>
        <w:spacing w:after="0" w:line="277" w:lineRule="auto"/>
        <w:rPr>
          <w:sz w:val="20"/>
          <w:szCs w:val="20"/>
          <w:color w:val="auto"/>
        </w:rPr>
      </w:pPr>
      <w:r>
        <w:rPr>
          <w:rFonts w:ascii="Times New Roman" w:cs="Times New Roman" w:eastAsia="Times New Roman" w:hAnsi="Times New Roman"/>
          <w:sz w:val="17"/>
          <w:szCs w:val="17"/>
          <w:color w:val="auto"/>
        </w:rPr>
        <w:t>€113.2 million, or 18%, from a negative operating result of €616.9 million during the nine months ended September 30, 2024 to a negative operating result of €730.1 million during the nine months ended September 30, 2025. The decrease was mainly related to expenses incurred in connection with the settlement of contractual disputes to resolve a patent litigation with CureVac N.V. and GSK plc as announced on August 8, 2025. Under the terms of the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F-B-14</w:t>
      </w:r>
    </w:p>
    <w:p>
      <w:pPr>
        <w:sectPr>
          <w:pgSz w:w="11900" w:h="16838" w:orient="portrait"/>
          <w:cols w:equalWidth="0" w:num="1">
            <w:col w:w="10980"/>
          </w:cols>
          <w:pgMar w:left="440" w:top="270" w:right="479" w:bottom="1440" w:gutter="0" w:footer="0" w:header="0"/>
        </w:sectPr>
      </w:pPr>
    </w:p>
    <w:bookmarkStart w:id="40" w:name="page41"/>
    <w:bookmarkEnd w:id="40"/>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settlement agreements, we incurred other operating expenses of €678.5 million ($790.0 million), comprising €273.2 million ($320.0 million) in cash outflows (net of VAT), €362.3 million ($420.0 million) excluding VAT recognized as other financial liabilities (including VAT €417.6 million ($490.3 million)), and €42.9 million ($50.0 million) as a recognized provision. In addition, our other operating result was impacted by pipeline prioritization costs and a net loss from foreign exchange differences and related effects from derivative instruments in the current period.</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September 30, 2025, the amount of our grants deferred disclosed as other non-financial liabilities in our unaudited interim condensed consolidated financial statements amounted to €76.8 million compared to €85.2 million as of December 31, 2024. Compared to the balance sheet amount for the year ended December 31, 2024, the total nominal amount of government grants and similar grants increased mainly due to an additional grant signed of approximately £129.0 million with the UK Government.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Finance Result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finance result recognized during the three and nine months ended September 30, 2025 and 2024 is shown in the following table:</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14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7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14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0"/>
        </w:trPr>
        <w:tc>
          <w:tcPr>
            <w:tcW w:w="7360" w:type="dxa"/>
            <w:vAlign w:val="bottom"/>
            <w:gridSpan w:val="3"/>
            <w:vMerge w:val="continue"/>
          </w:tcPr>
          <w:p>
            <w:pPr>
              <w:spacing w:after="0"/>
              <w:rPr>
                <w:sz w:val="13"/>
                <w:szCs w:val="13"/>
                <w:color w:val="auto"/>
              </w:rPr>
            </w:pPr>
          </w:p>
        </w:tc>
        <w:tc>
          <w:tcPr>
            <w:tcW w:w="480" w:type="dxa"/>
            <w:vAlign w:val="bottom"/>
          </w:tcPr>
          <w:p>
            <w:pPr>
              <w:jc w:val="right"/>
              <w:ind w:right="14"/>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jc w:val="right"/>
              <w:ind w:right="32"/>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3"/>
                <w:szCs w:val="13"/>
                <w:color w:val="auto"/>
              </w:rPr>
            </w:pPr>
          </w:p>
        </w:tc>
        <w:tc>
          <w:tcPr>
            <w:tcW w:w="4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520" w:type="dxa"/>
            <w:vAlign w:val="bottom"/>
          </w:tcPr>
          <w:p>
            <w:pPr>
              <w:jc w:val="right"/>
              <w:ind w:right="32"/>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3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Finance result</w:t>
            </w: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156.2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324.8</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Gains from financial instruments measured at amortized cost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205.1</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Gains from financial instruments measured at fair value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119.5</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expenses</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(25.2)</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(66.1)</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Expenses from financial instruments measured at fair value</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(0.9)</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4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Expenses from financial instruments measured at amortized cost without expected credit</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losses</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exchange differences, net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(22.6)</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(49.0)</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finance result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148.2</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258.7</w:t>
            </w: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finance result during the three and nine months ended September 30, 2025 and 2024 was mainly derived from returns, such as interests, resulting from our financial investments as well as fair value adjustments of our money market funds. Our total finance result decreased by €76.6 million, or 52%, from a positive finance result of €148.2 million during the three months ended September 30, 2024 to a positive finance result of €71.6 million during the three months ended September 30, 2025 and decreased by €225.3 million, or 47%, from a positive finance result of €484.0 million during the nine months ended September 30, 2024 to a positive finance result of €258.7 million during the nine months ended September 30, 2025. These changes are mainly due to lower interest income and negative foreign exchange differences, primarily derived from our security investments disclosed as cash equivalents and bank cash accounts held in foreign currency.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F-B-15</w:t>
      </w:r>
    </w:p>
    <w:p>
      <w:pPr>
        <w:sectPr>
          <w:pgSz w:w="11900" w:h="16838" w:orient="portrait"/>
          <w:cols w:equalWidth="0" w:num="1">
            <w:col w:w="11000"/>
          </w:cols>
          <w:pgMar w:left="440" w:top="270"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 Business Combination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Biotheus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13, 2024, our subsidiary, BioNTech Collaborations GmbH, entered into an agreement and plan of merger, or the Merger Agreement, with Biotheus, a clinical-stage biotechnology company dedicated to the discovery and development of novel antibodies to address unmet medical needs of patients with oncological or inflammatory diseases, to acquire 100 percent of the issued share capital of Biotheus. The acquisition supports the global execution of our oncology strategy and provides full global rights to pumitamig (BNT327/BMS986545), an investigational PD-L1 x VEGF-A bispecific antibody, with potential to replace current checkpoint inhibitor standard of care treatments for solid tumors.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By closing the acquisition, we gained full rights to Biotheus’ other pipeline candidates and its in-house bispecific antibody-drug conjugate capability. The acquisition has expanded our footprint in China, adding a local research and development hub to conduct clinical trials. In addition, we have gained a biologics manufacturing facility to contribute to our future global manufacturing and supply, and more than 300 Biotheus employees in R&amp;D, manufacturing and enabling functions have joined the BioNTech workforce.</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Following the satisfaction of several customary closing conditions and regulatory approvals as defined in the Merger Agreement, the acquisition closed on January 31, 2025.</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Since the completion of the acquisition took place in January 2025, we performed an allocation of the total consideration and the underlying assets acquired and liabilities assumed based on their fair values using the information available as of the acquisition date. Due to the complexity of the transaction, this allocation is still preliminary and might be subject to change. The total consideration and the fair values determined in accordance with IFRS 3 of the identified net assets acquired of Biotheus as of January 31, 2025, are as follows: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F-B-16</w:t>
      </w:r>
    </w:p>
    <w:p>
      <w:pPr>
        <w:sectPr>
          <w:pgSz w:w="11900" w:h="16838" w:orient="portrait"/>
          <w:cols w:equalWidth="0" w:num="1">
            <w:col w:w="10980"/>
          </w:cols>
          <w:pgMar w:left="440" w:top="270" w:right="479" w:bottom="1440" w:gutter="0" w:footer="0" w:header="0"/>
        </w:sectPr>
      </w:pPr>
    </w:p>
    <w:bookmarkStart w:id="42" w:name="page43"/>
    <w:bookmarkEnd w:id="42"/>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recognized</w:t>
            </w:r>
          </w:p>
        </w:tc>
        <w:tc>
          <w:tcPr>
            <w:tcW w:w="0" w:type="dxa"/>
            <w:vAlign w:val="bottom"/>
          </w:tcPr>
          <w:p>
            <w:pPr>
              <w:spacing w:after="0"/>
              <w:rPr>
                <w:sz w:val="1"/>
                <w:szCs w:val="1"/>
                <w:color w:val="auto"/>
              </w:rPr>
            </w:pPr>
          </w:p>
        </w:tc>
      </w:tr>
      <w:tr>
        <w:trPr>
          <w:trHeight w:val="164"/>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on acquisition</w:t>
            </w:r>
          </w:p>
        </w:tc>
        <w:tc>
          <w:tcPr>
            <w:tcW w:w="0" w:type="dxa"/>
            <w:vAlign w:val="bottom"/>
          </w:tcPr>
          <w:p>
            <w:pPr>
              <w:spacing w:after="0"/>
              <w:rPr>
                <w:sz w:val="1"/>
                <w:szCs w:val="1"/>
                <w:color w:val="auto"/>
              </w:rPr>
            </w:pPr>
          </w:p>
        </w:tc>
      </w:tr>
      <w:tr>
        <w:trPr>
          <w:trHeight w:val="178"/>
        </w:trPr>
        <w:tc>
          <w:tcPr>
            <w:tcW w:w="6060" w:type="dxa"/>
            <w:vAlign w:val="bottom"/>
            <w:gridSpan w:val="3"/>
            <w:vMerge w:val="continue"/>
          </w:tcPr>
          <w:p>
            <w:pPr>
              <w:spacing w:after="0"/>
              <w:rPr>
                <w:sz w:val="15"/>
                <w:szCs w:val="15"/>
                <w:color w:val="auto"/>
              </w:rPr>
            </w:pPr>
          </w:p>
        </w:tc>
        <w:tc>
          <w:tcPr>
            <w:tcW w:w="14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color w:val="auto"/>
              </w:rPr>
              <w:t>Biotheus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524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non-current and current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30"/>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 at fair value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Bargain from the acquisition</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60" w:type="dxa"/>
            <w:vAlign w:val="bottom"/>
            <w:gridSpan w:val="3"/>
            <w:vMerge w:val="continue"/>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vMerge w:val="continue"/>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Upfront payment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 (milestones)</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in connection with pre-existing relationships</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61" w:lineRule="auto"/>
        <w:rPr>
          <w:sz w:val="20"/>
          <w:szCs w:val="20"/>
          <w:color w:val="auto"/>
        </w:rPr>
      </w:pPr>
      <w:r>
        <w:rPr>
          <w:rFonts w:ascii="Times New Roman" w:cs="Times New Roman" w:eastAsia="Times New Roman" w:hAnsi="Times New Roman"/>
          <w:sz w:val="18"/>
          <w:szCs w:val="18"/>
          <w:color w:val="auto"/>
        </w:rPr>
        <w:t>Upon closing and under the terms of the agreement, we paid Biotheus shareholders an upfront payment of €767.8 million in cash. Furthermore, we agreed to pay additional performance-based contingent payments, if certain milestones are met. At the acquisition date, the contingent consideration was recognized at its fair value of €79.6 million based on discounted cash flow projections in connection with performance-based contingent payments. The lower end of the bandwidth of possible outcomes of the contingent consideration is zero, and the upper limit is €144.3 million.</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Under the terms of the agreement, we also transferred American Depositary Shares, or ADSs, to eligible shareholders who will provide services to the Group. Under IFRS 3, this is considered remuneration and will be recognized as equity-settled share-based payment, based on the grant date fair value (€49.2 million) as personnel expense over a four-year service period.</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purchase price is mainly allocated to the settlement of our pre-existing relationship in connection with the License and Collaboration Agreement with Biotheus entered into in November 2023, which comprised exclusive rights to the development, manufacturing and commercialization of BNT327/PM8002 ex-Greater China. The amount is separated from the remaining purchase price to be transferred for the acquired business of Biotheus and amounts to €565.1 million. This amount for the settlement of the pre-existing relationship is identified based on the fair value of the settled rights of Biotheus in connection with contingent payments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F-B-17</w:t>
      </w:r>
    </w:p>
    <w:p>
      <w:pPr>
        <w:sectPr>
          <w:pgSz w:w="11900" w:h="16838" w:orient="portrait"/>
          <w:cols w:equalWidth="0" w:num="1">
            <w:col w:w="10980"/>
          </w:cols>
          <w:pgMar w:left="440" w:top="251" w:right="479" w:bottom="1440" w:gutter="0" w:footer="0" w:header="0"/>
        </w:sectPr>
      </w:pPr>
    </w:p>
    <w:bookmarkStart w:id="43" w:name="page44"/>
    <w:bookmarkEnd w:id="43"/>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relation to the License and Collaboration Agreement, including development, regulatory and sales milestones and royalties. This fair value was determined using a Discounted Cash flow model based on a business plan for the compound, using an appropriate WACC. The fair value of these rights is recorded as subsequent acquisition cost to our BNT327/PM8002 ex-Greater China rights. As the requirements under IAS 12 for the initial recognition exemption are fulfilled, we did not record a correspondent deferred tax liability. We did not identify a gain or a loss in connection with the settlement of the pre-existing relationship.</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consideration for the acquired business of Biotheus is allocated to net assets acquired, which mainly include identified intangible assets in connection with Biotheus’ BNT327/PM8002 Greater China rights and other clinical pipeline candidates, property, plant and equipment, cash and liabilities assumed. The fair values of the BNT327/PM8002 Greater China rights and other clinical pipeline candidates were determined based on the direct cash flow approach and amount to €167.7 million.</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bargain purchase of €15.0 million was recognized in other operating income, which technically results from the separation of the identified amount in connection with the settlement of the pre-existing relationships and the application of the initial recognition exemption under IAS 12.</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Transaction costs of €6.9 million were expensed and are included in general and administrative expenses. Since the acquisition, Biotheus’ impact on our revenue and profit and loss for the period has been immaterial. Accordingly, pro-forma amounts for our revenue and profit and loss for the financial year, which were calculated on the assumption that the acquisition had taken place at the beginning of the year, would not materially differ from the actual figures reported.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Income Taxes</w:t>
      </w:r>
    </w:p>
    <w:p>
      <w:pPr>
        <w:spacing w:after="0" w:line="1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and 2024, income taxes were calculated based on the best estimate of the weighted average annual income tax rates expected for the full financial years (estimated annual effective income tax rates) on ordinary income before tax adjusted by the tax effect of any discrete items. During the nine months ended September 30, 2025, our effective income tax rate was approximately (0.9)%. During the nine months ended September 30, 2024, our effective income tax rate was approximately 5.5%.</w:t>
      </w:r>
    </w:p>
    <w:p>
      <w:pPr>
        <w:spacing w:after="0" w:line="18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effective income tax rate was mainly driven by the expected negative result for 2025 and management’s assessment of the requirements in International Accounting Standards, or IAS, 12, including on the character and amounts of taxable future profits, the periods in which those profits are expected to occur, and the availability of tax planning opportunities. Thus, in countries where the requirements of IAS 12 were not fulfilled, no deferred tax asset was recognized. Such assessment takes into account the fact that there is an inherent risk of failure in pharmaceutical development and uncertainty of approvals that depend on external regulatory agencies’ opinions. As of September 30, 2025, As of September 30, 2025, the recoverability of the U.S. tax group’s deferred tax assets were reassessed in light of recent operational changes requiring the implementation of a specified transfer pricing model. The specified model is expected to reduce forecasted taxable profits in the United States. Based on updated financial projections, it has been concluded that it is no longer probable that sufficient future taxable profits will be available to realize the deferred tax assets previously recognized. Consequently, deferred tax assets of €68.4 million were derecognized, resulting in a tax expense of €68.4 million recognized in the interim period.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F-B-18</w:t>
      </w:r>
    </w:p>
    <w:p>
      <w:pPr>
        <w:sectPr>
          <w:pgSz w:w="11900" w:h="16838" w:orient="portrait"/>
          <w:cols w:equalWidth="0" w:num="1">
            <w:col w:w="11000"/>
          </w:cols>
          <w:pgMar w:left="440" w:top="270" w:right="459" w:bottom="1440" w:gutter="0" w:footer="0" w:header="0"/>
        </w:sectPr>
      </w:pPr>
    </w:p>
    <w:bookmarkStart w:id="44" w:name="page45"/>
    <w:bookmarkEnd w:id="44"/>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apply the mandatory exception to recognizing and disclosing information about deferred tax assets and liabilities arising from Pillar Two income taxes. Furthermore, we reviewed the corporate structure with regard to the Pillar Two Model Rules in various jurisdictions. Since the Group’s relevant effective tax rate for Pillar Two purposes is expected mainly above 15% in all jurisdictions in which it operates, it has been determined that the Group is not materially subject to Pillar Two “top-up” taxes. Therefore, the consolidated financial statements for the three and nine months ended September 30, 2025 do not include further information otherwise required by paragraphs 88B and 88C of IAS 12.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taxes recognized during the three and nine months ended September 30, 2025 and 2024 are shown in the following table:</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6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7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16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0"/>
        </w:trPr>
        <w:tc>
          <w:tcPr>
            <w:tcW w:w="7000" w:type="dxa"/>
            <w:vAlign w:val="bottom"/>
            <w:gridSpan w:val="3"/>
            <w:vMerge w:val="continue"/>
          </w:tcPr>
          <w:p>
            <w:pPr>
              <w:spacing w:after="0"/>
              <w:rPr>
                <w:sz w:val="13"/>
                <w:szCs w:val="13"/>
                <w:color w:val="auto"/>
              </w:rPr>
            </w:pPr>
          </w:p>
        </w:tc>
        <w:tc>
          <w:tcPr>
            <w:tcW w:w="480" w:type="dxa"/>
            <w:vAlign w:val="bottom"/>
          </w:tcPr>
          <w:p>
            <w:pPr>
              <w:jc w:val="right"/>
              <w:ind w:right="19"/>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3"/>
                <w:szCs w:val="13"/>
                <w:color w:val="auto"/>
              </w:rPr>
            </w:pPr>
          </w:p>
        </w:tc>
        <w:tc>
          <w:tcPr>
            <w:tcW w:w="560" w:type="dxa"/>
            <w:vAlign w:val="bottom"/>
          </w:tcPr>
          <w:p>
            <w:pPr>
              <w:jc w:val="right"/>
              <w:ind w:right="55"/>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3"/>
                <w:szCs w:val="13"/>
                <w:color w:val="auto"/>
              </w:rPr>
            </w:pPr>
          </w:p>
        </w:tc>
        <w:tc>
          <w:tcPr>
            <w:tcW w:w="4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3"/>
                <w:szCs w:val="13"/>
                <w:color w:val="auto"/>
              </w:rPr>
            </w:pPr>
          </w:p>
        </w:tc>
        <w:tc>
          <w:tcPr>
            <w:tcW w:w="600" w:type="dxa"/>
            <w:vAlign w:val="bottom"/>
          </w:tcPr>
          <w:p>
            <w:pPr>
              <w:jc w:val="right"/>
              <w:ind w:right="75"/>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 income taxes</w:t>
            </w:r>
          </w:p>
        </w:tc>
        <w:tc>
          <w:tcPr>
            <w:tcW w:w="4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w:t>
            </w: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56.3</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taxes expenses / (income)</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53.4</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(39.4)</w:t>
            </w:r>
          </w:p>
        </w:tc>
        <w:tc>
          <w:tcPr>
            <w:tcW w:w="7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7.7</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Other Intangible Assets</w:t>
      </w:r>
    </w:p>
    <w:p>
      <w:pPr>
        <w:spacing w:after="0" w:line="11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identify indications of impairment of other intangible assets using various factors from external and internal information sources, including deviations from sales forecasts and the analysis of changes in medium-term planning.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2025, we identified a triggering event in connection with the asset related to the product candidate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BNT323/DB-1303 due to revision of our commercial forecast assumptions. We performed an impairment test which revealed an impairment loss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€85.4 million recognized as research and development expenses in our statements of profit or loss. The impairment does not impact our strategy to bring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BNT323/DB-1303 to market. We continue to view this product candidate as a foundational opportunity to establish our commercial infrastructure,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paving the way for future launches. We did not identify any further indication that other intangible assets may be impaired during the three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2025.</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F-B-19</w:t>
      </w:r>
    </w:p>
    <w:p>
      <w:pPr>
        <w:sectPr>
          <w:pgSz w:w="11900" w:h="16838" w:orient="portrait"/>
          <w:cols w:equalWidth="0" w:num="1">
            <w:col w:w="10980"/>
          </w:cols>
          <w:pgMar w:left="440" w:top="270" w:right="479" w:bottom="1440" w:gutter="0" w:footer="0" w:header="0"/>
        </w:sectPr>
      </w:pPr>
    </w:p>
    <w:bookmarkStart w:id="45" w:name="page46"/>
    <w:bookmarkEnd w:id="4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 Financial Assets and Financial Liabilities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Financial Assets and Liabilities at Amortized Cost and at Fair Value through OCI and Profit or Loss</w:t>
      </w:r>
    </w:p>
    <w:p>
      <w:pPr>
        <w:spacing w:after="0" w:line="121" w:lineRule="exact"/>
        <w:rPr>
          <w:sz w:val="20"/>
          <w:szCs w:val="20"/>
          <w:color w:val="auto"/>
        </w:rPr>
      </w:pPr>
    </w:p>
    <w:p>
      <w:pPr>
        <w:ind w:left="4" w:right="760"/>
        <w:spacing w:after="0" w:line="282" w:lineRule="auto"/>
        <w:rPr>
          <w:sz w:val="20"/>
          <w:szCs w:val="20"/>
          <w:color w:val="auto"/>
        </w:rPr>
      </w:pPr>
      <w:r>
        <w:rPr>
          <w:rFonts w:ascii="Times New Roman" w:cs="Times New Roman" w:eastAsia="Times New Roman" w:hAnsi="Times New Roman"/>
          <w:sz w:val="18"/>
          <w:szCs w:val="18"/>
          <w:color w:val="auto"/>
        </w:rPr>
        <w:t>Set out below is an overview of financial assets and liabilities at amortized cost and at fair value through OCI and profit or loss, as of the dates indicated:</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4040" w:type="dxa"/>
            <w:vAlign w:val="bottom"/>
            <w:gridSpan w:val="2"/>
            <w:vMerge w:val="restart"/>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0"/>
                <w:szCs w:val="10"/>
                <w:color w:val="auto"/>
              </w:rPr>
            </w:pPr>
          </w:p>
        </w:tc>
        <w:tc>
          <w:tcPr>
            <w:tcW w:w="8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98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72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04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40" w:type="dxa"/>
            <w:vAlign w:val="bottom"/>
            <w:gridSpan w:val="2"/>
            <w:vMerge w:val="continue"/>
          </w:tcPr>
          <w:p>
            <w:pPr>
              <w:spacing w:after="0"/>
              <w:rPr>
                <w:sz w:val="15"/>
                <w:szCs w:val="15"/>
                <w:color w:val="auto"/>
              </w:rPr>
            </w:pPr>
          </w:p>
        </w:tc>
        <w:tc>
          <w:tcPr>
            <w:tcW w:w="10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98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860" w:type="dxa"/>
            <w:vAlign w:val="bottom"/>
            <w:tcBorders>
              <w:top w:val="single" w:sz="8" w:color="CCEEFF"/>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Financial assets subsequently measured at fair value</w:t>
            </w: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through profit or loss</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9.0</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198"/>
        </w:trPr>
        <w:tc>
          <w:tcPr>
            <w:tcW w:w="486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Security investments disclosed as cash and cash</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5,694.4</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5,694.4</w:t>
            </w:r>
          </w:p>
        </w:tc>
        <w:tc>
          <w:tcPr>
            <w:tcW w:w="0" w:type="dxa"/>
            <w:vAlign w:val="bottom"/>
          </w:tcPr>
          <w:p>
            <w:pPr>
              <w:spacing w:after="0"/>
              <w:rPr>
                <w:sz w:val="1"/>
                <w:szCs w:val="1"/>
                <w:color w:val="auto"/>
              </w:rPr>
            </w:pPr>
          </w:p>
        </w:tc>
      </w:tr>
      <w:tr>
        <w:trPr>
          <w:trHeight w:val="234"/>
        </w:trPr>
        <w:tc>
          <w:tcPr>
            <w:tcW w:w="4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equivalents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5,694.4</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vMerge w:val="continue"/>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5,694.4</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Security investments disclosed as other financial assets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4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199.9</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199.9</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199.9</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financial assets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43.4</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43.4</w:t>
            </w: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5"/>
              </w:rPr>
              <w:t>43.4</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43.4</w:t>
            </w:r>
          </w:p>
        </w:tc>
        <w:tc>
          <w:tcPr>
            <w:tcW w:w="0" w:type="dxa"/>
            <w:vAlign w:val="bottom"/>
          </w:tcPr>
          <w:p>
            <w:pPr>
              <w:spacing w:after="0"/>
              <w:rPr>
                <w:sz w:val="1"/>
                <w:szCs w:val="1"/>
                <w:color w:val="auto"/>
              </w:rPr>
            </w:pPr>
          </w:p>
        </w:tc>
      </w:tr>
      <w:tr>
        <w:trPr>
          <w:trHeight w:val="194"/>
        </w:trPr>
        <w:tc>
          <w:tcPr>
            <w:tcW w:w="48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Financial assets subsequently measured at fair value</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through OCI</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Non-listed equity investments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Listed equity investments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rPr>
              <w:t>75.1</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75.1</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rPr>
              <w:t>75.1</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75.1</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Financial assets subsequently measured at amortized costs</w:t>
            </w:r>
            <w:r>
              <w:rPr>
                <w:rFonts w:ascii="Times New Roman" w:cs="Times New Roman" w:eastAsia="Times New Roman" w:hAnsi="Times New Roman"/>
                <w:sz w:val="25"/>
                <w:szCs w:val="25"/>
                <w:b w:val="1"/>
                <w:bCs w:val="1"/>
                <w:color w:val="auto"/>
                <w:vertAlign w:val="superscript"/>
              </w:rPr>
              <w:t>(1)</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Security investments disclosed as other financial assets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4,075.7</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2,336.4</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6,412.1</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6,412.1</w:t>
            </w:r>
          </w:p>
        </w:tc>
        <w:tc>
          <w:tcPr>
            <w:tcW w:w="0" w:type="dxa"/>
            <w:vAlign w:val="bottom"/>
          </w:tcPr>
          <w:p>
            <w:pPr>
              <w:spacing w:after="0"/>
              <w:rPr>
                <w:sz w:val="1"/>
                <w:szCs w:val="1"/>
                <w:color w:val="auto"/>
              </w:rPr>
            </w:pPr>
          </w:p>
        </w:tc>
      </w:tr>
      <w:tr>
        <w:trPr>
          <w:trHeight w:val="198"/>
        </w:trPr>
        <w:tc>
          <w:tcPr>
            <w:tcW w:w="486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Security investments disclosed as cash and cash</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4,034.4</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4,034.4</w:t>
            </w:r>
          </w:p>
        </w:tc>
        <w:tc>
          <w:tcPr>
            <w:tcW w:w="0" w:type="dxa"/>
            <w:vAlign w:val="bottom"/>
          </w:tcPr>
          <w:p>
            <w:pPr>
              <w:spacing w:after="0"/>
              <w:rPr>
                <w:sz w:val="1"/>
                <w:szCs w:val="1"/>
                <w:color w:val="auto"/>
              </w:rPr>
            </w:pPr>
          </w:p>
        </w:tc>
      </w:tr>
      <w:tr>
        <w:trPr>
          <w:trHeight w:val="234"/>
        </w:trPr>
        <w:tc>
          <w:tcPr>
            <w:tcW w:w="4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equivalents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4,034.4</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vMerge w:val="continue"/>
            <w:shd w:val="clear" w:color="auto" w:fill="CCEEFF"/>
          </w:tcPr>
          <w:p>
            <w:pPr>
              <w:spacing w:after="0"/>
              <w:rPr>
                <w:sz w:val="20"/>
                <w:szCs w:val="20"/>
                <w:color w:val="auto"/>
              </w:rPr>
            </w:pP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Cash at banks and on hand</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24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364.1</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364.1</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690.8</w:t>
            </w: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690.8</w:t>
            </w: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Reimbursement asset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150.0</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150.0</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financial assets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gridSpan w:val="3"/>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19.7</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19.8</w:t>
            </w: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19.8</w:t>
            </w: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subsequently measured at fair value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0.6</w:t>
            </w: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0.6</w:t>
            </w: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10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rPr>
              <w:t>78.7</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121.7</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121.7</w:t>
            </w:r>
          </w:p>
        </w:tc>
        <w:tc>
          <w:tcPr>
            <w:tcW w:w="0" w:type="dxa"/>
            <w:vAlign w:val="bottom"/>
          </w:tcPr>
          <w:p>
            <w:pPr>
              <w:spacing w:after="0"/>
              <w:rPr>
                <w:sz w:val="1"/>
                <w:szCs w:val="1"/>
                <w:color w:val="auto"/>
              </w:rPr>
            </w:pPr>
          </w:p>
        </w:tc>
      </w:tr>
      <w:tr>
        <w:trPr>
          <w:trHeight w:val="194"/>
        </w:trPr>
        <w:tc>
          <w:tcPr>
            <w:tcW w:w="48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Financial liabilities subsequently measured at amortized</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60" w:type="dxa"/>
            <w:vAlign w:val="bottom"/>
            <w:gridSpan w:val="3"/>
            <w:shd w:val="clear" w:color="auto" w:fill="CCEEFF"/>
          </w:tcPr>
          <w:p>
            <w:pPr>
              <w:ind w:left="180"/>
              <w:spacing w:after="0" w:line="238" w:lineRule="exact"/>
              <w:rPr>
                <w:sz w:val="20"/>
                <w:szCs w:val="20"/>
                <w:color w:val="auto"/>
              </w:rPr>
            </w:pPr>
            <w:r>
              <w:rPr>
                <w:rFonts w:ascii="Times New Roman" w:cs="Times New Roman" w:eastAsia="Times New Roman" w:hAnsi="Times New Roman"/>
                <w:sz w:val="18"/>
                <w:szCs w:val="18"/>
                <w:b w:val="1"/>
                <w:bCs w:val="1"/>
                <w:color w:val="auto"/>
              </w:rPr>
              <w:t>costs</w:t>
            </w:r>
            <w:r>
              <w:rPr>
                <w:rFonts w:ascii="Times New Roman" w:cs="Times New Roman" w:eastAsia="Times New Roman" w:hAnsi="Times New Roman"/>
                <w:sz w:val="26"/>
                <w:szCs w:val="26"/>
                <w:b w:val="1"/>
                <w:bCs w:val="1"/>
                <w:color w:val="auto"/>
                <w:vertAlign w:val="superscript"/>
              </w:rPr>
              <w:t>(1)</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Loans and borrowings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10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rPr>
              <w:t>25.3</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38.5</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38.5</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399.8</w:t>
            </w: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399.8</w:t>
            </w: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10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rPr>
              <w:t>17.7</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571.4</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571.4</w:t>
            </w:r>
          </w:p>
        </w:tc>
        <w:tc>
          <w:tcPr>
            <w:tcW w:w="0" w:type="dxa"/>
            <w:vAlign w:val="bottom"/>
          </w:tcPr>
          <w:p>
            <w:pPr>
              <w:spacing w:after="0"/>
              <w:rPr>
                <w:sz w:val="1"/>
                <w:szCs w:val="1"/>
                <w:color w:val="auto"/>
              </w:rPr>
            </w:pPr>
          </w:p>
        </w:tc>
      </w:tr>
      <w:tr>
        <w:trPr>
          <w:trHeight w:val="194"/>
        </w:trPr>
        <w:tc>
          <w:tcPr>
            <w:tcW w:w="48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Financial liabilities subsequently not measured according to</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IFRS 9</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166.8</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207.0</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207.0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4" w:hanging="544"/>
        <w:spacing w:after="0"/>
        <w:tabs>
          <w:tab w:leader="none" w:pos="544" w:val="left"/>
        </w:tabs>
        <w:numPr>
          <w:ilvl w:val="0"/>
          <w:numId w:val="2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Fair values for financial assets and liabilities at amortized costs are not disclosed as the book values represent a reasonable approximation.</w:t>
      </w:r>
    </w:p>
    <w:p>
      <w:pPr>
        <w:spacing w:after="0" w:line="198"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Additional developments in our financial assets and liabilities during the nine months ended September 30, 2025 mainly resulted from a reallocation of existing capital and from new security investments (short-term fund) disclosed as other financial assets subsequently measured at fair value through profit and loss, which was entered into to strengthen our short-term security investment position. Furthermore, our financial assets decreased in the amount of €1,253.1 million in security investments disclosed as cash and cash equivalents subsequently measured at fair value through profit and loss (money market funds) and security investments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F-B-20</w:t>
      </w:r>
    </w:p>
    <w:p>
      <w:pPr>
        <w:sectPr>
          <w:pgSz w:w="11900" w:h="16838" w:orient="portrait"/>
          <w:cols w:equalWidth="0" w:num="1">
            <w:col w:w="11024"/>
          </w:cols>
          <w:pgMar w:left="436" w:top="270" w:right="439" w:bottom="1440" w:gutter="0" w:footer="0" w:header="0"/>
        </w:sectPr>
      </w:pPr>
    </w:p>
    <w:bookmarkStart w:id="46" w:name="page47"/>
    <w:bookmarkEnd w:id="46"/>
    <w:p>
      <w:pPr>
        <w:jc w:val="both"/>
        <w:ind w:left="4"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disclosed as other financial assets subsequently measured at amortized costs (for example, bonds and commercial paper) decreased in the amount of €1,185.2 million compared to year-end 2024. Security investments disclosed as cash and cash equivalents subsequently measured at amortized cost increased by €1,670.0 million during the nine months ended September 30, 2025 due to a focus on short-term investments.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total, our cash and security investments decreased by €654.3 million compared to December 31, 2024.</w:t>
      </w:r>
    </w:p>
    <w:p>
      <w:pPr>
        <w:spacing w:after="0" w:line="225"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other financial liabilities decreased by €854.8 million during the nine months ended September 30, 2025. A decrease of €1,369.9 million resulted from payments made in connection with the settlement of contractual disputes during the six months ended June 30, 2025. During the three months ended September 30, 2025, other financial liabilities increased by €417.6 million including VAT, as a result of the respective settlement agreements with CureVac N.V. and GSK plc (see Note 4.2).</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7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4040" w:type="dxa"/>
            <w:vAlign w:val="bottom"/>
            <w:gridSpan w:val="2"/>
            <w:vMerge w:val="restart"/>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40" w:type="dxa"/>
            <w:vAlign w:val="bottom"/>
          </w:tcPr>
          <w:p>
            <w:pPr>
              <w:spacing w:after="0"/>
              <w:rPr>
                <w:sz w:val="10"/>
                <w:szCs w:val="10"/>
                <w:color w:val="auto"/>
              </w:rPr>
            </w:pPr>
          </w:p>
        </w:tc>
        <w:tc>
          <w:tcPr>
            <w:tcW w:w="8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Non-</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98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720" w:type="dxa"/>
            <w:vAlign w:val="bottom"/>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04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current</w:t>
            </w:r>
          </w:p>
        </w:tc>
        <w:tc>
          <w:tcPr>
            <w:tcW w:w="840" w:type="dxa"/>
            <w:vAlign w:val="bottom"/>
            <w:gridSpan w:val="2"/>
            <w:vMerge w:val="continue"/>
          </w:tcPr>
          <w:p>
            <w:pPr>
              <w:spacing w:after="0"/>
              <w:rPr>
                <w:sz w:val="15"/>
                <w:szCs w:val="15"/>
                <w:color w:val="auto"/>
              </w:rPr>
            </w:pPr>
          </w:p>
        </w:tc>
        <w:tc>
          <w:tcPr>
            <w:tcW w:w="100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860" w:type="dxa"/>
            <w:vAlign w:val="bottom"/>
            <w:tcBorders>
              <w:top w:val="single" w:sz="8" w:color="CCEEFF"/>
            </w:tcBorders>
            <w:gridSpan w:val="3"/>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Financial assets subsequently measured at fair value</w:t>
            </w:r>
          </w:p>
        </w:tc>
        <w:tc>
          <w:tcPr>
            <w:tcW w:w="5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through profit or loss</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95"/>
              </w:rPr>
              <w:t>11.9</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11.9</w:t>
            </w:r>
          </w:p>
        </w:tc>
        <w:tc>
          <w:tcPr>
            <w:tcW w:w="0" w:type="dxa"/>
            <w:vAlign w:val="bottom"/>
          </w:tcPr>
          <w:p>
            <w:pPr>
              <w:spacing w:after="0"/>
              <w:rPr>
                <w:sz w:val="1"/>
                <w:szCs w:val="1"/>
                <w:color w:val="auto"/>
              </w:rPr>
            </w:pPr>
          </w:p>
        </w:tc>
      </w:tr>
      <w:tr>
        <w:trPr>
          <w:trHeight w:val="198"/>
        </w:trPr>
        <w:tc>
          <w:tcPr>
            <w:tcW w:w="4860" w:type="dxa"/>
            <w:vAlign w:val="bottom"/>
            <w:gridSpan w:val="3"/>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Security investments disclosed as cash and cash</w:t>
            </w: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6,947.5</w:t>
            </w: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6,947.5</w:t>
            </w:r>
          </w:p>
        </w:tc>
        <w:tc>
          <w:tcPr>
            <w:tcW w:w="0" w:type="dxa"/>
            <w:vAlign w:val="bottom"/>
          </w:tcPr>
          <w:p>
            <w:pPr>
              <w:spacing w:after="0"/>
              <w:rPr>
                <w:sz w:val="1"/>
                <w:szCs w:val="1"/>
                <w:color w:val="auto"/>
              </w:rPr>
            </w:pPr>
          </w:p>
        </w:tc>
      </w:tr>
      <w:tr>
        <w:trPr>
          <w:trHeight w:val="234"/>
        </w:trPr>
        <w:tc>
          <w:tcPr>
            <w:tcW w:w="48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equivalents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6,947.5</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vMerge w:val="continue"/>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6,947.5</w:t>
            </w:r>
          </w:p>
        </w:tc>
        <w:tc>
          <w:tcPr>
            <w:tcW w:w="98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Other financial assets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rPr>
              <w:t>39.6</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39.6</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5"/>
              </w:rPr>
              <w:t>39.6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39.6</w:t>
            </w:r>
          </w:p>
        </w:tc>
        <w:tc>
          <w:tcPr>
            <w:tcW w:w="0" w:type="dxa"/>
            <w:vAlign w:val="bottom"/>
          </w:tcPr>
          <w:p>
            <w:pPr>
              <w:spacing w:after="0"/>
              <w:rPr>
                <w:sz w:val="1"/>
                <w:szCs w:val="1"/>
                <w:color w:val="auto"/>
              </w:rPr>
            </w:pPr>
          </w:p>
        </w:tc>
      </w:tr>
      <w:tr>
        <w:trPr>
          <w:trHeight w:val="194"/>
        </w:trPr>
        <w:tc>
          <w:tcPr>
            <w:tcW w:w="48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Financial assets subsequently measured at fair value</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through OCI</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Non-listed equity investments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Listed equity investments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92.7</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92.7</w:t>
            </w: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92.7</w:t>
            </w:r>
          </w:p>
        </w:tc>
        <w:tc>
          <w:tcPr>
            <w:tcW w:w="98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92.7</w:t>
            </w: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Financial assets subsequently measured at amortized costs</w:t>
            </w:r>
            <w:r>
              <w:rPr>
                <w:rFonts w:ascii="Times New Roman" w:cs="Times New Roman" w:eastAsia="Times New Roman" w:hAnsi="Times New Roman"/>
                <w:sz w:val="25"/>
                <w:szCs w:val="25"/>
                <w:b w:val="1"/>
                <w:bCs w:val="1"/>
                <w:color w:val="auto"/>
                <w:vertAlign w:val="superscript"/>
              </w:rPr>
              <w:t>(1)</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Security investments disclosed as other financial assets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6,536.2</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1,061.1</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7,597.3</w:t>
            </w: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7,597.3</w:t>
            </w:r>
          </w:p>
        </w:tc>
        <w:tc>
          <w:tcPr>
            <w:tcW w:w="0" w:type="dxa"/>
            <w:vAlign w:val="bottom"/>
          </w:tcPr>
          <w:p>
            <w:pPr>
              <w:spacing w:after="0"/>
              <w:rPr>
                <w:sz w:val="1"/>
                <w:szCs w:val="1"/>
                <w:color w:val="auto"/>
              </w:rPr>
            </w:pPr>
          </w:p>
        </w:tc>
      </w:tr>
      <w:tr>
        <w:trPr>
          <w:trHeight w:val="198"/>
        </w:trPr>
        <w:tc>
          <w:tcPr>
            <w:tcW w:w="4860" w:type="dxa"/>
            <w:vAlign w:val="bottom"/>
            <w:gridSpan w:val="3"/>
          </w:tcPr>
          <w:p>
            <w:pPr>
              <w:ind w:left="360"/>
              <w:spacing w:after="0" w:line="198" w:lineRule="exact"/>
              <w:rPr>
                <w:sz w:val="20"/>
                <w:szCs w:val="20"/>
                <w:color w:val="auto"/>
              </w:rPr>
            </w:pPr>
            <w:r>
              <w:rPr>
                <w:rFonts w:ascii="Times New Roman" w:cs="Times New Roman" w:eastAsia="Times New Roman" w:hAnsi="Times New Roman"/>
                <w:sz w:val="18"/>
                <w:szCs w:val="18"/>
                <w:color w:val="auto"/>
              </w:rPr>
              <w:t>Security investments disclosed as cash and cash</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2,364.4</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2,364.4</w:t>
            </w:r>
          </w:p>
        </w:tc>
        <w:tc>
          <w:tcPr>
            <w:tcW w:w="0" w:type="dxa"/>
            <w:vAlign w:val="bottom"/>
          </w:tcPr>
          <w:p>
            <w:pPr>
              <w:spacing w:after="0"/>
              <w:rPr>
                <w:sz w:val="1"/>
                <w:szCs w:val="1"/>
                <w:color w:val="auto"/>
              </w:rPr>
            </w:pPr>
          </w:p>
        </w:tc>
      </w:tr>
      <w:tr>
        <w:trPr>
          <w:trHeight w:val="234"/>
        </w:trPr>
        <w:tc>
          <w:tcPr>
            <w:tcW w:w="486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equivalents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240" w:type="dxa"/>
            <w:vAlign w:val="bottom"/>
          </w:tcPr>
          <w:p>
            <w:pPr>
              <w:spacing w:after="0"/>
              <w:rPr>
                <w:sz w:val="20"/>
                <w:szCs w:val="20"/>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vMerge w:val="continue"/>
          </w:tcPr>
          <w:p>
            <w:pPr>
              <w:spacing w:after="0"/>
              <w:rPr>
                <w:sz w:val="20"/>
                <w:szCs w:val="20"/>
                <w:color w:val="auto"/>
              </w:rPr>
            </w:pP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at banks and on hand</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450.0</w:t>
            </w: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450.0</w:t>
            </w: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24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1,463.9</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1,463.9</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Reimbursement asset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100" w:type="dxa"/>
            <w:vAlign w:val="bottom"/>
            <w:gridSpan w:val="3"/>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40.9</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514.5</w:t>
            </w: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514.5</w:t>
            </w: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Other financial assets</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jc w:val="center"/>
              <w:ind w:left="172"/>
              <w:spacing w:after="0"/>
              <w:rPr>
                <w:sz w:val="20"/>
                <w:szCs w:val="20"/>
                <w:color w:val="auto"/>
              </w:rPr>
            </w:pPr>
            <w:r>
              <w:rPr>
                <w:rFonts w:ascii="Times New Roman" w:cs="Times New Roman" w:eastAsia="Times New Roman" w:hAnsi="Times New Roman"/>
                <w:sz w:val="18"/>
                <w:szCs w:val="18"/>
                <w:color w:val="auto"/>
              </w:rPr>
              <w:t>18.2</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18.2</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subsequently measured at fair value</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16.3</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rPr>
              <w:t>16.3</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16.3</w:t>
            </w: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gridSpan w:val="3"/>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46.9</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47.8</w:t>
            </w: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5"/>
              </w:rPr>
              <w:t>47.8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47.8</w:t>
            </w:r>
          </w:p>
        </w:tc>
        <w:tc>
          <w:tcPr>
            <w:tcW w:w="0" w:type="dxa"/>
            <w:vAlign w:val="bottom"/>
          </w:tcPr>
          <w:p>
            <w:pPr>
              <w:spacing w:after="0"/>
              <w:rPr>
                <w:sz w:val="1"/>
                <w:szCs w:val="1"/>
                <w:color w:val="auto"/>
              </w:rPr>
            </w:pPr>
          </w:p>
        </w:tc>
      </w:tr>
      <w:tr>
        <w:trPr>
          <w:trHeight w:val="194"/>
        </w:trPr>
        <w:tc>
          <w:tcPr>
            <w:tcW w:w="48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Financial liabilities subsequently measured at amortized</w:t>
            </w: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60" w:type="dxa"/>
            <w:vAlign w:val="bottom"/>
            <w:gridSpan w:val="3"/>
          </w:tcPr>
          <w:p>
            <w:pPr>
              <w:ind w:left="180"/>
              <w:spacing w:after="0" w:line="238" w:lineRule="exact"/>
              <w:rPr>
                <w:sz w:val="20"/>
                <w:szCs w:val="20"/>
                <w:color w:val="auto"/>
              </w:rPr>
            </w:pPr>
            <w:r>
              <w:rPr>
                <w:rFonts w:ascii="Times New Roman" w:cs="Times New Roman" w:eastAsia="Times New Roman" w:hAnsi="Times New Roman"/>
                <w:sz w:val="18"/>
                <w:szCs w:val="18"/>
                <w:b w:val="1"/>
                <w:bCs w:val="1"/>
                <w:color w:val="auto"/>
              </w:rPr>
              <w:t>costs</w:t>
            </w:r>
            <w:r>
              <w:rPr>
                <w:rFonts w:ascii="Times New Roman" w:cs="Times New Roman" w:eastAsia="Times New Roman" w:hAnsi="Times New Roman"/>
                <w:sz w:val="26"/>
                <w:szCs w:val="26"/>
                <w:b w:val="1"/>
                <w:bCs w:val="1"/>
                <w:color w:val="auto"/>
                <w:vertAlign w:val="superscript"/>
              </w:rPr>
              <w:t>(1)</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payables and other payables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426.7</w:t>
            </w:r>
          </w:p>
        </w:tc>
        <w:tc>
          <w:tcPr>
            <w:tcW w:w="100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426.7</w:t>
            </w:r>
          </w:p>
        </w:tc>
        <w:tc>
          <w:tcPr>
            <w:tcW w:w="0" w:type="dxa"/>
            <w:vAlign w:val="bottom"/>
          </w:tcPr>
          <w:p>
            <w:pPr>
              <w:spacing w:after="0"/>
              <w:rPr>
                <w:sz w:val="1"/>
                <w:szCs w:val="1"/>
                <w:color w:val="auto"/>
              </w:rPr>
            </w:pPr>
          </w:p>
        </w:tc>
      </w:tr>
      <w:tr>
        <w:trPr>
          <w:trHeight w:val="216"/>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24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1,426.2</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1,426.2</w:t>
            </w:r>
          </w:p>
        </w:tc>
        <w:tc>
          <w:tcPr>
            <w:tcW w:w="0" w:type="dxa"/>
            <w:vAlign w:val="bottom"/>
          </w:tcPr>
          <w:p>
            <w:pPr>
              <w:spacing w:after="0"/>
              <w:rPr>
                <w:sz w:val="1"/>
                <w:szCs w:val="1"/>
                <w:color w:val="auto"/>
              </w:rPr>
            </w:pPr>
          </w:p>
        </w:tc>
      </w:tr>
      <w:tr>
        <w:trPr>
          <w:trHeight w:val="194"/>
        </w:trPr>
        <w:tc>
          <w:tcPr>
            <w:tcW w:w="486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Financial liabilities subsequently not measured according to</w:t>
            </w: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IFRS 9</w:t>
            </w: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214.7</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254.2</w:t>
            </w:r>
          </w:p>
        </w:tc>
        <w:tc>
          <w:tcPr>
            <w:tcW w:w="100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8"/>
              </w:rPr>
              <w:t>— </w:t>
            </w:r>
          </w:p>
        </w:tc>
        <w:tc>
          <w:tcPr>
            <w:tcW w:w="980" w:type="dxa"/>
            <w:vAlign w:val="bottom"/>
            <w:gridSpan w:val="2"/>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9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81"/>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254.2</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44" w:hanging="544"/>
        <w:spacing w:after="0"/>
        <w:tabs>
          <w:tab w:leader="none" w:pos="544"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Fair values for financial assets and liabilities at amortized costs are not disclosed as the book values represent a reasonable approximation.</w:t>
      </w:r>
    </w:p>
    <w:p>
      <w:pPr>
        <w:spacing w:after="0" w:line="130" w:lineRule="exact"/>
        <w:rPr>
          <w:rFonts w:ascii="Times New Roman" w:cs="Times New Roman" w:eastAsia="Times New Roman" w:hAnsi="Times New Roman"/>
          <w:sz w:val="27"/>
          <w:szCs w:val="27"/>
          <w:color w:val="auto"/>
          <w:vertAlign w:val="superscript"/>
        </w:rPr>
      </w:pPr>
    </w:p>
    <w:p>
      <w:pPr>
        <w:ind w:left="5244"/>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F-B-21</w:t>
      </w:r>
    </w:p>
    <w:p>
      <w:pPr>
        <w:sectPr>
          <w:pgSz w:w="11900" w:h="16838" w:orient="portrait"/>
          <w:cols w:equalWidth="0" w:num="1">
            <w:col w:w="11024"/>
          </w:cols>
          <w:pgMar w:left="436" w:top="270"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 investments designated at Fair Value through OCI</w:t>
      </w:r>
    </w:p>
    <w:p>
      <w:pPr>
        <w:spacing w:after="0" w:line="11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7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4800" w:type="dxa"/>
            <w:vAlign w:val="bottom"/>
            <w:vMerge w:val="restart"/>
          </w:tcPr>
          <w:p>
            <w:pPr>
              <w:spacing w:after="0"/>
              <w:rPr>
                <w:sz w:val="12"/>
                <w:szCs w:val="12"/>
                <w:color w:val="auto"/>
              </w:rPr>
            </w:pPr>
          </w:p>
        </w:tc>
        <w:tc>
          <w:tcPr>
            <w:tcW w:w="1740" w:type="dxa"/>
            <w:vAlign w:val="bottom"/>
            <w:gridSpan w:val="2"/>
          </w:tcPr>
          <w:p>
            <w:pPr>
              <w:jc w:val="center"/>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800" w:type="dxa"/>
            <w:vAlign w:val="bottom"/>
            <w:vMerge w:val="continue"/>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5"/>
                <w:szCs w:val="15"/>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Investment in Autolus</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46.2</w:t>
            </w:r>
          </w:p>
        </w:tc>
        <w:tc>
          <w:tcPr>
            <w:tcW w:w="8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Ryvu</w:t>
            </w:r>
          </w:p>
        </w:tc>
        <w:tc>
          <w:tcPr>
            <w:tcW w:w="17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12.5</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DualityBio</w:t>
            </w:r>
          </w:p>
        </w:tc>
        <w:tc>
          <w:tcPr>
            <w:tcW w:w="17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16.4</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76.5</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94.2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2025, we invested €4.5 million in DualityBio.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investments in equity instruments measured at fair value through other comprehensive income comprise the following effects:</w:t>
      </w:r>
    </w:p>
    <w:p>
      <w:pPr>
        <w:spacing w:after="0" w:line="11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6220" w:type="dxa"/>
            <w:vAlign w:val="bottom"/>
            <w:vMerge w:val="restart"/>
          </w:tcPr>
          <w:p>
            <w:pPr>
              <w:spacing w:after="0"/>
              <w:rPr>
                <w:sz w:val="14"/>
                <w:szCs w:val="14"/>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6220" w:type="dxa"/>
            <w:vAlign w:val="bottom"/>
            <w:vMerge w:val="continue"/>
          </w:tcPr>
          <w:p>
            <w:pPr>
              <w:spacing w:after="0"/>
              <w:rPr>
                <w:sz w:val="15"/>
                <w:szCs w:val="15"/>
                <w:color w:val="auto"/>
              </w:rPr>
            </w:pPr>
          </w:p>
        </w:tc>
        <w:tc>
          <w:tcPr>
            <w:tcW w:w="580" w:type="dxa"/>
            <w:vAlign w:val="bottom"/>
          </w:tcPr>
          <w:p>
            <w:pPr>
              <w:jc w:val="right"/>
              <w:ind w:right="61"/>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42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42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560" w:type="dxa"/>
            <w:vAlign w:val="bottom"/>
          </w:tcPr>
          <w:p>
            <w:pPr>
              <w:jc w:val="right"/>
              <w:ind w:right="56"/>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0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Net gain / (loss) on equity instruments designated at fair value through other comprehensive</w:t>
            </w: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(14.9)</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0.7</w:t>
            </w:r>
          </w:p>
        </w:tc>
        <w:tc>
          <w:tcPr>
            <w:tcW w:w="7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(22.1)</w:t>
            </w:r>
          </w:p>
        </w:tc>
        <w:tc>
          <w:tcPr>
            <w:tcW w:w="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40" w:type="dxa"/>
            <w:vAlign w:val="bottom"/>
            <w:gridSpan w:val="2"/>
            <w:vMerge w:val="continue"/>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(14.9)</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340" w:type="dxa"/>
            <w:vAlign w:val="bottom"/>
            <w:vMerge w:val="continue"/>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(22.1)</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83"/>
              </w:rPr>
              <w:t>(108.3)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Measurement of fair values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valuation techniques used in measuring fair values for financial instruments in our consolidated statements of financial position, as well as the significant unobservable inputs used.</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F-B-22</w:t>
      </w:r>
    </w:p>
    <w:p>
      <w:pPr>
        <w:sectPr>
          <w:pgSz w:w="11900" w:h="16838" w:orient="portrait"/>
          <w:cols w:equalWidth="0" w:num="1">
            <w:col w:w="10760"/>
          </w:cols>
          <w:pgMar w:left="440" w:top="266" w:right="6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0"/>
        </w:trPr>
        <w:tc>
          <w:tcPr>
            <w:tcW w:w="2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00" w:type="dxa"/>
            <w:vAlign w:val="bottom"/>
          </w:tcPr>
          <w:p>
            <w:pPr>
              <w:spacing w:after="0"/>
              <w:rPr>
                <w:sz w:val="15"/>
                <w:szCs w:val="15"/>
                <w:color w:val="auto"/>
              </w:rPr>
            </w:pPr>
          </w:p>
        </w:tc>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r>
      <w:tr>
        <w:trPr>
          <w:trHeight w:val="292"/>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Forward exchange contracts</w:t>
            </w: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Discounted cash flow using par method. Expected future</w:t>
            </w: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based on foreign exchange forwards</w:t>
            </w:r>
          </w:p>
        </w:tc>
        <w:tc>
          <w:tcPr>
            <w:tcW w:w="42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discounted over the respective remaining term of the</w:t>
            </w:r>
          </w:p>
        </w:tc>
        <w:tc>
          <w:tcPr>
            <w:tcW w:w="42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contracts using the respective deposit interest rates and</w:t>
            </w:r>
          </w:p>
        </w:tc>
        <w:tc>
          <w:tcPr>
            <w:tcW w:w="420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spot rates.</w:t>
            </w:r>
          </w:p>
        </w:tc>
        <w:tc>
          <w:tcPr>
            <w:tcW w:w="420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020"/>
          </w:cols>
          <w:pgMar w:left="440" w:top="26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0"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color w:val="auto"/>
        </w:rPr>
        <w:t>Non-listed equity investments</w:t>
      </w:r>
      <w:r>
        <w:rPr>
          <w:sz w:val="20"/>
          <w:szCs w:val="20"/>
          <w:color w:val="auto"/>
        </w:rPr>
        <w:tab/>
      </w:r>
      <w:r>
        <w:rPr>
          <w:rFonts w:ascii="Times New Roman" w:cs="Times New Roman" w:eastAsia="Times New Roman" w:hAnsi="Times New Roman"/>
          <w:sz w:val="17"/>
          <w:szCs w:val="17"/>
          <w:color w:val="auto"/>
        </w:rPr>
        <w:t>Quantitative and qualitative factors such as actual and</w:t>
      </w:r>
    </w:p>
    <w:p>
      <w:pPr>
        <w:spacing w:after="0" w:line="27" w:lineRule="exact"/>
        <w:rPr>
          <w:sz w:val="20"/>
          <w:szCs w:val="20"/>
          <w:color w:val="auto"/>
        </w:rPr>
      </w:pPr>
    </w:p>
    <w:p>
      <w:pPr>
        <w:ind w:left="2540" w:right="100"/>
        <w:spacing w:after="0" w:line="260" w:lineRule="auto"/>
        <w:rPr>
          <w:sz w:val="20"/>
          <w:szCs w:val="20"/>
          <w:color w:val="auto"/>
        </w:rPr>
      </w:pPr>
      <w:r>
        <w:rPr>
          <w:rFonts w:ascii="Times New Roman" w:cs="Times New Roman" w:eastAsia="Times New Roman" w:hAnsi="Times New Roman"/>
          <w:sz w:val="18"/>
          <w:szCs w:val="18"/>
          <w:color w:val="auto"/>
        </w:rPr>
        <w:t>forecasted results, cash position and financing round valuations.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color w:val="auto"/>
        </w:rPr>
        <w:t>Listed equity investments</w:t>
      </w:r>
      <w:r>
        <w:rPr>
          <w:sz w:val="20"/>
          <w:szCs w:val="20"/>
          <w:color w:val="auto"/>
        </w:rPr>
        <w:tab/>
      </w:r>
      <w:r>
        <w:rPr>
          <w:rFonts w:ascii="Times New Roman" w:cs="Times New Roman" w:eastAsia="Times New Roman" w:hAnsi="Times New Roman"/>
          <w:sz w:val="17"/>
          <w:szCs w:val="17"/>
          <w:color w:val="auto"/>
        </w:rPr>
        <w:t>Stock prices of the listed companies and applicable</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exchange rates, if the listing is in a foreign currency.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Actual and forecasted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Net asset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Cash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Nature and pricing indication of latest financing round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333" w:lineRule="exact"/>
        <w:rPr>
          <w:sz w:val="20"/>
          <w:szCs w:val="20"/>
          <w:color w:val="auto"/>
        </w:rPr>
      </w:pPr>
    </w:p>
    <w:p>
      <w:pPr>
        <w:sectPr>
          <w:pgSz w:w="11900" w:h="16838" w:orient="portrait"/>
          <w:cols w:equalWidth="0" w:num="2">
            <w:col w:w="6420" w:space="400"/>
            <w:col w:w="4200"/>
          </w:cols>
          <w:pgMar w:left="440" w:top="263" w:right="439" w:bottom="1440" w:gutter="0" w:footer="0" w:header="0"/>
          <w:type w:val="continuous"/>
        </w:sectPr>
      </w:pPr>
    </w:p>
    <w:p>
      <w:pPr>
        <w:spacing w:after="0"/>
        <w:tabs>
          <w:tab w:leader="none" w:pos="2520" w:val="left"/>
        </w:tabs>
        <w:rPr>
          <w:sz w:val="20"/>
          <w:szCs w:val="20"/>
          <w:color w:val="auto"/>
        </w:rPr>
      </w:pPr>
      <w:r>
        <w:rPr>
          <w:rFonts w:ascii="Times New Roman" w:cs="Times New Roman" w:eastAsia="Times New Roman" w:hAnsi="Times New Roman"/>
          <w:sz w:val="18"/>
          <w:szCs w:val="18"/>
          <w:color w:val="auto"/>
        </w:rPr>
        <w:t>Money market and other funds</w:t>
      </w:r>
      <w:r>
        <w:rPr>
          <w:sz w:val="20"/>
          <w:szCs w:val="20"/>
          <w:color w:val="auto"/>
        </w:rPr>
        <w:tab/>
      </w:r>
      <w:r>
        <w:rPr>
          <w:rFonts w:ascii="Times New Roman" w:cs="Times New Roman" w:eastAsia="Times New Roman" w:hAnsi="Times New Roman"/>
          <w:sz w:val="17"/>
          <w:szCs w:val="17"/>
          <w:color w:val="auto"/>
        </w:rPr>
        <w:t>Quoted prices on an active market.</w:t>
      </w:r>
    </w:p>
    <w:p>
      <w:pPr>
        <w:spacing w:after="0" w:line="117"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color w:val="auto"/>
        </w:rPr>
        <w:t>Contingent consideration</w:t>
      </w:r>
      <w:r>
        <w:rPr>
          <w:sz w:val="20"/>
          <w:szCs w:val="20"/>
          <w:color w:val="auto"/>
        </w:rPr>
        <w:tab/>
      </w:r>
      <w:r>
        <w:rPr>
          <w:rFonts w:ascii="Times New Roman" w:cs="Times New Roman" w:eastAsia="Times New Roman" w:hAnsi="Times New Roman"/>
          <w:sz w:val="17"/>
          <w:szCs w:val="17"/>
          <w:color w:val="auto"/>
        </w:rPr>
        <w:t>Present value of expected future payments and reflecting</w:t>
      </w:r>
    </w:p>
    <w:p>
      <w:pPr>
        <w:spacing w:after="0" w:line="27" w:lineRule="exact"/>
        <w:rPr>
          <w:sz w:val="20"/>
          <w:szCs w:val="20"/>
          <w:color w:val="auto"/>
        </w:rPr>
      </w:pPr>
    </w:p>
    <w:p>
      <w:pPr>
        <w:ind w:left="2540" w:right="440"/>
        <w:spacing w:after="0" w:line="290" w:lineRule="auto"/>
        <w:rPr>
          <w:sz w:val="20"/>
          <w:szCs w:val="20"/>
          <w:color w:val="auto"/>
        </w:rPr>
      </w:pPr>
      <w:r>
        <w:rPr>
          <w:rFonts w:ascii="Times New Roman" w:cs="Times New Roman" w:eastAsia="Times New Roman" w:hAnsi="Times New Roman"/>
          <w:sz w:val="17"/>
          <w:szCs w:val="17"/>
          <w:color w:val="auto"/>
        </w:rPr>
        <w:t>changes in expected achievement of underlying performance parameters and compounding effects.</w:t>
      </w:r>
    </w:p>
    <w:p>
      <w:pPr>
        <w:spacing w:after="0" w:line="49" w:lineRule="exact"/>
        <w:rPr>
          <w:sz w:val="20"/>
          <w:szCs w:val="20"/>
          <w:color w:val="auto"/>
        </w:rPr>
      </w:pPr>
    </w:p>
    <w:p>
      <w:pPr>
        <w:spacing w:after="0"/>
        <w:tabs>
          <w:tab w:leader="none" w:pos="2520" w:val="left"/>
        </w:tabs>
        <w:rPr>
          <w:sz w:val="20"/>
          <w:szCs w:val="20"/>
          <w:color w:val="auto"/>
        </w:rPr>
      </w:pPr>
      <w:r>
        <w:rPr>
          <w:rFonts w:ascii="Times New Roman" w:cs="Times New Roman" w:eastAsia="Times New Roman" w:hAnsi="Times New Roman"/>
          <w:sz w:val="18"/>
          <w:szCs w:val="18"/>
          <w:color w:val="auto"/>
        </w:rPr>
        <w:t>Royalty assets</w:t>
      </w:r>
      <w:r>
        <w:rPr>
          <w:sz w:val="20"/>
          <w:szCs w:val="20"/>
          <w:color w:val="auto"/>
        </w:rPr>
        <w:tab/>
      </w:r>
      <w:r>
        <w:rPr>
          <w:rFonts w:ascii="Times New Roman" w:cs="Times New Roman" w:eastAsia="Times New Roman" w:hAnsi="Times New Roman"/>
          <w:sz w:val="17"/>
          <w:szCs w:val="17"/>
          <w:color w:val="auto"/>
        </w:rPr>
        <w:t>Present value of expected future cash flows.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Values (Level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Expected future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Applied cost of capital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Expected future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Applied cost of capital</w:t>
      </w:r>
    </w:p>
    <w:p>
      <w:pPr>
        <w:spacing w:after="0" w:line="670" w:lineRule="exact"/>
        <w:rPr>
          <w:sz w:val="20"/>
          <w:szCs w:val="20"/>
          <w:color w:val="auto"/>
        </w:rPr>
      </w:pPr>
    </w:p>
    <w:p>
      <w:pPr>
        <w:sectPr>
          <w:pgSz w:w="11900" w:h="16838" w:orient="portrait"/>
          <w:cols w:equalWidth="0" w:num="2">
            <w:col w:w="6620" w:space="200"/>
            <w:col w:w="4200"/>
          </w:cols>
          <w:pgMar w:left="440" w:top="263" w:right="439" w:bottom="1440" w:gutter="0" w:footer="0" w:header="0"/>
          <w:type w:val="continuous"/>
        </w:sect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the recurring fair value measurement of contingent consideration and royalty assets as well as the effect of the measurements on our unaudited interim condensed consolidated statements of profit or loss for the current period.</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2860" w:type="dxa"/>
            <w:vAlign w:val="bottom"/>
            <w:vMerge w:val="restart"/>
          </w:tcPr>
          <w:p>
            <w:pPr>
              <w:spacing w:after="0"/>
              <w:rPr>
                <w:sz w:val="15"/>
                <w:szCs w:val="15"/>
                <w:color w:val="auto"/>
              </w:rPr>
            </w:pPr>
          </w:p>
        </w:tc>
        <w:tc>
          <w:tcPr>
            <w:tcW w:w="740" w:type="dxa"/>
            <w:vAlign w:val="bottom"/>
          </w:tcPr>
          <w:p>
            <w:pPr>
              <w:spacing w:after="0"/>
              <w:rPr>
                <w:sz w:val="15"/>
                <w:szCs w:val="15"/>
                <w:color w:val="auto"/>
              </w:rPr>
            </w:pPr>
          </w:p>
        </w:tc>
        <w:tc>
          <w:tcPr>
            <w:tcW w:w="2280" w:type="dxa"/>
            <w:vAlign w:val="bottom"/>
            <w:gridSpan w:val="2"/>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0" w:type="dxa"/>
            <w:vAlign w:val="bottom"/>
          </w:tcPr>
          <w:p>
            <w:pPr>
              <w:spacing w:after="0"/>
              <w:rPr>
                <w:sz w:val="1"/>
                <w:szCs w:val="1"/>
                <w:color w:val="auto"/>
              </w:rPr>
            </w:pPr>
          </w:p>
        </w:tc>
      </w:tr>
      <w:tr>
        <w:trPr>
          <w:trHeight w:val="148"/>
        </w:trPr>
        <w:tc>
          <w:tcPr>
            <w:tcW w:w="820" w:type="dxa"/>
            <w:vAlign w:val="bottom"/>
            <w:tcBorders>
              <w:bottom w:val="single" w:sz="8" w:color="auto"/>
            </w:tcBorders>
            <w:vMerge w:val="continue"/>
          </w:tcPr>
          <w:p>
            <w:pPr>
              <w:spacing w:after="0"/>
              <w:rPr>
                <w:sz w:val="12"/>
                <w:szCs w:val="12"/>
                <w:color w:val="auto"/>
              </w:rPr>
            </w:pPr>
          </w:p>
        </w:tc>
        <w:tc>
          <w:tcPr>
            <w:tcW w:w="28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Other financial assets</w:t>
            </w:r>
          </w:p>
        </w:tc>
        <w:tc>
          <w:tcPr>
            <w:tcW w:w="960" w:type="dxa"/>
            <w:vAlign w:val="bottom"/>
          </w:tcPr>
          <w:p>
            <w:pPr>
              <w:spacing w:after="0"/>
              <w:rPr>
                <w:sz w:val="12"/>
                <w:szCs w:val="12"/>
                <w:color w:val="auto"/>
              </w:rPr>
            </w:pPr>
          </w:p>
        </w:tc>
        <w:tc>
          <w:tcPr>
            <w:tcW w:w="15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As of January 1, 2024</w:t>
            </w:r>
          </w:p>
        </w:tc>
        <w:tc>
          <w:tcPr>
            <w:tcW w:w="7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center"/>
              <w:ind w:left="935"/>
              <w:spacing w:after="0" w:line="203" w:lineRule="exact"/>
              <w:rPr>
                <w:sz w:val="20"/>
                <w:szCs w:val="20"/>
                <w:color w:val="auto"/>
              </w:rPr>
            </w:pPr>
            <w:r>
              <w:rPr>
                <w:rFonts w:ascii="Times New Roman" w:cs="Times New Roman" w:eastAsia="Times New Roman" w:hAnsi="Times New Roman"/>
                <w:sz w:val="18"/>
                <w:szCs w:val="18"/>
                <w:b w:val="1"/>
                <w:bCs w:val="1"/>
                <w:color w:val="auto"/>
                <w:w w:val="81"/>
              </w:rPr>
              <w:t>— </w:t>
            </w:r>
          </w:p>
        </w:tc>
        <w:tc>
          <w:tcPr>
            <w:tcW w:w="9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740" w:type="dxa"/>
            <w:vAlign w:val="bottom"/>
          </w:tcPr>
          <w:p>
            <w:pPr>
              <w:spacing w:after="0"/>
              <w:rPr>
                <w:sz w:val="19"/>
                <w:szCs w:val="19"/>
                <w:color w:val="auto"/>
              </w:rPr>
            </w:pPr>
          </w:p>
        </w:tc>
        <w:tc>
          <w:tcPr>
            <w:tcW w:w="1320" w:type="dxa"/>
            <w:vAlign w:val="bottom"/>
          </w:tcPr>
          <w:p>
            <w:pPr>
              <w:jc w:val="center"/>
              <w:ind w:left="935"/>
              <w:spacing w:after="0"/>
              <w:rPr>
                <w:sz w:val="20"/>
                <w:szCs w:val="20"/>
                <w:color w:val="auto"/>
              </w:rPr>
            </w:pPr>
            <w:r>
              <w:rPr>
                <w:rFonts w:ascii="Times New Roman" w:cs="Times New Roman" w:eastAsia="Times New Roman" w:hAnsi="Times New Roman"/>
                <w:sz w:val="18"/>
                <w:szCs w:val="18"/>
                <w:color w:val="auto"/>
                <w:w w:val="95"/>
              </w:rPr>
              <w:t>37.7</w:t>
            </w:r>
          </w:p>
        </w:tc>
        <w:tc>
          <w:tcPr>
            <w:tcW w:w="9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6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effect on profit or loss - Finance income /</w:t>
            </w:r>
          </w:p>
        </w:tc>
        <w:tc>
          <w:tcPr>
            <w:tcW w:w="7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7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change in fair value</w:t>
            </w:r>
          </w:p>
        </w:tc>
        <w:tc>
          <w:tcPr>
            <w:tcW w:w="302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5.7</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7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43.4</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(43.3)</w:t>
            </w: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January 1, 2025</w:t>
            </w:r>
          </w:p>
        </w:tc>
        <w:tc>
          <w:tcPr>
            <w:tcW w:w="74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320" w:type="dxa"/>
            <w:vAlign w:val="bottom"/>
          </w:tcPr>
          <w:p>
            <w:pPr>
              <w:jc w:val="center"/>
              <w:ind w:left="935"/>
              <w:spacing w:after="0"/>
              <w:rPr>
                <w:sz w:val="20"/>
                <w:szCs w:val="20"/>
                <w:color w:val="auto"/>
              </w:rPr>
            </w:pPr>
            <w:r>
              <w:rPr>
                <w:rFonts w:ascii="Times New Roman" w:cs="Times New Roman" w:eastAsia="Times New Roman" w:hAnsi="Times New Roman"/>
                <w:sz w:val="18"/>
                <w:szCs w:val="18"/>
                <w:b w:val="1"/>
                <w:bCs w:val="1"/>
                <w:color w:val="auto"/>
                <w:w w:val="95"/>
              </w:rPr>
              <w:t>39.6</w:t>
            </w:r>
          </w:p>
        </w:tc>
        <w:tc>
          <w:tcPr>
            <w:tcW w:w="960" w:type="dxa"/>
            <w:vAlign w:val="bottom"/>
            <w:vMerge w:val="continue"/>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(47.8)</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7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194"/>
        </w:trPr>
        <w:tc>
          <w:tcPr>
            <w:tcW w:w="3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effect on profit or loss - Other operating</w:t>
            </w: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 (expense)</w:t>
            </w: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fair value</w:t>
            </w:r>
          </w:p>
        </w:tc>
        <w:tc>
          <w:tcPr>
            <w:tcW w:w="7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4"/>
        </w:trPr>
        <w:tc>
          <w:tcPr>
            <w:tcW w:w="36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effect on profit or loss - Finance income /</w:t>
            </w:r>
          </w:p>
        </w:tc>
        <w:tc>
          <w:tcPr>
            <w:tcW w:w="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fair value</w:t>
            </w:r>
          </w:p>
        </w:tc>
        <w:tc>
          <w:tcPr>
            <w:tcW w:w="302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3.8</w:t>
            </w: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8"/>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30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43.4</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(121.7)</w:t>
            </w:r>
          </w:p>
        </w:tc>
        <w:tc>
          <w:tcPr>
            <w:tcW w:w="0" w:type="dxa"/>
            <w:vAlign w:val="bottom"/>
          </w:tcPr>
          <w:p>
            <w:pPr>
              <w:spacing w:after="0"/>
              <w:rPr>
                <w:sz w:val="1"/>
                <w:szCs w:val="1"/>
                <w:color w:val="auto"/>
              </w:rPr>
            </w:pPr>
          </w:p>
        </w:tc>
      </w:tr>
      <w:tr>
        <w:trPr>
          <w:trHeight w:val="342"/>
        </w:trPr>
        <w:tc>
          <w:tcPr>
            <w:tcW w:w="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20" w:type="dxa"/>
            <w:vAlign w:val="bottom"/>
            <w:gridSpan w:val="3"/>
          </w:tcPr>
          <w:p>
            <w:pPr>
              <w:jc w:val="right"/>
              <w:ind w:right="2260"/>
              <w:spacing w:after="0"/>
              <w:rPr>
                <w:sz w:val="20"/>
                <w:szCs w:val="20"/>
                <w:color w:val="auto"/>
              </w:rPr>
            </w:pPr>
            <w:r>
              <w:rPr>
                <w:rFonts w:ascii="Times New Roman" w:cs="Times New Roman" w:eastAsia="Times New Roman" w:hAnsi="Times New Roman"/>
                <w:sz w:val="18"/>
                <w:szCs w:val="18"/>
                <w:color w:val="auto"/>
              </w:rPr>
              <w:t>F-B-23</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type w:val="continuous"/>
        </w:sectPr>
      </w:pPr>
    </w:p>
    <w:bookmarkStart w:id="49" w:name="page50"/>
    <w:bookmarkEnd w:id="49"/>
    <w:p>
      <w:pPr>
        <w:ind w:left="4"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sensitivity of the fair values of royalty assets to the significant, unobservable, variable input factors, with all other factors remaining constant, is shown in the following table: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Royalty assets</w:t>
      </w:r>
    </w:p>
    <w:p>
      <w:pPr>
        <w:spacing w:after="0" w:line="237"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fair value with</w:t>
            </w:r>
          </w:p>
        </w:tc>
        <w:tc>
          <w:tcPr>
            <w:tcW w:w="2060" w:type="dxa"/>
            <w:vAlign w:val="bottom"/>
            <w:gridSpan w:val="3"/>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Change in fair value with</w:t>
            </w: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 factor</w:t>
            </w:r>
          </w:p>
        </w:tc>
        <w:tc>
          <w:tcPr>
            <w:tcW w:w="178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increasing input factor</w:t>
            </w:r>
          </w:p>
        </w:tc>
        <w:tc>
          <w:tcPr>
            <w:tcW w:w="38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decreasing input factor</w:t>
            </w:r>
          </w:p>
        </w:tc>
        <w:tc>
          <w:tcPr>
            <w:tcW w:w="0" w:type="dxa"/>
            <w:vAlign w:val="bottom"/>
          </w:tcPr>
          <w:p>
            <w:pPr>
              <w:spacing w:after="0"/>
              <w:rPr>
                <w:sz w:val="1"/>
                <w:szCs w:val="1"/>
                <w:color w:val="auto"/>
              </w:rPr>
            </w:pPr>
          </w:p>
        </w:tc>
      </w:tr>
      <w:tr>
        <w:trPr>
          <w:trHeight w:val="165"/>
        </w:trPr>
        <w:tc>
          <w:tcPr>
            <w:tcW w:w="760" w:type="dxa"/>
            <w:vAlign w:val="bottom"/>
            <w:tcBorders>
              <w:bottom w:val="single" w:sz="8" w:color="auto"/>
            </w:tcBorders>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2260" w:type="dxa"/>
            <w:vAlign w:val="bottom"/>
            <w:gridSpan w:val="3"/>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assumptions</w:t>
            </w:r>
          </w:p>
        </w:tc>
        <w:tc>
          <w:tcPr>
            <w:tcW w:w="400" w:type="dxa"/>
            <w:vAlign w:val="bottom"/>
          </w:tcPr>
          <w:p>
            <w:pPr>
              <w:spacing w:after="0"/>
              <w:rPr>
                <w:sz w:val="13"/>
                <w:szCs w:val="13"/>
                <w:color w:val="auto"/>
              </w:rPr>
            </w:pPr>
          </w:p>
        </w:tc>
        <w:tc>
          <w:tcPr>
            <w:tcW w:w="20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 €)</w:t>
            </w:r>
          </w:p>
        </w:tc>
        <w:tc>
          <w:tcPr>
            <w:tcW w:w="380" w:type="dxa"/>
            <w:vAlign w:val="bottom"/>
          </w:tcPr>
          <w:p>
            <w:pPr>
              <w:spacing w:after="0"/>
              <w:rPr>
                <w:sz w:val="13"/>
                <w:szCs w:val="13"/>
                <w:color w:val="auto"/>
              </w:rPr>
            </w:pPr>
          </w:p>
        </w:tc>
        <w:tc>
          <w:tcPr>
            <w:tcW w:w="16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 €)</w:t>
            </w:r>
          </w:p>
        </w:tc>
        <w:tc>
          <w:tcPr>
            <w:tcW w:w="0" w:type="dxa"/>
            <w:vAlign w:val="bottom"/>
          </w:tcPr>
          <w:p>
            <w:pPr>
              <w:spacing w:after="0"/>
              <w:rPr>
                <w:sz w:val="1"/>
                <w:szCs w:val="1"/>
                <w:color w:val="auto"/>
              </w:rPr>
            </w:pPr>
          </w:p>
        </w:tc>
      </w:tr>
      <w:tr>
        <w:trPr>
          <w:trHeight w:val="20"/>
        </w:trPr>
        <w:tc>
          <w:tcPr>
            <w:tcW w:w="2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projections</w:t>
            </w:r>
          </w:p>
        </w:tc>
        <w:tc>
          <w:tcPr>
            <w:tcW w:w="9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400" w:type="dxa"/>
            <w:vAlign w:val="bottom"/>
            <w:vMerge w:val="continue"/>
            <w:shd w:val="clear" w:color="auto" w:fill="CCEEFF"/>
          </w:tcPr>
          <w:p>
            <w:pPr>
              <w:spacing w:after="0"/>
              <w:rPr>
                <w:sz w:val="17"/>
                <w:szCs w:val="17"/>
                <w:color w:val="auto"/>
              </w:rPr>
            </w:pPr>
          </w:p>
        </w:tc>
        <w:tc>
          <w:tcPr>
            <w:tcW w:w="1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4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24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The sensitivity of the fair values of contingent consideration to the significant, unobservable, variable input factors, with all other factors remaining constant, is shown in the following table:</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37"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2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fair value with</w:t>
            </w:r>
          </w:p>
        </w:tc>
        <w:tc>
          <w:tcPr>
            <w:tcW w:w="2060" w:type="dxa"/>
            <w:vAlign w:val="bottom"/>
            <w:gridSpan w:val="3"/>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Change in fair value with</w:t>
            </w: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Input factor</w:t>
            </w:r>
          </w:p>
        </w:tc>
        <w:tc>
          <w:tcPr>
            <w:tcW w:w="1780" w:type="dxa"/>
            <w:vAlign w:val="bottom"/>
            <w:vMerge w:val="restart"/>
          </w:tcPr>
          <w:p>
            <w:pPr>
              <w:spacing w:after="0"/>
              <w:rPr>
                <w:sz w:val="12"/>
                <w:szCs w:val="12"/>
                <w:color w:val="auto"/>
              </w:rPr>
            </w:pPr>
          </w:p>
        </w:tc>
        <w:tc>
          <w:tcPr>
            <w:tcW w:w="9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0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increasing input factor</w:t>
            </w:r>
          </w:p>
        </w:tc>
        <w:tc>
          <w:tcPr>
            <w:tcW w:w="38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decreasing input factor</w:t>
            </w:r>
          </w:p>
        </w:tc>
        <w:tc>
          <w:tcPr>
            <w:tcW w:w="0" w:type="dxa"/>
            <w:vAlign w:val="bottom"/>
          </w:tcPr>
          <w:p>
            <w:pPr>
              <w:spacing w:after="0"/>
              <w:rPr>
                <w:sz w:val="1"/>
                <w:szCs w:val="1"/>
                <w:color w:val="auto"/>
              </w:rPr>
            </w:pPr>
          </w:p>
        </w:tc>
      </w:tr>
      <w:tr>
        <w:trPr>
          <w:trHeight w:val="165"/>
        </w:trPr>
        <w:tc>
          <w:tcPr>
            <w:tcW w:w="760" w:type="dxa"/>
            <w:vAlign w:val="bottom"/>
            <w:tcBorders>
              <w:bottom w:val="single" w:sz="8" w:color="auto"/>
            </w:tcBorders>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2260" w:type="dxa"/>
            <w:vAlign w:val="bottom"/>
            <w:gridSpan w:val="3"/>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assumptions</w:t>
            </w:r>
          </w:p>
        </w:tc>
        <w:tc>
          <w:tcPr>
            <w:tcW w:w="400" w:type="dxa"/>
            <w:vAlign w:val="bottom"/>
          </w:tcPr>
          <w:p>
            <w:pPr>
              <w:spacing w:after="0"/>
              <w:rPr>
                <w:sz w:val="13"/>
                <w:szCs w:val="13"/>
                <w:color w:val="auto"/>
              </w:rPr>
            </w:pPr>
          </w:p>
        </w:tc>
        <w:tc>
          <w:tcPr>
            <w:tcW w:w="200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 €)</w:t>
            </w:r>
          </w:p>
        </w:tc>
        <w:tc>
          <w:tcPr>
            <w:tcW w:w="380" w:type="dxa"/>
            <w:vAlign w:val="bottom"/>
          </w:tcPr>
          <w:p>
            <w:pPr>
              <w:spacing w:after="0"/>
              <w:rPr>
                <w:sz w:val="13"/>
                <w:szCs w:val="13"/>
                <w:color w:val="auto"/>
              </w:rPr>
            </w:pPr>
          </w:p>
        </w:tc>
        <w:tc>
          <w:tcPr>
            <w:tcW w:w="16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(in millions €)</w:t>
            </w:r>
          </w:p>
        </w:tc>
        <w:tc>
          <w:tcPr>
            <w:tcW w:w="0" w:type="dxa"/>
            <w:vAlign w:val="bottom"/>
          </w:tcPr>
          <w:p>
            <w:pPr>
              <w:spacing w:after="0"/>
              <w:rPr>
                <w:sz w:val="1"/>
                <w:szCs w:val="1"/>
                <w:color w:val="auto"/>
              </w:rPr>
            </w:pPr>
          </w:p>
        </w:tc>
      </w:tr>
      <w:tr>
        <w:trPr>
          <w:trHeight w:val="20"/>
        </w:trPr>
        <w:tc>
          <w:tcPr>
            <w:tcW w:w="25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projections</w:t>
            </w:r>
          </w:p>
        </w:tc>
        <w:tc>
          <w:tcPr>
            <w:tcW w:w="9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40" w:type="dxa"/>
            <w:vAlign w:val="bottom"/>
            <w:gridSpan w:val="2"/>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380"/>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400" w:type="dxa"/>
            <w:vAlign w:val="bottom"/>
            <w:vMerge w:val="continue"/>
            <w:shd w:val="clear" w:color="auto" w:fill="CCEEFF"/>
          </w:tcPr>
          <w:p>
            <w:pPr>
              <w:spacing w:after="0"/>
              <w:rPr>
                <w:sz w:val="17"/>
                <w:szCs w:val="17"/>
                <w:color w:val="auto"/>
              </w:rPr>
            </w:pPr>
          </w:p>
        </w:tc>
        <w:tc>
          <w:tcPr>
            <w:tcW w:w="1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44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6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24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(3.5)</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 w:right="640"/>
        <w:spacing w:after="0" w:line="282" w:lineRule="auto"/>
        <w:rPr>
          <w:sz w:val="20"/>
          <w:szCs w:val="20"/>
          <w:color w:val="auto"/>
        </w:rPr>
      </w:pPr>
      <w:r>
        <w:rPr>
          <w:rFonts w:ascii="Times New Roman" w:cs="Times New Roman" w:eastAsia="Times New Roman" w:hAnsi="Times New Roman"/>
          <w:sz w:val="18"/>
          <w:szCs w:val="18"/>
          <w:color w:val="auto"/>
        </w:rPr>
        <w:t>The estimated fair value of non-listed equity investments would, for example, increase (decrease) if the price of the latest financing round of the respective investment were to increase (decrease) and the overall company value were higher (lower).</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Risk Management Activities</w:t>
      </w:r>
    </w:p>
    <w:p>
      <w:pPr>
        <w:spacing w:after="0" w:line="22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No changes have occurred regarding our risk management activities as disclosed in the notes to our audited consolidated financial statements included in our Annual Report on Form 20-F as of and for the year ended December 31, 2024.</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 Issued Capital and Reserves</w:t>
      </w:r>
    </w:p>
    <w:p>
      <w:pPr>
        <w:spacing w:after="0" w:line="117" w:lineRule="exact"/>
        <w:rPr>
          <w:sz w:val="20"/>
          <w:szCs w:val="20"/>
          <w:color w:val="auto"/>
        </w:rPr>
      </w:pPr>
    </w:p>
    <w:p>
      <w:pPr>
        <w:ind w:left="4" w:right="800"/>
        <w:spacing w:after="0" w:line="282" w:lineRule="auto"/>
        <w:rPr>
          <w:sz w:val="20"/>
          <w:szCs w:val="20"/>
          <w:color w:val="auto"/>
        </w:rPr>
      </w:pPr>
      <w:r>
        <w:rPr>
          <w:rFonts w:ascii="Times New Roman" w:cs="Times New Roman" w:eastAsia="Times New Roman" w:hAnsi="Times New Roman"/>
          <w:sz w:val="18"/>
          <w:szCs w:val="18"/>
          <w:color w:val="auto"/>
        </w:rPr>
        <w:t>As of September 30, 2025, the number of shares outstanding was 240,455,450. This amount excludes 8,096,750 shares held in treasury. As of December 31, 2024, the number of shares outstanding was 239,970,804, excluding 8,581,396 shares held in treasury.</w:t>
      </w:r>
    </w:p>
    <w:p>
      <w:pPr>
        <w:spacing w:after="0" w:line="67" w:lineRule="exact"/>
        <w:rPr>
          <w:sz w:val="20"/>
          <w:szCs w:val="20"/>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93"/>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 xml:space="preserve">(in millions </w:t>
            </w: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w:t>
            </w:r>
          </w:p>
        </w:tc>
        <w:tc>
          <w:tcPr>
            <w:tcW w:w="2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1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Contractual disputes / settlements</w:t>
            </w:r>
          </w:p>
        </w:tc>
        <w:tc>
          <w:tcPr>
            <w:tcW w:w="18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116.6</w:t>
            </w:r>
          </w:p>
        </w:tc>
        <w:tc>
          <w:tcPr>
            <w:tcW w:w="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85.7</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from onerous contracts</w:t>
            </w:r>
          </w:p>
        </w:tc>
        <w:tc>
          <w:tcPr>
            <w:tcW w:w="39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53.9</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9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65.2</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235.7</w:t>
            </w:r>
          </w:p>
        </w:tc>
        <w:tc>
          <w:tcPr>
            <w:tcW w:w="9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165.7</w:t>
            </w:r>
          </w:p>
        </w:tc>
        <w:tc>
          <w:tcPr>
            <w:tcW w:w="40" w:type="dxa"/>
            <w:vAlign w:val="bottom"/>
          </w:tcPr>
          <w:p>
            <w:pPr>
              <w:spacing w:after="0"/>
              <w:rPr>
                <w:sz w:val="20"/>
                <w:szCs w:val="20"/>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39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211.5</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144.8</w:t>
            </w: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non-current</w:t>
            </w:r>
          </w:p>
        </w:tc>
        <w:tc>
          <w:tcPr>
            <w:tcW w:w="18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9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19"/>
                <w:szCs w:val="19"/>
                <w:color w:val="auto"/>
              </w:rPr>
            </w:pPr>
          </w:p>
        </w:tc>
      </w:tr>
      <w:tr>
        <w:trPr>
          <w:trHeight w:val="20"/>
        </w:trPr>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8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920" w:type="dxa"/>
            <w:vAlign w:val="bottom"/>
            <w:gridSpan w:val="3"/>
          </w:tcPr>
          <w:p>
            <w:pPr>
              <w:jc w:val="right"/>
              <w:ind w:right="2720"/>
              <w:spacing w:after="0"/>
              <w:rPr>
                <w:sz w:val="20"/>
                <w:szCs w:val="20"/>
                <w:color w:val="auto"/>
              </w:rPr>
            </w:pPr>
            <w:r>
              <w:rPr>
                <w:rFonts w:ascii="Times New Roman" w:cs="Times New Roman" w:eastAsia="Times New Roman" w:hAnsi="Times New Roman"/>
                <w:sz w:val="18"/>
                <w:szCs w:val="18"/>
                <w:color w:val="auto"/>
              </w:rPr>
              <w:t>F-B-24</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4"/>
          </w:cols>
          <w:pgMar w:left="436" w:top="270"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prior period amounts have been reclassified to conform to current period presentation.</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September 30, 2025, our current provisions included €116.6 million in contractual disputes mainly related to collaborators regarding, among other things, the interpretation of each party’s obligations or the amounts payable under the respective agreements. The increase in obligations identified as contractual disputes compared to December 31, 2024 was mainly due to entering settlement agreements, such as the agreements with CureVac N.V. and GSK plc (see Note 4.2) and a royalty on rest-of-world sales of licensed products to CureVac N.V. and GSK plc.</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2025, our current provisions included €53.9 million (€56.6 million as of December 31, 2024) of obligations from onerous contracts, primarily relating to production capacities derived from contracts with contract manufacturing organizations, or CMOs, that became redundant. The change of €2.7 million compared to December 31, 2024 related entirely to consumption.</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of September 30, 2025, our current provisions included €65.2 million in other obligations mainly comprising employee related obligations such as restructuring due to pipeline prioritization, social security costs related to share based payment programs as well as inventor remunerations (€23.4 million as of December 31, 2024, mainly comprising employee related obligations). The change of €41.8 million compared to December 31, 2024, related mainly to additions.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Contingent Liabilities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contingent liabilities include, but are not limited to, intellectual property disputes and contractual disputes regarding, among other things, the interpretation of each party’s obligations or the amounts payable under the respective agreements, product-related disputes, and actions by or on behalf of our shareholders.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in the normal course and conduct of our business, we may be involved in proceedings with third parties, including proceedings regarding, for example, the use and/or remuneration for use of such third party’s intellectual property. As of September 30, 2025, none of the intellectual property-related considerations outlined below, of which we have either been notified, or for which potential claims could be brought against us or our subsidiaries in the future, fulfill the criteria for recording a provision.</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subject to an increasing number of product-related disputes. Our product liability claims often involve highly complex issues related to medical causation, correctness and completeness of product information (Summary of Product Characteristics/package leaflet) as well as label warnings and reliance thereon, scientific evidence and findings, actual and provable defectiveness and injury, and other matters. These complexities vary from matter to matter. As of September 30, 2025, none of these claims fulfill the criteria for recording a provision.</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are currently subject to certain claims by or on behalf of our shareholders. As of September 30, 2025, these claims do not fulfill the criteria for recording a provision.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F-B-25</w:t>
      </w:r>
    </w:p>
    <w:p>
      <w:pPr>
        <w:sectPr>
          <w:pgSz w:w="11900" w:h="16838" w:orient="portrait"/>
          <w:cols w:equalWidth="0" w:num="1">
            <w:col w:w="11000"/>
          </w:cols>
          <w:pgMar w:left="440" w:top="270" w:right="459" w:bottom="1440" w:gutter="0" w:footer="0" w:header="0"/>
        </w:sectPr>
      </w:pPr>
    </w:p>
    <w:bookmarkStart w:id="51" w:name="page52"/>
    <w:bookmarkEnd w:id="5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Substantially all of our contingent liabilities are subject to significant uncertainties and, therefore, determining the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have a material adverse effect on our results of operations and/or our cash flows in the period in which the amounts are accrued or paid. We will continue to evaluate whether, if circumstances were to change in the future, the recording of a provision may be needed and whether potential indemnification entitlements exist against any such claim.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pending matters to which we are a party are discussed below.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Alnylam Proceedings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March 2022, Alnylam Pharmaceuticals, Inc., or Alnylam, filed a lawsuit against Pfizer and Pharmacia &amp; Upjohn Co. LLC in the U.S. District Court for the District of Delaware alleging that an existing patent owned by Alnylam, U.S. Patent No. 11,246,933, or the ‘933 Patent, is infringed by the cationic lipid used in Comirnaty, and seeking monetary relief, the amount of which is not specified in their filings. We filed a counterclaim to become party to the Alnylam proceeding, and in June 2022, Alnylam added to its claims allegations that we induced infringement of the ‘933 Patent. Additionally, in July 2022, Alnylam filed a lawsuit against us, our wholly owned subsidiary, BioNTech Manufacturing GmbH, Pfizer and Pharmacia &amp; Upjohn Co. LLC in the U.S. District Court for the District of Delaware alleging that we also induced infringement of a newly issued patent, U.S. Patent No. 11,382,979, or the ‘979 Patent, which is a continuation of the ‘933 Patent. The two lawsuits were consolidated on July 28, 2022. In May 2023, Alnylam filed a third lawsuit against Pfizer Inc. and Pharmacia &amp; Upjohn Co. LLC in the U.S. District Court for the District of Delaware alleging infringement of U.S. Patent Nos. 11,633,479; 11,633,480; 11,612,657; and 11,590,229, all of which are continuations of the ‘933 Patent. We filed a counterclaim to become party to the new proceeding, and in July 2023, Alnylam added to its claims allegations that we induced infringement of the four new patents. All of the lawsuits have been consolidated into a single proceeding. On February 24, 2025, Alnylam voluntarily dismissed U.S. Patent No. 11,633,480, with prejudice, from the lawsuit. On May 13, 2025, Alnylam filed an unopposed motion to stay the litigation and to withdraw its opposition to our motion for summary judgment of noninfringement, and requested that the Court enter judgment of noninfringement in our favor. The Court granted the stay on May 13, 2025. On July 30, 2025, the Court entered a final judgment of noninfringement of the asserted claims of all five patents. On August 29, 2025, Alnylam, we and the Pfizer parties entered into a settlement agreement and covenant not to sue (the “Alnylam Settlement Agreement”). Pursuant to the Alnylam Settlement Agreement, Alnylam agreed not to appeal the final judgment and we and Pfizer parties agreed not to seek attorneys’ fees or costs. The parties further agreed to certain mutual releases and covenants not to sue. The case has now concluded.</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F-B-26</w:t>
      </w:r>
    </w:p>
    <w:p>
      <w:pPr>
        <w:sectPr>
          <w:pgSz w:w="11900" w:h="16838" w:orient="portrait"/>
          <w:cols w:equalWidth="0" w:num="1">
            <w:col w:w="10960"/>
          </w:cols>
          <w:pgMar w:left="440" w:top="270"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CureVac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Infringement Proceedings – EP’122, DE’961, DE‘974, DE’575, and EP’668</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July 2022, CureVac AG, or CureVac, filed a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one European patent, EP1857122B1, or EP’122, and three Utility Models DE202015009961U1, DE202015009974U1, and DE202021003575U1. In August 2022, CureVac added European Patent EP3708668B1, or EP’668, to its German lawsuit.</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15, 2023, the Düsseldorf Regional Court held a hearing on infringement with respect to all five IP rights. At the hearing, the Court stated it would render its infringement ruling with respect to EP’122 on December 28, 2023. On September 28, 2023, the Court issued orders suspending its infringement rulings with respect to the remaining four IP rights (DE’961, DE’974, DE’575, and EP’668) pending validity decisions in the DE’961, DE’974, and DE’575 cancellation proceedings before the German Patent and Trademark Office and in the EP’668 opposition proceedings before the Opposition Division of the European Patent Office, or the EPO. In the September 28th orders, the Court explained that it was suspending its infringement rulings until validity decisions are reached, while contemporaneously noting concerns regarding the validity of DE’961, DE’974, DE’575, and EP’668. After EP’122 was declared invalid in the first-instance nullity proceedings by the Federal Patent Court on December 19, 2023 (see below), on December 27, 2023, the Düsseldorf Regional Court canceled the December 28, 2023 decision date and stayed the infringement proceedings as to EP’122 until a final appellate decision is rendered as to the validity of EP’122 by the Federal Court of Justice. On June 7, 2024, CureVac waived DE’575 and withdrew this utility model from the infringement proceedings.</w:t>
      </w:r>
    </w:p>
    <w:p>
      <w:pPr>
        <w:spacing w:after="0" w:line="1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July 1, 2024, the EPO Opposition Division issued a preliminary opinion noting that it believes EP’668 is likely invalid. The EPO Opposition Division held an oral hearing regarding the validity of EP’668 between March 25-27, 2025. At the conclusion of this hearing, the Opposition Division upheld EP’668 in amended form, but only after finding that the alleged technical effect – increased protein expression – was not achieved across the broad scope of the amended claim. The written decision by the Opposition Division to uphold EP’668 in amended form was issued on July 11, 2025, and BioNTech has appealed this written decision and the appeal is pending. An oral hearing with respect to infringement of EP’668 is currently scheduled for November 6, 2025, but the parties have submitted a request to the Dusseldorf Regional Court to postpone the hearing to mid-January 2026. On July 3, 2025, GlaxoSmithKline Biologicals SA filed a request seeking to intervene in the EP’668 infringement proceedings, and its request to intervene will be heard at this same hearing.</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F-B-27</w:t>
      </w:r>
    </w:p>
    <w:p>
      <w:pPr>
        <w:sectPr>
          <w:pgSz w:w="11900" w:h="16838" w:orient="portrait"/>
          <w:cols w:equalWidth="0" w:num="1">
            <w:col w:w="10920"/>
          </w:cols>
          <w:pgMar w:left="440" w:top="266"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Infringement Proceedings – EP’755, DE’123, and DE’130</w:t>
      </w:r>
    </w:p>
    <w:p>
      <w:pPr>
        <w:spacing w:after="0" w:line="11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 xml:space="preserve">In July 2023, CureVac SE filed a second lawsuit against us and our wholly owned subsidiaries, BioNTech Manufacturing GmbH and BioNTech Manufacturing Marburg GmbH, in the Düsseldorf Regional Court, alleging </w:t>
      </w:r>
      <w:r>
        <w:rPr>
          <w:rFonts w:ascii="Times New Roman" w:cs="Times New Roman" w:eastAsia="Times New Roman" w:hAnsi="Times New Roman"/>
          <w:sz w:val="17"/>
          <w:szCs w:val="17"/>
          <w:i w:val="1"/>
          <w:iCs w:val="1"/>
          <w:color w:val="auto"/>
        </w:rPr>
        <w:t>Comirnaty’s</w:t>
      </w:r>
      <w:r>
        <w:rPr>
          <w:rFonts w:ascii="Times New Roman" w:cs="Times New Roman" w:eastAsia="Times New Roman" w:hAnsi="Times New Roman"/>
          <w:sz w:val="17"/>
          <w:szCs w:val="17"/>
          <w:color w:val="auto"/>
        </w:rPr>
        <w:t xml:space="preserve"> infringement of one European patent, EP4023755B1, or EP’755, and two Utility Models DE202021004123U1, and DE202021004130U1. On June 7, 2024, CureVac waived DE’123 and withdrew this utility model from the infringement proceedings. The Court has stayed the infringement proceedings with respect to DE’130 pending a validity decision in the co-pending cancellation proceeding before the German Patent and Trademark Office, where an oral hearing has been scheduled for December 8, 2025. On July 24, 2024, the EPO Opposition Division issued a preliminary opinion noting that it believes EP’755 is likely invalid, and held a three-day oral hearing beginning on May 13, 2025. At the conclusion of the hearing, the EPO Opposition Division upheld EP’755 in amended form. The written decision by the Opposition Division to uphold EP’755 in amended form was issued on August 6, 2025, and we have appealed the Opposition Division’s written decision and the appeal is pending. A hearing on infringement with respect to EP’755 is currently scheduled for November 6, 2025, but the parties have submitted a request to the Dusseldorf Regional Court to postpone this hearing to mid-January 2026. On July 3, 2025, GlaxoSmithKline Biologicals SA filed a request to intervene in the EP’755 infringement proceedings, and its request to intervene will be heard at this same hearing.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Nullity Proceedings – EP’122</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September 2022, we filed a nullity action in the Federal Patent Court of Germany seeking a declaration that EP’122 is invalid. In April 2023, the Federal Patent Court of Germany issued a preliminary opinion in the EP’122 nullity action in support of the validity of EP’122. The preliminary opinion does not address any infringement of EP’122. The preliminary opinion is a preliminary assessment by the court of the merits of a claim, and is non-binding. On December 19, 2023, the Federal Patent Court held an oral hearing, after which it nullified EP’122. On April 25, 2024, the Federal Patent Court issued a judgment containing its written reasons for nullifying EP’122. On May 6, 2024, CureVac appealed the judgment, which is currently pending. An oral hearing on this appeal is scheduled for July 2026.</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Cancellation Proceedings – DE’961, DE‘974, and DE’575</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November 2022, we filed cancellation actions seeking the cancellation of the three German Utility Models in the German Patent and Trademark Office. On December 20, 2023, the German Patent and Trademark Office issued a preliminary opinion that DE’974 is likely to be cancelled. On January 23, 2024, the German Patent and Trademark Office issued a preliminary opinion that DE’961 is likely to be cancelled. Both preliminary opinions are based on invalidity pursuant to para. 1 (2) no. 5 Utility Model Act. On March 7, 2024, the German Patent and Trademark Office issued a preliminary opinion that DE’575 is likely to be cancelled. On June 6, 2024, CureVac submitted a written statement to the German Patent and Trademark Office waiving DE’575. On June 12, 2024, we withdrew our request for cancellation of DE’575. On June 25 and 26, 2024, the German Patent and Trademark Office heard oral arguments regarding DE’961 and DE’974, and at the conclusion of the hearing on June 26, 2024, confirmed that both DE’961 and DE’974 were cancelled. In November 2024, the German Patent and Trademark Office issued its written decisions cancelling DE’961 and DE’974. CureVac has filed an appeal in both cancellation proceedings, which are currently pending.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F-B-28</w:t>
      </w:r>
    </w:p>
    <w:p>
      <w:pPr>
        <w:sectPr>
          <w:pgSz w:w="11900" w:h="16838" w:orient="portrait"/>
          <w:cols w:equalWidth="0" w:num="1">
            <w:col w:w="10980"/>
          </w:cols>
          <w:pgMar w:left="440" w:top="270"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Cancellation Proceedings– DE’123 and DE’130</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November 2023, we filed cancellation actions seeking the cancellation of German Utility Models DE’123 and DE’130 in the German Patent and Trademark Office. On June 6, 2024, CureVac submitted a written statement to the German Patent and Trademark Office waiving DE’123. On June 12, 2024, we withdrew our request for cancellation of DE’123. On December 5, 2024, the German Patent and Trademark Office issued a preliminary opinion that DE’130 is likely to be cancelled. An oral hearing regarding the validity of DE’130 before the German Patent and Trademark Office is scheduled for December 8, 2025.</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we have strong defenses against the allegations claimed relative to each of the patents and utility models and intend to vigorously defend ourselves in the proceedings mentioned above. However, our analysis of CureVac’s claims is ongoing and complex, and we believe the ultimate outcomes remain substantially uncertain. Taking into account discussions with our external lawyers, we do not consider the probability of an outflow of resources to be sufficient to recognize a provision at the balance sheet date. We and CureVac have from time to time discussed potential options for the resolution of certain of these disputes and we continue to be actively engaged in such discussions. However, it is currently impractical for us to estimate with sufficient reliability the respective contingent liabilities.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11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July 2022, we and Pfizer filed a complaint for a declaratory judgment in the U.S. District Court for the District of Massachusetts, seeking a judgment of non-infringement by Comirnaty of U.S. Patent Nos. 11,135,312; 11,149,278; and 11,241,493. In May 2023, the action in the U.S. District Court for the District of Massachusetts was transferred to the U.S. District Court for the Eastern District of Virginia, where CureVac filed counterclaims asserting infringement of six additional U.S. patents, U.S. Patent Nos. 10,760,070; 11,286,492; 11,345,920; 11,471,525; 11,576,966; and 11,596,686. In July 2023, CureVac filed amended counterclaims to assert an additional U.S. patent, U.S. Patent No. 11,667,910. In June 2024, CureVac voluntarily dismissed with prejudice its claims of infringement with respect to the ‘493, ‘525, and ‘966 patents. A three-week trial was set to begin on March 3, 2025, but the Court rescheduled it to begin on September 8, 2025. On July 7, 2025, GlaxoSmithKline Biologicals SA filed a motion to intervene in the litigation. On August 7, 2025, we, Pfizer and CureVac entered into a settlement agreement which, among other things, resolved the pending patent litigation among the parties in the United States, and set a framework for resolving patent litigation and allegations of patent infringement among the parties outside the United States (subject to the closing of BioNTech’s acquisition of CureVac) (see Note 4.2).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Moderna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Infringement Proceedings – EP’949 and EP’565</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two European patents, 3590949B1, or EP’949, and 3718565B1, or EP’565. With respect to EP’565, on November 7, 2023, the Opposition Division of the EPO revoked EP’565 after a one-day oral hearing held in the co-pending opposition proceeding, and on December 7, 2023, it issued the written decision revoking</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F-B-29</w:t>
      </w:r>
    </w:p>
    <w:p>
      <w:pPr>
        <w:sectPr>
          <w:pgSz w:w="11900" w:h="16838" w:orient="portrait"/>
          <w:cols w:equalWidth="0" w:num="1">
            <w:col w:w="10940"/>
          </w:cols>
          <w:pgMar w:left="440" w:top="270" w:right="519" w:bottom="1440" w:gutter="0" w:footer="0" w:header="0"/>
        </w:sectPr>
      </w:pPr>
    </w:p>
    <w:bookmarkStart w:id="55" w:name="page56"/>
    <w:bookmarkEnd w:id="55"/>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EP’565. On February 7, 2024, Moderna appealed the Opposition Division’s revocation decision on EP’565, and the appeal is currently pending, with an oral hearing scheduled for January 27, 2026. On September 17, 2025, the EPO Boards of Appeal issued a preliminary opinion noting that it believes EP’565 is likely invalid. With respect to EP’949, on December 8, 2023, the Opposition Division issued a preliminary opinion noting that it believes EP’949 is likely invalid. As a result of those developments in the EPO proceedings, the Düsseldorf Regional Court postponed its hearing on infringement with respect to EP’949, originally scheduled for December 12, 2023, to January 21, 2025. On May 16, 2024, the EPO Opposition Division decided that EP’949 is valid, in amended form, and issued its written decision regarding the same on July 8, 2024. We appealed this decision, and the appeal is currently pending, with an oral hearing scheduled for September 2026. The Düsseldorf Regional Court held an infringement hearing on January 21, 2025, and on March 5, 2025, the Düsseldorf Regional Court issued a first-instance decision declining to stay the infringement proceedings and finding infringement of EP’949 by us and Pfizer. We and Pfizer have appealed the Düsseldorf Regional Court’s infringement decision, and the appeal is currently pending. The court has not ruled on the invalidity of EP’949, which will be decided in a next step by the EPO in the opposition appeal proceedings. Moderna has not yet taken steps to enforce the Düsseldorf Regional Court’s first-instance decision on infringement.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August 2022, Moderna filed a lawsuit asserting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EP’949 and EP’565 against us and our wholly owned subsidiaries, BioNTech Manufacturing GmbH, BioNTech Europe GmbH and BioNTech Manufacturing Marburg GmbH, and Pfizer Limited, Pfizer Manufacturing Belgium NV and Pfizer Inc. in the Business and Property Courts of England and Wales, in the UK High Court. In September 2022, we and Pfizer filed a revocation action in the Business and Property Courts of England and Wales requesting revocation of EP’949 and EP’565.</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UK High Court held a trial between April 22, 2024, and May 21, 2024. On July 2, 2024, the UK High Court released two judgments. The first judgment concerns the validity of EP’949 and EP’565. In this first judgment, the UK High Court found that EP’565 is invalid and therefore not infringed, while EP’949 is valid and infringed. The second judgment concerns whether Moderna’s October 2020 commitment not to “enforce [its] COVID-19 related patents against those making vaccines intended to combat the pandemic,” or the Patent Pledge, amounted to a consent under UK law to carry out any acts that would otherwise amount to patent infringement. With respect to this judgment, the UK High Court found that Moderna’s Patent Pledge amounted to consent to carry out activities that might otherwise infringe its patents prior to March 2022, but not after March 2022.</w:t>
      </w:r>
    </w:p>
    <w:p>
      <w:pPr>
        <w:spacing w:after="0" w:line="18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UK High Court held a hearing on September 25, 2024, during which the Court granted Pfizer and BioNTech permission to appeal its judgment regarding the validity of EP’949, and declined Moderna’s permission to appeal its judgment regarding validity of EP’565. On October 16, 2024, Moderna sought permission from the UK Appeals Court to appeal the EP’565 judgment. On November 11, 2024, the UK Appeals Court denied Moderna’s application to appeal; accordingly, the UK designation of EP’565 is finally revoked with no further opportunity to appeal in UK. No party sought permission to appeal the UK High Court’s judgment on the patent pledge.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F-B-30</w:t>
      </w:r>
    </w:p>
    <w:p>
      <w:pPr>
        <w:sectPr>
          <w:pgSz w:w="11900" w:h="16838" w:orient="portrait"/>
          <w:cols w:equalWidth="0" w:num="1">
            <w:col w:w="11020"/>
          </w:cols>
          <w:pgMar w:left="440" w:top="270" w:right="439" w:bottom="1440" w:gutter="0" w:footer="0" w:header="0"/>
        </w:sectPr>
      </w:pPr>
    </w:p>
    <w:bookmarkStart w:id="56" w:name="page57"/>
    <w:bookmarkEnd w:id="56"/>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UK Court of Appeal held an oral hearing on the appeal of EP’949 on July 10-11, 2025. On August 1, 2025, the UK Court of Appeal issued a judgment agreeing with the UK High Court that EP ‘949 is valid, and dismissing our appeal. We have applied for permission to appeal this decision to the UK Supreme Court.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District Court Litigation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August 2022, Moderna filed a lawsuit in the U.S. District Court for the District of Massachusetts against us and our wholly owned subsidiaries BioNTech Manufacturing GmbH and BioNTech US Inc. and Pfizer Inc. alleging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U.S. Patent Nos. 10,898,574; 10,702,600 and 10,933,127 and seeking monetary relief. On April 12, 2024, the U.S. District Court for the District of Massachusetts stayed the litigation pending resolution of the inter partes review of U.S. Patent Nos. 10,702,600 and 10,933,127.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 Partes Review</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August 2023, Pfizer and we filed petitions seeking inter partes review of U.S. Patent Nos. 10,702,600 and 10,933,127 before the United States Patent Trial and Appeal Board, or the PTAB. On March 6, 2024, the PTAB issued decisions instituting inter partes review proceedings on all challenged claims of U.S. Patent Nos. 10,702,600 and 10,933,127. An oral hearing on the merits occurred on December 10, 2024. On March 5, 2025, the PTAB found all challenged claims of Moderna’s U.S. Patent Nos. 10,933,127 and 10,702,600 to be unpatentable and thus invalid. Moderna appealed this decision on May 6,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2022, Moderna filed a lawsuit against us and our wholly owned subsidiary BioNTech Manufacturing GmbH and Pfizer B.V., Pfizer Export B.V., C.P. Pharmaceuticals International C.V. and Pfizer Inc. in the District Court of The Hague alleging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EP‘949 and EP’565. The District Court of the Hague held a hearing on October 6, 2023, on infringement and validity with respect to EP’949. On December 6, 2023, the Court found EP’949 to be invalid. On March 5, 2024, Moderna appealed this decision, and the appeal is pending. A hearing on the EP’949 appeal occurred on September 22, 2025, with a decision expected on or around December 9, 2025. The EP’565 case has been stayed pending the outcome of Moderna’s appeal of the Opposition Division’s revocation of EP’565.</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11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In May 2023, Moderna filed a lawsuit against us and our wholly owned subsidiary BioNTech Manufacturing GmbH, Pfizer Inc., Pfizer Healthcare Ireland, Pfizer Ireland Pharmaceuticals, and C.P. Pharmaceuticals International C.V. alleging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EP’949 and EP’565 in the High Court of Ireland. On February 26, 2024, the High Court of Ireland stayed the lawsuit pending the final determination of the EPO opposition proceedings for EP’949 and EP’565 (in each case including any appeals).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11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In May 2023, Moderna filed a lawsuit against us, our wholly owned subsidiary BioNTech Manufacturing GmbH, Pfizer Inc. and Pfizer Manufacturing Belgium alleging </w:t>
      </w:r>
      <w:r>
        <w:rPr>
          <w:rFonts w:ascii="Times New Roman" w:cs="Times New Roman" w:eastAsia="Times New Roman" w:hAnsi="Times New Roman"/>
          <w:sz w:val="18"/>
          <w:szCs w:val="18"/>
          <w:i w:val="1"/>
          <w:iCs w:val="1"/>
          <w:color w:val="auto"/>
        </w:rPr>
        <w:t>Comirnaty’s</w:t>
      </w:r>
      <w:r>
        <w:rPr>
          <w:rFonts w:ascii="Times New Roman" w:cs="Times New Roman" w:eastAsia="Times New Roman" w:hAnsi="Times New Roman"/>
          <w:sz w:val="18"/>
          <w:szCs w:val="18"/>
          <w:color w:val="auto"/>
        </w:rPr>
        <w:t xml:space="preserve"> infringement of EP’949 and EP’565 in the Brussels Dutch-speaking Enterprise Court. On May 29, 2024, the parties filed a joint request to stay the proceedings, which was entered by the Enterprise Court.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F-B-31</w:t>
      </w:r>
    </w:p>
    <w:p>
      <w:pPr>
        <w:sectPr>
          <w:pgSz w:w="11900" w:h="16838" w:orient="portrait"/>
          <w:cols w:equalWidth="0" w:num="1">
            <w:col w:w="11000"/>
          </w:cols>
          <w:pgMar w:left="440" w:top="270"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the above proceedings are currently pending.</w:t>
      </w:r>
    </w:p>
    <w:p>
      <w:pPr>
        <w:spacing w:after="0" w:line="2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believe we have strong defenses against the allegations claimed relative to each of the patents and intend to vigorously defend ourselves in the proceedings mentioned above. However, our analysis of Moderna’s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Arbutus and Genevant Proceedings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April 2023, Arbutus Biopharma Corp., or Arbutus, and Genevant Sciences GmbH, or Genevant, filed a lawsuit against Pfizer and us in the U.S. District Court for the District of New Jersey alleging that Pfizer and we have infringed the following patents owned by Arbutus: U.S. Patent Nos. 9,504,651; 8,492,359; 11,141,378; 11,298,320; and 11,318,098, through the use of Genevant’s lipid nanoparticle technology and methods for producing such lipids in </w:t>
      </w:r>
      <w:r>
        <w:rPr>
          <w:rFonts w:ascii="Times New Roman" w:cs="Times New Roman" w:eastAsia="Times New Roman" w:hAnsi="Times New Roman"/>
          <w:sz w:val="18"/>
          <w:szCs w:val="18"/>
          <w:i w:val="1"/>
          <w:iCs w:val="1"/>
          <w:color w:val="auto"/>
        </w:rPr>
        <w:t>Comirnaty</w:t>
      </w:r>
      <w:r>
        <w:rPr>
          <w:rFonts w:ascii="Times New Roman" w:cs="Times New Roman" w:eastAsia="Times New Roman" w:hAnsi="Times New Roman"/>
          <w:sz w:val="18"/>
          <w:szCs w:val="18"/>
          <w:color w:val="auto"/>
        </w:rPr>
        <w:t>, and seeking monetary relief. This proceeding is currently pending.</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we have strong defenses against the allegations claimed relative to each of the patents and intend to vigorously defend ourselves in the lawsuit mentioned above. However, our analysis of Arbutus and Genevant’s claims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GlaxoSmithKline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1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April 2024, GlaxoSmithKline Biologicals SA and GlaxoSmithKline LLC, or GSK, filed a lawsuit against Pfizer and us and our wholly owned subsidiaries BioNTech Manufacturing GmbH and BioNTech US Inc. in the U.S. District Court for the District of Delaware alleging that the cationic lipid used in Comirnaty infringes U.S. Patent Nos. 11,638,693; 11,638,694; 11,666,534; 11,766,401; and 11,786,467; and seeking monetary relief. On August 14, 2024, GSK filed an amended complaint to assert infringement of three additional patents, U.S. Patent Nos. 11,759,422; 11,655,475; and 11,851,660. This proceeding is currently pending.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F-B-32</w:t>
      </w:r>
    </w:p>
    <w:p>
      <w:pPr>
        <w:sectPr>
          <w:pgSz w:w="11900" w:h="16838" w:orient="portrait"/>
          <w:cols w:equalWidth="0" w:num="1">
            <w:col w:w="10980"/>
          </w:cols>
          <w:pgMar w:left="440" w:top="270"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Ireland</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July 2025, GlaxoSmithKline Biologicals SA filed a lawsuit against our wholly owned subsidiary BioNTech Manufacturing GmbH, Pfizer Ireland Pharmaceuticals Unlimited Company, and Pfizer Healthcare Ireland Unlimited Company, alleging Comirnaty’s infringement of European Patent Nos. 2,590,626, 4,066,856, and 4,226,941 in the High Court of Ireland. This proceeding is currently pending.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Unified Patent Court</w:t>
      </w:r>
    </w:p>
    <w:p>
      <w:pPr>
        <w:spacing w:after="0" w:line="11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In July 2025, GlaxoSmithKline Biologicals SA filed two lawsuits against BioNTech SE, BioNTech Europe GmbH, BioNTech Manufacturing GmbH, and BioNTech Manufacturing Marburg GmbH, as well as 26 Pfizer entities, in the Unified Patent Court (Hague Division). In the first lawsuit, GlaxoSmithKline Biologicals SA alleges Comirnaty’s infringement of European Patent No. 2,590,626, and in the second lawsuit, GlaxoSmithKline Biologicals SA alleges Comirnaty’s infringement of European Patent Nos. 4,066,856 and 4,226,941. This proceeding is currently pending.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September 2025, BioNTech and Pfizer filed a revocation action against GlaxoSmithKline Biologics SA in the Business and Property Courts of England and Wales, in the U.K. High Court, requesting revocation of European Patent Nos. 2,590,626, 4,066,856, and 4,226,941. On October 7, 2025, GlaxoSmithKline Biologics SA filed a defense and counterclaim for infringement against BioNTech SE and BioNTech Manufacturing GmbH, alleging Comirnaty’s infringement of European Patent Nos. 2,590,626, 4,066,856, and 4,226,941. This proceeding is currently pending.</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believes it has strong defenses against the allegations claimed relative to each of the patents and intends to vigorously defend itself in the lawsuit mentioned above. However, the Company’s analysis of GSK’s claims is ongoing and complex, and the Company believes the outcome of the suit remains substantially uncertain. In light of the foregoing, as well as discussions with the Company’s outside counsel, the Company believes the probability of a loss, if any, being sustained by the Company and the estimate of the amount of any possible loss to the Company remains difficult to ascertain. As a result, the Company has determined that this matter is most appropriately accounted for as a contingency and that no accrual is warranted at this time.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Promosome Proceedings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 January 2025, Promosome LLC, or Promosome, filed a lawsuit against us and Pfizer in the Unified Patent Court, or UPC, Munich Division, alleging that </w:t>
      </w:r>
      <w:r>
        <w:rPr>
          <w:rFonts w:ascii="Times New Roman" w:cs="Times New Roman" w:eastAsia="Times New Roman" w:hAnsi="Times New Roman"/>
          <w:sz w:val="18"/>
          <w:szCs w:val="18"/>
          <w:i w:val="1"/>
          <w:iCs w:val="1"/>
          <w:color w:val="auto"/>
        </w:rPr>
        <w:t>Comirnaty</w:t>
      </w:r>
      <w:r>
        <w:rPr>
          <w:rFonts w:ascii="Times New Roman" w:cs="Times New Roman" w:eastAsia="Times New Roman" w:hAnsi="Times New Roman"/>
          <w:sz w:val="18"/>
          <w:szCs w:val="18"/>
          <w:color w:val="auto"/>
        </w:rPr>
        <w:t xml:space="preserve"> infringes EP 2 401 365 and seeking monetary relief. An oral hearing wherein the UPC will hear the parties’ arguments regarding infringement and invalidity has been scheduled for May 2026. This proceeding is currently pending.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F-B-33</w:t>
      </w:r>
    </w:p>
    <w:p>
      <w:pPr>
        <w:sectPr>
          <w:pgSz w:w="11900" w:h="16838" w:orient="portrait"/>
          <w:cols w:equalWidth="0" w:num="1">
            <w:col w:w="10980"/>
          </w:cols>
          <w:pgMar w:left="440" w:top="270" w:right="479" w:bottom="1440" w:gutter="0" w:footer="0" w:header="0"/>
        </w:sectPr>
      </w:pPr>
    </w:p>
    <w:bookmarkStart w:id="59" w:name="page60"/>
    <w:bookmarkEnd w:id="59"/>
    <w:p>
      <w:pPr>
        <w:ind w:right="1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believe we have strong defenses against the allegations claimed relative to the patent and intend to vigorously defend ourselves in the lawsuit mentioned above. However, our analysis of Promosome’s claim is ongoing and complex, and we believe the outcome of the suit remains substantially uncertain. Taking into account discussions with our external lawyers, we do not consider the probability of an outflow of resources to be sufficient to recognize a provision at the balance sheet date. In our opinion, this matter constitute a contingent liabilities as of the balance sheet date. However, it is currently impractical for us to estimate with sufficient reliability the respective contingent liability.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Ladewig Proceedings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January 2024, we and certain of our officers and directors were named as defendants in a securities class action complaint captioned Ladewig v. BioNTech SE filed in the U.S. District Court for the Central District of California brought on behalf of a putative class of investors who purchased our securities from March 30, 2022 through October 13, 2023. Plaintiffs allege that we violated Sections 10(b) and 20(a) of the Exchange Act by stating that we were “well positioned” to remain a “market leader” in vaccines for the prevention of COVID-19 and by purportedly overstating demand for Comirnaty. Plaintiffs further allege that we failed to adapt our inventory to reflect the emergence of new COVID variants. On July 15, 2024, the case was transferred to the U.S. District Court for the Southern District of New York (the “District Court”). We applied for a motion to dismiss the class action complaint on November 18, 2024. On September 30, 2025, the District Court dismissed the operative complaint in its entirety. Plaintiffs did not file a notice of appeal to the U.S. Court of Appeals for the Second Circuit by the October 30, 2025 deadline to do so. Nor, as of the date of this disclosure, have Plaintiffs moved the District Court for leave to amend their pleading. We believe that any such request for amendment would be meritless and untimely. However, should Plaintiffs obtain leave to amend their pleading, we believe that we have strong defenses against the allegations claimed and intend to vigorously defend ourselves in the lawsuit mentioned above. We cannot reasonably estimate the maximum potential exposure or the range of possible loss for this matter. Taking into account discussions with our external lawyers, we do not consider the probability of an outflow of resources to be sufficient to recognize a provision. In our opinion, these matters constitute contingent liabilities. However, it is currently impractical for us to estimate with sufficient reliability the respective contingent liabilities.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Related Party Disclosures</w:t>
      </w:r>
    </w:p>
    <w:p>
      <w:pPr>
        <w:spacing w:after="0" w:line="11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ATHOS KG, Holzkirchen, Germany is the sole shareholder of AT Impf GmbH, Munich, Germany and a beneficial owner of our ordinary shares. Entities controlled by ATHOS KG mainly provide rental and property management activities and sell property, plant and equipment to us. The total amount of transactions with ATHOS KG or entities controlled by them had no significant impact on our unaudited interim condensed consolidated financial statements as of and for the three and nine months ended September 30, 2025, compared to the details disclosed in Note 21 to our audited consolidated financial statements included in our Annual Report on Form 20-F as of and for the year ended December 31, 2024.</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Members of the Management Board and the Supervisory Board of BioNTech SE are related parties as key management personnel having authority and responsibility for planning, directing, and controlling the activities of BioNTech SE directly or indirectly. The total amount of transactions with related parties had no significant impact on our unaudited interim condensed consolidated financial statements as of and for the three and nine months ended September 30, 2025, compared to the details disclosed in Note 21 to our audited consolidated financial statements included in our Annual Report on Form 20-F as of and for the year ended December 31, 2024.</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F-B-34</w:t>
      </w:r>
    </w:p>
    <w:p>
      <w:pPr>
        <w:sectPr>
          <w:pgSz w:w="11900" w:h="16838" w:orient="portrait"/>
          <w:cols w:equalWidth="0" w:num="1">
            <w:col w:w="10980"/>
          </w:cols>
          <w:pgMar w:left="440" w:top="270"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 Events after the Reporting Period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Exchange Offer for All Outstanding Shares of CureVac N.V.</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October 22, 2025, we announced that we commenced our public exchange offer for all outstanding shares of CureVac N.V. The offer is being made pursuant to the previously announced purchase agreement between us and CureVac, dated as of June 12, 2025.</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Under the terms of the purchase agreement, each CureVac share will be exchanged for approximately $5.46 in our ADSs, resulting in an implied aggregate equity value for CureVac of approximately $1.25 billion (subject to the adjustments described below). The consideration is subject to a collar mechanism, such that if the 10-day volume weighted average price, or VWAP, of a BioNTech ADS ending on, and including, the fifth business day prior to the closing of the offer is greater than or equal to $126.55, each CureVac share will be exchanged for 0.04318 of a BioNTech ADS, and if the VWAP is less than or equal to $84.37, the exchange ratio will be 0.06476 of a BioNTech ADS.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offer will expire at 9:00 a.m. (New York City time) on December 3, 2025, unless extended or terminated earlier, in each case in accordance with the terms of the purchase agreement. The offer is subject to various conditions, including at least 80% of CureVac’s shares (threshold may be reduced to 75% unilaterally by us under certain circumstances) being tendered into the offer and accepted for payment and the receipt of required regulatory approvals.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F-B-35</w:t>
      </w:r>
    </w:p>
    <w:p>
      <w:pPr>
        <w:sectPr>
          <w:pgSz w:w="11900" w:h="16838" w:orient="portrait"/>
          <w:cols w:equalWidth="0" w:num="1">
            <w:col w:w="11000"/>
          </w:cols>
          <w:pgMar w:left="440" w:top="270"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to Investors and Security Holders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Offer, BioNTech has filed a Registration Statement on Form F-4 and amendments thereto (as so amended, the “Registration Statement”) with the SEC, including an offer to exchange/prospectus (the “Exchange Offer Prospectus”), to register under the Securities Act of 1933, as amended, the issuance of BioNTech ADSs. The Registration Statement has become effective. In addition, BioNTech has filed with the SEC a tender offer statement on Schedule TO (the “Schedule TO”), which includes, as exhibits, the Exchange Offer Prospectus, a form of letter of transmittal, and other customary ancillary documents and CureVac has filed with the SEC a solicitation/recommendation statement on Schedule 14D-9 (the “Schedule 14D-9”). The Offer has commenced. The solicitation and offer to exchange CureVac Shares is being made only pursuant to the Schedule TO and related Exchange Offer Prospectus or the Prospectus or the UK exemption document (as referred to below). This material is not a substitute for the Exchange Offer Prospectus, the Schedule TO, the Schedule 14D-9, the Registration Statement or for any other document that BioNTech or CureVac has filed or may file with the SEC and has sent or will send to CureVac’s shareholders in connection with the proposed transactions.</w:t>
      </w:r>
    </w:p>
    <w:p>
      <w:pPr>
        <w:spacing w:after="0" w:line="190"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BEFORE MAKING ANY INVESTMENT DECISION OR DECISION WITH RESPECT TO THE OFFER, WE URGE INVESTORS OF CUREVAC TO READ THE REGISTRATION STATEMENT, EXCHANGE OFFER PROSPECTUS, SCHEDULE TO (INCLUDING THE EXCHANGE OFFER PROSPECTUS, RELATED LETTER OF TRANSMITTAL, AND OTHER OFFER DOCUMENTS) AND SCHEDULE 14D-9, THE PROSPECTUS (IF RELEVANT), THE UK EXEMPTION DOCUMENT (IF RELEVANT), AS EACH MAY BE AMENDED OR SUPPLEMENTED FROM TIME TO TIME, AND OTHER RELEVANT DOCUMENTS CAREFULLY BECAUSE THEY CONTAIN IMPORTANT INFORMATION ABOUT BIONTECH, CUREVAC AND THE PROPOSED TRANSACTIONS THAT HOLDERS SHOULD CONSIDER.</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Investors can obtain free copies of the Registration Statement, Exchange Offer Prospectus, Schedule TO and Schedule 14D-9, as each may be amended from time to time, and other relevant documents filed by BioNTech and CureVac with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the SEC’s website, or free of charge from BioNTech’s website (</w:t>
      </w:r>
      <w:r>
        <w:rPr>
          <w:rFonts w:ascii="Times New Roman" w:cs="Times New Roman" w:eastAsia="Times New Roman" w:hAnsi="Times New Roman"/>
          <w:sz w:val="18"/>
          <w:szCs w:val="18"/>
          <w:u w:val="single" w:color="auto"/>
          <w:color w:val="auto"/>
        </w:rPr>
        <w:t>https://www.biontech.com</w:t>
      </w:r>
      <w:r>
        <w:rPr>
          <w:rFonts w:ascii="Times New Roman" w:cs="Times New Roman" w:eastAsia="Times New Roman" w:hAnsi="Times New Roman"/>
          <w:sz w:val="18"/>
          <w:szCs w:val="18"/>
          <w:color w:val="auto"/>
        </w:rPr>
        <w:t xml:space="preserve">) or by contacting BioNTech’s Investor Relations Department at </w:t>
      </w:r>
      <w:r>
        <w:rPr>
          <w:rFonts w:ascii="Times New Roman" w:cs="Times New Roman" w:eastAsia="Times New Roman" w:hAnsi="Times New Roman"/>
          <w:sz w:val="18"/>
          <w:szCs w:val="18"/>
          <w:u w:val="single" w:color="auto"/>
          <w:color w:val="auto"/>
        </w:rPr>
        <w:t>Investors@biontech.de</w:t>
      </w:r>
      <w:r>
        <w:rPr>
          <w:rFonts w:ascii="Times New Roman" w:cs="Times New Roman" w:eastAsia="Times New Roman" w:hAnsi="Times New Roman"/>
          <w:sz w:val="18"/>
          <w:szCs w:val="18"/>
          <w:color w:val="auto"/>
        </w:rPr>
        <w:t>. These documents are also available free of charge from CureVac’s website (</w:t>
      </w:r>
      <w:r>
        <w:rPr>
          <w:rFonts w:ascii="Times New Roman" w:cs="Times New Roman" w:eastAsia="Times New Roman" w:hAnsi="Times New Roman"/>
          <w:sz w:val="18"/>
          <w:szCs w:val="18"/>
          <w:u w:val="single" w:color="auto"/>
          <w:color w:val="auto"/>
        </w:rPr>
        <w:t>https://www.curevac.com</w:t>
      </w:r>
      <w:r>
        <w:rPr>
          <w:rFonts w:ascii="Times New Roman" w:cs="Times New Roman" w:eastAsia="Times New Roman" w:hAnsi="Times New Roman"/>
          <w:sz w:val="18"/>
          <w:szCs w:val="18"/>
          <w:color w:val="auto"/>
        </w:rPr>
        <w:t xml:space="preserve">) or by contacting CureVac’s Investor Relations Department at </w:t>
      </w:r>
      <w:r>
        <w:rPr>
          <w:rFonts w:ascii="Times New Roman" w:cs="Times New Roman" w:eastAsia="Times New Roman" w:hAnsi="Times New Roman"/>
          <w:sz w:val="18"/>
          <w:szCs w:val="18"/>
          <w:u w:val="single" w:color="auto"/>
          <w:color w:val="auto"/>
        </w:rPr>
        <w:t>communications@curevac.com</w:t>
      </w:r>
      <w:r>
        <w:rPr>
          <w:rFonts w:ascii="Times New Roman" w:cs="Times New Roman" w:eastAsia="Times New Roman" w:hAnsi="Times New Roman"/>
          <w:sz w:val="18"/>
          <w:szCs w:val="18"/>
          <w:color w:val="auto"/>
        </w:rPr>
        <w:t xml:space="preserve">. All documents are also available from Georgeson, LLC, the information agent for the Offer, at +1 888 686-7195 (toll free), +1 732 353-1948 (collect) or </w:t>
      </w:r>
      <w:r>
        <w:rPr>
          <w:rFonts w:ascii="Times New Roman" w:cs="Times New Roman" w:eastAsia="Times New Roman" w:hAnsi="Times New Roman"/>
          <w:sz w:val="18"/>
          <w:szCs w:val="18"/>
          <w:u w:val="single" w:color="auto"/>
          <w:color w:val="auto"/>
        </w:rPr>
        <w:t>Curevacoffer@georgeson.com</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UK</w:t>
      </w:r>
    </w:p>
    <w:p>
      <w:pPr>
        <w:spacing w:after="0" w:line="11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With respect to the public offering of BioNTech ADSs to CureVac shareholders in the United Kingdom (the “UK”), BioNTech has published a UK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exemption document which is available free of charge from BioNTech’s website (</w:t>
      </w:r>
      <w:r>
        <w:rPr>
          <w:rFonts w:ascii="Times New Roman" w:cs="Times New Roman" w:eastAsia="Times New Roman" w:hAnsi="Times New Roman"/>
          <w:sz w:val="17"/>
          <w:szCs w:val="17"/>
          <w:u w:val="single" w:color="auto"/>
          <w:color w:val="auto"/>
        </w:rPr>
        <w:t>https://investors.biontech.de/uk-disclaimer</w:t>
      </w:r>
      <w:r>
        <w:rPr>
          <w:rFonts w:ascii="Times New Roman" w:cs="Times New Roman" w:eastAsia="Times New Roman" w:hAnsi="Times New Roman"/>
          <w:sz w:val="17"/>
          <w:szCs w:val="17"/>
          <w:color w:val="auto"/>
        </w:rPr>
        <w:t>).</w:t>
      </w:r>
    </w:p>
    <w:p>
      <w:pPr>
        <w:spacing w:after="0" w:line="16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Investors in the UK should acquire BioNTech ADSs solely on the basis of the UK exemption document (including the documents incorporated by reference therein and any updates thereto, if any) relating to the BioNTech ADSs and should read the UK exemption document (including the documents incorporated by reference therein and any updates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F-B-36</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6"/>
    </w:lvl>
  </w:abstractNum>
  <w:abstractNum w:abstractNumId="5">
    <w:nsid w:val="6B68079A"/>
    <w:multiLevelType w:val="hybridMultilevel"/>
    <w:lvl w:ilvl="0">
      <w:lvlJc w:val="left"/>
      <w:lvlText w:val="%1."/>
      <w:numFmt w:val="decimal"/>
      <w:start w:val="1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2"/>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3"/>
    </w:lvl>
  </w:abstractNum>
  <w:abstractNum w:abstractNumId="11">
    <w:nsid w:val="7C83E458"/>
    <w:multiLevelType w:val="hybridMultilevel"/>
    <w:lvl w:ilvl="0">
      <w:lvlJc w:val="left"/>
      <w:lvlText w:val="%1."/>
      <w:numFmt w:val="decimal"/>
      <w:start w:val="15"/>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6"/>
    </w:lvl>
  </w:abstractNum>
  <w:abstractNum w:abstractNumId="14">
    <w:nsid w:val="436C6125"/>
    <w:multiLevelType w:val="hybridMultilevel"/>
    <w:lvl w:ilvl="0">
      <w:lvlJc w:val="left"/>
      <w:lvlText w:val="%1."/>
      <w:numFmt w:val="decimal"/>
      <w:start w:val="17"/>
    </w:lvl>
    <w:lvl w:ilvl="1">
      <w:lvlJc w:val="left"/>
      <w:lvlText w:val="(%2)"/>
      <w:numFmt w:val="lowerRoman"/>
      <w:start w:val="1"/>
    </w:lvl>
  </w:abstractNum>
  <w:abstractNum w:abstractNumId="15">
    <w:nsid w:val="628C895D"/>
    <w:multiLevelType w:val="hybridMultilevel"/>
    <w:lvl w:ilvl="0">
      <w:lvlJc w:val="left"/>
      <w:lvlText w:val="%1."/>
      <w:numFmt w:val="decimal"/>
      <w:start w:val="21"/>
    </w:lvl>
  </w:abstractNum>
  <w:abstractNum w:abstractNumId="16">
    <w:nsid w:val="333AB105"/>
    <w:multiLevelType w:val="hybridMultilevel"/>
    <w:lvl w:ilvl="0">
      <w:lvlJc w:val="left"/>
      <w:lvlText w:val="%1."/>
      <w:numFmt w:val="decimal"/>
      <w:start w:val="23"/>
    </w:lvl>
  </w:abstractNum>
  <w:abstractNum w:abstractNumId="17">
    <w:nsid w:val="721DA317"/>
    <w:multiLevelType w:val="hybridMultilevel"/>
    <w:lvl w:ilvl="0">
      <w:lvlJc w:val="left"/>
      <w:lvlText w:val="%1."/>
      <w:numFmt w:val="decimal"/>
      <w:start w:val="26"/>
    </w:lvl>
  </w:abstractNum>
  <w:abstractNum w:abstractNumId="18">
    <w:nsid w:val="2443A858"/>
    <w:multiLevelType w:val="hybridMultilevel"/>
    <w:lvl w:ilvl="0">
      <w:lvlJc w:val="left"/>
      <w:lvlText w:val="%1."/>
      <w:numFmt w:val="decimal"/>
      <w:start w:val="31"/>
    </w:lvl>
  </w:abstractNum>
  <w:abstractNum w:abstractNumId="19">
    <w:nsid w:val="2D1D5AE9"/>
    <w:multiLevelType w:val="hybridMultilevel"/>
    <w:lvl w:ilvl="0">
      <w:lvlJc w:val="left"/>
      <w:lvlText w:val="%1."/>
      <w:numFmt w:val="decimal"/>
      <w:start w:val="37"/>
    </w:lvl>
    <w:lvl w:ilvl="1">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39"/>
    </w:lvl>
  </w:abstractNum>
  <w:abstractNum w:abstractNumId="22">
    <w:nsid w:val="8EDBDAB"/>
    <w:multiLevelType w:val="hybridMultilevel"/>
    <w:lvl w:ilvl="0">
      <w:lvlJc w:val="left"/>
      <w:lvlText w:val="%1."/>
      <w:numFmt w:val="decimal"/>
      <w:start w:val="40"/>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2025-11-12T07:12:25Z</dcterms:created>
  <dcterms:modified xsi:type="dcterms:W3CDTF">2025-11-12T07:12:25Z</dcterms:modified>
</cp:coreProperties>
</file>