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92381d425.htm"/>
      <w:bookmarkStart w:id="1" w:name="ksd92381d425"/>
      <w:bookmarkEnd w:id="0"/>
      <w:bookmarkEnd w:id="1"/>
      <w:r>
        <w:rPr>
          <w:rFonts w:ascii="Times New Roman" w:hAnsi="Times New Roman"/>
          <w:sz w:val="20"/>
        </w:rPr>
        <w:t xml:space="preserve">Filed by BioNTech SE (Commission File No. 001-39081)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as amended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14d-2(b) under </w:t>
      </w:r>
    </w:p>
    <w:p>
      <w:pPr>
        <w:pStyle w:val="TextBody"/>
        <w:bidi w:val="0"/>
        <w:spacing w:before="0" w:after="0"/>
        <w:jc w:val="right"/>
        <w:rPr>
          <w:rFonts w:ascii="Times New Roman" w:hAnsi="Times New Roman"/>
          <w:sz w:val="20"/>
        </w:rPr>
      </w:pPr>
      <w:r>
        <w:rPr>
          <w:rFonts w:ascii="Times New Roman" w:hAnsi="Times New Roman"/>
          <w:sz w:val="20"/>
        </w:rPr>
        <w:t xml:space="preserve">the Securities Exchange Act of 1934, as amended. </w:t>
      </w:r>
    </w:p>
    <w:p>
      <w:pPr>
        <w:pStyle w:val="TextBody"/>
        <w:bidi w:val="0"/>
        <w:spacing w:before="240" w:after="0"/>
        <w:jc w:val="right"/>
        <w:rPr>
          <w:rFonts w:ascii="Times New Roman" w:hAnsi="Times New Roman"/>
          <w:sz w:val="20"/>
        </w:rPr>
      </w:pPr>
      <w:r>
        <w:rPr>
          <w:rFonts w:ascii="Times New Roman" w:hAnsi="Times New Roman"/>
          <w:sz w:val="20"/>
        </w:rPr>
        <w:t xml:space="preserve">Subject Company: CureVac N.V.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001-39446 </w:t>
      </w:r>
    </w:p>
    <w:p>
      <w:pPr>
        <w:pStyle w:val="TextBody"/>
        <w:bidi w:val="0"/>
        <w:spacing w:before="240" w:after="0"/>
        <w:jc w:val="left"/>
        <w:rPr>
          <w:rFonts w:ascii="Times New Roman" w:hAnsi="Times New Roman"/>
          <w:sz w:val="20"/>
        </w:rPr>
      </w:pPr>
      <w:r>
        <w:rPr>
          <w:rFonts w:ascii="Times New Roman" w:hAnsi="Times New Roman"/>
          <w:sz w:val="20"/>
        </w:rPr>
        <w:t xml:space="preserve">The following communications are being filed in connection with the proposed acquisition of CureVac N.V. by BioNTech SE. </w:t>
      </w:r>
    </w:p>
    <w:p>
      <w:pPr>
        <w:pStyle w:val="TextBody"/>
        <w:bidi w:val="0"/>
        <w:spacing w:before="240" w:after="0"/>
        <w:jc w:val="left"/>
        <w:rPr>
          <w:rFonts w:ascii="Times New Roman" w:hAnsi="Times New Roman"/>
          <w:sz w:val="20"/>
        </w:rPr>
      </w:pPr>
      <w:r>
        <w:rPr>
          <w:rFonts w:ascii="Times New Roman" w:hAnsi="Times New Roman"/>
          <w:sz w:val="20"/>
        </w:rPr>
        <w:t xml:space="preserve">Dear all, </w:t>
      </w:r>
    </w:p>
    <w:p>
      <w:pPr>
        <w:pStyle w:val="TextBody"/>
        <w:bidi w:val="0"/>
        <w:spacing w:before="240" w:after="0"/>
        <w:jc w:val="left"/>
        <w:rPr>
          <w:rFonts w:ascii="Times New Roman" w:hAnsi="Times New Roman"/>
          <w:sz w:val="20"/>
        </w:rPr>
      </w:pPr>
      <w:r>
        <w:rPr>
          <w:rFonts w:ascii="Times New Roman" w:hAnsi="Times New Roman"/>
          <w:sz w:val="20"/>
        </w:rPr>
        <w:t xml:space="preserve">Here comes the next big news: We just announced that we have entered into a definitive Purchase Agreement pursuant to which we intend to acquire all of the shares of CureVac. </w:t>
      </w:r>
    </w:p>
    <w:p>
      <w:pPr>
        <w:pStyle w:val="TextBody"/>
        <w:bidi w:val="0"/>
        <w:spacing w:before="240" w:after="0"/>
        <w:jc w:val="left"/>
        <w:rPr>
          <w:rFonts w:ascii="Times New Roman" w:hAnsi="Times New Roman"/>
          <w:sz w:val="20"/>
        </w:rPr>
      </w:pPr>
      <w:r>
        <w:rPr>
          <w:rFonts w:ascii="Times New Roman" w:hAnsi="Times New Roman"/>
          <w:sz w:val="20"/>
        </w:rPr>
        <w:t xml:space="preserve">This transaction marks the next key milestone in the execution of our oncology strategy which focuses on two pan-tumor programs, mRNA-based cancer immunotherapy candidates and BNT327. After announcing our partnership with Bristol Myers Squibb (BMS) last week to co-develop and co-commercialize BNT327, our latest news strengthens our position in mRNA-based cancer immunotherapies. </w:t>
      </w:r>
    </w:p>
    <w:p>
      <w:pPr>
        <w:pStyle w:val="TextBody"/>
        <w:bidi w:val="0"/>
        <w:spacing w:before="240" w:after="0"/>
        <w:jc w:val="left"/>
        <w:rPr>
          <w:rFonts w:ascii="Times New Roman" w:hAnsi="Times New Roman"/>
          <w:sz w:val="20"/>
        </w:rPr>
      </w:pPr>
      <w:r>
        <w:rPr>
          <w:rFonts w:ascii="Times New Roman" w:hAnsi="Times New Roman"/>
          <w:sz w:val="20"/>
        </w:rPr>
        <w:t xml:space="preserve">We see this strategic transaction as an investment in the future of cancer medicine by complementing BioNTechs capabilities and proprietary technologies in mRNA design, delivery formulations, and mRNA manufacturing. The goal is to advance the development of innovative and transformative cancer treatments and establish new standards of care for various types of cancer in the coming years.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more details in our townhall on Monday, June 16, 3 pm CET, where colleagues will also be able to raise any questions, they might have. </w:t>
      </w:r>
    </w:p>
    <w:p>
      <w:pPr>
        <w:pStyle w:val="TextBody"/>
        <w:bidi w:val="0"/>
        <w:spacing w:before="360" w:after="0"/>
        <w:jc w:val="left"/>
        <w:rPr>
          <w:rFonts w:ascii="Times New Roman" w:hAnsi="Times New Roman"/>
          <w:b/>
          <w:sz w:val="20"/>
        </w:rPr>
      </w:pPr>
      <w:r>
        <w:rPr>
          <w:rFonts w:ascii="Times New Roman" w:hAnsi="Times New Roman"/>
          <w:b/>
          <w:sz w:val="20"/>
        </w:rPr>
        <w:t xml:space="preserve">Key facts about the acquisition: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 expected to close in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closing of the transaction, CureVac will become a wholly owned subsidiary of BioNTech.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develop an integration plan in alignment with our ongoing group-wide transformation, which we intend to finalize and implement after a successful closing of the transaction. As part of this plan, we will integrate CureVacs state-of-the-art research and manufacturing site in Tübingen.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What this means for us and our site network will be worked out in detail in the integration planning phase. The implementation of any measures included in the integration plan can only begin after the closing of the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Many of you will play an active part in this planning process and we will keep all of you updated about relevant developments. We thank everyone who was involved in the process so far for their hard work and dedication.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Best regards, </w:t>
      </w:r>
    </w:p>
    <w:p>
      <w:pPr>
        <w:pStyle w:val="TextBody"/>
        <w:bidi w:val="0"/>
        <w:spacing w:before="0" w:after="0"/>
        <w:jc w:val="left"/>
        <w:rPr>
          <w:rFonts w:ascii="Times New Roman" w:hAnsi="Times New Roman"/>
          <w:sz w:val="20"/>
        </w:rPr>
      </w:pPr>
      <w:r>
        <w:rPr>
          <w:rFonts w:ascii="Times New Roman" w:hAnsi="Times New Roman"/>
          <w:sz w:val="20"/>
        </w:rPr>
        <w:t xml:space="preserve">Ugur on behalf of the management team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includes forward-looking statements, within the meaning of Section 21E of the Securities Exchange Act of 1934, as amended, and the Private Securities Litigation Reform Act of 1995. Forward-looking statements can generally be identified by words such as potential, can, will, plan, may, could, would, expect, look forward, investigational, pipeline, to acquire, development, to include, commitment, or similar terms. Such forward-looking statements include, but are not limited to, statements relating to the ability of BioNTech and CureVac to complete the transactions contemplated by the Purchase Agreement (including the parties ability to satisfy the conditions to the consummation of the exchange offer contemplated thereby and the other conditions set forth in the Purchase Agreement), the expected timetable for completing the transactions, the benefits sought to be achieved in the proposed transactions, the potential and capacity of BioNTech following the transaction and the potential effects of the proposed transactions on BioNTech and CureVac. Many of these risks and uncertainties are beyond the control of BioNTech or CureVac. Investors are cautioned that any such forward-looking statements are based on BioNTechs or CureVacs current beliefs and expectations regarding future events and are not guarantees of future performance and involve risks and uncertainties. There can be no guarantees that the conditions to the closing of the transactions will be satisfied on the expected timetable or at all. If underlying assumptions prove inaccurate or risks or uncertainties materialize, actual results may differ materially from those set forth in the forward-looking statements. You should not place undue reliance 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include, but are not limited to, uncertainties as to the timing of the exchange offer and the subsequent corporate reorganization of CureVac; uncertainties as to how many of CureVacs shareholders will tender their shares in the exchange offer; the risk that competing offers or acquisition proposals will be made; the possibility that various conditions to the consummation of the exchange offer and the transactions contemplated by the Purchase Agreement may not be satisfied or waived; the possibility of a termination of the Purchase Agreement; the ability to obtain necessary regulatory approvals or to obtain them on acceptable terms or within expected timing; the effects of disruption from the transactions contemplated by the Purchase Agreement and the impact of the announcement and pendency of the transactions on BioNTechs and/or CureVacs business, including their relationships with employees, business partners or governmental entities; the risk that the exchange offer or the other transactions contemplated by the Purchase Agreement may be more expensive to complete than anticipated; the risk that litigation in connection with the exchange offer or the other transactions contemplated by the Purchase Agreement may result in significant costs of defense, indemnification and liability; a diversion of managements attention from ongoing business operations and opportunities as a result of the exchange offer, the other transactions contemplated by the Purchase Agreement or otherwise; general industry conditions and competition; general political, economic and business conditions, including interest rate, inflation, tariff and currency exchange rate fluctuations, and the ongoing Russia-Ukraine and Middle East conflicts; the impact of regulatory developments and changes in the United States, Europe and countries outside of Europe, including with respect to tax matters; the impact of pharmaceutical industry regulation and health care legislation in the United States, Europe and elsewhere; the particular prescribing preferences of physicians and patients; competition from other products; challenges and uncertainties inherent in new product development; ability to obtain or maintain proprietary intellectual property protection; safety, quality, data integrity or manufacturing issues; and potential or actual data security and data privacy breaches.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Neither BioNTech nor CureVac undertakes any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BioNTechs and CureVacs respective Annual Report on Form 20-F for the year ended December 31, 2024, in each case as amended by any subsequent filings made with the U.S. Securities and Exchange Commission (the SEC), available on the SECs website at </w:t>
      </w:r>
      <w:r>
        <w:rPr>
          <w:rFonts w:ascii="Times New Roman" w:hAnsi="Times New Roman"/>
          <w:sz w:val="20"/>
          <w:u w:val="single"/>
        </w:rPr>
        <w:t>www.sec.gov</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Investors and Security Holders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is for information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In connection with the proposed transactions, BioNTech intends to file a Registration Statement on Form F-4 (the Registration Statement) with the U.S. Securities and Exchange Commission (the SEC), including an offer to exchange/prospectus to register, under the Securities Act of 1933, as amended, the issuance of BioNTechs American Depositary Shares (ADSs) pursuant to the exchange offer. In addition, BioNTech intends to file a Tender Offer Statement on Schedule TO (the Schedule TO), which will include, as exhibits, the offer to exchange/prospectus, a form of letter of transmittal and other customary ancillary documents, with the SEC and soon thereafter CureVac intends to file a Solicitation/Recommendation Statement on Schedule 14D-9 (the Schedule 14D-9) with respect to the exchange offer. The exchange offer for the common shares of CureVac referred to in this document has not yet commenced. The solicitation and offer to purchase CureVacs common shares will only be made pursuant to the Schedule TO and related exchange offer/prospectus. This material is not a substitute for the offer to exchange/prospectus, the Schedule TO, the Schedule 14D-9, the Registration Statement or for any other document that BioNTech or CureVac may file with the SEC and send to CureVacs shareholders in connection with the proposed transactions. </w:t>
      </w:r>
    </w:p>
    <w:p>
      <w:pPr>
        <w:pStyle w:val="TextBody"/>
        <w:bidi w:val="0"/>
        <w:spacing w:before="240" w:after="0"/>
        <w:jc w:val="left"/>
        <w:rPr>
          <w:rFonts w:ascii="Times New Roman" w:hAnsi="Times New Roman"/>
          <w:sz w:val="20"/>
        </w:rPr>
      </w:pPr>
      <w:r>
        <w:rPr>
          <w:rFonts w:ascii="Times New Roman" w:hAnsi="Times New Roman"/>
          <w:sz w:val="20"/>
        </w:rPr>
        <w:t>With respect to the public offering of BioNTech ADSs to CureVac shareholders in Germany and in any other member state of the European Economic Area, this document is an advertisement for the purposes of the prospectus regulation EU 2017/1129, as amended. It does not constitute an offer to purchase any BioNTech ADSs or shares in BioNTech and does not replace the securities prospectus which will be available free of charge, together with the relevant translation(s) of the summary, from BioNTechs website (</w:t>
      </w:r>
      <w:r>
        <w:rPr>
          <w:rFonts w:ascii="Times New Roman" w:hAnsi="Times New Roman"/>
          <w:sz w:val="20"/>
          <w:u w:val="single"/>
        </w:rPr>
        <w:t>www.BioNTech.com</w:t>
      </w:r>
      <w:r>
        <w:rPr>
          <w:rFonts w:ascii="Times New Roman" w:hAnsi="Times New Roman"/>
          <w:sz w:val="20"/>
        </w:rPr>
        <w:t xml:space="preserve">). The approval of the securities prospectus by the German Federal Financial Supervisory Authority should not be understood as an endorsement of the investment in any BioNTech ADSs or shares in BioNTech. Investors in Germany and in any other member state of the European Economic Area should acquire BioNTech ADSs solely on the basis of the prospectus (including any supplements thereto, if any) relating to the BioNTech ADSs and should read the prospectus which is yet to be published (including any supplements thereto, if any) before making an investment decision in order to fully understand the potential risks and rewards associated with the decision to invest in the BioNTech ADSs. Investment in BioNTech ADSs entails numerous risks, including a total loss of the initial investment.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With respect to the public offering of BioNTech ADSs to CureVac shareholders in the United Kingdom (the UK), BioNTech will publish a UK prospectus exemption document for the purposes of the prospectus regulation EU 2017/1129 as it forms part of UK domestic law by virtue of the European Union (Withdrawal) Act 2018, as amended. This document does not constitute an offer to purchase any BioNTech ADSs or shares in BioNTech and does not replace the UK prospectus exemption document which will be available free of charge from BioNTechs website (</w:t>
      </w:r>
      <w:r>
        <w:rPr>
          <w:rFonts w:ascii="Times New Roman" w:hAnsi="Times New Roman"/>
          <w:sz w:val="20"/>
          <w:u w:val="single"/>
        </w:rPr>
        <w:t>www.BioNTech.com</w:t>
      </w:r>
      <w:r>
        <w:rPr>
          <w:rFonts w:ascii="Times New Roman" w:hAnsi="Times New Roman"/>
          <w:sz w:val="20"/>
        </w:rPr>
        <w:t xml:space="preserve">). Investors in the UK should acquire BioNTech ADSs solely on the basis of the UK prospectus exemption document (including any supplements thereto, if any) relating to the BioNTech ADSs and should read the UK prospectus exemption document which is yet to be published (including any supplements thereto, if any) before making an investment decision in order to fully understand the potential risks and rewards associated with the decision to invest in the BioNTech ADSs. Investment in BioNTech ADSs entails numerous risks, including a total loss of the initial investment. </w:t>
      </w:r>
    </w:p>
    <w:p>
      <w:pPr>
        <w:pStyle w:val="TextBody"/>
        <w:bidi w:val="0"/>
        <w:spacing w:before="240" w:after="0"/>
        <w:jc w:val="left"/>
        <w:rPr>
          <w:rFonts w:ascii="Times New Roman" w:hAnsi="Times New Roman"/>
          <w:b/>
          <w:sz w:val="20"/>
        </w:rPr>
      </w:pPr>
      <w:r>
        <w:rPr>
          <w:rFonts w:ascii="Times New Roman" w:hAnsi="Times New Roman"/>
          <w:b/>
          <w:sz w:val="20"/>
        </w:rPr>
        <w:t xml:space="preserve">BEFORE MAKING ANY INVESTMENT DECISION OR DECISION WITH RESPECT TO THE EXCHANGE OFFER, WE URGE INVESTORS OF CUREVAC TO READ THE REGISTRATION STATEMENT, EXCHANGE OFFER/PROSPECTUS, SCHEDULE TO (INCLUDING THE EXCHANGE OFFER, RELATED LETTER OF TRANSMITTAL AND OTHER OFFER DOCUMENTS) AND SCHEDULE 14D-9, AS EACH MAY BE AMENDED OR SUPPLEMENTED FROM TIME TO TIME, AND OTHER RELEVANT DOCUMENTS CAREFULLY WHEN THEY BECOME AVAILABLE BECAUSE THEY WILL CONTAIN IMPORTANT INFORMATION ABOUT BIONTECH, CUREVAC AND THE PROPOSED TRANSACTIONS THAT HOLDERS SHOULD CONSIDER.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obtain free copies of the Registration Statement, exchange offer/prospectus, Schedule TO and Schedule 14D-9, as each may be amended from time to time, and other relevant documents filed by BioNTech and CureVac with the SEC (when they become available) at </w:t>
      </w:r>
      <w:r>
        <w:rPr>
          <w:rFonts w:ascii="Times New Roman" w:hAnsi="Times New Roman"/>
          <w:sz w:val="20"/>
          <w:u w:val="single"/>
        </w:rPr>
        <w:t>www.sec.gov</w:t>
      </w:r>
      <w:r>
        <w:rPr>
          <w:rFonts w:ascii="Times New Roman" w:hAnsi="Times New Roman"/>
          <w:sz w:val="20"/>
        </w:rPr>
        <w:t>, the SECs website, or free of charge from BioNTechs website (</w:t>
      </w:r>
      <w:r>
        <w:rPr>
          <w:rFonts w:ascii="Times New Roman" w:hAnsi="Times New Roman"/>
          <w:sz w:val="20"/>
          <w:u w:val="single"/>
        </w:rPr>
        <w:t>www.BioNTech.com</w:t>
      </w:r>
      <w:r>
        <w:rPr>
          <w:rFonts w:ascii="Times New Roman" w:hAnsi="Times New Roman"/>
          <w:sz w:val="20"/>
        </w:rPr>
        <w:t xml:space="preserve">) or by contacting BioNTechs Investor Relations Department at </w:t>
      </w:r>
      <w:r>
        <w:rPr>
          <w:rFonts w:ascii="Times New Roman" w:hAnsi="Times New Roman"/>
          <w:sz w:val="20"/>
          <w:u w:val="single"/>
        </w:rPr>
        <w:t>investors@biontech.de</w:t>
      </w:r>
      <w:r>
        <w:rPr>
          <w:rFonts w:ascii="Times New Roman" w:hAnsi="Times New Roman"/>
          <w:sz w:val="20"/>
        </w:rPr>
        <w:t>. These documents are also available free of charge from CureVacs website (</w:t>
      </w:r>
      <w:r>
        <w:rPr>
          <w:rFonts w:ascii="Times New Roman" w:hAnsi="Times New Roman"/>
          <w:sz w:val="20"/>
          <w:u w:val="single"/>
        </w:rPr>
        <w:t>www.curevac.com</w:t>
      </w:r>
      <w:r>
        <w:rPr>
          <w:rFonts w:ascii="Times New Roman" w:hAnsi="Times New Roman"/>
          <w:sz w:val="20"/>
        </w:rPr>
        <w:t xml:space="preserve">) or by contacting CureVacs Investor Relations Department at </w:t>
      </w:r>
      <w:r>
        <w:rPr>
          <w:rFonts w:ascii="Times New Roman" w:hAnsi="Times New Roman"/>
          <w:sz w:val="20"/>
          <w:u w:val="single"/>
        </w:rPr>
        <w:t>communications@curevac.com</w:t>
      </w:r>
      <w:r>
        <w:rPr>
          <w:rFonts w:ascii="Times New Roman" w:hAnsi="Times New Roman"/>
          <w:sz w:val="20"/>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1999</Words>
  <Characters>10848</Characters>
  <CharactersWithSpaces>12757</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