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FOR THE MONTH OF MAY 2025</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 May 5, 2025, BioNTech SE (the “Company”) issued a press release announcing its first quarter 2025 financial results and corporate update and details of a conference call to be held at</w:t>
      </w:r>
    </w:p>
    <w:p>
      <w:pPr>
        <w:spacing w:after="0" w:line="2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8:00 am EDT on May 5, 2025 to discuss the results. The press release and the conference call presentation are attached as Exhibits 99.1 and 99.2, respectively, and incorporated by reference herein.</w:t>
      </w:r>
    </w:p>
    <w:p>
      <w:pPr>
        <w:spacing w:after="0" w:line="303"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BioNTech SE</w:t>
            </w:r>
          </w:p>
        </w:tc>
        <w:tc>
          <w:tcPr>
            <w:tcW w:w="1080" w:type="dxa"/>
            <w:vAlign w:val="bottom"/>
          </w:tcPr>
          <w:p>
            <w:pPr>
              <w:spacing w:after="0"/>
              <w:rPr>
                <w:sz w:val="16"/>
                <w:szCs w:val="16"/>
                <w:color w:val="auto"/>
              </w:rPr>
            </w:pPr>
          </w:p>
        </w:tc>
        <w:tc>
          <w:tcPr>
            <w:tcW w:w="4640" w:type="dxa"/>
            <w:vAlign w:val="bottom"/>
          </w:tcPr>
          <w:p>
            <w:pPr>
              <w:spacing w:after="0"/>
              <w:rPr>
                <w:sz w:val="16"/>
                <w:szCs w:val="16"/>
                <w:color w:val="auto"/>
              </w:rPr>
            </w:pPr>
          </w:p>
        </w:tc>
      </w:tr>
      <w:tr>
        <w:trPr>
          <w:trHeight w:val="532"/>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Jens Holstein</w:t>
            </w:r>
          </w:p>
        </w:tc>
        <w:tc>
          <w:tcPr>
            <w:tcW w:w="1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Jens Holstein</w:t>
            </w:r>
          </w:p>
        </w:tc>
        <w:tc>
          <w:tcPr>
            <w:tcW w:w="108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c>
          <w:tcPr>
            <w:tcW w:w="10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2025</w:t>
      </w:r>
    </w:p>
    <w:p>
      <w:pPr>
        <w:sectPr>
          <w:pgSz w:w="11900" w:h="16838" w:orient="portrait"/>
          <w:cols w:equalWidth="0" w:num="1">
            <w:col w:w="11100"/>
          </w:cols>
          <w:pgMar w:left="300" w:top="776"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660" w:type="dxa"/>
            <w:vAlign w:val="bottom"/>
            <w:gridSpan w:val="3"/>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4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First Quarter 2025 Financial Results and Corporate Update</w:t>
            </w:r>
          </w:p>
        </w:tc>
        <w:tc>
          <w:tcPr>
            <w:tcW w:w="240" w:type="dxa"/>
            <w:vAlign w:val="bottom"/>
          </w:tcPr>
          <w:p>
            <w:pPr>
              <w:spacing w:after="0"/>
              <w:rPr>
                <w:sz w:val="24"/>
                <w:szCs w:val="24"/>
                <w:color w:val="auto"/>
              </w:rPr>
            </w:pP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First Quarter 2025: Corporate Update and Financial Results</w:t>
            </w:r>
          </w:p>
        </w:tc>
      </w:tr>
      <w:tr>
        <w:trPr>
          <w:trHeight w:val="20"/>
        </w:trPr>
        <w:tc>
          <w:tcPr>
            <w:tcW w:w="4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1434465" cy="148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4465"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Announces First Quarter 2025 Financial Results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Corporate Update</w:t>
      </w:r>
    </w:p>
    <w:p>
      <w:pPr>
        <w:spacing w:after="0" w:line="155" w:lineRule="exact"/>
        <w:rPr>
          <w:sz w:val="20"/>
          <w:szCs w:val="20"/>
          <w:color w:val="auto"/>
        </w:rPr>
      </w:pPr>
    </w:p>
    <w:p>
      <w:pPr>
        <w:ind w:left="420" w:hanging="212"/>
        <w:spacing w:after="0" w:line="266" w:lineRule="auto"/>
        <w:tabs>
          <w:tab w:leader="none" w:pos="417" w:val="left"/>
        </w:tabs>
        <w:numPr>
          <w:ilvl w:val="0"/>
          <w:numId w:val="1"/>
        </w:numPr>
        <w:rPr>
          <w:rFonts w:ascii="Arial" w:cs="Arial" w:eastAsia="Arial" w:hAnsi="Arial"/>
          <w:sz w:val="12"/>
          <w:szCs w:val="12"/>
          <w:i w:val="1"/>
          <w:iCs w:val="1"/>
          <w:color w:val="auto"/>
          <w:strike w:val="1"/>
        </w:rPr>
      </w:pPr>
      <w:r>
        <w:rPr>
          <w:rFonts w:ascii="Arial" w:cs="Arial" w:eastAsia="Arial" w:hAnsi="Arial"/>
          <w:sz w:val="12"/>
          <w:szCs w:val="12"/>
          <w:i w:val="1"/>
          <w:iCs w:val="1"/>
          <w:color w:val="auto"/>
        </w:rPr>
        <w:t>Continued oncology pipeline advancement with a strategic focus on two priority pan-tumor programs: next-generation immunomodulator BNT327, a bispecific antibody targeting PD-L1 and VEGF-A</w:t>
      </w:r>
      <w:r>
        <w:rPr>
          <w:rFonts w:ascii="Arial" w:cs="Arial" w:eastAsia="Arial" w:hAnsi="Arial"/>
          <w:sz w:val="7"/>
          <w:szCs w:val="7"/>
          <w:color w:val="auto"/>
        </w:rPr>
        <w:t>1</w:t>
      </w:r>
      <w:r>
        <w:rPr>
          <w:rFonts w:ascii="Arial" w:cs="Arial" w:eastAsia="Arial" w:hAnsi="Arial"/>
          <w:sz w:val="12"/>
          <w:szCs w:val="12"/>
          <w:i w:val="1"/>
          <w:iCs w:val="1"/>
          <w:color w:val="auto"/>
        </w:rPr>
        <w:t>, and mRNA cancer immunotherapies</w:t>
      </w:r>
    </w:p>
    <w:p>
      <w:pPr>
        <w:spacing w:after="0" w:line="1" w:lineRule="exact"/>
        <w:rPr>
          <w:rFonts w:ascii="Arial" w:cs="Arial" w:eastAsia="Arial" w:hAnsi="Arial"/>
          <w:sz w:val="12"/>
          <w:szCs w:val="12"/>
          <w:i w:val="1"/>
          <w:iCs w:val="1"/>
          <w:color w:val="auto"/>
          <w:strike w:val="1"/>
        </w:rPr>
      </w:pPr>
    </w:p>
    <w:p>
      <w:pPr>
        <w:ind w:left="420" w:right="20" w:hanging="212"/>
        <w:spacing w:after="0" w:line="258" w:lineRule="auto"/>
        <w:tabs>
          <w:tab w:leader="none" w:pos="417"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Presented multiple clinical updates across oncology pipeline underlining BioNTech’s combination strategy in oncology with first data presented for the novel combination of BNT327 plus antibody-drug conjugates (“ADCs”)</w:t>
      </w: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Development and commercial preparation for a 2025/2026 season variant-adapted COVID-19 vaccine</w:t>
      </w:r>
    </w:p>
    <w:p>
      <w:pPr>
        <w:spacing w:after="0" w:line="8" w:lineRule="exact"/>
        <w:rPr>
          <w:rFonts w:ascii="Arial" w:cs="Arial" w:eastAsia="Arial" w:hAnsi="Arial"/>
          <w:sz w:val="12"/>
          <w:szCs w:val="12"/>
          <w:i w:val="1"/>
          <w:iCs w:val="1"/>
          <w:color w:val="auto"/>
        </w:rPr>
      </w:pPr>
    </w:p>
    <w:p>
      <w:pPr>
        <w:ind w:left="420" w:hanging="212"/>
        <w:spacing w:after="0" w:line="221" w:lineRule="auto"/>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First quarter 2025 revenues of €0.2 billion</w:t>
      </w:r>
      <w:r>
        <w:rPr>
          <w:rFonts w:ascii="Arial" w:cs="Arial" w:eastAsia="Arial" w:hAnsi="Arial"/>
          <w:sz w:val="7"/>
          <w:szCs w:val="7"/>
          <w:i w:val="1"/>
          <w:iCs w:val="1"/>
          <w:color w:val="auto"/>
        </w:rPr>
        <w:t>2</w:t>
      </w:r>
      <w:r>
        <w:rPr>
          <w:rFonts w:ascii="Arial" w:cs="Arial" w:eastAsia="Arial" w:hAnsi="Arial"/>
          <w:sz w:val="12"/>
          <w:szCs w:val="12"/>
          <w:i w:val="1"/>
          <w:iCs w:val="1"/>
          <w:color w:val="auto"/>
        </w:rPr>
        <w:t>, net loss of €0.4 billion and basic and diluted loss per share of €1.73 ($1.82</w:t>
      </w:r>
      <w:r>
        <w:rPr>
          <w:rFonts w:ascii="Arial" w:cs="Arial" w:eastAsia="Arial" w:hAnsi="Arial"/>
          <w:sz w:val="15"/>
          <w:szCs w:val="15"/>
          <w:i w:val="1"/>
          <w:iCs w:val="1"/>
          <w:color w:val="auto"/>
          <w:vertAlign w:val="superscript"/>
        </w:rPr>
        <w:t>3</w:t>
      </w:r>
      <w:r>
        <w:rPr>
          <w:rFonts w:ascii="Arial" w:cs="Arial" w:eastAsia="Arial" w:hAnsi="Arial"/>
          <w:sz w:val="12"/>
          <w:szCs w:val="12"/>
          <w:i w:val="1"/>
          <w:iCs w:val="1"/>
          <w:color w:val="auto"/>
        </w:rPr>
        <w:t>)</w:t>
      </w:r>
    </w:p>
    <w:p>
      <w:pPr>
        <w:ind w:left="420" w:hanging="212"/>
        <w:spacing w:after="0" w:line="200" w:lineRule="auto"/>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Maintained strong financial position with €15.9 billion in cash, cash equivalents and security investments as of March 31, 2025</w:t>
      </w:r>
      <w:r>
        <w:rPr>
          <w:rFonts w:ascii="Arial" w:cs="Arial" w:eastAsia="Arial" w:hAnsi="Arial"/>
          <w:sz w:val="15"/>
          <w:szCs w:val="15"/>
          <w:i w:val="1"/>
          <w:iCs w:val="1"/>
          <w:color w:val="auto"/>
          <w:vertAlign w:val="superscript"/>
        </w:rPr>
        <w:t>4</w:t>
      </w: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Full year 2025 financial guidance confirmed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Conference call and webcast scheduled for May 5, 2025, at 8:00 a.m. EDT (2:00 p.m. CEST)</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 xml:space="preserve">MAINZ, Germany, May 5, 2025 (GLOBE NEWSWIRE) </w:t>
      </w:r>
      <w:r>
        <w:rPr>
          <w:rFonts w:ascii="Arial" w:cs="Arial" w:eastAsia="Arial" w:hAnsi="Arial"/>
          <w:sz w:val="12"/>
          <w:szCs w:val="12"/>
          <w:color w:val="auto"/>
        </w:rPr>
        <w:t>-- BioNTech SE (Nasdaq: BNTX, “BioNTech” or “the Company”) today reported financial results for the three months ended March 31, 2025 and provided an</w:t>
      </w:r>
      <w:r>
        <w:rPr>
          <w:rFonts w:ascii="Arial" w:cs="Arial" w:eastAsia="Arial" w:hAnsi="Arial"/>
          <w:sz w:val="12"/>
          <w:szCs w:val="12"/>
          <w:b w:val="1"/>
          <w:bCs w:val="1"/>
          <w:color w:val="auto"/>
        </w:rPr>
        <w:t xml:space="preserve"> </w:t>
      </w:r>
      <w:r>
        <w:rPr>
          <w:rFonts w:ascii="Arial" w:cs="Arial" w:eastAsia="Arial" w:hAnsi="Arial"/>
          <w:sz w:val="12"/>
          <w:szCs w:val="12"/>
          <w:color w:val="auto"/>
        </w:rPr>
        <w:t>update on its corporate progress.</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“In the first quarter of 2025, we demonstrated continued execution against our strategic focus areas, highlighted by data updates for our PD-L1xVEGF-A bispecific antibody candidate BNT327 and the progress in clinical evaluation of our focus programs and combination treatment approaches,” </w:t>
      </w:r>
      <w:r>
        <w:rPr>
          <w:rFonts w:ascii="Arial" w:cs="Arial" w:eastAsia="Arial" w:hAnsi="Arial"/>
          <w:sz w:val="12"/>
          <w:szCs w:val="12"/>
          <w:b w:val="1"/>
          <w:bCs w:val="1"/>
          <w:color w:val="auto"/>
        </w:rPr>
        <w:t>said Prof. Ugur Sahin, M.D., CEO and Co-Founder of BioNTech</w:t>
      </w:r>
      <w:r>
        <w:rPr>
          <w:rFonts w:ascii="Arial" w:cs="Arial" w:eastAsia="Arial" w:hAnsi="Arial"/>
          <w:sz w:val="12"/>
          <w:szCs w:val="12"/>
          <w:color w:val="auto"/>
        </w:rPr>
        <w:t>. “We will continue to focus on our key strategic programs as we remain steadfast in our vision to translate our science into survival for patients in need.”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Review for First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Borders>
              <w:bottom w:val="single" w:sz="8" w:color="005A64"/>
            </w:tcBorders>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100" w:type="dxa"/>
            <w:vAlign w:val="bottom"/>
            <w:tcBorders>
              <w:right w:val="single" w:sz="8" w:color="BECE33"/>
            </w:tcBorders>
          </w:tcPr>
          <w:p>
            <w:pPr>
              <w:spacing w:after="0"/>
              <w:rPr>
                <w:sz w:val="15"/>
                <w:szCs w:val="15"/>
                <w:color w:val="auto"/>
              </w:rPr>
            </w:pPr>
          </w:p>
        </w:tc>
        <w:tc>
          <w:tcPr>
            <w:tcW w:w="60" w:type="dxa"/>
            <w:vAlign w:val="bottom"/>
            <w:tcBorders>
              <w:top w:val="single" w:sz="8" w:color="BECE33"/>
            </w:tcBorders>
          </w:tcPr>
          <w:p>
            <w:pPr>
              <w:spacing w:after="0"/>
              <w:rPr>
                <w:sz w:val="15"/>
                <w:szCs w:val="15"/>
                <w:color w:val="auto"/>
              </w:rPr>
            </w:pPr>
          </w:p>
        </w:tc>
        <w:tc>
          <w:tcPr>
            <w:tcW w:w="2340" w:type="dxa"/>
            <w:vAlign w:val="bottom"/>
            <w:tcBorders>
              <w:top w:val="single" w:sz="8" w:color="BECE33"/>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First Quarter 2025</w:t>
            </w:r>
          </w:p>
        </w:tc>
        <w:tc>
          <w:tcPr>
            <w:tcW w:w="100" w:type="dxa"/>
            <w:vAlign w:val="bottom"/>
            <w:tcBorders>
              <w:top w:val="single" w:sz="8" w:color="BECE33"/>
              <w:right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First Quarter 2024</w:t>
            </w:r>
          </w:p>
        </w:tc>
      </w:tr>
      <w:tr>
        <w:trPr>
          <w:trHeight w:val="156"/>
        </w:trPr>
        <w:tc>
          <w:tcPr>
            <w:tcW w:w="636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Revenues</w:t>
            </w:r>
          </w:p>
        </w:tc>
        <w:tc>
          <w:tcPr>
            <w:tcW w:w="240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182.8</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187.6</w:t>
            </w:r>
          </w:p>
        </w:tc>
      </w:tr>
      <w:tr>
        <w:trPr>
          <w:trHeight w:val="160"/>
        </w:trPr>
        <w:tc>
          <w:tcPr>
            <w:tcW w:w="636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Net loss</w:t>
            </w:r>
          </w:p>
        </w:tc>
        <w:tc>
          <w:tcPr>
            <w:tcW w:w="60" w:type="dxa"/>
            <w:vAlign w:val="bottom"/>
          </w:tcPr>
          <w:p>
            <w:pPr>
              <w:spacing w:after="0"/>
              <w:rPr>
                <w:sz w:val="13"/>
                <w:szCs w:val="13"/>
                <w:color w:val="auto"/>
              </w:rPr>
            </w:pPr>
          </w:p>
        </w:tc>
        <w:tc>
          <w:tcPr>
            <w:tcW w:w="23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(415.8)</w:t>
            </w:r>
          </w:p>
        </w:tc>
        <w:tc>
          <w:tcPr>
            <w:tcW w:w="10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(315.1)</w:t>
            </w:r>
          </w:p>
        </w:tc>
      </w:tr>
      <w:tr>
        <w:trPr>
          <w:trHeight w:val="160"/>
        </w:trPr>
        <w:tc>
          <w:tcPr>
            <w:tcW w:w="626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Basic and diluted loss per share</w:t>
            </w:r>
          </w:p>
        </w:tc>
        <w:tc>
          <w:tcPr>
            <w:tcW w:w="100" w:type="dxa"/>
            <w:vAlign w:val="bottom"/>
            <w:tcBorders>
              <w:right w:val="single" w:sz="8" w:color="BECE33"/>
            </w:tcBorders>
          </w:tcPr>
          <w:p>
            <w:pPr>
              <w:spacing w:after="0"/>
              <w:rPr>
                <w:sz w:val="13"/>
                <w:szCs w:val="13"/>
                <w:color w:val="auto"/>
              </w:rPr>
            </w:pPr>
          </w:p>
        </w:tc>
        <w:tc>
          <w:tcPr>
            <w:tcW w:w="2400" w:type="dxa"/>
            <w:vAlign w:val="bottom"/>
            <w:tcBorders>
              <w:bottom w:val="single" w:sz="8" w:color="BECE33"/>
            </w:tcBorders>
            <w:gridSpan w:val="2"/>
          </w:tcPr>
          <w:p>
            <w:pPr>
              <w:jc w:val="right"/>
              <w:spacing w:after="0"/>
              <w:rPr>
                <w:sz w:val="20"/>
                <w:szCs w:val="20"/>
                <w:color w:val="auto"/>
              </w:rPr>
            </w:pPr>
            <w:r>
              <w:rPr>
                <w:rFonts w:ascii="Arial" w:cs="Arial" w:eastAsia="Arial" w:hAnsi="Arial"/>
                <w:sz w:val="11"/>
                <w:szCs w:val="11"/>
                <w:color w:val="005A64"/>
              </w:rPr>
              <w:t>(1.73)</w:t>
            </w:r>
          </w:p>
        </w:tc>
        <w:tc>
          <w:tcPr>
            <w:tcW w:w="100" w:type="dxa"/>
            <w:vAlign w:val="bottom"/>
            <w:tcBorders>
              <w:bottom w:val="single" w:sz="8" w:color="BECE33"/>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(1.31)</w:t>
            </w:r>
          </w:p>
        </w:tc>
      </w:tr>
    </w:tbl>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Revenues </w:t>
      </w:r>
      <w:r>
        <w:rPr>
          <w:rFonts w:ascii="Arial" w:cs="Arial" w:eastAsia="Arial" w:hAnsi="Arial"/>
          <w:sz w:val="12"/>
          <w:szCs w:val="12"/>
          <w:color w:val="auto"/>
        </w:rPr>
        <w:t>reported were €182.8 million for the three months ended March 31, 2025, compared to €187.6 million for the comparative prior year period. Revenues during the first quarter of 2025 were mainly driven</w:t>
      </w:r>
      <w:r>
        <w:rPr>
          <w:rFonts w:ascii="Arial" w:cs="Arial" w:eastAsia="Arial" w:hAnsi="Arial"/>
          <w:sz w:val="12"/>
          <w:szCs w:val="12"/>
          <w:b w:val="1"/>
          <w:bCs w:val="1"/>
          <w:color w:val="auto"/>
        </w:rPr>
        <w:t xml:space="preserve"> </w:t>
      </w:r>
      <w:r>
        <w:rPr>
          <w:rFonts w:ascii="Arial" w:cs="Arial" w:eastAsia="Arial" w:hAnsi="Arial"/>
          <w:sz w:val="12"/>
          <w:szCs w:val="12"/>
          <w:color w:val="auto"/>
        </w:rPr>
        <w:t>by revenues derived from BioNTech’s COVID-19 vaccine collaboration.</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Cost of sales </w:t>
      </w:r>
      <w:r>
        <w:rPr>
          <w:rFonts w:ascii="Arial" w:cs="Arial" w:eastAsia="Arial" w:hAnsi="Arial"/>
          <w:sz w:val="12"/>
          <w:szCs w:val="12"/>
          <w:color w:val="auto"/>
        </w:rPr>
        <w:t>were €83.8 million for the three months ended March 31, 2025, compared to €59.1 million for the comparative prior year period. The change was mainly due to a positive impact of an inventory</w:t>
      </w:r>
      <w:r>
        <w:rPr>
          <w:rFonts w:ascii="Arial" w:cs="Arial" w:eastAsia="Arial" w:hAnsi="Arial"/>
          <w:sz w:val="12"/>
          <w:szCs w:val="12"/>
          <w:b w:val="1"/>
          <w:bCs w:val="1"/>
          <w:color w:val="auto"/>
        </w:rPr>
        <w:t xml:space="preserve"> </w:t>
      </w:r>
      <w:r>
        <w:rPr>
          <w:rFonts w:ascii="Arial" w:cs="Arial" w:eastAsia="Arial" w:hAnsi="Arial"/>
          <w:sz w:val="12"/>
          <w:szCs w:val="12"/>
          <w:color w:val="auto"/>
        </w:rPr>
        <w:t>revaluation in the first quarter of 2024.</w:t>
      </w:r>
    </w:p>
    <w:p>
      <w:pPr>
        <w:spacing w:after="0" w:line="130"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b w:val="1"/>
          <w:bCs w:val="1"/>
          <w:color w:val="auto"/>
        </w:rPr>
        <w:t xml:space="preserve">Research and development </w:t>
      </w:r>
      <w:r>
        <w:rPr>
          <w:rFonts w:ascii="Arial" w:cs="Arial" w:eastAsia="Arial" w:hAnsi="Arial"/>
          <w:sz w:val="12"/>
          <w:szCs w:val="12"/>
          <w:color w:val="auto"/>
        </w:rPr>
        <w:t>(“R&amp;D”) expenses were €525.6 million for the three months ended March 31, 2025, compared to €507.5 million for the comparative prior year period. The increase was mainly driven</w:t>
      </w:r>
      <w:r>
        <w:rPr>
          <w:rFonts w:ascii="Arial" w:cs="Arial" w:eastAsia="Arial" w:hAnsi="Arial"/>
          <w:sz w:val="12"/>
          <w:szCs w:val="12"/>
          <w:b w:val="1"/>
          <w:bCs w:val="1"/>
          <w:color w:val="auto"/>
        </w:rPr>
        <w:t xml:space="preserve"> </w:t>
      </w:r>
      <w:r>
        <w:rPr>
          <w:rFonts w:ascii="Arial" w:cs="Arial" w:eastAsia="Arial" w:hAnsi="Arial"/>
          <w:sz w:val="12"/>
          <w:szCs w:val="12"/>
          <w:color w:val="auto"/>
        </w:rPr>
        <w:t>by progressing late-stage clinical studies for candidates in BioNTech’s ADC and antibody portfolio.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70" w:right="29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 xml:space="preserve">Sales, general and administrative </w:t>
      </w:r>
      <w:r>
        <w:rPr>
          <w:rFonts w:ascii="Arial" w:cs="Arial" w:eastAsia="Arial" w:hAnsi="Arial"/>
          <w:sz w:val="12"/>
          <w:szCs w:val="12"/>
          <w:color w:val="auto"/>
        </w:rPr>
        <w:t>(“SG&amp;A”) expenses</w:t>
      </w:r>
      <w:r>
        <w:rPr>
          <w:rFonts w:ascii="Arial" w:cs="Arial" w:eastAsia="Arial" w:hAnsi="Arial"/>
          <w:sz w:val="15"/>
          <w:szCs w:val="15"/>
          <w:color w:val="auto"/>
          <w:vertAlign w:val="superscript"/>
        </w:rPr>
        <w:t>5</w:t>
      </w:r>
      <w:r>
        <w:rPr>
          <w:rFonts w:ascii="Arial" w:cs="Arial" w:eastAsia="Arial" w:hAnsi="Arial"/>
          <w:sz w:val="12"/>
          <w:szCs w:val="12"/>
          <w:color w:val="auto"/>
        </w:rPr>
        <w:t>, in total, amounted to €120.6 million for the three months ended March 31, 2025, compared to €132.6 million for the comparative prior year period. The</w:t>
      </w:r>
      <w:r>
        <w:rPr>
          <w:rFonts w:ascii="Arial" w:cs="Arial" w:eastAsia="Arial" w:hAnsi="Arial"/>
          <w:sz w:val="12"/>
          <w:szCs w:val="12"/>
          <w:b w:val="1"/>
          <w:bCs w:val="1"/>
          <w:color w:val="auto"/>
        </w:rPr>
        <w:t xml:space="preserve"> </w:t>
      </w:r>
      <w:r>
        <w:rPr>
          <w:rFonts w:ascii="Arial" w:cs="Arial" w:eastAsia="Arial" w:hAnsi="Arial"/>
          <w:sz w:val="12"/>
          <w:szCs w:val="12"/>
          <w:color w:val="auto"/>
        </w:rPr>
        <w:t>decrease was primarily driven by a reduction in external services.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were realized with an amount of €29.6 million in tax income for the three months ended March 31, 2025, compared to €16.7 million in realized tax income for the comparative prior year period.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Net loss </w:t>
      </w:r>
      <w:r>
        <w:rPr>
          <w:rFonts w:ascii="Arial" w:cs="Arial" w:eastAsia="Arial" w:hAnsi="Arial"/>
          <w:sz w:val="12"/>
          <w:szCs w:val="12"/>
          <w:color w:val="auto"/>
        </w:rPr>
        <w:t>was €415.8 million for the three months ended March 31, 2025, compared to a net loss of €315.1 million for the comparative prior year period.</w:t>
      </w:r>
    </w:p>
    <w:p>
      <w:pPr>
        <w:spacing w:after="0" w:line="177"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color w:val="auto"/>
        </w:rPr>
        <w:t xml:space="preserve">Cash and cash equivalents plus security investments </w:t>
      </w:r>
      <w:r>
        <w:rPr>
          <w:rFonts w:ascii="Arial" w:cs="Arial" w:eastAsia="Arial" w:hAnsi="Arial"/>
          <w:sz w:val="12"/>
          <w:szCs w:val="12"/>
          <w:color w:val="auto"/>
        </w:rPr>
        <w:t>as of March 31, 2025, reached €15,854.4 million, comprising €10,184.9 million in cash and cash equivalents, €3,542.0 million in current security</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and €2,127.5 million in non-current security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Basic and diluted loss per share </w:t>
      </w:r>
      <w:r>
        <w:rPr>
          <w:rFonts w:ascii="Arial" w:cs="Arial" w:eastAsia="Arial" w:hAnsi="Arial"/>
          <w:sz w:val="12"/>
          <w:szCs w:val="12"/>
          <w:color w:val="auto"/>
        </w:rPr>
        <w:t>was €1.73 for the three months ended March 31, 2025, compared to a basic and diluted loss per share of €1.31 for the comparative prior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outstanding </w:t>
      </w:r>
      <w:r>
        <w:rPr>
          <w:rFonts w:ascii="Arial" w:cs="Arial" w:eastAsia="Arial" w:hAnsi="Arial"/>
          <w:sz w:val="12"/>
          <w:szCs w:val="12"/>
          <w:color w:val="auto"/>
        </w:rPr>
        <w:t>as of March 31, 2025, were 240,392,622, excluding 8,159,578 shares held in treasury.</w:t>
      </w:r>
    </w:p>
    <w:p>
      <w:pPr>
        <w:spacing w:after="0" w:line="168"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color w:val="auto"/>
        </w:rPr>
        <w:t xml:space="preserve">“Our revenues for the first quarter reflect the seasonal demand for COVID-19 vaccines and are in line with our expectations,” </w:t>
      </w:r>
      <w:r>
        <w:rPr>
          <w:rFonts w:ascii="Arial" w:cs="Arial" w:eastAsia="Arial" w:hAnsi="Arial"/>
          <w:sz w:val="12"/>
          <w:szCs w:val="12"/>
          <w:b w:val="1"/>
          <w:bCs w:val="1"/>
          <w:color w:val="auto"/>
        </w:rPr>
        <w:t>said Jens Holstein, CFO of BioNTech</w:t>
      </w:r>
      <w:r>
        <w:rPr>
          <w:rFonts w:ascii="Arial" w:cs="Arial" w:eastAsia="Arial" w:hAnsi="Arial"/>
          <w:sz w:val="12"/>
          <w:szCs w:val="12"/>
          <w:color w:val="auto"/>
        </w:rPr>
        <w:t>. “BioNTech’s robust financial position empowers us to pursue our strategic goal of evolving into a leading biotech company with multiple oncology products by 2030.”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2025 Financial Year Guidance Confirmed</w:t>
      </w:r>
      <w:r>
        <w:rPr>
          <w:rFonts w:ascii="Arial" w:cs="Arial" w:eastAsia="Arial" w:hAnsi="Arial"/>
          <w:sz w:val="7"/>
          <w:szCs w:val="7"/>
          <w:color w:val="auto"/>
        </w:rPr>
        <w:t>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880" w:type="dxa"/>
            <w:vAlign w:val="bottom"/>
            <w:tcBorders>
              <w:top w:val="single" w:sz="8" w:color="005A64"/>
              <w:bottom w:val="single" w:sz="8" w:color="005A64"/>
            </w:tcBorders>
          </w:tcPr>
          <w:p>
            <w:pPr>
              <w:spacing w:after="0"/>
              <w:rPr>
                <w:sz w:val="20"/>
                <w:szCs w:val="20"/>
                <w:color w:val="auto"/>
              </w:rPr>
            </w:pPr>
            <w:r>
              <w:rPr>
                <w:rFonts w:ascii="Arial" w:cs="Arial" w:eastAsia="Arial" w:hAnsi="Arial"/>
                <w:sz w:val="11"/>
                <w:szCs w:val="11"/>
                <w:b w:val="1"/>
                <w:bCs w:val="1"/>
                <w:color w:val="005A64"/>
              </w:rPr>
              <w:t>Total revenues for the 2025 financial year</w:t>
            </w:r>
          </w:p>
        </w:tc>
        <w:tc>
          <w:tcPr>
            <w:tcW w:w="100" w:type="dxa"/>
            <w:vAlign w:val="bottom"/>
            <w:tcBorders>
              <w:right w:val="single" w:sz="8" w:color="BECE33"/>
            </w:tcBorders>
          </w:tcPr>
          <w:p>
            <w:pPr>
              <w:spacing w:after="0"/>
              <w:rPr>
                <w:sz w:val="14"/>
                <w:szCs w:val="14"/>
                <w:color w:val="auto"/>
              </w:rPr>
            </w:pPr>
          </w:p>
        </w:tc>
        <w:tc>
          <w:tcPr>
            <w:tcW w:w="4320" w:type="dxa"/>
            <w:vAlign w:val="bottom"/>
            <w:tcBorders>
              <w:top w:val="single" w:sz="8" w:color="BECE33"/>
              <w:bottom w:val="single" w:sz="8" w:color="BECE33"/>
              <w:right w:val="single" w:sz="8" w:color="BECE33"/>
            </w:tcBorders>
          </w:tcPr>
          <w:p>
            <w:pPr>
              <w:ind w:left="2780"/>
              <w:spacing w:after="0"/>
              <w:rPr>
                <w:sz w:val="20"/>
                <w:szCs w:val="20"/>
                <w:color w:val="auto"/>
              </w:rPr>
            </w:pPr>
            <w:r>
              <w:rPr>
                <w:rFonts w:ascii="Arial" w:cs="Arial" w:eastAsia="Arial" w:hAnsi="Arial"/>
                <w:sz w:val="11"/>
                <w:szCs w:val="11"/>
                <w:b w:val="1"/>
                <w:bCs w:val="1"/>
                <w:color w:val="005A64"/>
                <w:w w:val="97"/>
              </w:rPr>
              <w:t>€1,700 million - €2,200 million</w:t>
            </w:r>
          </w:p>
        </w:tc>
      </w:tr>
    </w:tbl>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BioNTech expects its revenues for the full 2025 financial year to be in the range of €1,700 - €2,200 million and revenue phasing similar to 2024, primarily concentrated in the last three to four months, driving the full year revenue figure. The revenue guidance assumes: relatively stable vaccination rates, pricing levels and market share compared to 2024; estimated inventory write-downs and other charges by BioNTech’s collaboration partner Pfizer that negatively influence BioNTech’s revenues; anticipated revenues from a pandemic preparedness contract with the German government; and anticipated revenues from the BioNTech Group service businesses. Potential changes to the law or governmental policy, including tariffs and public health policy, and evolving public sentiment worldwide, could further negatively impact our anticipated revenues and expenses.</w:t>
      </w:r>
    </w:p>
    <w:p>
      <w:pPr>
        <w:sectPr>
          <w:pgSz w:w="11900" w:h="16838" w:orient="portrait"/>
          <w:cols w:equalWidth="0" w:num="1">
            <w:col w:w="11300"/>
          </w:cols>
          <w:pgMar w:left="300" w:top="1162" w:right="29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Planned 2025 Financial Year Expenses and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42576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R&amp;D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425767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SG&amp;A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42576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Capital expenditures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425767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right"/>
        <w:ind w:right="120"/>
        <w:spacing w:after="0"/>
        <w:rPr>
          <w:sz w:val="20"/>
          <w:szCs w:val="20"/>
          <w:color w:val="auto"/>
        </w:rPr>
      </w:pPr>
      <w:r>
        <w:rPr>
          <w:rFonts w:ascii="Arial" w:cs="Arial" w:eastAsia="Arial" w:hAnsi="Arial"/>
          <w:sz w:val="10"/>
          <w:szCs w:val="10"/>
          <w:b w:val="1"/>
          <w:bCs w:val="1"/>
          <w:color w:val="005A64"/>
        </w:rPr>
        <w:t>€2,600 million - €2,800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-1842135</wp:posOffset>
            </wp:positionH>
            <wp:positionV relativeFrom="paragraph">
              <wp:posOffset>-83820</wp:posOffset>
            </wp:positionV>
            <wp:extent cx="2874645" cy="348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74645" cy="348615"/>
                    </a:xfrm>
                    <a:prstGeom prst="rect">
                      <a:avLst/>
                    </a:prstGeom>
                    <a:noFill/>
                  </pic:spPr>
                </pic:pic>
              </a:graphicData>
            </a:graphic>
          </wp:anchor>
        </w:drawing>
      </w:r>
    </w:p>
    <w:p>
      <w:pPr>
        <w:spacing w:after="0" w:line="45" w:lineRule="exact"/>
        <w:rPr>
          <w:sz w:val="20"/>
          <w:szCs w:val="20"/>
          <w:color w:val="auto"/>
        </w:rPr>
      </w:pPr>
    </w:p>
    <w:p>
      <w:pPr>
        <w:jc w:val="right"/>
        <w:ind w:right="120"/>
        <w:spacing w:after="0"/>
        <w:rPr>
          <w:sz w:val="20"/>
          <w:szCs w:val="20"/>
          <w:color w:val="auto"/>
        </w:rPr>
      </w:pPr>
      <w:r>
        <w:rPr>
          <w:rFonts w:ascii="Arial" w:cs="Arial" w:eastAsia="Arial" w:hAnsi="Arial"/>
          <w:sz w:val="11"/>
          <w:szCs w:val="11"/>
          <w:b w:val="1"/>
          <w:bCs w:val="1"/>
          <w:color w:val="005A64"/>
        </w:rPr>
        <w:t>€650 million - €750 million</w:t>
      </w:r>
    </w:p>
    <w:p>
      <w:pPr>
        <w:spacing w:after="0" w:line="54" w:lineRule="exact"/>
        <w:rPr>
          <w:sz w:val="20"/>
          <w:szCs w:val="20"/>
          <w:color w:val="auto"/>
        </w:rPr>
      </w:pPr>
    </w:p>
    <w:p>
      <w:pPr>
        <w:jc w:val="right"/>
        <w:ind w:right="120"/>
        <w:spacing w:after="0"/>
        <w:rPr>
          <w:sz w:val="20"/>
          <w:szCs w:val="20"/>
          <w:color w:val="auto"/>
        </w:rPr>
      </w:pPr>
      <w:r>
        <w:rPr>
          <w:rFonts w:ascii="Arial" w:cs="Arial" w:eastAsia="Arial" w:hAnsi="Arial"/>
          <w:sz w:val="11"/>
          <w:szCs w:val="11"/>
          <w:b w:val="1"/>
          <w:bCs w:val="1"/>
          <w:color w:val="005A64"/>
        </w:rPr>
        <w:t>€250 million - €350 million</w:t>
      </w:r>
    </w:p>
    <w:p>
      <w:pPr>
        <w:spacing w:after="0" w:line="200" w:lineRule="exact"/>
        <w:rPr>
          <w:sz w:val="20"/>
          <w:szCs w:val="20"/>
          <w:color w:val="auto"/>
        </w:rPr>
      </w:pPr>
    </w:p>
    <w:p>
      <w:pPr>
        <w:sectPr>
          <w:pgSz w:w="11900" w:h="16838" w:orient="portrait"/>
          <w:cols w:equalWidth="0" w:num="2">
            <w:col w:w="8960" w:space="720"/>
            <w:col w:w="1620"/>
          </w:cols>
          <w:pgMar w:left="300" w:top="1162" w:right="299" w:bottom="1440" w:gutter="0" w:footer="0" w:header="0"/>
          <w:type w:val="continuous"/>
        </w:sectPr>
      </w:pP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BioNTech expects to continuously focus investments on R&amp;D and scaling the business for late-stage development and commercial readiness in oncology, while remaining cost-disciplined. Strategic capital allocation will continue to be a key driver of the Company’s trajectory. As part of BioNTech’s strategy, the Company may continue to evaluate appropriate corporate development opportunities with the aim of driving sustainable long-term growth and create future value.</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162" w:right="299" w:bottom="1440" w:gutter="0" w:footer="0" w:header="0"/>
          <w:type w:val="continuous"/>
        </w:sectPr>
      </w:pPr>
    </w:p>
    <w:bookmarkStart w:id="6" w:name="page7"/>
    <w:bookmarkEnd w:id="6"/>
    <w:p>
      <w:pPr>
        <w:ind w:left="8" w:right="20"/>
        <w:spacing w:after="0" w:line="30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The full interim unaudited condensed consolidated financial statements can be found in BioNTech’s Report on Form 6-K for the period ended March 31, 2025, filed today with the United States Securities and Exchange Commission (“SEC”) and available at www.sec.gov.</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Endnotes</w:t>
      </w:r>
    </w:p>
    <w:p>
      <w:pPr>
        <w:ind w:left="68" w:hanging="68"/>
        <w:spacing w:after="0" w:line="223" w:lineRule="auto"/>
        <w:tabs>
          <w:tab w:leader="none" w:pos="68" w:val="left"/>
        </w:tabs>
        <w:numPr>
          <w:ilvl w:val="0"/>
          <w:numId w:val="2"/>
        </w:numPr>
        <w:rPr>
          <w:rFonts w:ascii="Arial" w:cs="Arial" w:eastAsia="Arial" w:hAnsi="Arial"/>
          <w:sz w:val="14"/>
          <w:szCs w:val="14"/>
          <w:color w:val="auto"/>
          <w:vertAlign w:val="superscript"/>
        </w:rPr>
      </w:pPr>
      <w:r>
        <w:rPr>
          <w:rFonts w:ascii="Arial" w:cs="Arial" w:eastAsia="Arial" w:hAnsi="Arial"/>
          <w:sz w:val="11"/>
          <w:szCs w:val="11"/>
          <w:color w:val="auto"/>
        </w:rPr>
        <w:t>All abbreviations are compiled in an abbreviation directory at the end of this press release.</w:t>
      </w:r>
    </w:p>
    <w:p>
      <w:pPr>
        <w:spacing w:after="0" w:line="3" w:lineRule="exact"/>
        <w:rPr>
          <w:rFonts w:ascii="Arial" w:cs="Arial" w:eastAsia="Arial" w:hAnsi="Arial"/>
          <w:sz w:val="14"/>
          <w:szCs w:val="14"/>
          <w:color w:val="auto"/>
          <w:vertAlign w:val="superscript"/>
        </w:rPr>
      </w:pPr>
    </w:p>
    <w:p>
      <w:pPr>
        <w:ind w:left="8"/>
        <w:spacing w:after="0" w:line="201"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1"/>
          <w:szCs w:val="11"/>
          <w:color w:val="auto"/>
        </w:rPr>
        <w:t xml:space="preserve"> All numbers in this press release have been rounded.</w:t>
      </w:r>
    </w:p>
    <w:p>
      <w:pPr>
        <w:ind w:left="8"/>
        <w:spacing w:after="0" w:line="201"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1"/>
          <w:szCs w:val="11"/>
          <w:color w:val="auto"/>
        </w:rPr>
        <w:t xml:space="preserve"> Calculated applying the average foreign exchange rate for the three months ended March 31, 2025, as published by the German Central Bank (Deutsche Bundesbank).</w:t>
      </w:r>
    </w:p>
    <w:p>
      <w:pPr>
        <w:jc w:val="both"/>
        <w:ind w:left="8"/>
        <w:spacing w:after="0" w:line="232"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1"/>
          <w:szCs w:val="11"/>
          <w:color w:val="auto"/>
        </w:rPr>
        <w:t xml:space="preserve"> A settlement payment of $400 million related to a contractual dispute with the University of Pennsylvania is expected to be reflected in the Company’s second quarter 2025 financial results. In connection with this and another settlement with the National Institutes of Health (“NIH”), BioNTech expects to be reimbursed approximately $535 million by its collaboration partner during 2025 and 2026. Reimbursement payments have begun with the first payment received by BioNTech in the first quarter of 2025.</w:t>
      </w:r>
    </w:p>
    <w:p>
      <w:pPr>
        <w:spacing w:after="0" w:line="1" w:lineRule="exact"/>
        <w:rPr>
          <w:rFonts w:ascii="Arial" w:cs="Arial" w:eastAsia="Arial" w:hAnsi="Arial"/>
          <w:sz w:val="14"/>
          <w:szCs w:val="14"/>
          <w:color w:val="auto"/>
          <w:vertAlign w:val="superscript"/>
        </w:rPr>
      </w:pPr>
    </w:p>
    <w:p>
      <w:pPr>
        <w:ind w:left="8"/>
        <w:spacing w:after="0" w:line="192" w:lineRule="auto"/>
        <w:rPr>
          <w:rFonts w:ascii="Arial" w:cs="Arial" w:eastAsia="Arial" w:hAnsi="Arial"/>
          <w:sz w:val="14"/>
          <w:szCs w:val="14"/>
          <w:color w:val="auto"/>
          <w:vertAlign w:val="superscript"/>
        </w:rPr>
      </w:pPr>
      <w:r>
        <w:rPr>
          <w:rFonts w:ascii="Arial" w:cs="Arial" w:eastAsia="Arial" w:hAnsi="Arial"/>
          <w:sz w:val="15"/>
          <w:szCs w:val="15"/>
          <w:color w:val="auto"/>
          <w:vertAlign w:val="superscript"/>
        </w:rPr>
        <w:t>5</w:t>
      </w:r>
      <w:r>
        <w:rPr>
          <w:rFonts w:ascii="Arial" w:cs="Arial" w:eastAsia="Arial" w:hAnsi="Arial"/>
          <w:sz w:val="11"/>
          <w:szCs w:val="11"/>
          <w:color w:val="auto"/>
        </w:rPr>
        <w:t xml:space="preserve"> Sales, general and administrative expenses (“SG&amp;A”) include sales and marketing expenses as well as general and administrative expenses.</w:t>
      </w:r>
    </w:p>
    <w:p>
      <w:pPr>
        <w:jc w:val="both"/>
        <w:ind w:left="8"/>
        <w:spacing w:after="0" w:line="232"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6</w:t>
      </w:r>
      <w:r>
        <w:rPr>
          <w:rFonts w:ascii="Arial" w:cs="Arial" w:eastAsia="Arial" w:hAnsi="Arial"/>
          <w:sz w:val="11"/>
          <w:szCs w:val="11"/>
          <w:color w:val="auto"/>
        </w:rPr>
        <w:t xml:space="preserve"> Financial guidance excludes external risks that are not yet known and/or quantifiable, including, but not limited to the effects of ongoing and/or future legal disputes and related activities, certain potential one-time effects and charges related to portfolio prioritization. It includes effects identified from licensing arrangements, collaborations or potential M&amp;A transactions to the extent disclosed and may be subject to update. The Company does not expect to report a positive net income figure for the 2025 financial year.</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Operational Review for the First Quarter 2025, Key Post Period-End Events and 2025 Outlook</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Selected Oncology Pipeline Updates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Next-Generation Immunomodulators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BNT327</w:t>
      </w:r>
      <w:r>
        <w:rPr>
          <w:rFonts w:ascii="Arial" w:cs="Arial" w:eastAsia="Arial" w:hAnsi="Arial"/>
          <w:sz w:val="12"/>
          <w:szCs w:val="12"/>
          <w:color w:val="auto"/>
        </w:rPr>
        <w:t>, formerly also known as PM8002, is a bispecific antibody candidate combining PD-L1 checkpoint inhibition with VEGF-A neutralization.</w:t>
      </w:r>
    </w:p>
    <w:p>
      <w:pPr>
        <w:spacing w:after="0" w:line="177" w:lineRule="exact"/>
        <w:rPr>
          <w:sz w:val="20"/>
          <w:szCs w:val="20"/>
          <w:color w:val="auto"/>
        </w:rPr>
      </w:pPr>
    </w:p>
    <w:p>
      <w:pPr>
        <w:ind w:left="428" w:hanging="212"/>
        <w:spacing w:after="0" w:line="301" w:lineRule="auto"/>
        <w:tabs>
          <w:tab w:leader="none" w:pos="425"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March 2025, at the European Lung Cancer Congress (“ELCC”), preliminary data from two Phase 2 clinical trials conducted in China in first-line extensive-stage small cell lung cancer (</w:t>
      </w:r>
      <w:r>
        <w:rPr>
          <w:rFonts w:ascii="Arial" w:cs="Arial" w:eastAsia="Arial" w:hAnsi="Arial"/>
          <w:sz w:val="12"/>
          <w:szCs w:val="12"/>
          <w:i w:val="1"/>
          <w:iCs w:val="1"/>
          <w:color w:val="auto"/>
        </w:rPr>
        <w:t>“</w:t>
      </w:r>
      <w:r>
        <w:rPr>
          <w:rFonts w:ascii="Arial" w:cs="Arial" w:eastAsia="Arial" w:hAnsi="Arial"/>
          <w:sz w:val="12"/>
          <w:szCs w:val="12"/>
          <w:color w:val="auto"/>
        </w:rPr>
        <w:t>ES-SCLC”) and second-line small cell lung cancer (“SCLC”) were presented.</w:t>
      </w:r>
    </w:p>
    <w:p>
      <w:pPr>
        <w:spacing w:after="0" w:line="112" w:lineRule="exact"/>
        <w:rPr>
          <w:rFonts w:ascii="Arial" w:cs="Arial" w:eastAsia="Arial" w:hAnsi="Arial"/>
          <w:sz w:val="12"/>
          <w:szCs w:val="12"/>
          <w:color w:val="auto"/>
        </w:rPr>
      </w:pPr>
    </w:p>
    <w:p>
      <w:pPr>
        <w:jc w:val="both"/>
        <w:ind w:left="868" w:hanging="220"/>
        <w:spacing w:after="0" w:line="272" w:lineRule="auto"/>
        <w:tabs>
          <w:tab w:leader="none" w:pos="865" w:val="left"/>
        </w:tabs>
        <w:numPr>
          <w:ilvl w:val="1"/>
          <w:numId w:val="3"/>
        </w:numPr>
        <w:rPr>
          <w:rFonts w:ascii="Arial" w:cs="Arial" w:eastAsia="Arial" w:hAnsi="Arial"/>
          <w:sz w:val="12"/>
          <w:szCs w:val="12"/>
          <w:color w:val="auto"/>
        </w:rPr>
      </w:pPr>
      <w:r>
        <w:rPr>
          <w:rFonts w:ascii="Arial" w:cs="Arial" w:eastAsia="Arial" w:hAnsi="Arial"/>
          <w:sz w:val="12"/>
          <w:szCs w:val="12"/>
          <w:color w:val="auto"/>
        </w:rPr>
        <w:t>Preliminary data from the ongoing single-arm, open-label Phase 2 clinical trial (NCT05844150) evaluating BNT327 in combination with chemotherapy as a first-line treatment in patients with ES-SCLC showed anti-tumor activity and an acceptable safety profile with no new safety signals beyond those typically described for chemotherapy agents and anti-PD-(L)1 and anti-VEGF monotherapies. These data were the first presented for BNT327 as a potential first-line treatment in ES-SCLC supporting the ongoing global randomized Phase 3 clinical trial ROSETTA Lung-01 (NCT06712355).</w:t>
      </w:r>
    </w:p>
    <w:p>
      <w:pPr>
        <w:spacing w:after="0" w:line="139" w:lineRule="exact"/>
        <w:rPr>
          <w:rFonts w:ascii="Arial" w:cs="Arial" w:eastAsia="Arial" w:hAnsi="Arial"/>
          <w:sz w:val="12"/>
          <w:szCs w:val="12"/>
          <w:color w:val="auto"/>
        </w:rPr>
      </w:pPr>
    </w:p>
    <w:p>
      <w:pPr>
        <w:ind w:left="868" w:hanging="220"/>
        <w:spacing w:after="0" w:line="301" w:lineRule="auto"/>
        <w:tabs>
          <w:tab w:leader="none" w:pos="865" w:val="left"/>
        </w:tabs>
        <w:numPr>
          <w:ilvl w:val="1"/>
          <w:numId w:val="3"/>
        </w:numPr>
        <w:rPr>
          <w:rFonts w:ascii="Arial" w:cs="Arial" w:eastAsia="Arial" w:hAnsi="Arial"/>
          <w:sz w:val="12"/>
          <w:szCs w:val="12"/>
          <w:color w:val="auto"/>
        </w:rPr>
      </w:pPr>
      <w:r>
        <w:rPr>
          <w:rFonts w:ascii="Arial" w:cs="Arial" w:eastAsia="Arial" w:hAnsi="Arial"/>
          <w:sz w:val="12"/>
          <w:szCs w:val="12"/>
          <w:color w:val="auto"/>
        </w:rPr>
        <w:t>Preliminary data from the ongoing Phase 2 clinical trial (NCT05879068) evaluating BNT327 in combination with chemotherapy as a second-line treatment in patients with SCLC showed anti-tumor activity, which was observed regardless of prior immuno-oncology treatment, and an acceptable safety profile.</w:t>
      </w:r>
    </w:p>
    <w:p>
      <w:pPr>
        <w:spacing w:after="0" w:line="112" w:lineRule="exact"/>
        <w:rPr>
          <w:rFonts w:ascii="Arial" w:cs="Arial" w:eastAsia="Arial" w:hAnsi="Arial"/>
          <w:sz w:val="12"/>
          <w:szCs w:val="12"/>
          <w:color w:val="auto"/>
        </w:rPr>
      </w:pPr>
    </w:p>
    <w:p>
      <w:pPr>
        <w:ind w:left="428" w:hanging="212"/>
        <w:spacing w:after="0" w:line="301" w:lineRule="auto"/>
        <w:tabs>
          <w:tab w:leader="none" w:pos="425"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April 2025, at the American Association for Cancer Research (“AACR”) Annual Meeting 2025, first data were presented for the novel combination of the PD-L1xVEGF-A bispecific antibody candidate BNT327 with various ADC candidates.</w:t>
      </w:r>
    </w:p>
    <w:p>
      <w:pPr>
        <w:spacing w:after="0" w:line="121" w:lineRule="exact"/>
        <w:rPr>
          <w:rFonts w:ascii="Arial" w:cs="Arial" w:eastAsia="Arial" w:hAnsi="Arial"/>
          <w:sz w:val="12"/>
          <w:szCs w:val="12"/>
          <w:color w:val="auto"/>
        </w:rPr>
      </w:pPr>
    </w:p>
    <w:p>
      <w:pPr>
        <w:ind w:left="868" w:hanging="220"/>
        <w:spacing w:after="0"/>
        <w:tabs>
          <w:tab w:leader="none" w:pos="868" w:val="left"/>
        </w:tabs>
        <w:numPr>
          <w:ilvl w:val="1"/>
          <w:numId w:val="3"/>
        </w:numPr>
        <w:rPr>
          <w:rFonts w:ascii="Arial" w:cs="Arial" w:eastAsia="Arial" w:hAnsi="Arial"/>
          <w:sz w:val="12"/>
          <w:szCs w:val="12"/>
          <w:color w:val="auto"/>
        </w:rPr>
      </w:pPr>
      <w:r>
        <w:rPr>
          <w:rFonts w:ascii="Arial" w:cs="Arial" w:eastAsia="Arial" w:hAnsi="Arial"/>
          <w:sz w:val="12"/>
          <w:szCs w:val="12"/>
          <w:color w:val="auto"/>
        </w:rPr>
        <w:t>Interim data from the ongoing Phase 1/2 clinical trial (NCT05438329) evaluating BNT327 with BNT325/DB-1305, a TROP2-targeting ADC candidate being developed</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1162" w:right="299" w:bottom="1440" w:gutter="0" w:footer="0" w:header="0"/>
        </w:sectPr>
      </w:pPr>
    </w:p>
    <w:bookmarkStart w:id="7" w:name="page8"/>
    <w:bookmarkEnd w:id="7"/>
    <w:p>
      <w:pPr>
        <w:jc w:val="both"/>
        <w:ind w:left="860"/>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in collaboration with Duality Biologics (Suzhou) Co. Ltd. (“DualityBio”), in patients with advanced/metastatic solid tumors showed a manageable safety profile and early signs of anti-tumor activity in a cohort with patients with platinum-resistant ovarian cancer (“PROC”). Across the 13 efficacy evaluable patients with PROC, seven patients achieved partial response and three stable disease. Responses were also observed in patients with non-small cell lung cancer (“NSCLC”) or triple-negative breast cancer (“TNBC”).</w:t>
      </w:r>
    </w:p>
    <w:p>
      <w:pPr>
        <w:spacing w:after="0" w:line="122" w:lineRule="exact"/>
        <w:rPr>
          <w:sz w:val="20"/>
          <w:szCs w:val="20"/>
          <w:color w:val="auto"/>
        </w:rPr>
      </w:pPr>
    </w:p>
    <w:p>
      <w:pPr>
        <w:jc w:val="both"/>
        <w:ind w:left="420" w:hanging="212"/>
        <w:spacing w:after="0" w:line="27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First data from an ongoing Phase 2 clinical trial (NCT05918107) in first-line mesothelioma and two trial-in-progress posters for the ongoing global Phase 3 and Phase 2/3 clinical trials, ROSETTA Lung-01 (NCT06712355) and ROSETTA Lung-02 (NCT06712316) respectively, will be presented at the American Society for Clinical Oncology (“ASCO”) Annual Meeting taking place from May 30 to June 3, 2025 in Chicago, Illinois.</w:t>
      </w:r>
    </w:p>
    <w:p>
      <w:pPr>
        <w:spacing w:after="0" w:line="135" w:lineRule="exact"/>
        <w:rPr>
          <w:rFonts w:ascii="Arial" w:cs="Arial" w:eastAsia="Arial" w:hAnsi="Arial"/>
          <w:sz w:val="12"/>
          <w:szCs w:val="12"/>
          <w:color w:val="auto"/>
        </w:rPr>
      </w:pPr>
    </w:p>
    <w:p>
      <w:pPr>
        <w:ind w:left="860" w:right="20" w:hanging="220"/>
        <w:spacing w:after="0" w:line="301" w:lineRule="auto"/>
        <w:tabs>
          <w:tab w:leader="none" w:pos="857" w:val="left"/>
        </w:tabs>
        <w:numPr>
          <w:ilvl w:val="1"/>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First report of efficacy and safety results from a Phase 2 trial evaluating BNT327/PM8002 plus chemotherapy (chemo) as first-line treatment (1L) in unresectable malignant</w:t>
      </w:r>
      <w:r>
        <w:rPr>
          <w:rFonts w:ascii="Arial" w:cs="Arial" w:eastAsia="Arial" w:hAnsi="Arial"/>
          <w:sz w:val="12"/>
          <w:szCs w:val="12"/>
          <w:i w:val="1"/>
          <w:iCs w:val="1"/>
          <w:color w:val="auto"/>
        </w:rPr>
        <w:t xml:space="preserve"> </w:t>
      </w:r>
      <w:r>
        <w:rPr>
          <w:rFonts w:ascii="Arial" w:cs="Arial" w:eastAsia="Arial" w:hAnsi="Arial"/>
          <w:sz w:val="12"/>
          <w:szCs w:val="12"/>
          <w:color w:val="auto"/>
        </w:rPr>
        <w:t>mesothelioma</w:t>
      </w:r>
    </w:p>
    <w:p>
      <w:pPr>
        <w:spacing w:after="0" w:line="112" w:lineRule="exact"/>
        <w:rPr>
          <w:rFonts w:ascii="Arial" w:cs="Arial" w:eastAsia="Arial" w:hAnsi="Arial"/>
          <w:sz w:val="12"/>
          <w:szCs w:val="12"/>
          <w:i w:val="1"/>
          <w:iCs w:val="1"/>
          <w:color w:val="auto"/>
        </w:rPr>
      </w:pPr>
    </w:p>
    <w:p>
      <w:pPr>
        <w:ind w:left="860" w:right="20" w:hanging="220"/>
        <w:spacing w:after="0" w:line="301" w:lineRule="auto"/>
        <w:tabs>
          <w:tab w:leader="none" w:pos="857" w:val="left"/>
        </w:tabs>
        <w:numPr>
          <w:ilvl w:val="1"/>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A global Phase III, double-blind, randomized trial of BNT327/PM8002 plus chemotherapy (chemo) compared to atezolizumab plus chemo in patients (pts) with first-line (1L) extensive-stage small cell lung cancer (ES-SCLC)</w:t>
      </w:r>
    </w:p>
    <w:p>
      <w:pPr>
        <w:spacing w:after="0" w:line="121" w:lineRule="exact"/>
        <w:rPr>
          <w:rFonts w:ascii="Arial" w:cs="Arial" w:eastAsia="Arial" w:hAnsi="Arial"/>
          <w:sz w:val="12"/>
          <w:szCs w:val="12"/>
          <w:i w:val="1"/>
          <w:iCs w:val="1"/>
          <w:color w:val="auto"/>
        </w:rPr>
      </w:pPr>
    </w:p>
    <w:p>
      <w:pPr>
        <w:ind w:left="860" w:hanging="220"/>
        <w:spacing w:after="0"/>
        <w:tabs>
          <w:tab w:leader="none" w:pos="860" w:val="left"/>
        </w:tabs>
        <w:numPr>
          <w:ilvl w:val="1"/>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A global Phase 2/3, randomized, open-label trial of BNT327/PM8002 in combination with chemotherapy (chemo) in first-line (1L) non-small cell lung cancer (NSCLC)</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mRNA Cancer Immunotherapies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BNT116 </w:t>
      </w:r>
      <w:r>
        <w:rPr>
          <w:rFonts w:ascii="Arial" w:cs="Arial" w:eastAsia="Arial" w:hAnsi="Arial"/>
          <w:sz w:val="12"/>
          <w:szCs w:val="12"/>
          <w:color w:val="auto"/>
        </w:rPr>
        <w:t>is based on BioNTech’s fully owned, off-the-shelf FixVac platform, and is designed to elicit an immune response to six tumor-associated antigens that were identified to be frequently expressed in NSCLC.</w:t>
      </w:r>
    </w:p>
    <w:p>
      <w:pPr>
        <w:spacing w:after="0" w:line="177" w:lineRule="exact"/>
        <w:rPr>
          <w:sz w:val="20"/>
          <w:szCs w:val="20"/>
          <w:color w:val="auto"/>
        </w:rPr>
      </w:pPr>
    </w:p>
    <w:p>
      <w:pPr>
        <w:jc w:val="both"/>
        <w:ind w:left="420" w:hanging="212"/>
        <w:spacing w:after="0" w:line="276"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April 2025, at the AACR Annual Meeting 2025, preliminary data from a cohort with frail patients were presented from the ongoing Phase 1 clinical trial LuCa-MERIT-1 (NCT05142189) evaluating BNT116 in combination with cemiplimab in patients with PD-L1 positive (TPS≥1%) unresectable Stage III or metastatic Stage IV NSCLC who are not eligible for chemotherapy as first-line treatment. The preliminary data showed anti-tumor activity, consistent immune response induction and a manageable safety profile.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Antibody-Drug Conjugates</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2"/>
          <w:szCs w:val="12"/>
          <w:b w:val="1"/>
          <w:bCs w:val="1"/>
          <w:color w:val="auto"/>
        </w:rPr>
        <w:t xml:space="preserve">BNT324/DB-1311 </w:t>
      </w:r>
      <w:r>
        <w:rPr>
          <w:rFonts w:ascii="Arial" w:cs="Arial" w:eastAsia="Arial" w:hAnsi="Arial"/>
          <w:sz w:val="12"/>
          <w:szCs w:val="12"/>
          <w:color w:val="auto"/>
        </w:rPr>
        <w:t>is an B7H3-targeted ADC candidate that is being developed in collaboration with DualityBio. The program has received Fast Track designation from the U.S. Food and Drug Administration</w:t>
      </w:r>
      <w:r>
        <w:rPr>
          <w:rFonts w:ascii="Arial" w:cs="Arial" w:eastAsia="Arial" w:hAnsi="Arial"/>
          <w:sz w:val="12"/>
          <w:szCs w:val="12"/>
          <w:b w:val="1"/>
          <w:bCs w:val="1"/>
          <w:color w:val="auto"/>
        </w:rPr>
        <w:t xml:space="preserve"> </w:t>
      </w:r>
      <w:r>
        <w:rPr>
          <w:rFonts w:ascii="Arial" w:cs="Arial" w:eastAsia="Arial" w:hAnsi="Arial"/>
          <w:sz w:val="12"/>
          <w:szCs w:val="12"/>
          <w:color w:val="auto"/>
        </w:rPr>
        <w:t>(“FDA”) for the treatment of patients with advanced castration-resistant prostate cancer (“CRPC”) whose disease has progressed while undergoing or after undergoing standard systemic regimens. In addition, the program has received Orphan Drug designation from the FDA for the treatment of patients with advanced esophageal squamous cell carcinoma.</w:t>
      </w:r>
    </w:p>
    <w:p>
      <w:pPr>
        <w:spacing w:after="0" w:line="122" w:lineRule="exact"/>
        <w:rPr>
          <w:sz w:val="20"/>
          <w:szCs w:val="20"/>
          <w:color w:val="auto"/>
        </w:rPr>
      </w:pPr>
    </w:p>
    <w:p>
      <w:pPr>
        <w:ind w:left="420" w:hanging="212"/>
        <w:spacing w:after="0" w:line="301"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Preliminary data from the ongoing Phase 1/2 clinical trial (NCT05914116) evaluating BNT324/DB-1311 in patients with advanced solid tumors, including patients with previously treated castration-resistant prostate cancer (“CRPC”), will be presented at the 2025 ASCO Annual Meeting.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162" w:right="299" w:bottom="1440" w:gutter="0" w:footer="0" w:header="0"/>
        </w:sectPr>
      </w:pPr>
    </w:p>
    <w:bookmarkStart w:id="8" w:name="page9"/>
    <w:bookmarkEnd w:id="8"/>
    <w:p>
      <w:pPr>
        <w:ind w:left="860" w:hanging="220"/>
        <w:spacing w:after="0" w:line="138" w:lineRule="exact"/>
        <w:tabs>
          <w:tab w:leader="none" w:pos="860"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 xml:space="preserve">Abstract title: </w:t>
      </w:r>
      <w:r>
        <w:rPr>
          <w:rFonts w:ascii="Arial" w:cs="Arial" w:eastAsia="Arial" w:hAnsi="Arial"/>
          <w:sz w:val="12"/>
          <w:szCs w:val="12"/>
          <w:color w:val="auto"/>
        </w:rPr>
        <w:t>DB</w:t>
      </w:r>
      <w:r>
        <w:rPr>
          <w:rFonts w:ascii="MS PGothic" w:cs="MS PGothic" w:eastAsia="MS PGothic" w:hAnsi="MS PGothic"/>
          <w:sz w:val="12"/>
          <w:szCs w:val="12"/>
          <w:color w:val="auto"/>
        </w:rPr>
        <w:t>‑</w:t>
      </w:r>
      <w:r>
        <w:rPr>
          <w:rFonts w:ascii="Arial" w:cs="Arial" w:eastAsia="Arial" w:hAnsi="Arial"/>
          <w:sz w:val="12"/>
          <w:szCs w:val="12"/>
          <w:color w:val="auto"/>
        </w:rPr>
        <w:t>1311/BNT324 (a novel B7H3 ADC) in patients with heavily pretreated castrate-resistant prostate cancer (CRPC)</w:t>
      </w:r>
    </w:p>
    <w:p>
      <w:pPr>
        <w:spacing w:after="0" w:line="204" w:lineRule="exact"/>
        <w:rPr>
          <w:sz w:val="20"/>
          <w:szCs w:val="20"/>
          <w:color w:val="auto"/>
        </w:rPr>
      </w:pPr>
    </w:p>
    <w:p>
      <w:pPr>
        <w:spacing w:after="0" w:line="301" w:lineRule="auto"/>
        <w:rPr>
          <w:sz w:val="20"/>
          <w:szCs w:val="20"/>
          <w:color w:val="auto"/>
        </w:rPr>
      </w:pPr>
      <w:r>
        <w:rPr>
          <w:rFonts w:ascii="Arial" w:cs="Arial" w:eastAsia="Arial" w:hAnsi="Arial"/>
          <w:sz w:val="12"/>
          <w:szCs w:val="12"/>
          <w:b w:val="1"/>
          <w:bCs w:val="1"/>
          <w:color w:val="auto"/>
        </w:rPr>
        <w:t xml:space="preserve">BNT325/DB-1305 </w:t>
      </w:r>
      <w:r>
        <w:rPr>
          <w:rFonts w:ascii="Arial" w:cs="Arial" w:eastAsia="Arial" w:hAnsi="Arial"/>
          <w:sz w:val="12"/>
          <w:szCs w:val="12"/>
          <w:color w:val="auto"/>
        </w:rPr>
        <w:t>is a TROP2-targeted ADC candidate that is being developed in collaboration with DualityBio. BNT325/DB-1305 received Fast Track designation from the FDA for the treatment of patients with</w:t>
      </w:r>
      <w:r>
        <w:rPr>
          <w:rFonts w:ascii="Arial" w:cs="Arial" w:eastAsia="Arial" w:hAnsi="Arial"/>
          <w:sz w:val="12"/>
          <w:szCs w:val="12"/>
          <w:b w:val="1"/>
          <w:bCs w:val="1"/>
          <w:color w:val="auto"/>
        </w:rPr>
        <w:t xml:space="preserve"> </w:t>
      </w:r>
      <w:r>
        <w:rPr>
          <w:rFonts w:ascii="Arial" w:cs="Arial" w:eastAsia="Arial" w:hAnsi="Arial"/>
          <w:sz w:val="12"/>
          <w:szCs w:val="12"/>
          <w:color w:val="auto"/>
        </w:rPr>
        <w:t>platinum-resistant ovarian epithelial cancer, fallopian tube cancer, or primary peritoneal cancer who have received one to three prior systemic treatment regimens.</w:t>
      </w:r>
    </w:p>
    <w:p>
      <w:pPr>
        <w:spacing w:after="0" w:line="113" w:lineRule="exact"/>
        <w:rPr>
          <w:sz w:val="20"/>
          <w:szCs w:val="20"/>
          <w:color w:val="auto"/>
        </w:rPr>
      </w:pPr>
    </w:p>
    <w:p>
      <w:pPr>
        <w:ind w:left="420" w:hanging="212"/>
        <w:spacing w:after="0" w:line="301" w:lineRule="auto"/>
        <w:tabs>
          <w:tab w:leader="none" w:pos="417" w:val="left"/>
        </w:tabs>
        <w:numPr>
          <w:ilvl w:val="0"/>
          <w:numId w:val="8"/>
        </w:numPr>
        <w:rPr>
          <w:rFonts w:ascii="Arial" w:cs="Arial" w:eastAsia="Arial" w:hAnsi="Arial"/>
          <w:sz w:val="12"/>
          <w:szCs w:val="12"/>
          <w:b w:val="1"/>
          <w:bCs w:val="1"/>
          <w:i w:val="1"/>
          <w:iCs w:val="1"/>
          <w:color w:val="auto"/>
        </w:rPr>
      </w:pPr>
      <w:r>
        <w:rPr>
          <w:rFonts w:ascii="Arial" w:cs="Arial" w:eastAsia="Arial" w:hAnsi="Arial"/>
          <w:sz w:val="12"/>
          <w:szCs w:val="12"/>
          <w:color w:val="auto"/>
        </w:rPr>
        <w:t>In March 2025, at the Society of Gynecologic Oncology (“SGO”) Annual Meeting, preliminary data were presented from an ongoing Phase 1/2 clinical trial (NCT05438329) evaluating BNT325/DB-1305 in signal-seeking cohorts across various cancer indications, including PROC. The data from a cohort of patients with PROC showed a manageable safety profile and early signs of anti-tumor activity.</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and Commercial Update for the First Quarter 2025</w:t>
      </w:r>
    </w:p>
    <w:p>
      <w:pPr>
        <w:spacing w:after="0" w:line="177" w:lineRule="exact"/>
        <w:rPr>
          <w:sz w:val="20"/>
          <w:szCs w:val="20"/>
          <w:color w:val="auto"/>
        </w:rPr>
      </w:pPr>
    </w:p>
    <w:p>
      <w:pPr>
        <w:jc w:val="both"/>
        <w:ind w:left="420" w:hanging="212"/>
        <w:spacing w:after="0" w:line="276"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Earlier today, BioNTech announced that the Supervisory Board has appointed Ramón Zapata-Gomez to the Management Board as Chief Financial Officer (“CFO”) effective July 1, 2025. He will join BioNTech from Novartis AG’s global biomedical research organization where he has been serving as CFO since 2022. Ramón Zapata will succeed Jens Holstein, who, as previously planned and announced, will retire at the end of his term on June 30, 2025.</w:t>
      </w:r>
    </w:p>
    <w:p>
      <w:pPr>
        <w:spacing w:after="0" w:line="135" w:lineRule="exact"/>
        <w:rPr>
          <w:rFonts w:ascii="Arial" w:cs="Arial" w:eastAsia="Arial" w:hAnsi="Arial"/>
          <w:sz w:val="12"/>
          <w:szCs w:val="12"/>
          <w:color w:val="auto"/>
        </w:rPr>
      </w:pPr>
    </w:p>
    <w:p>
      <w:pPr>
        <w:ind w:left="420" w:right="20" w:hanging="212"/>
        <w:spacing w:after="0" w:line="301"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February 2025, BioNTech completed the acquisition of Biotheus, obtaining full global rights to BNT327 and to all other candidates from Biotheus’ pipeline, as well as to its in-house antibody generation platform and bispecific ADC capability. The transaction amounted to an upfront consideration of $800 million, plus additional performance-based payments of up to $150 million.</w:t>
      </w:r>
    </w:p>
    <w:p>
      <w:pPr>
        <w:spacing w:after="0" w:line="112" w:lineRule="exact"/>
        <w:rPr>
          <w:rFonts w:ascii="Arial" w:cs="Arial" w:eastAsia="Arial" w:hAnsi="Arial"/>
          <w:sz w:val="12"/>
          <w:szCs w:val="12"/>
          <w:color w:val="auto"/>
        </w:rPr>
      </w:pPr>
    </w:p>
    <w:p>
      <w:pPr>
        <w:jc w:val="both"/>
        <w:ind w:left="420" w:right="20" w:hanging="212"/>
        <w:spacing w:after="0" w:line="284"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BioNTech and Pfizer developed, manufactured and delivered their JN.1 and KP.2-adapted COVID-19 vaccines, which have received multiple regulatory approvals, including full approvals, authorizations for emergency or temporary use, or marketing authorizations, in more than 40 countries and regions. BioNTech is now focused on preparing for variant strain vaccine adaptation to be ready for commercial launch ahead of the upcoming 2025/2026 vaccination season, pending approvals.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Upcoming Investor and Analyst Events</w:t>
      </w:r>
    </w:p>
    <w:p>
      <w:pPr>
        <w:spacing w:after="0" w:line="177" w:lineRule="exact"/>
        <w:rPr>
          <w:sz w:val="20"/>
          <w:szCs w:val="20"/>
          <w:color w:val="auto"/>
        </w:rPr>
      </w:pPr>
    </w:p>
    <w:p>
      <w:pPr>
        <w:ind w:left="200" w:hanging="154"/>
        <w:spacing w:after="0"/>
        <w:tabs>
          <w:tab w:leader="none" w:pos="2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Annual General Meeting: May 16, 2025</w:t>
      </w:r>
    </w:p>
    <w:p>
      <w:pPr>
        <w:spacing w:after="0" w:line="20" w:lineRule="exact"/>
        <w:rPr>
          <w:rFonts w:ascii="Arial" w:cs="Arial" w:eastAsia="Arial" w:hAnsi="Arial"/>
          <w:sz w:val="12"/>
          <w:szCs w:val="12"/>
          <w:color w:val="auto"/>
        </w:rPr>
      </w:pPr>
    </w:p>
    <w:p>
      <w:pPr>
        <w:ind w:left="200" w:hanging="154"/>
        <w:spacing w:after="0"/>
        <w:tabs>
          <w:tab w:leader="none" w:pos="2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Innovation Series R&amp;D Day: November 11, 2025</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2"/>
          <w:szCs w:val="12"/>
          <w:color w:val="auto"/>
        </w:rPr>
        <w:t>BioNTech invites investors and the general public to join a conference call and webcast with investment analysts today, May 5, 2025, at 8:00 a.m. EDT (2:00 p.m. CEST) to report its financial results and provide a corporate update for the first quarter of 2025.</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access the live conference call via telephone, please register </w:t>
      </w:r>
      <w:r>
        <w:rPr>
          <w:rFonts w:ascii="Arial" w:cs="Arial" w:eastAsia="Arial" w:hAnsi="Arial"/>
          <w:sz w:val="12"/>
          <w:szCs w:val="12"/>
          <w:u w:val="single" w:color="auto"/>
          <w:color w:val="auto"/>
        </w:rPr>
        <w:t>via this link</w:t>
      </w:r>
      <w:r>
        <w:rPr>
          <w:rFonts w:ascii="Arial" w:cs="Arial" w:eastAsia="Arial" w:hAnsi="Arial"/>
          <w:sz w:val="12"/>
          <w:szCs w:val="12"/>
          <w:color w:val="auto"/>
        </w:rPr>
        <w:t>. Once registered, dial-in numbers and a PIN number will be provided.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slide presentation and audio of the webcast will be available </w:t>
      </w:r>
      <w:r>
        <w:rPr>
          <w:rFonts w:ascii="Arial" w:cs="Arial" w:eastAsia="Arial" w:hAnsi="Arial"/>
          <w:sz w:val="12"/>
          <w:szCs w:val="12"/>
          <w:u w:val="single" w:color="auto"/>
          <w:color w:val="auto"/>
        </w:rPr>
        <w:t>via this link</w:t>
      </w:r>
      <w:r>
        <w:rPr>
          <w:rFonts w:ascii="Arial" w:cs="Arial" w:eastAsia="Arial" w:hAnsi="Arial"/>
          <w:sz w:val="12"/>
          <w:szCs w:val="1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Participants may also access the slides and the webcast of the conference call via the “Events &amp; Presentations” page of the Investor section of the Company’s website at www.BioNTech.com. A replay</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135"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of the webcast will be available shortly after the conclusion of the call and archived on the Company’s website for 30 days following the call.</w:t>
      </w: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Duality Biologics, Fosun Pharma, Genentech, a member of the Roche Group, Genevant, Genmab, MediLink, OncoC4, Pfizer and Regeneron.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please visit www.BioNTech.com.</w:t>
      </w: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BioNTech’s expected revenues and net profit/(loss) related to sales of BioNTech’s COVID-19 vaccine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clinical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clinical trials, and the registrational potential of any clinical trial BioNTech may initiate; discussions with regulatory agencies; BioNTech’s expectations with respect to intellectual property; the impact of BioNTech’s collaboration and licensing agreements; the development, nature and feasibility of sustainable vaccine production and supply solutions; the deployment of AI across BioNTech’s preclinical and clinical operations; BioNTech’s expectations with respect to tariff policy; BioNTech’s estimates of revenues, research and development expenses, selling, general and administrative expenses and capital expenditures for operating activities; BioNTech’s expectations regarding upcoming payments relating to litigation settlements; BioNTech’s expectations for upcoming scientific and investor presentations; and BioNTech’s expectations of net profit / (loss).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162" w:right="299" w:bottom="1440" w:gutter="0" w:footer="0" w:header="0"/>
        </w:sectPr>
      </w:pPr>
    </w:p>
    <w:bookmarkStart w:id="10" w:name="page11"/>
    <w:bookmarkEnd w:id="10"/>
    <w:p>
      <w:pPr>
        <w:jc w:val="both"/>
        <w:spacing w:after="0" w:line="26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regarding its COVID-19 vaccine with 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and political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 You should review the risks and uncertainties described under the heading “Risk Factors” in BioNTech’s Report on Form 6-K for the period ended March 31,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Michael Horowicz</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Investors@biontech.de</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162"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Target Overview</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Anti-PD-(L)1</w:t>
            </w:r>
          </w:p>
        </w:tc>
        <w:tc>
          <w:tcPr>
            <w:tcW w:w="70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Anti-programmed cell death protein (death-ligand) 1</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PD-L1</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Programmed death-ligand 1</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TROP2</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Trophoblast cell-surface antigen 2</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VEGF-A</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Vascular endothelial growth factor 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324" w:right="2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6661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ectPr>
          <w:pgSz w:w="11900" w:h="16838" w:orient="portrait"/>
          <w:cols w:equalWidth="0" w:num="1">
            <w:col w:w="11300"/>
          </w:cols>
          <w:pgMar w:left="300" w:top="132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i w:val="1"/>
          <w:iCs w:val="1"/>
          <w:color w:val="005A64"/>
        </w:rPr>
        <w:t>(in millions €,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0"/>
          <w:szCs w:val="10"/>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517779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005A64"/>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Other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Finance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005A64"/>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b w:val="1"/>
          <w:bCs w:val="1"/>
          <w:color w:val="3C9673"/>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05A64"/>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17779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779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005A64"/>
        </w:rPr>
        <w:t>Three months ended</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005A64"/>
        </w:rPr>
        <w:t>March 31,</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1500" w:type="dxa"/>
            <w:vAlign w:val="bottom"/>
            <w:tcBorders>
              <w:top w:val="single" w:sz="8" w:color="BECD32"/>
              <w:left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00" w:type="dxa"/>
            <w:vAlign w:val="bottom"/>
            <w:tcBorders>
              <w:top w:val="single" w:sz="8" w:color="BECD32"/>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005A64"/>
              </w:rPr>
              <w:t>2024</w:t>
            </w:r>
          </w:p>
        </w:tc>
      </w:tr>
      <w:tr>
        <w:trPr>
          <w:trHeight w:val="172"/>
        </w:trPr>
        <w:tc>
          <w:tcPr>
            <w:tcW w:w="80" w:type="dxa"/>
            <w:vAlign w:val="bottom"/>
            <w:tcBorders>
              <w:left w:val="single" w:sz="8" w:color="BECD32"/>
            </w:tcBorders>
          </w:tcPr>
          <w:p>
            <w:pPr>
              <w:spacing w:after="0"/>
              <w:rPr>
                <w:sz w:val="14"/>
                <w:szCs w:val="14"/>
                <w:color w:val="auto"/>
              </w:rPr>
            </w:pPr>
          </w:p>
        </w:tc>
        <w:tc>
          <w:tcPr>
            <w:tcW w:w="1520" w:type="dxa"/>
            <w:vAlign w:val="bottom"/>
            <w:tcBorders>
              <w:right w:val="single" w:sz="8" w:color="BECD32"/>
            </w:tcBorders>
            <w:gridSpan w:val="2"/>
          </w:tcPr>
          <w:p>
            <w:pPr>
              <w:ind w:left="860"/>
              <w:spacing w:after="0"/>
              <w:rPr>
                <w:sz w:val="20"/>
                <w:szCs w:val="20"/>
                <w:color w:val="auto"/>
              </w:rPr>
            </w:pPr>
            <w:r>
              <w:rPr>
                <w:rFonts w:ascii="Arial" w:cs="Arial" w:eastAsia="Arial" w:hAnsi="Arial"/>
                <w:sz w:val="11"/>
                <w:szCs w:val="11"/>
                <w:i w:val="1"/>
                <w:iCs w:val="1"/>
                <w:color w:val="005A64"/>
              </w:rPr>
              <w:t>(unaudited)</w:t>
            </w:r>
          </w:p>
        </w:tc>
        <w:tc>
          <w:tcPr>
            <w:tcW w:w="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i w:val="1"/>
                <w:iCs w:val="1"/>
                <w:color w:val="005A64"/>
              </w:rPr>
              <w:t>(unaudited)</w:t>
            </w:r>
          </w:p>
        </w:tc>
      </w:tr>
      <w:tr>
        <w:trPr>
          <w:trHeight w:val="160"/>
        </w:trPr>
        <w:tc>
          <w:tcPr>
            <w:tcW w:w="1500" w:type="dxa"/>
            <w:vAlign w:val="bottom"/>
            <w:tcBorders>
              <w:top w:val="single" w:sz="8" w:color="005A64"/>
              <w:left w:val="single" w:sz="8" w:color="BECD32"/>
              <w:bottom w:val="single" w:sz="8" w:color="7FACB1"/>
            </w:tcBorders>
            <w:gridSpan w:val="2"/>
          </w:tcPr>
          <w:p>
            <w:pPr>
              <w:jc w:val="right"/>
              <w:spacing w:after="0"/>
              <w:rPr>
                <w:sz w:val="20"/>
                <w:szCs w:val="20"/>
                <w:color w:val="auto"/>
              </w:rPr>
            </w:pPr>
            <w:r>
              <w:rPr>
                <w:rFonts w:ascii="Arial" w:cs="Arial" w:eastAsia="Arial" w:hAnsi="Arial"/>
                <w:sz w:val="11"/>
                <w:szCs w:val="11"/>
                <w:color w:val="005A64"/>
              </w:rPr>
              <w:t>182.8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top w:val="single" w:sz="8" w:color="005A64"/>
              <w:bottom w:val="single" w:sz="8" w:color="7FACB1"/>
            </w:tcBorders>
          </w:tcPr>
          <w:p>
            <w:pPr>
              <w:jc w:val="right"/>
              <w:spacing w:after="0"/>
              <w:rPr>
                <w:sz w:val="20"/>
                <w:szCs w:val="20"/>
                <w:color w:val="auto"/>
              </w:rPr>
            </w:pPr>
            <w:r>
              <w:rPr>
                <w:rFonts w:ascii="Arial" w:cs="Arial" w:eastAsia="Arial" w:hAnsi="Arial"/>
                <w:sz w:val="11"/>
                <w:szCs w:val="11"/>
                <w:color w:val="005A64"/>
              </w:rPr>
              <w:t>187.6</w:t>
            </w:r>
          </w:p>
        </w:tc>
      </w:tr>
      <w:tr>
        <w:trPr>
          <w:trHeight w:val="160"/>
        </w:trPr>
        <w:tc>
          <w:tcPr>
            <w:tcW w:w="1500" w:type="dxa"/>
            <w:vAlign w:val="bottom"/>
            <w:tcBorders>
              <w:left w:val="single" w:sz="8" w:color="BECD32"/>
              <w:bottom w:val="single" w:sz="8" w:color="7FACB1"/>
            </w:tcBorders>
            <w:gridSpan w:val="2"/>
          </w:tcPr>
          <w:p>
            <w:pPr>
              <w:jc w:val="right"/>
              <w:spacing w:after="0"/>
              <w:rPr>
                <w:sz w:val="20"/>
                <w:szCs w:val="20"/>
                <w:color w:val="auto"/>
              </w:rPr>
            </w:pPr>
            <w:r>
              <w:rPr>
                <w:rFonts w:ascii="Arial" w:cs="Arial" w:eastAsia="Arial" w:hAnsi="Arial"/>
                <w:sz w:val="11"/>
                <w:szCs w:val="11"/>
                <w:color w:val="005A64"/>
              </w:rPr>
              <w:t>(83.8)</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(59.1)</w:t>
            </w:r>
          </w:p>
        </w:tc>
      </w:tr>
      <w:tr>
        <w:trPr>
          <w:trHeight w:val="161"/>
        </w:trPr>
        <w:tc>
          <w:tcPr>
            <w:tcW w:w="80" w:type="dxa"/>
            <w:vAlign w:val="bottom"/>
            <w:tcBorders>
              <w:left w:val="single" w:sz="8" w:color="BECD32"/>
            </w:tcBorders>
          </w:tcPr>
          <w:p>
            <w:pPr>
              <w:spacing w:after="0"/>
              <w:rPr>
                <w:sz w:val="14"/>
                <w:szCs w:val="14"/>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(525.6)</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(507.5)</w:t>
            </w:r>
          </w:p>
        </w:tc>
      </w:tr>
      <w:tr>
        <w:trPr>
          <w:trHeight w:val="160"/>
        </w:trPr>
        <w:tc>
          <w:tcPr>
            <w:tcW w:w="80" w:type="dxa"/>
            <w:vAlign w:val="bottom"/>
            <w:tcBorders>
              <w:left w:val="single" w:sz="8" w:color="BECD32"/>
            </w:tcBorders>
          </w:tcPr>
          <w:p>
            <w:pPr>
              <w:spacing w:after="0"/>
              <w:rPr>
                <w:sz w:val="13"/>
                <w:szCs w:val="13"/>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(15.6)</w:t>
            </w:r>
          </w:p>
        </w:tc>
      </w:tr>
      <w:tr>
        <w:trPr>
          <w:trHeight w:val="160"/>
        </w:trPr>
        <w:tc>
          <w:tcPr>
            <w:tcW w:w="80" w:type="dxa"/>
            <w:vAlign w:val="bottom"/>
            <w:tcBorders>
              <w:left w:val="single" w:sz="8" w:color="BECD32"/>
            </w:tcBorders>
          </w:tcPr>
          <w:p>
            <w:pPr>
              <w:spacing w:after="0"/>
              <w:rPr>
                <w:sz w:val="13"/>
                <w:szCs w:val="13"/>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(106.9)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(117.0)</w:t>
            </w:r>
          </w:p>
        </w:tc>
      </w:tr>
      <w:tr>
        <w:trPr>
          <w:trHeight w:val="160"/>
        </w:trPr>
        <w:tc>
          <w:tcPr>
            <w:tcW w:w="80" w:type="dxa"/>
            <w:vAlign w:val="bottom"/>
            <w:tcBorders>
              <w:left w:val="single" w:sz="8" w:color="BECD32"/>
            </w:tcBorders>
          </w:tcPr>
          <w:p>
            <w:pPr>
              <w:spacing w:after="0"/>
              <w:rPr>
                <w:sz w:val="13"/>
                <w:szCs w:val="13"/>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(48.5)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(23.9)</w:t>
            </w:r>
          </w:p>
        </w:tc>
      </w:tr>
      <w:tr>
        <w:trPr>
          <w:trHeight w:val="160"/>
        </w:trPr>
        <w:tc>
          <w:tcPr>
            <w:tcW w:w="80" w:type="dxa"/>
            <w:vAlign w:val="bottom"/>
            <w:tcBorders>
              <w:left w:val="single" w:sz="8" w:color="BECD32"/>
            </w:tcBorders>
          </w:tcPr>
          <w:p>
            <w:pPr>
              <w:spacing w:after="0"/>
              <w:rPr>
                <w:sz w:val="13"/>
                <w:szCs w:val="13"/>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61.6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28.3</w:t>
            </w:r>
          </w:p>
        </w:tc>
      </w:tr>
      <w:tr>
        <w:trPr>
          <w:trHeight w:val="163"/>
        </w:trPr>
        <w:tc>
          <w:tcPr>
            <w:tcW w:w="80" w:type="dxa"/>
            <w:vAlign w:val="bottom"/>
            <w:tcBorders>
              <w:left w:val="single" w:sz="8" w:color="BECD32"/>
            </w:tcBorders>
          </w:tcPr>
          <w:p>
            <w:pPr>
              <w:spacing w:after="0"/>
              <w:rPr>
                <w:sz w:val="14"/>
                <w:szCs w:val="14"/>
                <w:color w:val="auto"/>
              </w:rPr>
            </w:pPr>
          </w:p>
        </w:tc>
        <w:tc>
          <w:tcPr>
            <w:tcW w:w="142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(534.1)</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(507.2)</w:t>
            </w:r>
          </w:p>
        </w:tc>
      </w:tr>
      <w:tr>
        <w:trPr>
          <w:trHeight w:val="157"/>
        </w:trPr>
        <w:tc>
          <w:tcPr>
            <w:tcW w:w="80" w:type="dxa"/>
            <w:vAlign w:val="bottom"/>
            <w:tcBorders>
              <w:left w:val="single" w:sz="8" w:color="BECD32"/>
            </w:tcBorders>
          </w:tcPr>
          <w:p>
            <w:pPr>
              <w:spacing w:after="0"/>
              <w:rPr>
                <w:sz w:val="13"/>
                <w:szCs w:val="13"/>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122.6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180.1</w:t>
            </w:r>
          </w:p>
        </w:tc>
      </w:tr>
      <w:tr>
        <w:trPr>
          <w:trHeight w:val="160"/>
        </w:trPr>
        <w:tc>
          <w:tcPr>
            <w:tcW w:w="80" w:type="dxa"/>
            <w:vAlign w:val="bottom"/>
            <w:tcBorders>
              <w:left w:val="single" w:sz="8" w:color="BECD32"/>
            </w:tcBorders>
          </w:tcPr>
          <w:p>
            <w:pPr>
              <w:spacing w:after="0"/>
              <w:rPr>
                <w:sz w:val="13"/>
                <w:szCs w:val="13"/>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(33.9)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(4.7)</w:t>
            </w:r>
          </w:p>
        </w:tc>
      </w:tr>
      <w:tr>
        <w:trPr>
          <w:trHeight w:val="163"/>
        </w:trPr>
        <w:tc>
          <w:tcPr>
            <w:tcW w:w="80" w:type="dxa"/>
            <w:vAlign w:val="bottom"/>
            <w:tcBorders>
              <w:left w:val="single" w:sz="8" w:color="BECD32"/>
            </w:tcBorders>
          </w:tcPr>
          <w:p>
            <w:pPr>
              <w:spacing w:after="0"/>
              <w:rPr>
                <w:sz w:val="14"/>
                <w:szCs w:val="14"/>
                <w:color w:val="auto"/>
              </w:rPr>
            </w:pPr>
          </w:p>
        </w:tc>
        <w:tc>
          <w:tcPr>
            <w:tcW w:w="142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(445.4)</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(331.8)</w:t>
            </w:r>
          </w:p>
        </w:tc>
      </w:tr>
      <w:tr>
        <w:trPr>
          <w:trHeight w:val="157"/>
        </w:trPr>
        <w:tc>
          <w:tcPr>
            <w:tcW w:w="80" w:type="dxa"/>
            <w:vAlign w:val="bottom"/>
            <w:tcBorders>
              <w:left w:val="single" w:sz="8" w:color="BECD32"/>
            </w:tcBorders>
          </w:tcPr>
          <w:p>
            <w:pPr>
              <w:spacing w:after="0"/>
              <w:rPr>
                <w:sz w:val="13"/>
                <w:szCs w:val="13"/>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16.7</w:t>
            </w:r>
          </w:p>
        </w:tc>
      </w:tr>
      <w:tr>
        <w:trPr>
          <w:trHeight w:val="163"/>
        </w:trPr>
        <w:tc>
          <w:tcPr>
            <w:tcW w:w="1500" w:type="dxa"/>
            <w:vAlign w:val="bottom"/>
            <w:tcBorders>
              <w:left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(415.8)</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b w:val="1"/>
                <w:bCs w:val="1"/>
                <w:color w:val="005A64"/>
              </w:rPr>
              <w:t>(315.1)</w:t>
            </w:r>
          </w:p>
        </w:tc>
      </w:tr>
      <w:tr>
        <w:trPr>
          <w:trHeight w:val="167"/>
        </w:trPr>
        <w:tc>
          <w:tcPr>
            <w:tcW w:w="80" w:type="dxa"/>
            <w:vAlign w:val="bottom"/>
            <w:tcBorders>
              <w:left w:val="single" w:sz="8" w:color="BECD32"/>
            </w:tcBorders>
          </w:tcPr>
          <w:p>
            <w:pPr>
              <w:spacing w:after="0"/>
              <w:rPr>
                <w:sz w:val="14"/>
                <w:szCs w:val="14"/>
                <w:color w:val="auto"/>
              </w:rPr>
            </w:pPr>
          </w:p>
        </w:tc>
        <w:tc>
          <w:tcPr>
            <w:tcW w:w="142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top w:val="single" w:sz="8" w:color="005A64"/>
              <w:bottom w:val="single" w:sz="8" w:color="7FACB1"/>
            </w:tcBorders>
          </w:tcPr>
          <w:p>
            <w:pPr>
              <w:spacing w:after="0"/>
              <w:rPr>
                <w:sz w:val="14"/>
                <w:szCs w:val="14"/>
                <w:color w:val="auto"/>
              </w:rPr>
            </w:pPr>
          </w:p>
        </w:tc>
      </w:tr>
      <w:tr>
        <w:trPr>
          <w:trHeight w:val="150"/>
        </w:trPr>
        <w:tc>
          <w:tcPr>
            <w:tcW w:w="150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1"/>
                <w:szCs w:val="11"/>
                <w:color w:val="005A64"/>
              </w:rPr>
              <w:t>(1.73)</w:t>
            </w:r>
          </w:p>
        </w:tc>
        <w:tc>
          <w:tcPr>
            <w:tcW w:w="100" w:type="dxa"/>
            <w:vAlign w:val="bottom"/>
            <w:tcBorders>
              <w:bottom w:val="single" w:sz="8" w:color="BECD32"/>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2">
            <w:col w:w="7500" w:space="720"/>
            <w:col w:w="3080"/>
          </w:cols>
          <w:pgMar w:left="300" w:top="1324" w:right="29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80" w:type="dxa"/>
            <w:vAlign w:val="bottom"/>
          </w:tcPr>
          <w:p>
            <w:pPr>
              <w:spacing w:after="0"/>
              <w:rPr>
                <w:sz w:val="14"/>
                <w:szCs w:val="14"/>
                <w:color w:val="auto"/>
              </w:rPr>
            </w:pPr>
          </w:p>
        </w:tc>
        <w:tc>
          <w:tcPr>
            <w:tcW w:w="140" w:type="dxa"/>
            <w:vAlign w:val="bottom"/>
            <w:tcBorders>
              <w:right w:val="single" w:sz="8" w:color="BECD32"/>
            </w:tcBorders>
          </w:tcPr>
          <w:p>
            <w:pPr>
              <w:spacing w:after="0"/>
              <w:rPr>
                <w:sz w:val="14"/>
                <w:szCs w:val="14"/>
                <w:color w:val="auto"/>
              </w:rPr>
            </w:pPr>
          </w:p>
        </w:tc>
        <w:tc>
          <w:tcPr>
            <w:tcW w:w="100" w:type="dxa"/>
            <w:vAlign w:val="bottom"/>
            <w:tcBorders>
              <w:top w:val="single" w:sz="8" w:color="BECD32"/>
            </w:tcBorders>
          </w:tcPr>
          <w:p>
            <w:pPr>
              <w:spacing w:after="0"/>
              <w:rPr>
                <w:sz w:val="14"/>
                <w:szCs w:val="14"/>
                <w:color w:val="auto"/>
              </w:rPr>
            </w:pPr>
          </w:p>
        </w:tc>
        <w:tc>
          <w:tcPr>
            <w:tcW w:w="1900" w:type="dxa"/>
            <w:vAlign w:val="bottom"/>
            <w:tcBorders>
              <w:top w:val="single" w:sz="8" w:color="BECD32"/>
              <w:right w:val="single" w:sz="8" w:color="BECD32"/>
            </w:tcBorders>
            <w:gridSpan w:val="2"/>
          </w:tcPr>
          <w:p>
            <w:pPr>
              <w:jc w:val="right"/>
              <w:ind w:right="140"/>
              <w:spacing w:after="0"/>
              <w:rPr>
                <w:sz w:val="20"/>
                <w:szCs w:val="20"/>
                <w:color w:val="auto"/>
              </w:rPr>
            </w:pPr>
            <w:r>
              <w:rPr>
                <w:rFonts w:ascii="Arial" w:cs="Arial" w:eastAsia="Arial" w:hAnsi="Arial"/>
                <w:sz w:val="11"/>
                <w:szCs w:val="11"/>
                <w:b w:val="1"/>
                <w:bCs w:val="1"/>
                <w:color w:val="005A64"/>
              </w:rPr>
              <w:t>March 31,</w:t>
            </w: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December 31,</w:t>
            </w:r>
          </w:p>
        </w:tc>
      </w:tr>
      <w:tr>
        <w:trPr>
          <w:trHeight w:val="16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2025</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2024</w:t>
            </w:r>
          </w:p>
        </w:tc>
      </w:tr>
      <w:tr>
        <w:trPr>
          <w:trHeight w:val="178"/>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Assets</w:t>
            </w:r>
          </w:p>
        </w:tc>
        <w:tc>
          <w:tcPr>
            <w:tcW w:w="14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4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005A64"/>
            </w:tcBorders>
          </w:tcPr>
          <w:p>
            <w:pPr>
              <w:spacing w:after="0"/>
              <w:rPr>
                <w:sz w:val="15"/>
                <w:szCs w:val="15"/>
                <w:color w:val="auto"/>
              </w:rPr>
            </w:pP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7"/>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Goodwill</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375.9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380.6</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intangible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1,511.2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790.4</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Property, plant and equipment</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1,026.1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935.3</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Right-of-use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241.9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248.1</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9.8</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2,285.8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1,254.0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22.6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26.3</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Deferred tax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85.5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81.7</w:t>
            </w:r>
          </w:p>
        </w:tc>
      </w:tr>
      <w:tr>
        <w:trPr>
          <w:trHeight w:val="163"/>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assets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5,556.9</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3,726.2</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Inventories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254.4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283.3</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Trade and other receivables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956.5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1,463.9</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3,924.9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7,021.7</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234.3</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212.7</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60.5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50.0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Cash and cash equivalents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10,184.9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9,761.9</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assets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15,625.5</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18,803.5</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assets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21,182.4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22,529.7</w:t>
            </w:r>
          </w:p>
        </w:tc>
      </w:tr>
      <w:tr>
        <w:trPr>
          <w:trHeight w:val="322"/>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Equity and liabilities</w:t>
            </w:r>
          </w:p>
        </w:tc>
        <w:tc>
          <w:tcPr>
            <w:tcW w:w="14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005A64"/>
            </w:tcBorders>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005A64"/>
            </w:tcBorders>
          </w:tcPr>
          <w:p>
            <w:pPr>
              <w:spacing w:after="0"/>
              <w:rPr>
                <w:sz w:val="24"/>
                <w:szCs w:val="24"/>
                <w:color w:val="auto"/>
              </w:rPr>
            </w:pP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Equity</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Share capital</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248.6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248.6</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Capital reserve</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1,447.4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1,398.6</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Treasury shares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(8.6)</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Retained earnings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18,682.2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19,098.0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reserves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(1,443.4)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(1,325.5)</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18,926.6</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19,411.1</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237.5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214.7</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150.9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46.9</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20.8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20.9</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182.9</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183.0</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85.1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87.5</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Deferred tax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44.1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42.4</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liabilities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721.3</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595.4</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55.5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39.5</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Trade payables and other payables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443.8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426.7</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443.4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1,443.4</w:t>
            </w:r>
          </w:p>
        </w:tc>
      </w:tr>
      <w:tr>
        <w:trPr>
          <w:trHeight w:val="160"/>
        </w:trPr>
        <w:tc>
          <w:tcPr>
            <w:tcW w:w="742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1"/>
                <w:szCs w:val="11"/>
                <w:color w:val="005A64"/>
              </w:rPr>
              <w:t>Income tax liabilities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4.5</w:t>
            </w:r>
          </w:p>
        </w:tc>
      </w:tr>
      <w:tr>
        <w:trPr>
          <w:trHeight w:val="161"/>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Provisions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121.9</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144.8</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294.5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294.9</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170.0</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169.4</w:t>
            </w:r>
          </w:p>
        </w:tc>
      </w:tr>
      <w:tr>
        <w:trPr>
          <w:trHeight w:val="163"/>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liabilities</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1,534.5</w:t>
            </w:r>
          </w:p>
        </w:tc>
        <w:tc>
          <w:tcPr>
            <w:tcW w:w="140" w:type="dxa"/>
            <w:vAlign w:val="bottom"/>
            <w:tcBorders>
              <w:right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2,523.2</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liabilities</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2,255.8</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3,118.6</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 and liabilities</w:t>
            </w:r>
          </w:p>
        </w:tc>
        <w:tc>
          <w:tcPr>
            <w:tcW w:w="140" w:type="dxa"/>
            <w:vAlign w:val="bottom"/>
            <w:tcBorders>
              <w:right w:val="single" w:sz="8" w:color="BECD32"/>
            </w:tcBorders>
          </w:tcPr>
          <w:p>
            <w:pPr>
              <w:spacing w:after="0"/>
              <w:rPr>
                <w:sz w:val="13"/>
                <w:szCs w:val="13"/>
                <w:color w:val="auto"/>
              </w:rPr>
            </w:pPr>
          </w:p>
        </w:tc>
        <w:tc>
          <w:tcPr>
            <w:tcW w:w="18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21,182.4</w:t>
            </w:r>
          </w:p>
        </w:tc>
        <w:tc>
          <w:tcPr>
            <w:tcW w:w="14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22,529.7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324" w:right="299" w:bottom="1440" w:gutter="0" w:footer="0" w:header="0"/>
        </w:sectPr>
      </w:pPr>
    </w:p>
    <w:bookmarkStart w:id="14" w:name="page15"/>
    <w:bookmarkEnd w:id="14"/>
    <w:p>
      <w:pPr>
        <w:jc w:val="center"/>
        <w:ind w:right="3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34465" cy="148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34465" cy="148590"/>
                    </a:xfrm>
                    <a:prstGeom prst="rect">
                      <a:avLst/>
                    </a:prstGeom>
                    <a:noFill/>
                  </pic:spPr>
                </pic:pic>
              </a:graphicData>
            </a:graphic>
          </wp:anchor>
        </w:drawing>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6109335"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09335" cy="1143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gridSpan w:val="4"/>
          </w:tcPr>
          <w:p>
            <w:pPr>
              <w:jc w:val="center"/>
              <w:ind w:left="552"/>
              <w:spacing w:after="0"/>
              <w:rPr>
                <w:sz w:val="20"/>
                <w:szCs w:val="20"/>
                <w:color w:val="auto"/>
              </w:rPr>
            </w:pPr>
            <w:r>
              <w:rPr>
                <w:rFonts w:ascii="Arial" w:cs="Arial" w:eastAsia="Arial" w:hAnsi="Arial"/>
                <w:sz w:val="10"/>
                <w:szCs w:val="10"/>
                <w:b w:val="1"/>
                <w:bCs w:val="1"/>
                <w:color w:val="005A64"/>
                <w:w w:val="95"/>
              </w:rPr>
              <w:t>Three months ended</w:t>
            </w:r>
          </w:p>
        </w:tc>
        <w:tc>
          <w:tcPr>
            <w:tcW w:w="600" w:type="dxa"/>
            <w:vAlign w:val="bottom"/>
          </w:tcPr>
          <w:p>
            <w:pPr>
              <w:spacing w:after="0"/>
              <w:rPr>
                <w:sz w:val="10"/>
                <w:szCs w:val="10"/>
                <w:color w:val="auto"/>
              </w:rPr>
            </w:pPr>
          </w:p>
        </w:tc>
      </w:tr>
      <w:tr>
        <w:trPr>
          <w:trHeight w:val="131"/>
        </w:trPr>
        <w:tc>
          <w:tcPr>
            <w:tcW w:w="7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4"/>
          </w:tcPr>
          <w:p>
            <w:pPr>
              <w:jc w:val="center"/>
              <w:ind w:left="572"/>
              <w:spacing w:after="0"/>
              <w:rPr>
                <w:sz w:val="20"/>
                <w:szCs w:val="20"/>
                <w:color w:val="auto"/>
              </w:rPr>
            </w:pPr>
            <w:r>
              <w:rPr>
                <w:rFonts w:ascii="Arial" w:cs="Arial" w:eastAsia="Arial" w:hAnsi="Arial"/>
                <w:sz w:val="10"/>
                <w:szCs w:val="10"/>
                <w:b w:val="1"/>
                <w:bCs w:val="1"/>
                <w:color w:val="005A64"/>
                <w:w w:val="95"/>
              </w:rPr>
              <w:t>March 31,</w:t>
            </w:r>
          </w:p>
        </w:tc>
        <w:tc>
          <w:tcPr>
            <w:tcW w:w="600" w:type="dxa"/>
            <w:vAlign w:val="bottom"/>
          </w:tcPr>
          <w:p>
            <w:pPr>
              <w:spacing w:after="0"/>
              <w:rPr>
                <w:sz w:val="11"/>
                <w:szCs w:val="11"/>
                <w:color w:val="auto"/>
              </w:rPr>
            </w:pPr>
          </w:p>
        </w:tc>
      </w:tr>
      <w:tr>
        <w:trPr>
          <w:trHeight w:val="182"/>
        </w:trPr>
        <w:tc>
          <w:tcPr>
            <w:tcW w:w="7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BECD32"/>
            </w:tcBorders>
            <w:gridSpan w:val="2"/>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31"/>
        </w:trPr>
        <w:tc>
          <w:tcPr>
            <w:tcW w:w="7080" w:type="dxa"/>
            <w:vAlign w:val="bottom"/>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005A64"/>
              </w:rPr>
              <w:t>2024</w:t>
            </w:r>
          </w:p>
        </w:tc>
      </w:tr>
      <w:tr>
        <w:trPr>
          <w:trHeight w:val="158"/>
        </w:trPr>
        <w:tc>
          <w:tcPr>
            <w:tcW w:w="7180" w:type="dxa"/>
            <w:vAlign w:val="bottom"/>
            <w:tcBorders>
              <w:right w:val="single" w:sz="8" w:color="BECD32"/>
            </w:tcBorders>
            <w:gridSpan w:val="2"/>
          </w:tcPr>
          <w:p>
            <w:pPr>
              <w:ind w:left="20"/>
              <w:spacing w:after="0"/>
              <w:rPr>
                <w:sz w:val="20"/>
                <w:szCs w:val="20"/>
                <w:color w:val="auto"/>
              </w:rPr>
            </w:pPr>
            <w:r>
              <w:rPr>
                <w:rFonts w:ascii="Arial" w:cs="Arial" w:eastAsia="Arial" w:hAnsi="Arial"/>
                <w:sz w:val="10"/>
                <w:szCs w:val="10"/>
                <w:i w:val="1"/>
                <w:iCs w:val="1"/>
                <w:color w:val="005A64"/>
              </w:rPr>
              <w:t>(in millions €)</w:t>
            </w:r>
          </w:p>
        </w:tc>
        <w:tc>
          <w:tcPr>
            <w:tcW w:w="60" w:type="dxa"/>
            <w:vAlign w:val="bottom"/>
          </w:tcPr>
          <w:p>
            <w:pPr>
              <w:spacing w:after="0"/>
              <w:rPr>
                <w:sz w:val="13"/>
                <w:szCs w:val="13"/>
                <w:color w:val="auto"/>
              </w:rPr>
            </w:pPr>
          </w:p>
        </w:tc>
        <w:tc>
          <w:tcPr>
            <w:tcW w:w="1220" w:type="dxa"/>
            <w:vAlign w:val="bottom"/>
            <w:tcBorders>
              <w:right w:val="single" w:sz="8" w:color="BECD32"/>
            </w:tcBorders>
            <w:gridSpan w:val="2"/>
          </w:tcPr>
          <w:p>
            <w:pPr>
              <w:ind w:left="620"/>
              <w:spacing w:after="0"/>
              <w:rPr>
                <w:sz w:val="20"/>
                <w:szCs w:val="20"/>
                <w:color w:val="auto"/>
              </w:rPr>
            </w:pPr>
            <w:r>
              <w:rPr>
                <w:rFonts w:ascii="Arial" w:cs="Arial" w:eastAsia="Arial" w:hAnsi="Arial"/>
                <w:sz w:val="10"/>
                <w:szCs w:val="10"/>
                <w:i w:val="1"/>
                <w:iCs w:val="1"/>
                <w:color w:val="005A64"/>
              </w:rPr>
              <w:t>(unaudited)</w:t>
            </w:r>
          </w:p>
        </w:tc>
        <w:tc>
          <w:tcPr>
            <w:tcW w:w="560" w:type="dxa"/>
            <w:vAlign w:val="bottom"/>
            <w:gridSpan w:val="2"/>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0"/>
                <w:szCs w:val="10"/>
                <w:i w:val="1"/>
                <w:iCs w:val="1"/>
                <w:color w:val="005A64"/>
              </w:rPr>
              <w:t>(unaudited)</w:t>
            </w:r>
          </w:p>
        </w:tc>
      </w:tr>
      <w:tr>
        <w:trPr>
          <w:trHeight w:val="24"/>
        </w:trPr>
        <w:tc>
          <w:tcPr>
            <w:tcW w:w="708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5A64"/>
            </w:tcBorders>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r>
      <w:tr>
        <w:trPr>
          <w:trHeight w:val="140"/>
        </w:trPr>
        <w:tc>
          <w:tcPr>
            <w:tcW w:w="718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Operating activities</w:t>
            </w:r>
          </w:p>
        </w:tc>
        <w:tc>
          <w:tcPr>
            <w:tcW w:w="60" w:type="dxa"/>
            <w:vAlign w:val="bottom"/>
            <w:tcBorders>
              <w:bottom w:val="single" w:sz="8" w:color="7FACB1"/>
            </w:tcBorders>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spacing w:after="0"/>
              <w:rPr>
                <w:sz w:val="12"/>
                <w:szCs w:val="12"/>
                <w:color w:val="auto"/>
              </w:rPr>
            </w:pPr>
          </w:p>
        </w:tc>
      </w:tr>
      <w:tr>
        <w:trPr>
          <w:trHeight w:val="146"/>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Net loss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(415.8)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(315.1)</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Income taxes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(29.6)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(16.7)</w:t>
            </w:r>
          </w:p>
        </w:tc>
      </w:tr>
      <w:tr>
        <w:trPr>
          <w:trHeight w:val="144"/>
        </w:trPr>
        <w:tc>
          <w:tcPr>
            <w:tcW w:w="70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Loss before tax</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(445.4)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(331.8)</w:t>
            </w:r>
          </w:p>
        </w:tc>
      </w:tr>
      <w:tr>
        <w:trPr>
          <w:trHeight w:val="146"/>
        </w:trPr>
        <w:tc>
          <w:tcPr>
            <w:tcW w:w="718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Adjustments to reconcile profit before tax to net cash flows:</w:t>
            </w:r>
          </w:p>
        </w:tc>
        <w:tc>
          <w:tcPr>
            <w:tcW w:w="60" w:type="dxa"/>
            <w:vAlign w:val="bottom"/>
            <w:tcBorders>
              <w:bottom w:val="single" w:sz="8" w:color="7FACB1"/>
            </w:tcBorders>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spacing w:after="0"/>
              <w:rPr>
                <w:sz w:val="12"/>
                <w:szCs w:val="12"/>
                <w:color w:val="auto"/>
              </w:rPr>
            </w:pPr>
          </w:p>
        </w:tc>
      </w:tr>
      <w:tr>
        <w:trPr>
          <w:trHeight w:val="146"/>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Depreciation and amortization of property, plant, equipment, intangible assets and right-of-use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38.3</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Share-based payment expenses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16.3</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Net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48.3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(28.7)</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(Gain) / Loss on disposal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Finance income excluding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(122.6)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(174.9)</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Finance expense excluding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4.7</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Government grants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(9.1)</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Other non-cash (income) / loss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Unrealized (gain) / loss on derivative instruments at fair value through profit or loss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w:t>
            </w:r>
          </w:p>
        </w:tc>
      </w:tr>
      <w:tr>
        <w:trPr>
          <w:trHeight w:val="148"/>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b w:val="1"/>
                <w:bCs w:val="1"/>
                <w:color w:val="3C9673"/>
              </w:rPr>
              <w:t>Working capital adjustments: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spacing w:after="0"/>
              <w:rPr>
                <w:sz w:val="12"/>
                <w:szCs w:val="12"/>
                <w:color w:val="auto"/>
              </w:rPr>
            </w:pPr>
          </w:p>
        </w:tc>
      </w:tr>
      <w:tr>
        <w:trPr>
          <w:trHeight w:val="145"/>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in trade and other receivables, contract assets and other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520.7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498.2</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in inventories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33.8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12.3</w:t>
            </w:r>
          </w:p>
        </w:tc>
      </w:tr>
      <w:tr>
        <w:trPr>
          <w:trHeight w:val="142"/>
        </w:trPr>
        <w:tc>
          <w:tcPr>
            <w:tcW w:w="708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in trade payables, other financial liabilities, other liabilities, contract liabilities, refund liabilities and provisions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(971.0)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(288.0)</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Interest received and realized gains from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118.6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199.4</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Interest paid and realized losses from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(3.7)</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Income tax paid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(258.8)</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Share-based payments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Government grants received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9.2</w:t>
            </w:r>
          </w:p>
        </w:tc>
      </w:tr>
      <w:tr>
        <w:trPr>
          <w:trHeight w:val="144"/>
        </w:trPr>
        <w:tc>
          <w:tcPr>
            <w:tcW w:w="70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used in operating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(780.7)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(317.3)</w:t>
            </w:r>
          </w:p>
        </w:tc>
      </w:tr>
      <w:tr>
        <w:trPr>
          <w:trHeight w:val="146"/>
        </w:trPr>
        <w:tc>
          <w:tcPr>
            <w:tcW w:w="718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Investing activities</w:t>
            </w:r>
          </w:p>
        </w:tc>
        <w:tc>
          <w:tcPr>
            <w:tcW w:w="60" w:type="dxa"/>
            <w:vAlign w:val="bottom"/>
            <w:tcBorders>
              <w:bottom w:val="single" w:sz="8" w:color="7FACB1"/>
            </w:tcBorders>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spacing w:after="0"/>
              <w:rPr>
                <w:sz w:val="12"/>
                <w:szCs w:val="12"/>
                <w:color w:val="auto"/>
              </w:rPr>
            </w:pPr>
          </w:p>
        </w:tc>
      </w:tr>
      <w:tr>
        <w:trPr>
          <w:trHeight w:val="145"/>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Purchase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(48.9)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(58.5)</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sale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Purchase of intangible assets and right-of-use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(569.2)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(78.4)</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Acquisition of subsidiaries and businesses, net of cash acquired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(78.5)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Investment in other financial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(2,507.7)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(4,895.1)</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Proceeds from maturity of other financial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4,450.6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2,727.6</w:t>
            </w:r>
          </w:p>
        </w:tc>
      </w:tr>
      <w:tr>
        <w:trPr>
          <w:trHeight w:val="144"/>
        </w:trPr>
        <w:tc>
          <w:tcPr>
            <w:tcW w:w="70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from / (used in) investing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1,246.8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(2,304.4)</w:t>
            </w:r>
          </w:p>
        </w:tc>
      </w:tr>
      <w:tr>
        <w:trPr>
          <w:trHeight w:val="145"/>
        </w:trPr>
        <w:tc>
          <w:tcPr>
            <w:tcW w:w="7180" w:type="dxa"/>
            <w:vAlign w:val="bottom"/>
            <w:tcBorders>
              <w:bottom w:val="single" w:sz="8" w:color="7FACB1"/>
              <w:right w:val="single" w:sz="8" w:color="BECD32"/>
            </w:tcBorders>
            <w:gridSpan w:val="2"/>
          </w:tcPr>
          <w:p>
            <w:pPr>
              <w:ind w:left="20"/>
              <w:spacing w:after="0"/>
              <w:rPr>
                <w:sz w:val="20"/>
                <w:szCs w:val="20"/>
                <w:color w:val="auto"/>
              </w:rPr>
            </w:pPr>
            <w:r>
              <w:rPr>
                <w:rFonts w:ascii="Arial" w:cs="Arial" w:eastAsia="Arial" w:hAnsi="Arial"/>
                <w:sz w:val="10"/>
                <w:szCs w:val="10"/>
                <w:b w:val="1"/>
                <w:bCs w:val="1"/>
                <w:color w:val="3C9673"/>
              </w:rPr>
              <w:t>Financing activities</w:t>
            </w:r>
          </w:p>
        </w:tc>
        <w:tc>
          <w:tcPr>
            <w:tcW w:w="60" w:type="dxa"/>
            <w:vAlign w:val="bottom"/>
            <w:tcBorders>
              <w:bottom w:val="single" w:sz="8" w:color="7FACB1"/>
            </w:tcBorders>
          </w:tcPr>
          <w:p>
            <w:pPr>
              <w:spacing w:after="0"/>
              <w:rPr>
                <w:sz w:val="12"/>
                <w:szCs w:val="12"/>
                <w:color w:val="auto"/>
              </w:rPr>
            </w:pPr>
          </w:p>
        </w:tc>
        <w:tc>
          <w:tcPr>
            <w:tcW w:w="11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spacing w:after="0"/>
              <w:rPr>
                <w:sz w:val="12"/>
                <w:szCs w:val="12"/>
                <w:color w:val="auto"/>
              </w:rPr>
            </w:pPr>
          </w:p>
        </w:tc>
      </w:tr>
      <w:tr>
        <w:trPr>
          <w:trHeight w:val="146"/>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Repayment of loans and borrowings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Payments related to lease liabilities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(7.8)</w:t>
            </w:r>
          </w:p>
        </w:tc>
      </w:tr>
      <w:tr>
        <w:trPr>
          <w:trHeight w:val="144"/>
        </w:trPr>
        <w:tc>
          <w:tcPr>
            <w:tcW w:w="70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Net cash flows used in financing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(13.8)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(7.8)</w:t>
            </w:r>
          </w:p>
        </w:tc>
      </w:tr>
      <w:tr>
        <w:trPr>
          <w:trHeight w:val="140"/>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Net increase / (decrease) in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452.3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(2,629.5)</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Change in cash and cash equivalents resulting from exchange rate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6.8</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Change in cash and cash equivalents resulting from other valuation effects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(64.4)</w:t>
            </w:r>
          </w:p>
        </w:tc>
      </w:tr>
      <w:tr>
        <w:trPr>
          <w:trHeight w:val="142"/>
        </w:trPr>
        <w:tc>
          <w:tcPr>
            <w:tcW w:w="7080" w:type="dxa"/>
            <w:vAlign w:val="bottom"/>
            <w:tcBorders>
              <w:bottom w:val="single" w:sz="8" w:color="7FACB1"/>
            </w:tcBorders>
          </w:tcPr>
          <w:p>
            <w:pPr>
              <w:ind w:left="20"/>
              <w:spacing w:after="0"/>
              <w:rPr>
                <w:sz w:val="20"/>
                <w:szCs w:val="20"/>
                <w:color w:val="auto"/>
              </w:rPr>
            </w:pPr>
            <w:r>
              <w:rPr>
                <w:rFonts w:ascii="Arial" w:cs="Arial" w:eastAsia="Arial" w:hAnsi="Arial"/>
                <w:sz w:val="10"/>
                <w:szCs w:val="10"/>
                <w:color w:val="005A64"/>
              </w:rPr>
              <w:t>Cash and cash equivalents at the beginning of the period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9,761.9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7FACB1"/>
            </w:tcBorders>
          </w:tcPr>
          <w:p>
            <w:pPr>
              <w:spacing w:after="0"/>
              <w:rPr>
                <w:sz w:val="12"/>
                <w:szCs w:val="12"/>
                <w:color w:val="auto"/>
              </w:rPr>
            </w:pPr>
          </w:p>
        </w:tc>
        <w:tc>
          <w:tcPr>
            <w:tcW w:w="6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11,663.7</w:t>
            </w:r>
          </w:p>
        </w:tc>
      </w:tr>
      <w:tr>
        <w:trPr>
          <w:trHeight w:val="144"/>
        </w:trPr>
        <w:tc>
          <w:tcPr>
            <w:tcW w:w="7080" w:type="dxa"/>
            <w:vAlign w:val="bottom"/>
            <w:tcBorders>
              <w:bottom w:val="single" w:sz="8" w:color="005A64"/>
            </w:tcBorders>
          </w:tcPr>
          <w:p>
            <w:pPr>
              <w:ind w:left="20"/>
              <w:spacing w:after="0"/>
              <w:rPr>
                <w:sz w:val="20"/>
                <w:szCs w:val="20"/>
                <w:color w:val="auto"/>
              </w:rPr>
            </w:pPr>
            <w:r>
              <w:rPr>
                <w:rFonts w:ascii="Arial" w:cs="Arial" w:eastAsia="Arial" w:hAnsi="Arial"/>
                <w:sz w:val="10"/>
                <w:szCs w:val="10"/>
                <w:b w:val="1"/>
                <w:bCs w:val="1"/>
                <w:color w:val="005A64"/>
              </w:rPr>
              <w:t>Cash and cash equivalents as of March 31</w:t>
            </w:r>
          </w:p>
        </w:tc>
        <w:tc>
          <w:tcPr>
            <w:tcW w:w="100" w:type="dxa"/>
            <w:vAlign w:val="bottom"/>
            <w:tcBorders>
              <w:right w:val="single" w:sz="8" w:color="BECD32"/>
            </w:tcBorders>
          </w:tcPr>
          <w:p>
            <w:pPr>
              <w:spacing w:after="0"/>
              <w:rPr>
                <w:sz w:val="12"/>
                <w:szCs w:val="12"/>
                <w:color w:val="auto"/>
              </w:rPr>
            </w:pPr>
          </w:p>
        </w:tc>
        <w:tc>
          <w:tcPr>
            <w:tcW w:w="118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10,184.9</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005A64"/>
            </w:tcBorders>
          </w:tcPr>
          <w:p>
            <w:pPr>
              <w:spacing w:after="0"/>
              <w:rPr>
                <w:sz w:val="12"/>
                <w:szCs w:val="12"/>
                <w:color w:val="auto"/>
              </w:rPr>
            </w:pPr>
          </w:p>
        </w:tc>
        <w:tc>
          <w:tcPr>
            <w:tcW w:w="6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8,976.6</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980"/>
          </w:cols>
          <w:pgMar w:left="620" w:top="1324" w:right="299" w:bottom="1440"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2025-05-05T05:59:43Z</dcterms:created>
  <dcterms:modified xsi:type="dcterms:W3CDTF">2025-05-05T05:59:43Z</dcterms:modified>
</cp:coreProperties>
</file>