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F-4</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194"/>
        </w:trPr>
        <w:tc>
          <w:tcPr>
            <w:tcW w:w="2960" w:type="dxa"/>
            <w:vAlign w:val="bottom"/>
          </w:tcPr>
          <w:p>
            <w:pPr>
              <w:jc w:val="center"/>
              <w:ind w:right="825"/>
              <w:spacing w:after="0"/>
              <w:rPr>
                <w:sz w:val="20"/>
                <w:szCs w:val="20"/>
                <w:color w:val="auto"/>
              </w:rPr>
            </w:pPr>
            <w:r>
              <w:rPr>
                <w:rFonts w:ascii="Times New Roman" w:cs="Times New Roman" w:eastAsia="Times New Roman" w:hAnsi="Times New Roman"/>
                <w:sz w:val="16"/>
                <w:szCs w:val="16"/>
                <w:b w:val="1"/>
                <w:bCs w:val="1"/>
                <w:color w:val="auto"/>
              </w:rPr>
              <w:t>Federal Republic of Germany</w:t>
            </w:r>
          </w:p>
        </w:tc>
        <w:tc>
          <w:tcPr>
            <w:tcW w:w="37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2836</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w w:val="99"/>
              </w:rPr>
              <w:t>98-151-1032</w:t>
            </w:r>
          </w:p>
        </w:tc>
      </w:tr>
      <w:tr>
        <w:trPr>
          <w:trHeight w:val="148"/>
        </w:trPr>
        <w:tc>
          <w:tcPr>
            <w:tcW w:w="29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6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Prof. Ugur Sahin, M.D.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An der Goldgrube 12</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D-55131 Mainz</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Germany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+49 6131-9084-0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BioNTech US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40 Erie St., Suite 110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Cambridge, MA 02139</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+1 (617) 337-4701</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9" w:lineRule="exact"/>
        <w:rPr>
          <w:sz w:val="24"/>
          <w:szCs w:val="24"/>
          <w:color w:val="auto"/>
        </w:rPr>
      </w:pPr>
    </w:p>
    <w:tbl>
      <w:tblPr>
        <w:tblLayout w:type="fixed"/>
        <w:tblInd w:w="176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53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33"/>
        </w:trPr>
        <w:tc>
          <w:tcPr>
            <w:tcW w:w="29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Paul Claydon</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Howard L. Ellin</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Jack S. Bodner</w:t>
            </w:r>
          </w:p>
        </w:tc>
        <w:tc>
          <w:tcPr>
            <w:tcW w:w="5340" w:type="dxa"/>
            <w:vAlign w:val="bottom"/>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June S. Dipchand</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Matthew T. Gehl</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Stephan Hutter</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Charles A. Dobb</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Holger Hofmeister</w:t>
            </w:r>
          </w:p>
        </w:tc>
      </w:tr>
      <w:tr>
        <w:trPr>
          <w:trHeight w:val="202"/>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Brian K. Rosenzweig</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Skadden, Arps, Slate, Meagher &amp; Flom LLP</w:t>
            </w:r>
          </w:p>
        </w:tc>
      </w:tr>
      <w:tr>
        <w:trPr>
          <w:trHeight w:val="203"/>
        </w:trPr>
        <w:tc>
          <w:tcPr>
            <w:tcW w:w="2900" w:type="dxa"/>
            <w:vAlign w:val="bottom"/>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Covington &amp; Burling LLP</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One Manhattan West</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30 Hudson Yards</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395 Ninth Avenue</w:t>
            </w:r>
          </w:p>
        </w:tc>
      </w:tr>
      <w:tr>
        <w:trPr>
          <w:trHeight w:val="203"/>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New York, New York 10001-2170</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New York, New York 10001</w:t>
            </w:r>
          </w:p>
        </w:tc>
      </w:tr>
      <w:tr>
        <w:trPr>
          <w:trHeight w:val="212"/>
        </w:trPr>
        <w:tc>
          <w:tcPr>
            <w:tcW w:w="290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9"/>
              </w:rPr>
              <w:t>Telephone: (212) 841-1000</w:t>
            </w:r>
          </w:p>
        </w:tc>
        <w:tc>
          <w:tcPr>
            <w:tcW w:w="5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of the securities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61" w:lineRule="exact"/>
        <w:rPr>
          <w:sz w:val="24"/>
          <w:szCs w:val="24"/>
          <w:color w:val="auto"/>
        </w:rPr>
      </w:pPr>
    </w:p>
    <w:p>
      <w:pPr>
        <w:ind w:left="120" w:right="2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12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2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82"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20" w:lineRule="exact"/>
        <w:rPr>
          <w:sz w:val="24"/>
          <w:szCs w:val="24"/>
          <w:color w:val="auto"/>
        </w:rPr>
      </w:pPr>
    </w:p>
    <w:p>
      <w:pPr>
        <w:ind w:left="914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03" w:lineRule="exact"/>
        <w:rPr>
          <w:sz w:val="24"/>
          <w:szCs w:val="24"/>
          <w:color w:val="auto"/>
        </w:rPr>
      </w:pPr>
    </w:p>
    <w:p>
      <w:pPr>
        <w:ind w:left="120" w:right="200"/>
        <w:spacing w:after="0" w:line="220"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This registration statement shall hereafter become effective in accordance with the provisions of section 8(a) of the Securities Act of 1933.</w:t>
      </w:r>
    </w:p>
    <w:p>
      <w:pPr>
        <w:spacing w:after="0" w:line="52" w:lineRule="exact"/>
        <w:rPr>
          <w:sz w:val="24"/>
          <w:szCs w:val="24"/>
          <w:color w:val="auto"/>
        </w:rPr>
      </w:pPr>
    </w:p>
    <w:p>
      <w:pPr>
        <w:ind w:left="340" w:right="160" w:hanging="224"/>
        <w:spacing w:after="0" w:line="26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368" w:lineRule="exact"/>
        <w:rPr>
          <w:sz w:val="20"/>
          <w:szCs w:val="20"/>
          <w:color w:val="auto"/>
        </w:rPr>
      </w:pPr>
    </w:p>
    <w:tbl>
      <w:tblPr>
        <w:tblLayout w:type="fixed"/>
        <w:tblInd w:w="100" w:type="dxa"/>
        <w:tblCellMar>
          <w:top w:w="0" w:type="dxa"/>
          <w:left w:w="0" w:type="dxa"/>
          <w:bottom w:w="0" w:type="dxa"/>
          <w:right w:w="0" w:type="dxa"/>
        </w:tblCellMar>
      </w:tblPr>
      <w:tr>
        <w:trPr>
          <w:trHeight w:val="4839"/>
        </w:trPr>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registration statement relating to these securities has been</w:t>
            </w:r>
          </w:p>
        </w:tc>
        <w:tc>
          <w:tcPr>
            <w:tcW w:w="200" w:type="dxa"/>
            <w:vAlign w:val="bottom"/>
            <w:textDirection w:val="btLr"/>
          </w:tcPr>
          <w:p>
            <w:pPr>
              <w:ind w:left="5"/>
              <w:spacing w:after="0"/>
              <w:rPr>
                <w:sz w:val="20"/>
                <w:szCs w:val="20"/>
                <w:color w:val="auto"/>
              </w:rPr>
            </w:pPr>
            <w:r>
              <w:rPr>
                <w:rFonts w:ascii="Arial" w:cs="Arial" w:eastAsia="Arial" w:hAnsi="Arial"/>
                <w:sz w:val="17"/>
                <w:szCs w:val="17"/>
                <w:b w:val="1"/>
                <w:bCs w:val="1"/>
                <w:color w:val="FF4338"/>
              </w:rPr>
              <w:t>sold until the registration statement becomes effective.</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and it is not soliciting an offer to buy these securities in</w:t>
            </w:r>
          </w:p>
        </w:tc>
        <w:tc>
          <w:tcPr>
            <w:tcW w:w="180" w:type="dxa"/>
            <w:vAlign w:val="bottom"/>
          </w:tcPr>
          <w:p>
            <w:pPr>
              <w:spacing w:after="0"/>
              <w:rPr>
                <w:sz w:val="24"/>
                <w:szCs w:val="24"/>
                <w:color w:val="auto"/>
              </w:rPr>
            </w:pPr>
          </w:p>
        </w:tc>
      </w:tr>
      <w:tr>
        <w:trPr>
          <w:trHeight w:val="6865"/>
        </w:trPr>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The information in this preliminary offer to exchange/prospectus may be changed. A</w:t>
            </w:r>
          </w:p>
        </w:tc>
        <w:tc>
          <w:tcPr>
            <w:tcW w:w="200" w:type="dxa"/>
            <w:vAlign w:val="bottom"/>
            <w:textDirection w:val="btLr"/>
          </w:tcPr>
          <w:p>
            <w:pPr>
              <w:ind w:left="5"/>
              <w:spacing w:after="0"/>
              <w:rPr>
                <w:sz w:val="20"/>
                <w:szCs w:val="20"/>
                <w:color w:val="auto"/>
              </w:rPr>
            </w:pPr>
            <w:r>
              <w:rPr>
                <w:rFonts w:ascii="Arial" w:cs="Arial" w:eastAsia="Arial" w:hAnsi="Arial"/>
                <w:sz w:val="17"/>
                <w:szCs w:val="17"/>
                <w:b w:val="1"/>
                <w:bCs w:val="1"/>
                <w:color w:val="FF4338"/>
              </w:rPr>
              <w:t>filed with the Securities and Exchange Commission and these securities may not be</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This preliminary offer to exchange/prospectus is not an offer to sell these securities</w:t>
            </w:r>
          </w:p>
        </w:tc>
        <w:tc>
          <w:tcPr>
            <w:tcW w:w="180" w:type="dxa"/>
            <w:vAlign w:val="bottom"/>
            <w:textDirection w:val="btLr"/>
          </w:tcPr>
          <w:p>
            <w:pPr>
              <w:spacing w:after="0"/>
              <w:rPr>
                <w:sz w:val="20"/>
                <w:szCs w:val="20"/>
                <w:color w:val="auto"/>
              </w:rPr>
            </w:pPr>
            <w:r>
              <w:rPr>
                <w:rFonts w:ascii="Arial" w:cs="Arial" w:eastAsia="Arial" w:hAnsi="Arial"/>
                <w:sz w:val="17"/>
                <w:szCs w:val="17"/>
                <w:b w:val="1"/>
                <w:bCs w:val="1"/>
                <w:color w:val="FF4338"/>
              </w:rPr>
              <w:t>any state or other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Preliminary and Subject to Change, Dated October 21,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Exchange/Prospectus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each outstanding ordinary share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CureVac N.V.</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$5.4641 of American Depositary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149860</wp:posOffset>
            </wp:positionV>
            <wp:extent cx="2057400"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(subject to a collar and calculated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described in this offer to exchange/prospectus)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218440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THE WITHDRAWAL RIGHTS WILL EXPIRE AT 9:00 A.M. (NEW YORK CITY TIME) ON DECEMBER 3, 2025, UNLESS THE OFFER IS EXTENDED OR TERMINATED IN ACCORDANCE WITH THE PURCHASE AGREEMENT.</w:t>
      </w:r>
    </w:p>
    <w:p>
      <w:pPr>
        <w:spacing w:after="0" w:line="175" w:lineRule="exact"/>
        <w:rPr>
          <w:sz w:val="20"/>
          <w:szCs w:val="20"/>
          <w:color w:val="auto"/>
        </w:rPr>
      </w:pPr>
    </w:p>
    <w:p>
      <w:pPr>
        <w:ind w:firstLine="371"/>
        <w:spacing w:after="0" w:line="252" w:lineRule="auto"/>
        <w:rPr>
          <w:sz w:val="20"/>
          <w:szCs w:val="20"/>
          <w:color w:val="auto"/>
        </w:rPr>
      </w:pPr>
      <w:r>
        <w:rPr>
          <w:rFonts w:ascii="Times New Roman" w:cs="Times New Roman" w:eastAsia="Times New Roman" w:hAnsi="Times New Roman"/>
          <w:sz w:val="18"/>
          <w:szCs w:val="18"/>
          <w:color w:val="auto"/>
        </w:rPr>
        <w:t>The supervisory board and management board, which we refer to together as the BioNTech boards, of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which we refer to as BioNTech, have unanimously approved a Purchase Agreement, dated as of June 12, 2025, which we refer to as the Purchase Agreement, by and between BioNTech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which we refer to as CureVac. Pursuant to the Purchase Agreement, BioNTech will commence an exchange offer, which we refer to as the offer, to acquire all of the outstanding ordinary shares, par value €0.12 per share, of CureVac, which we refer to as the CureVac shares. In exchange for each CureVac share, the tendering CureVac shareholder will receive a number of American Depositary Shares, taken to five decimal places, each representing one ordinary share, no par value, with a notional amount attributable to each ordinary share of €1, of BioNTech, which we refer to as BioNTech ADSs,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which we refer to as the BioNTech ADS VWAP. We refer to the ratio of BioNTech ADSs to be received per CureVac share tendered pursuant to the foregoing as the exchange ratio and the BioNTech ADS received per CureVac share as the offer consideration. In the event the BioNTech ADS VWAP is greater than or equal to $126.55, the exchange ratio will be 0.04318 and in the event the BioNTech ADS VWAP is less than or equal to $84.37, the exchange ratio will be 0.06476.</w:t>
      </w:r>
    </w:p>
    <w:p>
      <w:pPr>
        <w:spacing w:after="0" w:line="195" w:lineRule="exact"/>
        <w:rPr>
          <w:sz w:val="20"/>
          <w:szCs w:val="20"/>
          <w:color w:val="auto"/>
        </w:rPr>
      </w:pPr>
    </w:p>
    <w:p>
      <w:pPr>
        <w:ind w:right="80" w:firstLine="371"/>
        <w:spacing w:after="0" w:line="255" w:lineRule="auto"/>
        <w:rPr>
          <w:sz w:val="20"/>
          <w:szCs w:val="20"/>
          <w:color w:val="auto"/>
        </w:rPr>
      </w:pPr>
      <w:r>
        <w:rPr>
          <w:rFonts w:ascii="Times New Roman" w:cs="Times New Roman" w:eastAsia="Times New Roman" w:hAnsi="Times New Roman"/>
          <w:sz w:val="18"/>
          <w:szCs w:val="18"/>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w:t>
      </w:r>
    </w:p>
    <w:p>
      <w:pPr>
        <w:spacing w:after="0" w:line="189" w:lineRule="exact"/>
        <w:rPr>
          <w:sz w:val="20"/>
          <w:szCs w:val="20"/>
          <w:color w:val="auto"/>
        </w:rPr>
      </w:pPr>
    </w:p>
    <w:p>
      <w:pPr>
        <w:ind w:firstLine="371"/>
        <w:spacing w:after="0" w:line="255" w:lineRule="auto"/>
        <w:rPr>
          <w:sz w:val="20"/>
          <w:szCs w:val="20"/>
          <w:color w:val="auto"/>
        </w:rPr>
      </w:pPr>
      <w:r>
        <w:rPr>
          <w:rFonts w:ascii="Times New Roman" w:cs="Times New Roman" w:eastAsia="Times New Roman" w:hAnsi="Times New Roman"/>
          <w:sz w:val="18"/>
          <w:szCs w:val="18"/>
          <w:color w:val="auto"/>
        </w:rPr>
        <w:t>The offer will initially remain open until 9:00 a.m. (New York City time) on December 3, 2025, unless the offer is extended or terminated in accordance with the Purchase Agreement. We refer to the time at which the offer expires as the expiration time. Following the time of acceptance for exchange of tendered CureVac shares by BioNTech in connection with the offer, which we refer to as the acceptance time, BioNTech will provide a subsequent offering period in accordance with Rule 14d-11 promulgated under the Securities Exchange Act of 1934, as amended, which we refer to as the Exchange Act, of not less than 10 business days (calculated in accordance with Rule 14d-1(g)(3) under the Exchange Act), which we refer to as the subsequent offering period.</w:t>
      </w:r>
    </w:p>
    <w:p>
      <w:pPr>
        <w:sectPr>
          <w:pgSz w:w="11900" w:h="16838" w:orient="portrait"/>
          <w:cols w:equalWidth="0" w:num="2">
            <w:col w:w="840" w:space="140"/>
            <w:col w:w="928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BioNTech’s obligation to acquire CureVac shares validly tendered and not properly withdrawn pursuant to the offer is subject to the satisfaction or waiver of various closing conditions, including (i) at least 80% of CureVac’s issued and outstanding capital immediately prior to the expiration time having been validly tendered and not properly withdrawn immediately prior to the expiration time, which we refer to as the minimum condition; provided that, BioNTech may reduce the minimum condition to 75% of CureVac’s issued and outstanding capital under certain circumstances;</w:t>
      </w:r>
    </w:p>
    <w:p>
      <w:pPr>
        <w:spacing w:after="0" w:line="3" w:lineRule="exact"/>
        <w:rPr>
          <w:sz w:val="20"/>
          <w:szCs w:val="20"/>
          <w:color w:val="auto"/>
        </w:rPr>
      </w:pPr>
    </w:p>
    <w:p>
      <w:pPr>
        <w:ind w:left="120" w:hanging="4"/>
        <w:spacing w:after="0" w:line="250" w:lineRule="auto"/>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necessary antitrust and other regulatory approvals shall have been received, or be deemed to have been received due to the expiry or termination of their relevant waiting periods or applicable statutory deadlines (and any extension thereof), and be in full force and effect; (iii) the absence of any applicable law or order of a governmental authority prohibiting, rendering illegal, or enjoining the consummation of the offer or the other transactions contemplated by the Purchase Agreement, including the post-offer reorganization (as defined below); (iv) the accuracy of the representations and warranties of CureVac contained in the Purchase Agreement (subject to certain materiality standards); (v) CureVac’s material compliance with its covenants contained in the Purchase Agreement; (vi) there having not been any material adverse effect on CureVac following the execution of the Purchase Agreement, which is continuing (subject to certain exceptions); (vii) there having not been any material adverse effect on BioNTech following the execution of the Purchase Agreement, which is continuing (subject to certain exceptions); (viii) the adoption of resolutions at the extraordinary general meeting of CureVac, which we refer to as the EGM, providing for (a) the appointment of BioNTech designees to the management board and supervisory board of CureVac, which we refer to as the CureVac boards, to replace the resigning members effective upon the closing of the offer (as defined below), which we refer to as the governance resolutions, and (b) the approval of the post-offer reorganization, which we refer to as the post-offer reorganization resolutions and, together with the governance resolutions, as the required resolutions; (ix) a certificate of CureVac having been delivered to BioNTech certifying as to the satisfaction of certain offer conditions; (x) there being no stop order suspending the effectiveness of the registration statement of which this offer to exchange/prospectus forms a part, which we refer to as the registration statement; and</w:t>
      </w:r>
    </w:p>
    <w:p>
      <w:pPr>
        <w:spacing w:after="0" w:line="5" w:lineRule="exact"/>
        <w:rPr>
          <w:rFonts w:ascii="Times New Roman" w:cs="Times New Roman" w:eastAsia="Times New Roman" w:hAnsi="Times New Roman"/>
          <w:sz w:val="18"/>
          <w:szCs w:val="18"/>
          <w:color w:val="auto"/>
        </w:rPr>
      </w:pPr>
    </w:p>
    <w:p>
      <w:pPr>
        <w:ind w:left="120" w:hanging="4"/>
        <w:spacing w:after="0" w:line="255" w:lineRule="auto"/>
        <w:tabs>
          <w:tab w:leader="none" w:pos="4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not having been terminated in accordance with its terms. If BioNTech makes a material change in the terms of the offer or the information concerning the offer, or if it waives a material condition to the offer, BioNTech will disseminate additional offer materials and extend the offer by five or 10 business days, to the extent required by Rules 14d-4(d), 14d-6(c), and 14e-1 under the Exchange Act.</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will effectuate a corporate reorganization of CureVac and its subsidiaries, which we refer to as the post-offer reorganization. The post-offer reorganization will be comprised of a Dutch legal downstream merger of CureVac into New Topco (as defined below), which we refer to as the legal downstream merger, followed by the sale by New Topco to BioNTech of all outstanding ordinary shares in the capital of CureVac’s subsidiary, CureVac SE (which holds the CureVac business), which we refer to as the post-downstream merger share sale, followed by the cancellation of all New Topco A shares (as defined below), which we refer to as the cancellation. Pursuant to the legal downstream merger, New Topco will allot (i) New Topco A shares to the holders of CureVac shares that were not tendered pursuant to the offer or in the subsequent offering period, which we refer to as the minority shareholders, and (ii) New Topco B shares (as defined below) to BioNTech. Pursuant to the cancellation, New Topco will cancel all New Topco A shares held by the minority shareholders against payment of the cancellation consideration consisting of BioNTech ADSs and cash in lieu of fractional BioNTech ADSs such that each holder of New Topco A shares receives a number of BioNTech ADSs equal to the product of (a) the offer consideration and (b) the number of New Topco A shares held by such holder immediately before the post-downstream merger share sale, without interest and subject to any applicable Dutch dividend withholding tax. Effective one day following the cancellation, BioNTech will cause New Topco to elect to be disregarded as an entity separate from BioNTech for U.S. federal income tax purposes, which we refer to as the New Topco U.S. tax election.</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foregoing, any holders of CureVac shares who do not participate in the offer, including the subsequent offering period, will receive the same consideration as such shareholder would have received had it participated in the offer. However, BioNTech ADSs (and cash in lieu of fractional BioNTech ADSs) received pursuant to the post-offer reorganization may be subject to Dutch dividend withholding tax at a rate of 15%, whereas no Dutch dividend withholding tax is applicable to the offer consideration received in exchange for the CureVac shares tendered in the offer, including during the subsequent offering period. The exchange agent (as</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defined below) may withhold and sell BioNTech ADSs to satisfy any such withholding tax and any such withholding tax shall be treated for all purposes as having been paid to the relevant holder of CureVac shares who did not participate in the offer. See “The Offer — The Post-Offer Reorganization and the New Topco U.S. Tax Election” beginning on page 59.</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 is expected that, following the expiration of the subsequent offering period,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at the scheduled expiration time, any of the offer conditions have not been satisfied or waived by BioNTech, BioNTech must extend the offer on one or more occasions in consecutive periods of up to 10 business days each (or such other duration as may be agreed to by BioNTech and CureVac) in order to permit the satisfaction of such offer conditions; provided that, BioNTech may extend the offer for up to 20 business days if it is not reasonably likely that, within such 10 business day extension period, a required antitrust approval will be obtained, or deemed to be obtained, and/or a legal restraint will not be removed. BioNTech is not required to extend the offer on more than four occasions in consecutive periods of up to 10 business days each if the sole unsatisfied condition is the minimum condition. BioNTech is not required to extend the offer beyond March 12, 2026, provided that, if all conditions to the offer, other than the required antitrust approvals, are satisfied or capable of being satisfied, the outside date will be automatically extended for up to two additional 90-day periods. Under the Purchase Agreement, if any of the resolutions of CureVac that are a condition to the closing of the offer are not approved and adopted at the EGM, a subsequent EGM may be held to obtain the approval of the remaining outstanding resolutions, which we refer to as a subsequent EGM.</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BioNTech ADSs are listed on Nasdaq under the trading symbol “BNTX”. On October 20, 2025, the closing price of BioNTech ADSs on Nasdaq was $107.95 per ADS. CureVac shares are listed on Nasdaq under the trading symbol “CVAC”. On October 20, 2025, the closing price of CureVac shares on Nasdaq was $5.36 per share. CureVac shareholders are urged to obtain current market quotations for BioNTech ADSs and CureVac shares.</w:t>
      </w:r>
    </w:p>
    <w:p>
      <w:pPr>
        <w:spacing w:after="0" w:line="171" w:lineRule="exact"/>
        <w:rPr>
          <w:sz w:val="20"/>
          <w:szCs w:val="20"/>
          <w:color w:val="auto"/>
        </w:rPr>
      </w:pPr>
    </w:p>
    <w:p>
      <w:pPr>
        <w:jc w:val="both"/>
        <w:ind w:left="120" w:right="380" w:firstLine="440"/>
        <w:spacing w:after="0" w:line="244" w:lineRule="auto"/>
        <w:rPr>
          <w:sz w:val="20"/>
          <w:szCs w:val="20"/>
          <w:color w:val="auto"/>
        </w:rPr>
      </w:pPr>
      <w:r>
        <w:rPr>
          <w:rFonts w:ascii="Times New Roman" w:cs="Times New Roman" w:eastAsia="Times New Roman" w:hAnsi="Times New Roman"/>
          <w:sz w:val="22"/>
          <w:szCs w:val="22"/>
          <w:color w:val="auto"/>
        </w:rPr>
        <w:t>FOR A DISCUSSION OF RISKS AND OTHER FACTORS THAT YOU SHOULD CONSIDER IN CONNECTION WITH THE OFFER, PLEASE CAREFULLY READ THE SECTION OF THIS OFFER TO EXCHANGE/PROSPECTUS ENTITLED “</w:t>
      </w:r>
      <w:r>
        <w:rPr>
          <w:rFonts w:ascii="Times New Roman" w:cs="Times New Roman" w:eastAsia="Times New Roman" w:hAnsi="Times New Roman"/>
          <w:sz w:val="22"/>
          <w:szCs w:val="22"/>
          <w:u w:val="single" w:color="auto"/>
          <w:color w:val="0000EE"/>
        </w:rPr>
        <w:t>RISK FACTORS</w:t>
      </w:r>
      <w:r>
        <w:rPr>
          <w:rFonts w:ascii="Times New Roman" w:cs="Times New Roman" w:eastAsia="Times New Roman" w:hAnsi="Times New Roman"/>
          <w:sz w:val="22"/>
          <w:szCs w:val="22"/>
          <w:color w:val="auto"/>
        </w:rPr>
        <w:t>” BEGINNING ON PAGE 28.</w:t>
      </w:r>
    </w:p>
    <w:p>
      <w:pPr>
        <w:spacing w:after="0" w:line="17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authority has approved or disapproved of the offer or the securities to be issued under this offer to exchange/prospectus or has passed upon the adequacy or accuracy of the disclosure in this offer to exchange/prospectus. Any representation to the contrary is a criminal offense.</w:t>
      </w:r>
    </w:p>
    <w:p>
      <w:pPr>
        <w:spacing w:after="0" w:line="175"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THIS OFFER TO EXCHANGE/PROSPECTUS IS NOT AN OFFER TO SELL SECURITIES AND IT IS NOT A SOLICITATION OF AN OFFER TO BUY SECURITIES, NOR SHALL THERE BE ANY SALE OR PURCHASE OF SECURITIES PURSUANT HERETO, IN ANY JURISDICTION IN WHICH SUCH OFFER, SOLICITATION OR SALE IS NOT PERMITTED OR WOULD BE UNLAWFUL PRIOR TO REGISTRATION OR QUALIFICATION UNDER THE LAWS OF ANY SUCH JURISDICTION. IF YOU ARE IN ANY DOUBT AS TO YOUR ELIGIBILITY TO PARTICIPATE IN THE OFFER, YOU SHOULD CONTACT YOUR PROFESSIONAL ADVISOR IMMEDIATELY.</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offer to exchange/prospectus is October 21, 2025.</w:t>
      </w:r>
    </w:p>
    <w:p>
      <w:pPr>
        <w:sectPr>
          <w:pgSz w:w="11900" w:h="16838" w:orient="portrait"/>
          <w:cols w:equalWidth="0" w:num="1">
            <w:col w:w="11120"/>
          </w:cols>
          <w:pgMar w:left="320" w:top="455"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QUESTIONS AND ANSWERS</w:t>
            </w:r>
          </w:p>
        </w:tc>
        <w:tc>
          <w:tcPr>
            <w:tcW w:w="7500" w:type="dxa"/>
            <w:vAlign w:val="bottom"/>
            <w:gridSpan w:val="28"/>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8920" w:type="dxa"/>
            <w:vAlign w:val="bottom"/>
            <w:gridSpan w:val="3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The Companies</w:t>
            </w:r>
          </w:p>
        </w:tc>
        <w:tc>
          <w:tcPr>
            <w:tcW w:w="8340" w:type="dxa"/>
            <w:vAlign w:val="bottom"/>
            <w:gridSpan w:val="3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 and the Purchase Agreement</w:t>
            </w:r>
          </w:p>
        </w:tc>
        <w:tc>
          <w:tcPr>
            <w:tcW w:w="666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The Tender and Support Agreements</w:t>
            </w:r>
          </w:p>
        </w:tc>
        <w:tc>
          <w:tcPr>
            <w:tcW w:w="68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BioNTech’s Reasons for the Offer and the Transactions</w:t>
            </w:r>
          </w:p>
        </w:tc>
        <w:tc>
          <w:tcPr>
            <w:tcW w:w="550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Risks Related to the Transactions</w:t>
            </w:r>
          </w:p>
        </w:tc>
        <w:tc>
          <w:tcPr>
            <w:tcW w:w="614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Directors and Management of BioNTech and CureVac or New Topco, as applicable, following the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BioNTech’s Supervisory and Management Directors in the Offer</w:t>
            </w:r>
          </w:p>
        </w:tc>
        <w:tc>
          <w:tcPr>
            <w:tcW w:w="302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Interests of CureVac’s Supervisory and Management Directors in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36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Treatment of CureVac Equity Awards</w:t>
            </w:r>
          </w:p>
        </w:tc>
        <w:tc>
          <w:tcPr>
            <w:tcW w:w="410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Extension of the Offer Period</w:t>
            </w:r>
          </w:p>
        </w:tc>
        <w:tc>
          <w:tcPr>
            <w:tcW w:w="678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Subsequent Offering Period</w:t>
            </w:r>
          </w:p>
        </w:tc>
        <w:tc>
          <w:tcPr>
            <w:tcW w:w="7360" w:type="dxa"/>
            <w:vAlign w:val="bottom"/>
            <w:gridSpan w:val="2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3760" w:type="dxa"/>
            <w:vAlign w:val="bottom"/>
            <w:tcBorders>
              <w:top w:val="single" w:sz="8" w:color="0000EE"/>
            </w:tcBorders>
            <w:gridSpan w:val="27"/>
          </w:tcPr>
          <w:p>
            <w:pPr>
              <w:spacing w:after="0"/>
              <w:rPr>
                <w:sz w:val="17"/>
                <w:szCs w:val="17"/>
                <w:color w:val="auto"/>
              </w:rPr>
            </w:pPr>
          </w:p>
        </w:tc>
        <w:tc>
          <w:tcPr>
            <w:tcW w:w="450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Recent Developments</w:t>
            </w:r>
          </w:p>
        </w:tc>
        <w:tc>
          <w:tcPr>
            <w:tcW w:w="790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Conditions to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Procedures for Tendering</w:t>
            </w:r>
          </w:p>
        </w:tc>
        <w:tc>
          <w:tcPr>
            <w:tcW w:w="7020" w:type="dxa"/>
            <w:vAlign w:val="bottom"/>
            <w:gridSpan w:val="2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Withdrawal Rights</w:t>
            </w:r>
          </w:p>
        </w:tc>
        <w:tc>
          <w:tcPr>
            <w:tcW w:w="400" w:type="dxa"/>
            <w:vAlign w:val="bottom"/>
            <w:tcBorders>
              <w:top w:val="single" w:sz="8" w:color="0000EE"/>
            </w:tcBorders>
            <w:gridSpan w:val="4"/>
          </w:tcPr>
          <w:p>
            <w:pPr>
              <w:spacing w:after="0"/>
              <w:rPr>
                <w:sz w:val="17"/>
                <w:szCs w:val="17"/>
                <w:color w:val="auto"/>
              </w:rPr>
            </w:pPr>
          </w:p>
        </w:tc>
        <w:tc>
          <w:tcPr>
            <w:tcW w:w="7720" w:type="dxa"/>
            <w:vAlign w:val="bottom"/>
            <w:gridSpan w:val="2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2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Acceptance for Exchange of CureVac Shares; Delivery of BioNTech ADSs; Capital Increases</w:t>
            </w:r>
          </w:p>
        </w:tc>
        <w:tc>
          <w:tcPr>
            <w:tcW w:w="274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Antitrust Approvals</w:t>
            </w:r>
          </w:p>
        </w:tc>
        <w:tc>
          <w:tcPr>
            <w:tcW w:w="8040" w:type="dxa"/>
            <w:vAlign w:val="bottom"/>
            <w:gridSpan w:val="3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Regulatory Approvals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No Solicitation and Adverse Recommendation Change</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Purchase Agreement</w:t>
            </w:r>
          </w:p>
        </w:tc>
        <w:tc>
          <w:tcPr>
            <w:tcW w:w="1060" w:type="dxa"/>
            <w:vAlign w:val="bottom"/>
            <w:tcBorders>
              <w:top w:val="single" w:sz="8" w:color="0000EE"/>
            </w:tcBorders>
            <w:gridSpan w:val="7"/>
          </w:tcPr>
          <w:p>
            <w:pPr>
              <w:spacing w:after="0"/>
              <w:rPr>
                <w:sz w:val="17"/>
                <w:szCs w:val="17"/>
                <w:color w:val="auto"/>
              </w:rPr>
            </w:pPr>
          </w:p>
        </w:tc>
        <w:tc>
          <w:tcPr>
            <w:tcW w:w="554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Termination Payments</w:t>
            </w:r>
          </w:p>
        </w:tc>
        <w:tc>
          <w:tcPr>
            <w:tcW w:w="7860" w:type="dxa"/>
            <w:vAlign w:val="bottom"/>
            <w:gridSpan w:val="3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Material German Tax Considerations</w:t>
            </w:r>
          </w:p>
        </w:tc>
        <w:tc>
          <w:tcPr>
            <w:tcW w:w="526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Material Dutch Tax Considerations</w:t>
            </w:r>
          </w:p>
        </w:tc>
        <w:tc>
          <w:tcPr>
            <w:tcW w:w="68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Treatment of the Transaction</w:t>
            </w:r>
          </w:p>
        </w:tc>
        <w:tc>
          <w:tcPr>
            <w:tcW w:w="650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BioNTech Shareholders and CureVac Shareholders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8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Comparative Per Share Market Price Information</w:t>
            </w:r>
          </w:p>
        </w:tc>
        <w:tc>
          <w:tcPr>
            <w:tcW w:w="398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Comparative Share Prices and Dividends</w:t>
            </w:r>
          </w:p>
        </w:tc>
        <w:tc>
          <w:tcPr>
            <w:tcW w:w="580" w:type="dxa"/>
            <w:vAlign w:val="bottom"/>
            <w:tcBorders>
              <w:top w:val="single" w:sz="8" w:color="0000EE"/>
            </w:tcBorders>
            <w:gridSpan w:val="4"/>
          </w:tcPr>
          <w:p>
            <w:pPr>
              <w:spacing w:after="0"/>
              <w:rPr>
                <w:sz w:val="17"/>
                <w:szCs w:val="17"/>
                <w:color w:val="auto"/>
              </w:rPr>
            </w:pPr>
          </w:p>
        </w:tc>
        <w:tc>
          <w:tcPr>
            <w:tcW w:w="594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98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CONCERNING FORWARD-LOOKING STATEMENTS</w:t>
            </w:r>
          </w:p>
        </w:tc>
        <w:tc>
          <w:tcPr>
            <w:tcW w:w="33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1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COMPANIES</w:t>
            </w:r>
          </w:p>
        </w:tc>
        <w:tc>
          <w:tcPr>
            <w:tcW w:w="8420" w:type="dxa"/>
            <w:vAlign w:val="bottom"/>
            <w:gridSpan w:val="3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98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TRANSACTIONS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Offer</w:t>
            </w:r>
          </w:p>
        </w:tc>
        <w:tc>
          <w:tcPr>
            <w:tcW w:w="650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CureVac Background of the Offer</w:t>
            </w:r>
          </w:p>
        </w:tc>
        <w:tc>
          <w:tcPr>
            <w:tcW w:w="7040" w:type="dxa"/>
            <w:vAlign w:val="bottom"/>
            <w:gridSpan w:val="2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BioNTech’s Reasons for the Offer and the Transactions</w:t>
            </w:r>
          </w:p>
        </w:tc>
        <w:tc>
          <w:tcPr>
            <w:tcW w:w="550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7"/>
              </w:rPr>
              <w:t>CureVac’s Reasons for the Offer and the Transactions</w:t>
            </w:r>
          </w:p>
        </w:tc>
        <w:tc>
          <w:tcPr>
            <w:tcW w:w="562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Certain Financial Projections Provided by CureVac to BioNTech</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0" w:type="dxa"/>
            <w:vAlign w:val="bottom"/>
            <w:tcBorders>
              <w:left w:val="single" w:sz="8" w:color="0000EE"/>
            </w:tcBorders>
            <w:gridSpan w:val="15"/>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Directors and Management of BioNTech and CureVac or New Topco, as applicable, following the Closing of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BioNTech’s Supervisory and Management Directors in the Offer</w:t>
            </w:r>
          </w:p>
        </w:tc>
        <w:tc>
          <w:tcPr>
            <w:tcW w:w="302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Interests of CureVac’s Supervisory and Management Directors in the Offer</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0" w:type="dxa"/>
            <w:vAlign w:val="bottom"/>
            <w:tcBorders>
              <w:left w:val="single" w:sz="8" w:color="0000EE"/>
            </w:tcBorders>
            <w:gridSpan w:val="15"/>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w:t>
            </w:r>
          </w:p>
        </w:tc>
        <w:tc>
          <w:tcPr>
            <w:tcW w:w="8880" w:type="dxa"/>
            <w:vAlign w:val="bottom"/>
            <w:gridSpan w:val="3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Offer Consideration</w:t>
            </w:r>
          </w:p>
        </w:tc>
        <w:tc>
          <w:tcPr>
            <w:tcW w:w="8040" w:type="dxa"/>
            <w:vAlign w:val="bottom"/>
            <w:gridSpan w:val="3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Sample Calculation of the Offer Consideration</w:t>
            </w:r>
          </w:p>
        </w:tc>
        <w:tc>
          <w:tcPr>
            <w:tcW w:w="6120" w:type="dxa"/>
            <w:vAlign w:val="bottom"/>
            <w:gridSpan w:val="1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Treatment of CureVac Equity Awards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Procedures for Tendering</w:t>
            </w:r>
          </w:p>
        </w:tc>
        <w:tc>
          <w:tcPr>
            <w:tcW w:w="678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4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2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2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7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No Guaranteed Delivery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Acceptance for Exchange of CureVac Shares; Delivery of BioNTech ADSs; Capital Increases</w:t>
            </w:r>
          </w:p>
        </w:tc>
        <w:tc>
          <w:tcPr>
            <w:tcW w:w="20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Effect of Tenders</w:t>
            </w:r>
          </w:p>
        </w:tc>
        <w:tc>
          <w:tcPr>
            <w:tcW w:w="7540" w:type="dxa"/>
            <w:vAlign w:val="bottom"/>
            <w:gridSpan w:val="2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Determination of Validity</w:t>
            </w:r>
          </w:p>
        </w:tc>
        <w:tc>
          <w:tcPr>
            <w:tcW w:w="692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Extension of the Offer Period</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Subsequent Offering Period</w:t>
            </w:r>
          </w:p>
        </w:tc>
        <w:tc>
          <w:tcPr>
            <w:tcW w:w="66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Withdrawal Rights</w:t>
            </w:r>
          </w:p>
        </w:tc>
        <w:tc>
          <w:tcPr>
            <w:tcW w:w="3620" w:type="dxa"/>
            <w:vAlign w:val="bottom"/>
            <w:tcBorders>
              <w:top w:val="single" w:sz="8" w:color="0000EE"/>
            </w:tcBorders>
            <w:gridSpan w:val="22"/>
          </w:tcPr>
          <w:p>
            <w:pPr>
              <w:spacing w:after="0"/>
              <w:rPr>
                <w:sz w:val="17"/>
                <w:szCs w:val="17"/>
                <w:color w:val="auto"/>
              </w:rPr>
            </w:pPr>
          </w:p>
        </w:tc>
        <w:tc>
          <w:tcPr>
            <w:tcW w:w="380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Antitrust Approvals</w:t>
            </w:r>
          </w:p>
        </w:tc>
        <w:tc>
          <w:tcPr>
            <w:tcW w:w="734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Other Regulatory Approvals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Rights</w:t>
            </w:r>
          </w:p>
        </w:tc>
        <w:tc>
          <w:tcPr>
            <w:tcW w:w="820" w:type="dxa"/>
            <w:vAlign w:val="bottom"/>
            <w:tcBorders>
              <w:top w:val="single" w:sz="8" w:color="0000EE"/>
            </w:tcBorders>
            <w:gridSpan w:val="11"/>
          </w:tcPr>
          <w:p>
            <w:pPr>
              <w:spacing w:after="0"/>
              <w:rPr>
                <w:sz w:val="17"/>
                <w:szCs w:val="17"/>
                <w:color w:val="auto"/>
              </w:rPr>
            </w:pPr>
          </w:p>
        </w:tc>
        <w:tc>
          <w:tcPr>
            <w:tcW w:w="674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Recent Developments</w:t>
            </w:r>
          </w:p>
        </w:tc>
        <w:tc>
          <w:tcPr>
            <w:tcW w:w="720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Fees and Expenses</w:t>
            </w:r>
          </w:p>
        </w:tc>
        <w:tc>
          <w:tcPr>
            <w:tcW w:w="1600" w:type="dxa"/>
            <w:vAlign w:val="bottom"/>
            <w:tcBorders>
              <w:top w:val="single" w:sz="8" w:color="0000EE"/>
            </w:tcBorders>
            <w:gridSpan w:val="15"/>
          </w:tcPr>
          <w:p>
            <w:pPr>
              <w:spacing w:after="0"/>
              <w:rPr>
                <w:sz w:val="17"/>
                <w:szCs w:val="17"/>
                <w:color w:val="auto"/>
              </w:rPr>
            </w:pPr>
          </w:p>
        </w:tc>
        <w:tc>
          <w:tcPr>
            <w:tcW w:w="582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Restriction on Resales of BioNTech ADSs Received in the Offer</w:t>
            </w:r>
          </w:p>
        </w:tc>
        <w:tc>
          <w:tcPr>
            <w:tcW w:w="412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Foreign Jurisdictions</w:t>
            </w:r>
          </w:p>
        </w:tc>
        <w:tc>
          <w:tcPr>
            <w:tcW w:w="7260" w:type="dxa"/>
            <w:vAlign w:val="bottom"/>
            <w:gridSpan w:val="2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91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GERMAN TAX CONSIDERATIONS</w:t>
            </w:r>
          </w:p>
        </w:tc>
        <w:tc>
          <w:tcPr>
            <w:tcW w:w="2160" w:type="dxa"/>
            <w:vAlign w:val="bottom"/>
            <w:tcBorders>
              <w:top w:val="single" w:sz="8" w:color="0000EE"/>
            </w:tcBorders>
            <w:gridSpan w:val="5"/>
          </w:tcPr>
          <w:p>
            <w:pPr>
              <w:spacing w:after="0"/>
              <w:rPr>
                <w:sz w:val="17"/>
                <w:szCs w:val="17"/>
                <w:color w:val="auto"/>
              </w:rPr>
            </w:pPr>
          </w:p>
        </w:tc>
        <w:tc>
          <w:tcPr>
            <w:tcW w:w="326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7"/>
              </w:rPr>
              <w:t>MATERIAL DUTCH TAX CONSIDERATIONS</w:t>
            </w:r>
          </w:p>
        </w:tc>
        <w:tc>
          <w:tcPr>
            <w:tcW w:w="558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20" w:type="dxa"/>
            <w:vAlign w:val="bottom"/>
          </w:tcPr>
          <w:p>
            <w:pPr>
              <w:spacing w:after="0"/>
              <w:rPr>
                <w:sz w:val="17"/>
                <w:szCs w:val="17"/>
                <w:color w:val="auto"/>
              </w:rPr>
            </w:pPr>
          </w:p>
        </w:tc>
        <w:tc>
          <w:tcPr>
            <w:tcW w:w="3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MAJOR SHAREHOLDERS OF BIONTECH</w:t>
            </w:r>
          </w:p>
        </w:tc>
        <w:tc>
          <w:tcPr>
            <w:tcW w:w="584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91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THE PURCHASE AGREEMENT</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Offer</w:t>
            </w:r>
          </w:p>
        </w:tc>
        <w:tc>
          <w:tcPr>
            <w:tcW w:w="66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The Post-Offer Reorganization and the New Topco U.S. Tax Election</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380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Covenants and Agreements</w:t>
            </w:r>
          </w:p>
        </w:tc>
        <w:tc>
          <w:tcPr>
            <w:tcW w:w="260" w:type="dxa"/>
            <w:vAlign w:val="bottom"/>
            <w:tcBorders>
              <w:top w:val="single" w:sz="8" w:color="0000EE"/>
            </w:tcBorders>
            <w:gridSpan w:val="3"/>
          </w:tcPr>
          <w:p>
            <w:pPr>
              <w:spacing w:after="0"/>
              <w:rPr>
                <w:sz w:val="17"/>
                <w:szCs w:val="17"/>
                <w:color w:val="auto"/>
              </w:rPr>
            </w:pPr>
          </w:p>
        </w:tc>
        <w:tc>
          <w:tcPr>
            <w:tcW w:w="652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Conditions to Closing of the Offer</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Termination of the Purchase Agreement</w:t>
            </w:r>
          </w:p>
        </w:tc>
        <w:tc>
          <w:tcPr>
            <w:tcW w:w="590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Miscellaneous Provisions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THE TENDER AND SUPPORT AGREEMENTS</w:t>
            </w:r>
          </w:p>
        </w:tc>
        <w:tc>
          <w:tcPr>
            <w:tcW w:w="552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BIONTECH CAPITAL STOCK</w:t>
            </w:r>
          </w:p>
        </w:tc>
        <w:tc>
          <w:tcPr>
            <w:tcW w:w="532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120" w:type="dxa"/>
            <w:vAlign w:val="bottom"/>
          </w:tcPr>
          <w:p>
            <w:pPr>
              <w:spacing w:after="0"/>
              <w:rPr>
                <w:sz w:val="17"/>
                <w:szCs w:val="17"/>
                <w:color w:val="auto"/>
              </w:rPr>
            </w:pPr>
          </w:p>
        </w:tc>
        <w:tc>
          <w:tcPr>
            <w:tcW w:w="91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BIONTECH SHAREHOLDERS AND CUREVAC SHAREHOLDERS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140" w:type="dxa"/>
            <w:vAlign w:val="bottom"/>
            <w:tcBorders>
              <w:top w:val="single" w:sz="8" w:color="0000EE"/>
            </w:tcBorders>
            <w:gridSpan w:val="28"/>
          </w:tcPr>
          <w:p>
            <w:pPr>
              <w:spacing w:after="0"/>
              <w:rPr>
                <w:sz w:val="17"/>
                <w:szCs w:val="17"/>
                <w:color w:val="auto"/>
              </w:rPr>
            </w:pPr>
          </w:p>
        </w:tc>
        <w:tc>
          <w:tcPr>
            <w:tcW w:w="154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91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60" w:type="dxa"/>
            <w:vAlign w:val="bottom"/>
            <w:gridSpan w:val="13"/>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SERVICE OF PROCESS AND ENFORCEMENT OF LIABILITIES</w:t>
            </w:r>
          </w:p>
        </w:tc>
        <w:tc>
          <w:tcPr>
            <w:tcW w:w="41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196"/>
        </w:trPr>
        <w:tc>
          <w:tcPr>
            <w:tcW w:w="120" w:type="dxa"/>
            <w:vAlign w:val="bottom"/>
          </w:tcPr>
          <w:p>
            <w:pPr>
              <w:spacing w:after="0"/>
              <w:rPr>
                <w:sz w:val="17"/>
                <w:szCs w:val="17"/>
                <w:color w:val="auto"/>
              </w:rPr>
            </w:pPr>
          </w:p>
        </w:tc>
        <w:tc>
          <w:tcPr>
            <w:tcW w:w="91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AND INCORPORATION BY REFERENCE</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r>
      <w:tr>
        <w:trPr>
          <w:trHeight w:val="196"/>
        </w:trPr>
        <w:tc>
          <w:tcPr>
            <w:tcW w:w="120" w:type="dxa"/>
            <w:vAlign w:val="bottom"/>
          </w:tcPr>
          <w:p>
            <w:pPr>
              <w:spacing w:after="0"/>
              <w:rPr>
                <w:sz w:val="17"/>
                <w:szCs w:val="17"/>
                <w:color w:val="auto"/>
              </w:rPr>
            </w:pPr>
          </w:p>
        </w:tc>
        <w:tc>
          <w:tcPr>
            <w:tcW w:w="710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Annex A – Purchase Agreement</w:t>
            </w:r>
          </w:p>
        </w:tc>
        <w:tc>
          <w:tcPr>
            <w:tcW w:w="20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2320" w:type="dxa"/>
            <w:vAlign w:val="bottom"/>
            <w:gridSpan w:val="15"/>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7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 Form of Tender and Support Agreement</w:t>
            </w:r>
          </w:p>
        </w:tc>
        <w:tc>
          <w:tcPr>
            <w:tcW w:w="542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are answers to some questions that CureVac shareholders may have regarding the proposed transaction between BioNTech and CureVac. BioNTech urges you to read carefully this entire offer to exchange/prospectus, including the Annexes, and the documents incorporated by reference into this offer to exchange/prospectus, as well as the Tender Offer Statement on Schedule TO to be filed by BioNTech in connection with the commencement of the offer, which we refer to as the Schedule TO, and the Solicitation/Recommendation Statement on Schedule 14D-9 to be filed by CureVac shortly thereafter, which we refer to as the Schedule 14D-9, as each may be amended or supplemented from time to time, and other relevant documents filed by BioNTech and CureVac with the Securities and Exchange Commission, which we refer to as the SEC, because the information in this section does not provide all the information that might be important to you.</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stated otherwise, or the context otherwise requires, all references in this offer to exchange/prospectus to:</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are to the time BioNTech accepts for exchange CureVac shares tendered in the offer;</w:t>
      </w:r>
    </w:p>
    <w:p>
      <w:pPr>
        <w:spacing w:after="0" w:line="128" w:lineRule="exact"/>
        <w:rPr>
          <w:rFonts w:ascii="Times New Roman" w:cs="Times New Roman" w:eastAsia="Times New Roman" w:hAnsi="Times New Roman"/>
          <w:sz w:val="18"/>
          <w:szCs w:val="18"/>
          <w:color w:val="auto"/>
        </w:rPr>
      </w:pPr>
    </w:p>
    <w:p>
      <w:pPr>
        <w:ind w:left="1080" w:right="54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are to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ADSs” are to the American Depositary Shares of BioNTech, each representing one BioNTech ordinary share;</w:t>
      </w:r>
    </w:p>
    <w:p>
      <w:pPr>
        <w:spacing w:after="0" w:line="130" w:lineRule="exact"/>
        <w:rPr>
          <w:rFonts w:ascii="Times New Roman" w:cs="Times New Roman" w:eastAsia="Times New Roman" w:hAnsi="Times New Roman"/>
          <w:sz w:val="18"/>
          <w:szCs w:val="18"/>
          <w:color w:val="auto"/>
        </w:rPr>
      </w:pPr>
    </w:p>
    <w:p>
      <w:pPr>
        <w:jc w:val="both"/>
        <w:ind w:left="1080" w:right="46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“BioNTech ADS VWAP” are to the volume-weighted average of the price per BioNTech ADS over the period of 10 consecutive trading days ending on, and including, the fifth trading day immediately preceding the expiration time, taken to four decimal places;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“BioNTech boards” are to the supervisory board and management board of BioNTech;</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ordinary shares” mean the ordinary shares, no par value, with a notional amount attributable to each ordinary share of €1, of BioNTech;</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shareholders” are to those persons who beneficially own BioNTech shares, whether directly or indirectly through beneficial ownership of BioNTech ADSs;</w:t>
      </w:r>
    </w:p>
    <w:p>
      <w:pPr>
        <w:spacing w:after="0" w:line="65" w:lineRule="exact"/>
        <w:rPr>
          <w:rFonts w:ascii="Times New Roman" w:cs="Times New Roman" w:eastAsia="Times New Roman" w:hAnsi="Times New Roman"/>
          <w:sz w:val="18"/>
          <w:szCs w:val="18"/>
          <w:color w:val="auto"/>
        </w:rPr>
      </w:pPr>
    </w:p>
    <w:p>
      <w:pPr>
        <w:ind w:left="1080" w:right="280" w:hanging="424"/>
        <w:spacing w:after="0" w:line="26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are to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of all New Topco A shares issued and outstanding as of the cancellation effective time, pursuant to a resolution of the general meeting of New Topco, whereby each such New Topco A share is cancelled against the cancellation consideration;</w:t>
      </w:r>
    </w:p>
    <w:p>
      <w:pPr>
        <w:spacing w:after="0" w:line="8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consideration” are to the consideration received by holders of New Topco A shares upon the cancellation thereof, which will be a payment in kind equal to (i) the product of (a) the offer consideration and (b) the number of New Topco A shares held by such holders immediately before the post-downstream merger share sale (with cash paid in lieu of any resulting fractional BioNTech ADSs) minus (ii) the number of BioNTech ADSs sold by the exchange agent to satisfy the payment of applicable Dutch withholding tax with respect to such holders;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effective time” are to 00:30 CET on the merger effective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“CET” means Central European Time or Central European Summer Time, as applicable;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“CureVac” are to CureVac N.V., a public limited liability company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organized under the laws of the Netherlands;</w:t>
      </w:r>
    </w:p>
    <w:p>
      <w:pPr>
        <w:spacing w:after="0" w:line="144"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boards” are to the supervisory board and management board of CureVac;</w:t>
      </w:r>
    </w:p>
    <w:p>
      <w:pPr>
        <w:spacing w:after="0" w:line="128"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SE” are to CureVac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shares” are to the outstanding ordinary shares, nominal value €0.12 per share, of CureVac;</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“DCC” are to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“EGM” are to the extraordinary general meeting of CureVac convened, or to be convened, in connection with the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are to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are to the ratio of BioNTech ADSs to be received per CureVac share tendered, taken to five decimal places;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resolutions” are to resolutions at the EGM or a subsequent EGM to replace the resigning members of the CureVac boards effective upon the closing of the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“IASB” are to the International Accounting Standards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the IFRS Accounting Standards;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downstream merger” are to a Dutch legal merger of CureVac (as disappearing company) with and into New Topco (as acquiring company surviving such merger), with New Topco issuing New Topco A shares to the remaining CureVac shareholders other than BioNTech and New Topco B shares to BioNTech, in accordance with Section 2:309 et seq. of the DCC;</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effective date” are to the date on which the legal downstream merger becomes effective;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effective time” are to 00:00 CET on the merger effective date;</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condition” are to at least 80% (or 75% under certain circumstances) of CureVac’s issued and outstanding capital immediately prior to the expiration time having been validly tendered and not properly withdrawn immediately prior to the expiration time;</w:t>
      </w:r>
    </w:p>
    <w:p>
      <w:pPr>
        <w:spacing w:after="0" w:line="45" w:lineRule="exact"/>
        <w:rPr>
          <w:rFonts w:ascii="Times New Roman" w:cs="Times New Roman" w:eastAsia="Times New Roman" w:hAnsi="Times New Roman"/>
          <w:sz w:val="17"/>
          <w:szCs w:val="17"/>
          <w:color w:val="auto"/>
        </w:rPr>
      </w:pPr>
    </w:p>
    <w:p>
      <w:pPr>
        <w:ind w:left="1080" w:right="4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“minority shareholders” are to holders of CureVac shares that were not tendered pursuant to the offer or in the subsequent offering period;</w:t>
      </w:r>
    </w:p>
    <w:p>
      <w:pPr>
        <w:spacing w:after="0" w:line="65"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are to CureVac Merger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A shares” are to class A shares in the capital of New Topco;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B shares” are to class B shares in the capital of New Topco;</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Topco U.S. tax election” are to an election by New Topco to be disregarded as an entity separate from BioNTech for U.S. federal income tax purposes, effective one day after the cancellation;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are to a market of Nasdaq Stock Market LLC;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are to the exchange offer by BioNTech to acquire all CureVac shares contemplated by this offer to exchange/prospectus;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consideration” are to the number of BioNTech ADSs to be received per CureVac share in the offer;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are to 11:59 p.m. (New York City time) on March 12, 2026, which will automatically be extended by up to two 90-day periods if all conditions to the offer other than the condition relating to antitrust approvals is satisfied;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“post-downstream merger share sale” are to the sale and transfer of all outstanding ordinary shares in the capital of CureVac SE by New Topco to BioNTech;</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“post-offer reorganization” are to the corporate reorganization of CureVac and its subsidiaries that BioNTech and CureVac will effectuate as promptly as practicable following the expiration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subsequent offering period by means of the legal downstream merger promptly followed by the post-downstream merger share sale and the cancellation;</w:t>
      </w:r>
    </w:p>
    <w:p>
      <w:pPr>
        <w:spacing w:after="0" w:line="67" w:lineRule="exact"/>
        <w:rPr>
          <w:sz w:val="20"/>
          <w:szCs w:val="20"/>
          <w:color w:val="auto"/>
        </w:rPr>
      </w:pPr>
    </w:p>
    <w:p>
      <w:pPr>
        <w:ind w:left="1080" w:right="140" w:hanging="424"/>
        <w:spacing w:after="0" w:line="282"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“post-offer reorganization resolutions” are to the resolutions at the EGM or a subsequent EGM providing for the approval of the post-offer reorganization;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are to the Purchase Agreement, dated as of June 12, 2025, by and between BioNTech and CureVac, a copy of which is attached as Annex A to this offer to exchange/prospectus and is incorporated herein by reference, as it may be amended from time to time;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are to the registration statement of which this offer to exchange/prospectus forms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are to the U.S. Securities and Exchange Commission;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EGM” are to a subsequent EGM that may be held to obtain the approval of the remaining outstanding resolutions if any of the resolutions of CureVac that are a condition to the closing of the offer are not approved and adopted at the EGM;</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offering period” are to a subsequent offering period in accordance with Rule 14d-11 promulgated under the Exchange Act of not less than 10 business days (calculated in accordance with Rule 14d-1(g)(3) under the Exchange Act);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and support agreements” are to the tender and support agreements executed by the members of the CureVac boards and certain CureVac shareholders, the form of which is attached as Annex B to this offer to exchange/prospectus and is incorporated herein by reference;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to the transactions contemplated by the Purchase Agreement.</w:t>
      </w:r>
    </w:p>
    <w:p>
      <w:pPr>
        <w:spacing w:after="0" w:line="24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proposed transactions?</w:t>
      </w:r>
    </w:p>
    <w:p>
      <w:pPr>
        <w:spacing w:after="0" w:line="135" w:lineRule="exact"/>
        <w:rPr>
          <w:sz w:val="20"/>
          <w:szCs w:val="20"/>
          <w:color w:val="auto"/>
        </w:rPr>
      </w:pPr>
    </w:p>
    <w:p>
      <w:pPr>
        <w:ind w:left="540" w:right="260" w:hanging="424"/>
        <w:spacing w:after="0" w:line="258"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Purchase Agreement, BioNTech and CureVac have agreed (subject to the terms and conditions of the Purchase Agreement) that BioNTech will commence an offer to exchange any and all of the outstanding CureVac shares for the offer consideration, without interest and subject to applicable tax withholding. Following the acceptance time, BioNTech will acquire each CureVac share validly tendered and not properly withdrawn prior to the expiration time by delivery of the offer consideration, with cash paid in lieu of any fractional ADSs, without interest and subject to applicable tax withholding, which we refer to as the closing of the offer.</w:t>
      </w:r>
    </w:p>
    <w:p>
      <w:pPr>
        <w:spacing w:after="0" w:line="75" w:lineRule="exact"/>
        <w:rPr>
          <w:rFonts w:ascii="Times New Roman" w:cs="Times New Roman" w:eastAsia="Times New Roman" w:hAnsi="Times New Roman"/>
          <w:sz w:val="18"/>
          <w:szCs w:val="18"/>
          <w:color w:val="auto"/>
        </w:rPr>
      </w:pPr>
    </w:p>
    <w:p>
      <w:pPr>
        <w:ind w:left="5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expiration of the subsequent offering period, BioNTech and CureVac will effectuate the post-offer reorganization. The post-offer reorganization will utilize processes available to BioNTech under Dutch law aimed at ensuring that, if the required resolutions are adopted at the EGM (or subsequent EGM) and if permitted under applicable law, BioNTech becomes the sole owner of all of CureVac’s business operations from and after the consummation of such post-offer reorganization. Following completion of, and effective one day following, the post-offer reorganization, BioNTech will cause New Topco to make the New Topco U.S. tax election.</w:t>
      </w:r>
    </w:p>
    <w:p>
      <w:pPr>
        <w:spacing w:after="0" w:line="75" w:lineRule="exact"/>
        <w:rPr>
          <w:rFonts w:ascii="Times New Roman" w:cs="Times New Roman" w:eastAsia="Times New Roman" w:hAnsi="Times New Roman"/>
          <w:sz w:val="18"/>
          <w:szCs w:val="18"/>
          <w:color w:val="auto"/>
        </w:rPr>
      </w:pPr>
    </w:p>
    <w:p>
      <w:pPr>
        <w:ind w:left="560" w:right="4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 more information, see “Summary — The Offer and the Purchase Agreement” beginning on page 14, “The Offer — The Post-Offer Reorganization and the New Topco U.S. Tax Election” beginning on page 59, and “The Offer — Offer Consideration” beginning on page 54.</w:t>
      </w:r>
    </w:p>
    <w:p>
      <w:pPr>
        <w:spacing w:after="0" w:line="284"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conditions to closing of the offer that must be satisfied for the offer to be completed?</w:t>
      </w:r>
    </w:p>
    <w:p>
      <w:pPr>
        <w:spacing w:after="0" w:line="135" w:lineRule="exact"/>
        <w:rPr>
          <w:sz w:val="20"/>
          <w:szCs w:val="20"/>
          <w:color w:val="auto"/>
        </w:rPr>
      </w:pPr>
    </w:p>
    <w:p>
      <w:pPr>
        <w:ind w:left="540" w:right="100" w:hanging="424"/>
        <w:spacing w:after="0" w:line="281" w:lineRule="auto"/>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 number of shares having been validly tendered and not properly withdrawn that would allow BioNTech to acquire at least 80% of CureVac’s issued and outstanding capital immediately prior to the expiration time (or 75% of CureVac’s issued and outstanding capital, upon the satisfaction of certain conditions described elsewhere in this offer to exchange/prospectus) there are a number of customary conditions that must be satisfied or waived before BioNTech is obligated to acquire CureVac shares validly tendered and not properly withdrawn pursuant to the offer.</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a description of all of the conditions to the offer, see “The Purchase Agreement — Conditions to Closing of the Offer” beginning on page 115.</w:t>
      </w:r>
    </w:p>
    <w:p>
      <w:pPr>
        <w:spacing w:after="0" w:line="260"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CureVac shareholders receive in the offer?</w:t>
      </w:r>
    </w:p>
    <w:p>
      <w:pPr>
        <w:spacing w:after="0" w:line="135" w:lineRule="exact"/>
        <w:rPr>
          <w:sz w:val="20"/>
          <w:szCs w:val="20"/>
          <w:color w:val="auto"/>
        </w:rPr>
      </w:pPr>
    </w:p>
    <w:p>
      <w:pPr>
        <w:ind w:left="540" w:right="120" w:hanging="424"/>
        <w:spacing w:after="0" w:line="25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offer, CureVac shareholders will have the right to exchange each of their CureVac shares for a number of BioNTech ADSs equal to the amount obtained by dividing $5.4641 by the volume-weighted average of the price per BioNTech ADS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75" w:lineRule="exact"/>
        <w:rPr>
          <w:rFonts w:ascii="Times New Roman" w:cs="Times New Roman" w:eastAsia="Times New Roman" w:hAnsi="Times New Roman"/>
          <w:sz w:val="18"/>
          <w:szCs w:val="18"/>
          <w:color w:val="auto"/>
        </w:rPr>
      </w:pPr>
    </w:p>
    <w:p>
      <w:pPr>
        <w:ind w:left="5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12, 2025, when BioNTech and CureVac announced the execution of the Purchase Agreement, through October 20, 2025 (the last practicable date before the commencement of the offer), the BioNTech ADS VWAP was not greater than or equal to $126.55 or less than or equal to $84.37. Accordingly, the offer consideration at all times during that period represented a market value of $5.4641. However, as shown below, were the BioNTech ADS VWAP to, for example, drop to $80 or go above $130 on the applicable calculation date, the market value of the offer consideration could be greater than or less than, respectively, $5.4641.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81"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equal to the product of (i) the fractional BioNTech ADS interest such shareholder otherwise would be entitled to and (ii) the BioNTech ADS VWAP.</w:t>
      </w:r>
    </w:p>
    <w:p>
      <w:pPr>
        <w:spacing w:after="0" w:line="68" w:lineRule="exact"/>
        <w:rPr>
          <w:sz w:val="20"/>
          <w:szCs w:val="20"/>
          <w:color w:val="auto"/>
        </w:rPr>
      </w:pPr>
    </w:p>
    <w:p>
      <w:pPr>
        <w:ind w:left="560" w:right="140"/>
        <w:spacing w:after="0" w:line="289" w:lineRule="auto"/>
        <w:rPr>
          <w:sz w:val="20"/>
          <w:szCs w:val="20"/>
          <w:color w:val="auto"/>
        </w:rPr>
      </w:pPr>
      <w:r>
        <w:rPr>
          <w:rFonts w:ascii="Times New Roman" w:cs="Times New Roman" w:eastAsia="Times New Roman" w:hAnsi="Times New Roman"/>
          <w:sz w:val="17"/>
          <w:szCs w:val="17"/>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640" w:type="dxa"/>
            <w:vAlign w:val="bottom"/>
            <w:vMerge w:val="restart"/>
          </w:tcPr>
          <w:p>
            <w:pPr>
              <w:jc w:val="center"/>
              <w:ind w:right="995"/>
              <w:spacing w:after="0"/>
              <w:rPr>
                <w:sz w:val="20"/>
                <w:szCs w:val="20"/>
                <w:color w:val="auto"/>
              </w:rPr>
            </w:pPr>
            <w:r>
              <w:rPr>
                <w:rFonts w:ascii="Times New Roman" w:cs="Times New Roman" w:eastAsia="Times New Roman" w:hAnsi="Times New Roman"/>
                <w:sz w:val="14"/>
                <w:szCs w:val="14"/>
                <w:b w:val="1"/>
                <w:bCs w:val="1"/>
                <w:color w:val="auto"/>
              </w:rPr>
              <w:t>BioNTech ADS</w:t>
            </w:r>
          </w:p>
        </w:tc>
        <w:tc>
          <w:tcPr>
            <w:tcW w:w="3200" w:type="dxa"/>
            <w:vAlign w:val="bottom"/>
            <w:vMerge w:val="restart"/>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Exchange Ratio (After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Cash Paid In Lieu of</w:t>
            </w:r>
          </w:p>
        </w:tc>
        <w:tc>
          <w:tcPr>
            <w:tcW w:w="0" w:type="dxa"/>
            <w:vAlign w:val="bottom"/>
          </w:tcPr>
          <w:p>
            <w:pPr>
              <w:spacing w:after="0"/>
              <w:rPr>
                <w:sz w:val="1"/>
                <w:szCs w:val="1"/>
                <w:color w:val="auto"/>
              </w:rPr>
            </w:pPr>
          </w:p>
        </w:tc>
      </w:tr>
      <w:tr>
        <w:trPr>
          <w:trHeight w:val="146"/>
        </w:trPr>
        <w:tc>
          <w:tcPr>
            <w:tcW w:w="2640" w:type="dxa"/>
            <w:vAlign w:val="bottom"/>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2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BioNTech ADSs</w:t>
            </w:r>
          </w:p>
        </w:tc>
        <w:tc>
          <w:tcPr>
            <w:tcW w:w="2020" w:type="dxa"/>
            <w:vAlign w:val="bottom"/>
          </w:tcPr>
          <w:p>
            <w:pPr>
              <w:jc w:val="center"/>
              <w:ind w:left="676"/>
              <w:spacing w:after="0" w:line="146" w:lineRule="exact"/>
              <w:rPr>
                <w:sz w:val="20"/>
                <w:szCs w:val="20"/>
                <w:color w:val="auto"/>
              </w:rPr>
            </w:pPr>
            <w:r>
              <w:rPr>
                <w:rFonts w:ascii="Times New Roman" w:cs="Times New Roman" w:eastAsia="Times New Roman" w:hAnsi="Times New Roman"/>
                <w:sz w:val="14"/>
                <w:szCs w:val="14"/>
                <w:b w:val="1"/>
                <w:bCs w:val="1"/>
                <w:color w:val="auto"/>
              </w:rPr>
              <w:t>Fractional BioNTech</w:t>
            </w:r>
          </w:p>
        </w:tc>
        <w:tc>
          <w:tcPr>
            <w:tcW w:w="0" w:type="dxa"/>
            <w:vAlign w:val="bottom"/>
          </w:tcPr>
          <w:p>
            <w:pPr>
              <w:spacing w:after="0"/>
              <w:rPr>
                <w:sz w:val="1"/>
                <w:szCs w:val="1"/>
                <w:color w:val="auto"/>
              </w:rPr>
            </w:pPr>
          </w:p>
        </w:tc>
      </w:tr>
      <w:tr>
        <w:trPr>
          <w:trHeight w:val="157"/>
        </w:trPr>
        <w:tc>
          <w:tcPr>
            <w:tcW w:w="2640" w:type="dxa"/>
            <w:vAlign w:val="bottom"/>
          </w:tcPr>
          <w:p>
            <w:pPr>
              <w:jc w:val="center"/>
              <w:ind w:right="995"/>
              <w:spacing w:after="0" w:line="157" w:lineRule="exact"/>
              <w:rPr>
                <w:sz w:val="20"/>
                <w:szCs w:val="20"/>
                <w:color w:val="auto"/>
              </w:rPr>
            </w:pPr>
            <w:r>
              <w:rPr>
                <w:rFonts w:ascii="Times New Roman" w:cs="Times New Roman" w:eastAsia="Times New Roman" w:hAnsi="Times New Roman"/>
                <w:sz w:val="14"/>
                <w:szCs w:val="14"/>
                <w:b w:val="1"/>
                <w:bCs w:val="1"/>
                <w:color w:val="auto"/>
              </w:rPr>
              <w:t>VWAP</w:t>
            </w:r>
          </w:p>
        </w:tc>
        <w:tc>
          <w:tcPr>
            <w:tcW w:w="3200" w:type="dxa"/>
            <w:vAlign w:val="bottom"/>
          </w:tcPr>
          <w:p>
            <w:pPr>
              <w:jc w:val="center"/>
              <w:ind w:left="235"/>
              <w:spacing w:after="0" w:line="157" w:lineRule="exact"/>
              <w:rPr>
                <w:sz w:val="20"/>
                <w:szCs w:val="20"/>
                <w:color w:val="auto"/>
              </w:rPr>
            </w:pPr>
            <w:r>
              <w:rPr>
                <w:rFonts w:ascii="Times New Roman" w:cs="Times New Roman" w:eastAsia="Times New Roman" w:hAnsi="Times New Roman"/>
                <w:sz w:val="14"/>
                <w:szCs w:val="14"/>
                <w:b w:val="1"/>
                <w:bCs w:val="1"/>
                <w:color w:val="auto"/>
              </w:rPr>
              <w:t>Collar Adjustment)</w:t>
            </w:r>
          </w:p>
        </w:tc>
        <w:tc>
          <w:tcPr>
            <w:tcW w:w="25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2020" w:type="dxa"/>
            <w:vAlign w:val="bottom"/>
          </w:tcPr>
          <w:p>
            <w:pPr>
              <w:jc w:val="center"/>
              <w:ind w:left="676"/>
              <w:spacing w:after="0" w:line="157" w:lineRule="exact"/>
              <w:rPr>
                <w:sz w:val="20"/>
                <w:szCs w:val="20"/>
                <w:color w:val="auto"/>
              </w:rPr>
            </w:pPr>
            <w:r>
              <w:rPr>
                <w:rFonts w:ascii="Times New Roman" w:cs="Times New Roman" w:eastAsia="Times New Roman" w:hAnsi="Times New Roman"/>
                <w:sz w:val="14"/>
                <w:szCs w:val="14"/>
                <w:b w:val="1"/>
                <w:bCs w:val="1"/>
                <w:color w:val="auto"/>
              </w:rPr>
              <w:t>ADS</w:t>
            </w:r>
          </w:p>
        </w:tc>
        <w:tc>
          <w:tcPr>
            <w:tcW w:w="0" w:type="dxa"/>
            <w:vAlign w:val="bottom"/>
          </w:tcPr>
          <w:p>
            <w:pPr>
              <w:spacing w:after="0"/>
              <w:rPr>
                <w:sz w:val="1"/>
                <w:szCs w:val="1"/>
                <w:color w:val="auto"/>
              </w:rPr>
            </w:pPr>
          </w:p>
        </w:tc>
      </w:tr>
      <w:tr>
        <w:trPr>
          <w:trHeight w:val="216"/>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rPr>
              <w:t>$80.00 (below collar)</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0.06476x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rPr>
              <w:t>$90</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0.06071x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0.05464x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w w:val="99"/>
              </w:rPr>
              <w:t>$110</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0.04967x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$106.37</w:t>
            </w:r>
          </w:p>
        </w:tc>
        <w:tc>
          <w:tcPr>
            <w:tcW w:w="0" w:type="dxa"/>
            <w:vAlign w:val="bottom"/>
          </w:tcPr>
          <w:p>
            <w:pPr>
              <w:spacing w:after="0"/>
              <w:rPr>
                <w:sz w:val="1"/>
                <w:szCs w:val="1"/>
                <w:color w:val="auto"/>
              </w:rPr>
            </w:pPr>
          </w:p>
        </w:tc>
      </w:tr>
      <w:tr>
        <w:trPr>
          <w:trHeight w:val="216"/>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w w:val="99"/>
              </w:rPr>
              <w:t>$120</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0.04553x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34"/>
        </w:trPr>
        <w:tc>
          <w:tcPr>
            <w:tcW w:w="2640" w:type="dxa"/>
            <w:vAlign w:val="bottom"/>
          </w:tcPr>
          <w:p>
            <w:pPr>
              <w:jc w:val="center"/>
              <w:ind w:right="995"/>
              <w:spacing w:after="0"/>
              <w:rPr>
                <w:sz w:val="20"/>
                <w:szCs w:val="20"/>
                <w:color w:val="auto"/>
              </w:rPr>
            </w:pPr>
            <w:r>
              <w:rPr>
                <w:rFonts w:ascii="Times New Roman" w:cs="Times New Roman" w:eastAsia="Times New Roman" w:hAnsi="Times New Roman"/>
                <w:sz w:val="18"/>
                <w:szCs w:val="18"/>
                <w:color w:val="auto"/>
                <w:w w:val="99"/>
              </w:rPr>
              <w:t>$130 (above collar)</w:t>
            </w:r>
          </w:p>
        </w:tc>
        <w:tc>
          <w:tcPr>
            <w:tcW w:w="320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0.04318x</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2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w:t>
      </w:r>
    </w:p>
    <w:p>
      <w:pPr>
        <w:spacing w:after="0" w:line="332"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CureVac shareholders have to pay any fees or commissions?</w:t>
      </w:r>
    </w:p>
    <w:p>
      <w:pPr>
        <w:spacing w:after="0" w:line="135" w:lineRule="exact"/>
        <w:rPr>
          <w:sz w:val="20"/>
          <w:szCs w:val="20"/>
          <w:color w:val="auto"/>
        </w:rPr>
      </w:pPr>
    </w:p>
    <w:p>
      <w:pPr>
        <w:ind w:left="540" w:right="18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record owner of your CureVac shares and you tender your shares directly through Computershare Trust Company, N.A., which we refer to as the exchange agent, you will not have to pay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brokerage fees, commissions, or similar expenses. If you own CureVac shares through a broker, dealer, commercial bank, trust company, or other nominee and your broker, dealer, commercial bank, trust company, or other nominee tenders your CureVac shares on your behalf, your broker, dealer, commercial bank, trust company, or nominee may charge you a fee for doing so. You should consult your broker, dealer, commercial bank, trust company, or nominee to determine whether any charges will apply.</w:t>
      </w:r>
    </w:p>
    <w:p>
      <w:pPr>
        <w:spacing w:after="0" w:line="32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an American Depositary Share (ADS)?</w:t>
      </w:r>
    </w:p>
    <w:p>
      <w:pPr>
        <w:spacing w:after="0" w:line="135" w:lineRule="exact"/>
        <w:rPr>
          <w:sz w:val="20"/>
          <w:szCs w:val="20"/>
          <w:color w:val="auto"/>
        </w:rPr>
      </w:pPr>
    </w:p>
    <w:p>
      <w:pPr>
        <w:ind w:left="540" w:hanging="424"/>
        <w:spacing w:after="0" w:line="270" w:lineRule="auto"/>
        <w:tabs>
          <w:tab w:leader="none" w:pos="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American Depositary Share, which we refer to as an ADS, is a security that allows shares of foreign-based companies to trade more easily on U.S. exchanges. The BioNTech ADSs trade on Nasdaq. Each BioNTech ADS represents one BioNTech ordinary share. Upon request, and subject to certain fees, ADSs can be exchanged for the underlying ordinary shares. The Bank of New York Mellon, which we refer to as the depositary, holds the underlying BioNTech ordinary shares and acts as depositary for BioNTech’s ADS program. See “Description of BioNTech Capital Stock</w:t>
      </w:r>
    </w:p>
    <w:p>
      <w:pPr>
        <w:spacing w:after="0" w:line="2"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Depositary Shares” beginning on page 135.</w:t>
      </w:r>
    </w:p>
    <w:p>
      <w:pPr>
        <w:spacing w:after="0" w:line="351"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untendered CureVac shares be affected after the offer?</w:t>
      </w:r>
    </w:p>
    <w:p>
      <w:pPr>
        <w:spacing w:after="0" w:line="135" w:lineRule="exact"/>
        <w:rPr>
          <w:sz w:val="20"/>
          <w:szCs w:val="20"/>
          <w:color w:val="auto"/>
        </w:rPr>
      </w:pPr>
    </w:p>
    <w:p>
      <w:pPr>
        <w:jc w:val="both"/>
        <w:ind w:left="540" w:right="40" w:hanging="424"/>
        <w:spacing w:after="0" w:line="289"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See “The Offer — The Post-Offer Reorganization and the New Topco U.S. Tax Election” beginning on page 59.</w:t>
      </w:r>
    </w:p>
    <w:p>
      <w:pPr>
        <w:spacing w:after="0" w:line="49" w:lineRule="exact"/>
        <w:rPr>
          <w:rFonts w:ascii="Times New Roman" w:cs="Times New Roman" w:eastAsia="Times New Roman" w:hAnsi="Times New Roman"/>
          <w:sz w:val="17"/>
          <w:szCs w:val="17"/>
          <w:color w:val="auto"/>
        </w:rPr>
      </w:pPr>
    </w:p>
    <w:p>
      <w:pPr>
        <w:ind w:left="560" w:right="1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a result of the post-offer reorganization, CureVac will cease to exist and no public shareholders will continue to hold shares in it. Any holders of CureVac shares who do not participate in the offer, including the subsequent offering period, will receive the same consideration in the post-offer reorganization as such holder would have received had it participated in the offer. However, BioNTech ADSs (and cash in lieu of fractional BioNTech ADSs) received pursuant to the post-offer reorganization will, in principle, be subject to Dutch dividend withholding tax at a rate of 15% if and to the extent the cancellation consideration exceeds the average paid-in capital as recognized for Dutch dividend withholding tax purposes, which we refer to as the fiscally recognized capital, of the New Topco A shares immediately prior to the cancellation effective time, whereas no Dutch dividend withholding tax is applicable to the offer consideration received in exchange for the CureVac shares tendered in the offer or during the subsequent offering period.</w:t>
      </w:r>
    </w:p>
    <w:p>
      <w:pPr>
        <w:spacing w:after="0" w:line="83" w:lineRule="exact"/>
        <w:rPr>
          <w:rFonts w:ascii="Times New Roman" w:cs="Times New Roman" w:eastAsia="Times New Roman" w:hAnsi="Times New Roman"/>
          <w:sz w:val="17"/>
          <w:szCs w:val="17"/>
          <w:color w:val="auto"/>
        </w:rPr>
      </w:pPr>
    </w:p>
    <w:p>
      <w:pPr>
        <w:ind w:left="5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above, as long as New Topco has its place of effective management in Germany and is therefore exclusively considered a tax resident of Germany under the 2012 Convention between the Federal Republic of Germany and the Kingdom of the Netherlands for the Avoidance of Double Taxation and the Prevention of Fiscal Evasion with respect to Taxes on Income, which we refer to as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which we refer to as a Dutch resident holder,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 which we refer to as a Dutch PE holder.</w:t>
      </w:r>
    </w:p>
    <w:p>
      <w:pPr>
        <w:spacing w:after="0" w:line="86" w:lineRule="exact"/>
        <w:rPr>
          <w:rFonts w:ascii="Times New Roman" w:cs="Times New Roman" w:eastAsia="Times New Roman" w:hAnsi="Times New Roman"/>
          <w:sz w:val="17"/>
          <w:szCs w:val="17"/>
          <w:color w:val="auto"/>
        </w:rPr>
      </w:pPr>
    </w:p>
    <w:p>
      <w:pPr>
        <w:ind w:left="56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Shareholders who are neither a Dutch resident holder nor a Dutch PE holder may be able to reclaim any Dutch dividend withholding tax withheld from their cancellation consideration via New Topco. Dutch resident holders and Dutch PE holders may be eligible for a (partial) refund from the Dutch tax authorities directly, depending on the particular individual circumstances of the relevant New Topco shareholder. For additional information regarding the refund process, see “The Offer — The Post-Offer Reorganization and the New Topco U.S. Tax Election” beginning on page 59 and “Material Dutch Tax Considerations” beginning on page 87.</w:t>
      </w:r>
    </w:p>
    <w:p>
      <w:pPr>
        <w:spacing w:after="0" w:line="328"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CureVac’s outstanding equity awards being treated?</w:t>
      </w:r>
    </w:p>
    <w:p>
      <w:pPr>
        <w:spacing w:after="0" w:line="13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outstanding equity awards will be treated as follows:</w:t>
      </w:r>
    </w:p>
    <w:p>
      <w:pPr>
        <w:spacing w:after="0" w:line="13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Stock Option Awards: CureVac will work together with certain existing shareholders, which we refer to as the contributing shareholders, to cause the beneficiaries under CureVac’s outstanding virtual stock option awards, which we refer to as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94"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At the closing of the offer, each CureVac performance stock unit, which we refer to as a CureVac PSU, that is outstanding as of immediately prior to the closing of the offer will become fully vested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BioNTech ADS VWAP multiplied by the exchange ratio, which we refer to as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9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At the closing of the offer, each CureVac restricted stock unit, which we refer to as a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At the closing of the offer, each CureVac option that is outstanding as of immediately prior to the closing of the offer, which we refer to as a CureVac option,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Offer — Treatment of CureVac Equity Awards” beginning on page 55.</w:t>
      </w:r>
    </w:p>
    <w:p>
      <w:pPr>
        <w:spacing w:after="0" w:line="248"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offer that I should consider?</w:t>
      </w:r>
    </w:p>
    <w:p>
      <w:pPr>
        <w:spacing w:after="0" w:line="135" w:lineRule="exact"/>
        <w:rPr>
          <w:sz w:val="20"/>
          <w:szCs w:val="20"/>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a number of risks related to the offer that are discussed in this offer to exchange/prospectus described in the section entitled “Risk Factors” beginning on page 28.</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offer expected to be completed?</w:t>
      </w:r>
    </w:p>
    <w:p>
      <w:pPr>
        <w:spacing w:after="0" w:line="135" w:lineRule="exact"/>
        <w:rPr>
          <w:sz w:val="20"/>
          <w:szCs w:val="20"/>
          <w:color w:val="auto"/>
        </w:rPr>
      </w:pPr>
    </w:p>
    <w:p>
      <w:pPr>
        <w:ind w:left="540" w:right="60" w:hanging="424"/>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intends to complete the offer as soon as reasonably practicable following satisfaction of all of the required conditions. It is currently expected that the offer will be completed in 2025. However, there is no guarantee that the conditions to the offer will be satisfied or waived or that the offer will close.</w:t>
      </w:r>
    </w:p>
    <w:p>
      <w:pPr>
        <w:spacing w:after="0" w:line="199"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BioNTech ADSs be delivered?</w:t>
      </w:r>
    </w:p>
    <w:p>
      <w:pPr>
        <w:spacing w:after="0" w:line="135" w:lineRule="exact"/>
        <w:rPr>
          <w:sz w:val="20"/>
          <w:szCs w:val="20"/>
          <w:color w:val="auto"/>
        </w:rPr>
      </w:pPr>
    </w:p>
    <w:p>
      <w:pPr>
        <w:ind w:left="540" w:right="260" w:hanging="424"/>
        <w:spacing w:after="0" w:line="312" w:lineRule="auto"/>
        <w:tabs>
          <w:tab w:leader="none" w:pos="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BioNTech currently expects to deliver BioNTech ADSs for CureVac shares tendered (i) in the offer approximately 10 business days from the expiration time and (ii) in the subsequent offering period approximately 10 business days from the expiration of the subsequent offering period.</w:t>
      </w:r>
    </w:p>
    <w:p>
      <w:pPr>
        <w:spacing w:after="0" w:line="31" w:lineRule="exact"/>
        <w:rPr>
          <w:rFonts w:ascii="Times New Roman" w:cs="Times New Roman" w:eastAsia="Times New Roman" w:hAnsi="Times New Roman"/>
          <w:sz w:val="17"/>
          <w:szCs w:val="17"/>
          <w:color w:val="auto"/>
        </w:rPr>
      </w:pPr>
    </w:p>
    <w:p>
      <w:pPr>
        <w:ind w:left="560" w:right="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BioNTech’s judicial district. The exact timing of the registration process for capital increases lies with such court and is outside the control of BioNTech.</w:t>
      </w:r>
    </w:p>
    <w:p>
      <w:pPr>
        <w:spacing w:after="0" w:line="71" w:lineRule="exact"/>
        <w:rPr>
          <w:rFonts w:ascii="Times New Roman" w:cs="Times New Roman" w:eastAsia="Times New Roman" w:hAnsi="Times New Roman"/>
          <w:sz w:val="17"/>
          <w:szCs w:val="17"/>
          <w:color w:val="auto"/>
        </w:rPr>
      </w:pPr>
    </w:p>
    <w:p>
      <w:pPr>
        <w:ind w:left="560" w:right="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light of the above, BioNTech cannot guarantee the precise timing of delivery of BioNTech ADSs in connection with the offer or the subsequent offering period. BioNTech believes such delivery could take up to three weeks, and it could be longer. BioNTech is delivering such BioNTech ADSs in accordance with the requirements of German law and practice, consistent with Rule 14d-1(d)(2)(iv) under the Exchange Act.</w:t>
      </w:r>
    </w:p>
    <w:p>
      <w:pPr>
        <w:spacing w:after="0" w:line="67" w:lineRule="exact"/>
        <w:rPr>
          <w:rFonts w:ascii="Times New Roman" w:cs="Times New Roman" w:eastAsia="Times New Roman" w:hAnsi="Times New Roman"/>
          <w:sz w:val="17"/>
          <w:szCs w:val="17"/>
          <w:color w:val="auto"/>
        </w:rPr>
      </w:pPr>
    </w:p>
    <w:p>
      <w:pPr>
        <w:ind w:left="5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“Risk Factors — Risks Related to the Offer — BioNTech must implement share capital increases to create the offer consideration, which will result in an extended settlement and may delay the closing of the transactions. You will not receive any interest or other consideration as a result of this extended settlement.” beginning on page 31 and “The Offer — Acceptance for Exchange of CureVac Shares; Delivery of BioNTech ADSs; Capital Increases” beginning on page 56.</w:t>
      </w:r>
    </w:p>
    <w:p>
      <w:pPr>
        <w:spacing w:after="0" w:line="203" w:lineRule="exact"/>
        <w:rPr>
          <w:sz w:val="20"/>
          <w:szCs w:val="20"/>
          <w:color w:val="auto"/>
        </w:rPr>
      </w:pPr>
    </w:p>
    <w:p>
      <w:pPr>
        <w:ind w:left="540" w:right="600" w:hanging="424"/>
        <w:spacing w:after="0" w:line="286" w:lineRule="auto"/>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offer, the post-offer reorganization, and the New Topco U.S. tax election to U.S. holders of CureVac shares?</w:t>
      </w:r>
    </w:p>
    <w:p>
      <w:pPr>
        <w:spacing w:after="0" w:line="64" w:lineRule="exact"/>
        <w:rPr>
          <w:sz w:val="20"/>
          <w:szCs w:val="20"/>
          <w:color w:val="auto"/>
        </w:rPr>
      </w:pPr>
    </w:p>
    <w:p>
      <w:pPr>
        <w:ind w:left="540" w:right="60" w:hanging="424"/>
        <w:spacing w:after="0" w:line="254"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Internal Revenue Code of 1986, as amended, which we refer to as the code. Accordingly, and subject to the rules applicable to a passive foreign investment company, which we refer to as a PFIC, for U.S. federal income tax purposes, the exchange pursuant to the offer or the cancellation of CureVac shares for BioNTech ADSs will generally be tax-free for U.S. holders (as defined below in the section “Material United States Federal Income Tax Considerations”), except for the receipt of cash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80" w:lineRule="exact"/>
        <w:rPr>
          <w:rFonts w:ascii="Times New Roman" w:cs="Times New Roman" w:eastAsia="Times New Roman" w:hAnsi="Times New Roman"/>
          <w:sz w:val="18"/>
          <w:szCs w:val="18"/>
          <w:color w:val="auto"/>
        </w:rPr>
      </w:pPr>
    </w:p>
    <w:p>
      <w:pPr>
        <w:ind w:left="56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“Material United States Federal Income Tax Considerations” beginning on page 67. CureVac shareholders should consult their tax advisors regarding the U.S. or local tax consequences of the offer and the post-offer reorganization.</w:t>
      </w:r>
    </w:p>
    <w:p>
      <w:pPr>
        <w:spacing w:after="0" w:line="185"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German income and withholding tax consequences of the offer and the post-offer reorganization?</w:t>
      </w:r>
    </w:p>
    <w:p>
      <w:pPr>
        <w:spacing w:after="0" w:line="135" w:lineRule="exact"/>
        <w:rPr>
          <w:sz w:val="20"/>
          <w:szCs w:val="20"/>
          <w:color w:val="auto"/>
        </w:rPr>
      </w:pPr>
    </w:p>
    <w:p>
      <w:pPr>
        <w:ind w:left="540" w:right="140" w:hanging="424"/>
        <w:spacing w:after="0" w:line="289"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pursuant to the offer or the cancellation of CureVac shares for BioNTech ADSs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6" w:lineRule="auto"/>
        <w:rPr>
          <w:sz w:val="20"/>
          <w:szCs w:val="20"/>
          <w:color w:val="auto"/>
        </w:rPr>
      </w:pPr>
      <w:r>
        <w:rPr>
          <w:rFonts w:ascii="Times New Roman" w:cs="Times New Roman" w:eastAsia="Times New Roman" w:hAnsi="Times New Roman"/>
          <w:sz w:val="18"/>
          <w:szCs w:val="18"/>
          <w:color w:val="auto"/>
        </w:rPr>
        <w:t>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w:t>
      </w:r>
    </w:p>
    <w:p>
      <w:pPr>
        <w:spacing w:after="0" w:line="79"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A corporation that is a German tax resident will be subject to corporate income tax on 5% of the gain derived from the exchange, plus solidarity surcharge and trade tax. If the CureVac shares are held by a 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 The receipt of cash in lieu of fractional BioNTech ADSs generally will be subject to German income tax. Such tax will generally be withheld at a rate of 26.375% plus church tax, if applicable, of the cash paid.</w:t>
      </w:r>
    </w:p>
    <w:p>
      <w:pPr>
        <w:spacing w:after="0" w:line="77" w:lineRule="exact"/>
        <w:rPr>
          <w:sz w:val="20"/>
          <w:szCs w:val="20"/>
          <w:color w:val="auto"/>
        </w:rPr>
      </w:pPr>
    </w:p>
    <w:p>
      <w:pPr>
        <w:ind w:left="560" w:right="700"/>
        <w:spacing w:after="0" w:line="284" w:lineRule="auto"/>
        <w:rPr>
          <w:sz w:val="20"/>
          <w:szCs w:val="20"/>
          <w:color w:val="auto"/>
        </w:rPr>
      </w:pPr>
      <w:r>
        <w:rPr>
          <w:rFonts w:ascii="Times New Roman" w:cs="Times New Roman" w:eastAsia="Times New Roman" w:hAnsi="Times New Roman"/>
          <w:sz w:val="18"/>
          <w:szCs w:val="18"/>
          <w:color w:val="auto"/>
        </w:rPr>
        <w:t>Any German withholding tax on capital gains generally will be levied by the applicable German disbursing agent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German credit institution, financial services institution or securities institution through which the recipient holds its CureVac shares).</w:t>
      </w:r>
    </w:p>
    <w:p>
      <w:pPr>
        <w:spacing w:after="0" w:line="52"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For the tax consequences of the exchange to non-German tax resident shareholders, including any exchange in the post-offer reorganization, see “Material German Tax Considerations” beginning on page 75.</w:t>
      </w:r>
    </w:p>
    <w:p>
      <w:pPr>
        <w:spacing w:after="0" w:line="54"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CureVac shareholders should consult their tax advisors regarding the German tax consequences of the offer and the post-offer reorganization to them.</w:t>
      </w:r>
    </w:p>
    <w:p>
      <w:pPr>
        <w:spacing w:after="0" w:line="18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Dutch income tax consequences of the offer and the post-offer reorganization?</w:t>
      </w:r>
    </w:p>
    <w:p>
      <w:pPr>
        <w:spacing w:after="0" w:line="135" w:lineRule="exact"/>
        <w:rPr>
          <w:sz w:val="20"/>
          <w:szCs w:val="20"/>
          <w:color w:val="auto"/>
        </w:rPr>
      </w:pPr>
    </w:p>
    <w:p>
      <w:pPr>
        <w:ind w:left="540" w:right="10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CureVac shares that are subject to Dutch income tax may realize taxable income as a result of tendering their CureVac shares pursuant to the offer or as a result of the post-offer reorganization. See “Material Dutch Tax Considerations” beginning on page 87.</w:t>
      </w:r>
    </w:p>
    <w:p>
      <w:pPr>
        <w:spacing w:after="0" w:line="53"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185"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Dutch dividend withholding tax consequences of the offer and the post-offer reorganization?</w:t>
      </w:r>
    </w:p>
    <w:p>
      <w:pPr>
        <w:spacing w:after="0" w:line="135" w:lineRule="exact"/>
        <w:rPr>
          <w:sz w:val="20"/>
          <w:szCs w:val="20"/>
          <w:color w:val="auto"/>
        </w:rPr>
      </w:pPr>
    </w:p>
    <w:p>
      <w:pPr>
        <w:ind w:left="540" w:right="68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Dutch dividend withholding tax is applicable to the offer consideration received in exchange for CureVac shares tendered in the offer, including during the subsequent offering period.</w:t>
      </w:r>
    </w:p>
    <w:p>
      <w:pPr>
        <w:spacing w:after="0" w:line="53" w:lineRule="exact"/>
        <w:rPr>
          <w:rFonts w:ascii="Times New Roman" w:cs="Times New Roman" w:eastAsia="Times New Roman" w:hAnsi="Times New Roman"/>
          <w:sz w:val="18"/>
          <w:szCs w:val="18"/>
          <w:color w:val="auto"/>
        </w:rPr>
      </w:pPr>
    </w:p>
    <w:p>
      <w:pPr>
        <w:ind w:left="5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67" w:lineRule="exact"/>
        <w:rPr>
          <w:rFonts w:ascii="Times New Roman" w:cs="Times New Roman" w:eastAsia="Times New Roman" w:hAnsi="Times New Roman"/>
          <w:sz w:val="18"/>
          <w:szCs w:val="18"/>
          <w:color w:val="auto"/>
        </w:rPr>
      </w:pPr>
    </w:p>
    <w:p>
      <w:pPr>
        <w:ind w:left="56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Dutch dividend withholding tax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75" w:lineRule="exact"/>
        <w:rPr>
          <w:rFonts w:ascii="Times New Roman" w:cs="Times New Roman" w:eastAsia="Times New Roman" w:hAnsi="Times New Roman"/>
          <w:sz w:val="18"/>
          <w:szCs w:val="18"/>
          <w:color w:val="auto"/>
        </w:rPr>
      </w:pPr>
    </w:p>
    <w:p>
      <w:pPr>
        <w:ind w:left="5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as long as New Topco has its place of effective management in Germany and is therefore exclusively considered a tax resident of Germany under the double tax treaty between Germany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40"/>
        <w:spacing w:after="0" w:line="312" w:lineRule="auto"/>
        <w:rPr>
          <w:sz w:val="20"/>
          <w:szCs w:val="20"/>
          <w:color w:val="auto"/>
        </w:rPr>
      </w:pPr>
      <w:r>
        <w:rPr>
          <w:rFonts w:ascii="Times New Roman" w:cs="Times New Roman" w:eastAsia="Times New Roman" w:hAnsi="Times New Roman"/>
          <w:sz w:val="17"/>
          <w:szCs w:val="17"/>
          <w:color w:val="auto"/>
        </w:rPr>
        <w:t>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3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72"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w:t>
      </w:r>
    </w:p>
    <w:p>
      <w:pPr>
        <w:spacing w:after="0" w:line="81"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Dutch resident shareholders and Dutch PE holders may be eligible for a (partial) refund from the Dutch tax authorities directly, depending on the particular individual circumstances of the relevant New Topco shareholder.</w:t>
      </w:r>
    </w:p>
    <w:p>
      <w:pPr>
        <w:spacing w:after="0" w:line="5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w:t>
      </w:r>
    </w:p>
    <w:p>
      <w:pPr>
        <w:spacing w:after="0" w:line="68"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“Material Dutch Tax Considerations” beginning on page 87.</w:t>
      </w:r>
    </w:p>
    <w:p>
      <w:pPr>
        <w:spacing w:after="0" w:line="24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CureVac or New Topco shareholders entitled to appraisal rights?</w:t>
      </w:r>
    </w:p>
    <w:p>
      <w:pPr>
        <w:spacing w:after="0" w:line="135" w:lineRule="exact"/>
        <w:rPr>
          <w:sz w:val="20"/>
          <w:szCs w:val="20"/>
          <w:color w:val="auto"/>
        </w:rPr>
      </w:pPr>
    </w:p>
    <w:p>
      <w:pPr>
        <w:ind w:left="540" w:right="30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CureVac’s shareholders nor New Topco’s shareholders are entitled under Dutch law to exercise appraisal rights in connection with the offer or the post-offer reorganization.</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Offer — Appraisal Rights” beginning on page 63.</w:t>
      </w:r>
    </w:p>
    <w:p>
      <w:pPr>
        <w:spacing w:after="0" w:line="248"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long do CureVac shareholders have to decide whether to exchange their CureVac shares for BioNTech ADSs in the offer?</w:t>
      </w:r>
    </w:p>
    <w:p>
      <w:pPr>
        <w:spacing w:after="0" w:line="135" w:lineRule="exact"/>
        <w:rPr>
          <w:sz w:val="20"/>
          <w:szCs w:val="20"/>
          <w:color w:val="auto"/>
        </w:rPr>
      </w:pPr>
    </w:p>
    <w:p>
      <w:pPr>
        <w:ind w:left="540" w:right="46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expires at 9:00 a.m. (New York City time) on December 3, 2025, unless the offer is extended or terminated in accordance with the Purchase Agreement.</w:t>
      </w:r>
    </w:p>
    <w:p>
      <w:pPr>
        <w:spacing w:after="0" w:line="53" w:lineRule="exact"/>
        <w:rPr>
          <w:rFonts w:ascii="Times New Roman" w:cs="Times New Roman" w:eastAsia="Times New Roman" w:hAnsi="Times New Roman"/>
          <w:sz w:val="18"/>
          <w:szCs w:val="18"/>
          <w:color w:val="auto"/>
        </w:rPr>
      </w:pPr>
    </w:p>
    <w:p>
      <w:pPr>
        <w:ind w:left="5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w:t>
      </w:r>
    </w:p>
    <w:p>
      <w:pPr>
        <w:spacing w:after="0" w:line="53" w:lineRule="exact"/>
        <w:rPr>
          <w:rFonts w:ascii="Times New Roman" w:cs="Times New Roman" w:eastAsia="Times New Roman" w:hAnsi="Times New Roman"/>
          <w:sz w:val="18"/>
          <w:szCs w:val="18"/>
          <w:color w:val="auto"/>
        </w:rPr>
      </w:pPr>
    </w:p>
    <w:p>
      <w:pPr>
        <w:ind w:left="56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offer be extended and, if so, under what circumstances?</w:t>
      </w:r>
    </w:p>
    <w:p>
      <w:pPr>
        <w:spacing w:after="0" w:line="135" w:lineRule="exact"/>
        <w:rPr>
          <w:sz w:val="20"/>
          <w:szCs w:val="20"/>
          <w:color w:val="auto"/>
        </w:rPr>
      </w:pPr>
    </w:p>
    <w:p>
      <w:pPr>
        <w:ind w:left="540" w:right="6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required by the SEC or Nasdaq.</w:t>
      </w:r>
    </w:p>
    <w:p>
      <w:pPr>
        <w:spacing w:after="0" w:line="53" w:lineRule="exact"/>
        <w:rPr>
          <w:rFonts w:ascii="Times New Roman" w:cs="Times New Roman" w:eastAsia="Times New Roman" w:hAnsi="Times New Roman"/>
          <w:sz w:val="18"/>
          <w:szCs w:val="18"/>
          <w:color w:val="auto"/>
        </w:rPr>
      </w:pPr>
    </w:p>
    <w:p>
      <w:pPr>
        <w:ind w:left="560"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53" w:lineRule="exact"/>
        <w:rPr>
          <w:rFonts w:ascii="Times New Roman" w:cs="Times New Roman" w:eastAsia="Times New Roman" w:hAnsi="Times New Roman"/>
          <w:sz w:val="18"/>
          <w:szCs w:val="18"/>
          <w:color w:val="auto"/>
        </w:rPr>
      </w:pP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11:59 p.m. (New York City time) on March 12, 2026 (which outside date may be extended in accordance with the Purchase Agreement).</w:t>
      </w:r>
    </w:p>
    <w:p>
      <w:pPr>
        <w:spacing w:after="0" w:line="212"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CureVac shareholders be notified if the offer is extended?</w:t>
      </w:r>
    </w:p>
    <w:p>
      <w:pPr>
        <w:spacing w:after="0" w:line="135" w:lineRule="exact"/>
        <w:rPr>
          <w:sz w:val="20"/>
          <w:szCs w:val="20"/>
          <w:color w:val="auto"/>
        </w:rPr>
      </w:pPr>
    </w:p>
    <w:p>
      <w:pPr>
        <w:ind w:left="540" w:right="6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offer will be followed by a public announcement of the extension no later than 9:00 a.m. (New York City time) on the next business day after the day on which the offer was otherwise scheduled to expire. Without limiting the manner in which BioNTech may choose to make any public announcement, BioNTech currently intends to make announcements regarding the offer by issuing a press release and making an appropriate filing with the SEC.</w:t>
      </w:r>
    </w:p>
    <w:p>
      <w:pPr>
        <w:spacing w:after="0" w:line="203"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35" w:lineRule="exact"/>
        <w:rPr>
          <w:sz w:val="20"/>
          <w:szCs w:val="20"/>
          <w:color w:val="auto"/>
        </w:rPr>
      </w:pPr>
    </w:p>
    <w:p>
      <w:pPr>
        <w:ind w:left="540" w:right="520" w:hanging="424"/>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85"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process for exchanging CureVac shares?</w:t>
      </w:r>
    </w:p>
    <w:p>
      <w:pPr>
        <w:spacing w:after="0" w:line="135"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Offer — Procedures for Tendering” beginning on page 55.</w:t>
      </w:r>
    </w:p>
    <w:p>
      <w:pPr>
        <w:spacing w:after="0" w:line="248"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Until what time can the CureVac shares be withdrawn?</w:t>
      </w:r>
    </w:p>
    <w:p>
      <w:pPr>
        <w:spacing w:after="0" w:line="135" w:lineRule="exact"/>
        <w:rPr>
          <w:sz w:val="20"/>
          <w:szCs w:val="20"/>
          <w:color w:val="auto"/>
        </w:rPr>
      </w:pPr>
    </w:p>
    <w:p>
      <w:pPr>
        <w:ind w:left="540" w:right="18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CureVac shareholder may properly withdraw CureVac shares tendered pursuant to the offer at any time prior to the expiration time. Following the expiration time, CureVac shareholders that have tendered their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80"/>
        <w:spacing w:after="0" w:line="266" w:lineRule="auto"/>
        <w:rPr>
          <w:sz w:val="20"/>
          <w:szCs w:val="20"/>
          <w:color w:val="auto"/>
        </w:rPr>
      </w:pPr>
      <w:r>
        <w:rPr>
          <w:rFonts w:ascii="Times New Roman" w:cs="Times New Roman" w:eastAsia="Times New Roman" w:hAnsi="Times New Roman"/>
          <w:sz w:val="18"/>
          <w:szCs w:val="18"/>
          <w:color w:val="auto"/>
        </w:rPr>
        <w:t>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248"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procedure to withdraw previously tendered CureVac shares?</w:t>
      </w:r>
    </w:p>
    <w:p>
      <w:pPr>
        <w:spacing w:after="0" w:line="135" w:lineRule="exact"/>
        <w:rPr>
          <w:sz w:val="20"/>
          <w:szCs w:val="20"/>
          <w:color w:val="auto"/>
        </w:rPr>
      </w:pPr>
    </w:p>
    <w:p>
      <w:pPr>
        <w:ind w:left="540" w:right="40" w:hanging="424"/>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withdraw previously tendered shares, CureVac shareholders must instruct the exchange agent to arrange for the withdrawal of such shares by a written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75" w:lineRule="exact"/>
        <w:rPr>
          <w:rFonts w:ascii="Times New Roman" w:cs="Times New Roman" w:eastAsia="Times New Roman" w:hAnsi="Times New Roman"/>
          <w:sz w:val="18"/>
          <w:szCs w:val="18"/>
          <w:color w:val="auto"/>
        </w:rPr>
      </w:pPr>
    </w:p>
    <w:p>
      <w:pPr>
        <w:ind w:left="5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212"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35" w:lineRule="exact"/>
        <w:rPr>
          <w:sz w:val="20"/>
          <w:szCs w:val="20"/>
          <w:color w:val="auto"/>
        </w:rPr>
      </w:pPr>
    </w:p>
    <w:p>
      <w:pPr>
        <w:ind w:left="540" w:right="80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offer or need additional copies of this offer to exchange/prospectus, you should contact BioNTech’s information agent: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Georgeson LLC</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30"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relating to the offer?</w:t>
      </w:r>
    </w:p>
    <w:p>
      <w:pPr>
        <w:spacing w:after="0" w:line="135" w:lineRule="exact"/>
        <w:rPr>
          <w:sz w:val="20"/>
          <w:szCs w:val="20"/>
          <w:color w:val="auto"/>
        </w:rPr>
      </w:pPr>
    </w:p>
    <w:p>
      <w:pPr>
        <w:ind w:left="540" w:hanging="424"/>
        <w:spacing w:after="0" w:line="254"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on the offer in the Schedule TO and the Schedule 14D-9. Before making any decision with respect to the offer, CureVac shareholders are encouraged to read the Schedule TO (including the offer to exchange/prospectus, related letter of transmittal, and other offer documents attached thereto)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 of CureVac’s financial advisor. Investors will be able to obtain free copies of the Schedule TO and Schedule 14D-9, as each may be amended from time to time, and other relevant documents filed by BioNTech and CureVac with the SEC (when they become available) at http://www.sec.gov, the SEC’s website, or free of charge from BioNTech’s website at http://www.biontech.com or by contacting BioNTech’s Investor Relations Department 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investors@biontech.de. These documents will also be available free of charge from CureVac’s website at http://www.curevac.com or by contacting CureVac’s Investor Relations Department at communications@curevac.com. The information found on, or otherwise accessible through, these websites is not incorporated into, and does not form a part of, this offer to exchange/prospectus.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some of the information contained in this offer to exchange/prospectus. This summary may not contain all of the information that is important to you. For a more complete description of the Purchase Agreement, the offer, and the other transactions, BioNTech encourages you to read this entire offer to exchange/prospectus carefully, including the attached Annexes and the other documents to which you have been referred. See also the section entitled “Where You Can Find More Information and Incorporation by Reference” beginning on page 167. The page references have been included to direct you to a more complete description of the topics presented in this summary.</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BioNTech SE (see page 40)</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D-55131 Mainz</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6131-9084-0</w:t>
      </w:r>
    </w:p>
    <w:p>
      <w:pPr>
        <w:spacing w:after="0" w:line="205"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85"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BioNTech’s multi-technology combination of platforms and product candidates positions it as a pioneer in the field of individualized, patient-centric therapeutic approaches in oncology, and infectious diseases.</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83" w:lineRule="exact"/>
        <w:rPr>
          <w:sz w:val="20"/>
          <w:szCs w:val="20"/>
          <w:color w:val="auto"/>
        </w:rPr>
      </w:pPr>
    </w:p>
    <w:p>
      <w:pPr>
        <w:jc w:val="both"/>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BioNTech ADSs are listed on Nasdaq, trading under the symbol “BNTX”.</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CureVac N.V. (see page 40)</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7071-9883-0</w:t>
      </w:r>
    </w:p>
    <w:p>
      <w:pPr>
        <w:spacing w:after="0" w:line="205"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CureVac shares are listed on Nasdaq, trading under the symbol “CVAC”.</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CureVac Merger B.V. (see page 41)</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CureVac Merger B.V.</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 7071-9883-0</w:t>
      </w:r>
    </w:p>
    <w:p>
      <w:pPr>
        <w:spacing w:after="0" w:line="20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New Topco is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Offer and the Purchase Agreement </w:t>
      </w:r>
      <w:r>
        <w:rPr>
          <w:rFonts w:ascii="Times New Roman" w:cs="Times New Roman" w:eastAsia="Times New Roman" w:hAnsi="Times New Roman"/>
          <w:sz w:val="18"/>
          <w:szCs w:val="18"/>
          <w:b w:val="1"/>
          <w:bCs w:val="1"/>
          <w:i w:val="1"/>
          <w:iCs w:val="1"/>
          <w:color w:val="auto"/>
        </w:rPr>
        <w:t>(see pages 54 and 94)</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BioNTech and CureVac have agreed (subject to the terms and conditions of the Purchase Agreement) that BioNTech will commence an exchange offer to acquire all of the outstanding CureVac shares. In exchange for each CureVac share, the tendering CureVac shareholder will receive a number of BioNTech ADSs equal to the amount obtained by dividing $5.4641 by the BioNTech ADS VWAP. In the event the BioNTech ADS VWAP is greater than or equal to $126.55, the exchange ratio will be 0.04318 and in the event the BioNTech ADS VWAP is less than or equal to $84.37, the exchange ratio will be 0.06476. During the offer, an indicative exchange ratio (calculated in the manner described in this offer to exchange/prospectus) will be available at www.envisionreports.com/CureVacOffer, beginning on October 22, 2025.</w:t>
      </w:r>
    </w:p>
    <w:p>
      <w:pPr>
        <w:spacing w:after="0" w:line="18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In addition, BioNTech and CureVac have agreed that (subject to the terms and conditions of the Purchase Agreement), as promptly as practicable following the expiration of the subsequent offering period, BioNTech and CureVac will effectuate the post-offer reorganization and the New Topco U.S. tax election. The post-offer reorganization will ensure that BioNTech becomes the sole owner of all of CureVac’s business operations from and after its consummation.</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Purchase Agreement is more fully described in the section entitled “The Purchase Agreement” beginning on page 94 and a copy of the Purchase Agreement is attached as Annex A to this offer to exchange/prospectus and is incorporated herein by reference. You should read the Purchase Agreement carefully in its entirety before making any decisions regarding the offer because it is the legal document that governs the relationship between BioNTech and CureVac with respect to the offer.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Tender and Support Agreements </w:t>
      </w:r>
      <w:r>
        <w:rPr>
          <w:rFonts w:ascii="Times New Roman" w:cs="Times New Roman" w:eastAsia="Times New Roman" w:hAnsi="Times New Roman"/>
          <w:sz w:val="18"/>
          <w:szCs w:val="18"/>
          <w:b w:val="1"/>
          <w:bCs w:val="1"/>
          <w:i w:val="1"/>
          <w:iCs w:val="1"/>
          <w:color w:val="auto"/>
        </w:rPr>
        <w:t>(see page 121)</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 The form of the tender and support agreements is attached as Annex B to this offer to exchange/prospectus and is incorporated by reference herein in its entirety.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BioNTech’s Reasons for the Offer and the Transactions </w:t>
      </w:r>
      <w:r>
        <w:rPr>
          <w:rFonts w:ascii="Times New Roman" w:cs="Times New Roman" w:eastAsia="Times New Roman" w:hAnsi="Times New Roman"/>
          <w:sz w:val="18"/>
          <w:szCs w:val="18"/>
          <w:b w:val="1"/>
          <w:bCs w:val="1"/>
          <w:i w:val="1"/>
          <w:iCs w:val="1"/>
          <w:color w:val="auto"/>
        </w:rPr>
        <w:t>(see page 44)</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June 11, 2025, after careful consideration, the BioNTech boards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Certain factors considered by the BioNTech boards in reaching their decision to approve the Purchase Agreement, the offer, the post-offer reorganization, and the other transactions can be found in the section entitled “Background of the Transactions — BioNTech’s Reasons for the Offer and the Transactions” beginning on page 45.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Summary of Risks Related to the Transactions </w:t>
      </w:r>
      <w:r>
        <w:rPr>
          <w:rFonts w:ascii="Times New Roman" w:cs="Times New Roman" w:eastAsia="Times New Roman" w:hAnsi="Times New Roman"/>
          <w:sz w:val="18"/>
          <w:szCs w:val="18"/>
          <w:b w:val="1"/>
          <w:bCs w:val="1"/>
          <w:i w:val="1"/>
          <w:iCs w:val="1"/>
          <w:color w:val="auto"/>
        </w:rPr>
        <w:t>(see page 28)</w:t>
      </w:r>
    </w:p>
    <w:p>
      <w:pPr>
        <w:spacing w:after="0" w:line="121" w:lineRule="exact"/>
        <w:rPr>
          <w:sz w:val="20"/>
          <w:szCs w:val="20"/>
          <w:color w:val="auto"/>
        </w:rPr>
      </w:pPr>
    </w:p>
    <w:p>
      <w:pPr>
        <w:ind w:left="300" w:right="560" w:firstLine="426"/>
        <w:spacing w:after="0" w:line="266" w:lineRule="auto"/>
        <w:rPr>
          <w:sz w:val="20"/>
          <w:szCs w:val="20"/>
          <w:color w:val="auto"/>
        </w:rPr>
      </w:pPr>
      <w:r>
        <w:rPr>
          <w:rFonts w:ascii="Times New Roman" w:cs="Times New Roman" w:eastAsia="Times New Roman" w:hAnsi="Times New Roman"/>
          <w:sz w:val="18"/>
          <w:szCs w:val="18"/>
          <w:color w:val="auto"/>
        </w:rPr>
        <w:t>You should consider carefully the risk factors described below together with all of the other information included in this offer to exchange/prospectus. The risks related to the offer and the other transactions are described under the section entitled “Risk Factors — Risks Related to the Offer” beginning on page 28.</w:t>
      </w:r>
    </w:p>
    <w:p>
      <w:pPr>
        <w:spacing w:after="0" w:line="81" w:lineRule="exact"/>
        <w:rPr>
          <w:sz w:val="20"/>
          <w:szCs w:val="20"/>
          <w:color w:val="auto"/>
        </w:rPr>
      </w:pPr>
    </w:p>
    <w:p>
      <w:pPr>
        <w:ind w:left="1240" w:right="48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will be diluted in terms of their ownership in BioNTech following the transactions relative to their current ownership in CureVac.</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81"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the exchange of CureVac shares for BioNTech ADSs pursuant to the offer or the cancellation to U.S. holders may be complex.</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w:t>
      </w:r>
    </w:p>
    <w:p>
      <w:pPr>
        <w:spacing w:after="0" w:line="81"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German tax authorities take the view that German withholding tax on the cancellation consideration should have been withheld, New Topco or the cancellation consideration recipients could be held liable.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8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the transactions could adversely affect the business and operations of BioNTech and CureVac.</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contains provisions that could discourage a potential competing acquirer of CureVac or could result in a competing proposal being at a lower price than it might otherwise be.</w:t>
      </w:r>
    </w:p>
    <w:p>
      <w:pPr>
        <w:spacing w:after="0" w:line="67" w:lineRule="exact"/>
        <w:rPr>
          <w:rFonts w:ascii="Times New Roman" w:cs="Times New Roman" w:eastAsia="Times New Roman" w:hAnsi="Times New Roman"/>
          <w:sz w:val="18"/>
          <w:szCs w:val="18"/>
          <w:color w:val="auto"/>
        </w:rPr>
      </w:pPr>
    </w:p>
    <w:p>
      <w:pPr>
        <w:jc w:val="both"/>
        <w:ind w:left="1240" w:right="380" w:hanging="415"/>
        <w:spacing w:after="0" w:line="266"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81"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Directors and Management of BioNTech and CureVac or New Topco, as applicable, following the Closing of the Offer </w:t>
      </w:r>
      <w:r>
        <w:rPr>
          <w:rFonts w:ascii="Times New Roman" w:cs="Times New Roman" w:eastAsia="Times New Roman" w:hAnsi="Times New Roman"/>
          <w:sz w:val="18"/>
          <w:szCs w:val="18"/>
          <w:b w:val="1"/>
          <w:bCs w:val="1"/>
          <w:i w:val="1"/>
          <w:iCs w:val="1"/>
          <w:color w:val="auto"/>
        </w:rPr>
        <w:t>(see page 51)</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composition of the BioNTech boards will not change as a result of the transactions.</w:t>
      </w:r>
    </w:p>
    <w:p>
      <w:pPr>
        <w:spacing w:after="0" w:line="225"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Hopp BioTech holding GmbH &amp; Co. KG, which we refer to, together with certain of its affiliates, as dievini, and Kreditanstalt für Wiederaufbau, which holds CureVac shares on behalf of the German government and we refer to as KfW, and will at all times qualify as independent in accordance with the independence standards set forth in the Dutch Corporate Governance Code, which we refer to as the DCGC.</w:t>
      </w:r>
    </w:p>
    <w:p>
      <w:pPr>
        <w:spacing w:after="0" w:line="192"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From the merger effective time through the cancellation, the management board and supervisory board of New Topco will be as agreed between BioNTech and CureVac.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Interests of BioNTech’s Supervisory and Management Directors in the Offer </w:t>
      </w:r>
      <w:r>
        <w:rPr>
          <w:rFonts w:ascii="Times New Roman" w:cs="Times New Roman" w:eastAsia="Times New Roman" w:hAnsi="Times New Roman"/>
          <w:sz w:val="18"/>
          <w:szCs w:val="18"/>
          <w:b w:val="1"/>
          <w:bCs w:val="1"/>
          <w:i w:val="1"/>
          <w:iCs w:val="1"/>
          <w:color w:val="auto"/>
        </w:rPr>
        <w:t>(see page 51)</w:t>
      </w:r>
    </w:p>
    <w:p>
      <w:pPr>
        <w:spacing w:after="0" w:line="121"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Interests of CureVac’s Supervisory and Management Directors in the Offer </w:t>
      </w:r>
      <w:r>
        <w:rPr>
          <w:rFonts w:ascii="Times New Roman" w:cs="Times New Roman" w:eastAsia="Times New Roman" w:hAnsi="Times New Roman"/>
          <w:sz w:val="18"/>
          <w:szCs w:val="18"/>
          <w:b w:val="1"/>
          <w:bCs w:val="1"/>
          <w:i w:val="1"/>
          <w:iCs w:val="1"/>
          <w:color w:val="auto"/>
        </w:rPr>
        <w:t>(see page 52)</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others:</w:t>
      </w:r>
    </w:p>
    <w:p>
      <w:pPr>
        <w:spacing w:after="0" w:line="131" w:lineRule="exact"/>
        <w:rPr>
          <w:sz w:val="20"/>
          <w:szCs w:val="20"/>
          <w:color w:val="auto"/>
        </w:rPr>
      </w:pPr>
    </w:p>
    <w:p>
      <w:pPr>
        <w:ind w:left="1240" w:hanging="415"/>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 bonuses;</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and cash settlement of CureVac PSUs, CureVac RSUs, and CureVac options, where the per share exercise price is less than the CureVac value per share;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455"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8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the CureVac boards own CureVac shares, or are affiliated with a shareholder owning CureVac shares, that will be tendered in the offer;</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certain members of the CureVac management board of certain severance and post-contractual non-compete compensation pursuant to their existing service agreements;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CureVac employees are entitled to certain treatment under the Purchase Agreement; and</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supervisory and management directors are entitled to continued indemnification and insurance coverage under the Purchase Agreement.</w:t>
      </w:r>
    </w:p>
    <w:p>
      <w:pPr>
        <w:spacing w:after="0" w:line="162"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more detail on the foregoing and additional discussion of the interests of CureVac’s supervisory and management directors in the offer (see Item 3(a) “Arrangements with Supervisory Board and Management Board Members of the Company”). You are encouraged to read that section in its entirety.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Treatment of CureVac Equity Awards </w:t>
      </w:r>
      <w:r>
        <w:rPr>
          <w:rFonts w:ascii="Times New Roman" w:cs="Times New Roman" w:eastAsia="Times New Roman" w:hAnsi="Times New Roman"/>
          <w:sz w:val="18"/>
          <w:szCs w:val="18"/>
          <w:b w:val="1"/>
          <w:bCs w:val="1"/>
          <w:i w:val="1"/>
          <w:iCs w:val="1"/>
          <w:color w:val="auto"/>
        </w:rPr>
        <w:t>(see page 55)</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CureVac’s outstanding equity awards will be treated as follows:</w:t>
      </w:r>
    </w:p>
    <w:p>
      <w:pPr>
        <w:spacing w:after="0" w:line="131" w:lineRule="exact"/>
        <w:rPr>
          <w:sz w:val="20"/>
          <w:szCs w:val="20"/>
          <w:color w:val="auto"/>
        </w:rPr>
      </w:pPr>
    </w:p>
    <w:p>
      <w:pPr>
        <w:ind w:left="1240" w:hanging="415"/>
        <w:spacing w:after="0" w:line="256"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VSOP awards: 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92" w:lineRule="exact"/>
        <w:rPr>
          <w:rFonts w:ascii="Times New Roman" w:cs="Times New Roman" w:eastAsia="Times New Roman" w:hAnsi="Times New Roman"/>
          <w:sz w:val="18"/>
          <w:szCs w:val="18"/>
          <w:color w:val="auto"/>
        </w:rPr>
      </w:pPr>
    </w:p>
    <w:p>
      <w:pPr>
        <w:ind w:left="1240" w:right="180" w:hanging="415"/>
        <w:spacing w:after="0" w:line="255"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PSUs: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w:t>
      </w:r>
    </w:p>
    <w:p>
      <w:pPr>
        <w:spacing w:after="0" w:line="2" w:lineRule="exact"/>
        <w:rPr>
          <w:rFonts w:ascii="Times New Roman" w:cs="Times New Roman" w:eastAsia="Times New Roman" w:hAnsi="Times New Roman"/>
          <w:sz w:val="18"/>
          <w:szCs w:val="18"/>
          <w:color w:val="auto"/>
        </w:rPr>
      </w:pPr>
    </w:p>
    <w:p>
      <w:pPr>
        <w:ind w:left="12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9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RSUs: 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85"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options: 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Extension of the Offer Period </w:t>
      </w:r>
      <w:r>
        <w:rPr>
          <w:rFonts w:ascii="Times New Roman" w:cs="Times New Roman" w:eastAsia="Times New Roman" w:hAnsi="Times New Roman"/>
          <w:sz w:val="18"/>
          <w:szCs w:val="18"/>
          <w:b w:val="1"/>
          <w:bCs w:val="1"/>
          <w:i w:val="1"/>
          <w:iCs w:val="1"/>
          <w:color w:val="auto"/>
        </w:rPr>
        <w:t>(see page 59)</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76"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62"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Subsequent Offering Period </w:t>
      </w:r>
      <w:r>
        <w:rPr>
          <w:rFonts w:ascii="Times New Roman" w:cs="Times New Roman" w:eastAsia="Times New Roman" w:hAnsi="Times New Roman"/>
          <w:sz w:val="18"/>
          <w:szCs w:val="18"/>
          <w:b w:val="1"/>
          <w:bCs w:val="1"/>
          <w:i w:val="1"/>
          <w:iCs w:val="1"/>
          <w:color w:val="auto"/>
        </w:rPr>
        <w:t>(see page 59)</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Post-Offer Reorganization and the New Topco U.S. Tax Election </w:t>
      </w:r>
      <w:r>
        <w:rPr>
          <w:rFonts w:ascii="Times New Roman" w:cs="Times New Roman" w:eastAsia="Times New Roman" w:hAnsi="Times New Roman"/>
          <w:sz w:val="18"/>
          <w:szCs w:val="18"/>
          <w:b w:val="1"/>
          <w:bCs w:val="1"/>
          <w:i w:val="1"/>
          <w:iCs w:val="1"/>
          <w:color w:val="auto"/>
        </w:rPr>
        <w:t>(see page 59)</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at a rate of 15% if and to the extent the cancellation consideration exceeds the fiscally recognized capital of the New Topco A shares immediately prior to the cancellation effective time, whereas no Dutch dividend withholding tax is due on the offer consideration received in exchange for CureVac shares tendered in the offer or during the subsequent offering period. See “The Offer — The Post-Offer Reorganization and the New Topco U.S. Tax Election” beginning on page 59.</w:t>
      </w:r>
    </w:p>
    <w:p>
      <w:pPr>
        <w:spacing w:after="0" w:line="19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(and now hold New Topco A shares), will receive BioNTech ADSs (and cash in lieu of fractional BioNTech ADSs) following completion of the cancellation, without interest and subject to applicable Dutch dividend withholding tax. Any such Dutch dividend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196"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of Dutch dividend withholding tax from the Dutch tax authorities directly, depending on the particular individual circumstances of the relevant New Topco shareholder.</w:t>
      </w:r>
    </w:p>
    <w:p>
      <w:pPr>
        <w:spacing w:after="0" w:line="183"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CureVac shareholders should consult their tax advisors regarding the tax consequences (including the application and effect of any Dutch income or other tax laws) of the offer and the post-offer reorganization in light of their particular circumstances. See “Material Dutch Tax Considerations” beginning on page 87.</w:t>
      </w:r>
    </w:p>
    <w:p>
      <w:pPr>
        <w:spacing w:after="0" w:line="176"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See “The Offer — The Post-Offer Reorganization and the New Topco U.S. Tax Election” beginning on page 59 for additional information concerning the application of Dutch dividend withholding tax and refund possibilities.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Appraisal Rights </w:t>
      </w:r>
      <w:r>
        <w:rPr>
          <w:rFonts w:ascii="Times New Roman" w:cs="Times New Roman" w:eastAsia="Times New Roman" w:hAnsi="Times New Roman"/>
          <w:sz w:val="18"/>
          <w:szCs w:val="18"/>
          <w:b w:val="1"/>
          <w:bCs w:val="1"/>
          <w:i w:val="1"/>
          <w:iCs w:val="1"/>
          <w:color w:val="auto"/>
        </w:rPr>
        <w:t>(see page 63)</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Recent Developments </w:t>
      </w:r>
      <w:r>
        <w:rPr>
          <w:rFonts w:ascii="Times New Roman" w:cs="Times New Roman" w:eastAsia="Times New Roman" w:hAnsi="Times New Roman"/>
          <w:sz w:val="18"/>
          <w:szCs w:val="18"/>
          <w:b w:val="1"/>
          <w:bCs w:val="1"/>
          <w:i w:val="1"/>
          <w:iCs w:val="1"/>
          <w:color w:val="auto"/>
        </w:rPr>
        <w:t>(see page 63)</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GSK Settlement</w:t>
      </w:r>
    </w:p>
    <w:p>
      <w:pPr>
        <w:spacing w:after="0" w:line="11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On August 7, 2025, BioNTech announced certain arrangements, which we refer to as the settlement arrangements, among BioNTech and its affiliate, which we refer to as the BioNTech parties, CureVac and certain of its affiliates, which we refer to as the CureVac parties, Pfizer Inc., which we refer to as Pfizer, and GlaxoSmithKline Biologicals SA, which we refer to as GSK, to resolve the pending patent litigation among the BioNTech parties, the CureVac parties, and Pfizer in the United States, and a framework for resolving patent</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litigation and allegations of patent infringement among the BioNTech parties, the CureVac parties, and Pfizer outside the United States (subject to the closing of the offer).</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Autogene Cevumeran Clinical Program in Adjuvant Colorectal Cancer</w:t>
      </w:r>
    </w:p>
    <w:p>
      <w:pPr>
        <w:spacing w:after="0" w:line="119"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BioNTech has provided certain updates regarding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See “The Offer — Recent Developments” beginning on page 63 for more information.</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Alnylam Settlement</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August 29, 2025, the BioNTech parties entered into a Settlement Agreement and Covenant Not to Sue, which we refer to as the Alnylam Settlement Agreement, with Alnylam Pharmaceuticals, Inc., which we refer to as Alnylam. See “The Offer — Recent Developments” beginning on page 63 for more information.</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Genevant Arbitration</w:t>
      </w:r>
    </w:p>
    <w:p>
      <w:pPr>
        <w:spacing w:after="0" w:line="119"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In September 2025, Genevant Sciences GmbH, which we refer to as Genevant, initiated an arbitration against BioNTech alleging that BioNTech breached the License and Co-Development Agreement, which we refer to as the License Agreement, between Genevant and BioNTech dated July 4, 2018. See “The Offer — Recent Developments” beginning on page 63 for more information.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Conditions to Closing of the Offer </w:t>
      </w:r>
      <w:r>
        <w:rPr>
          <w:rFonts w:ascii="Times New Roman" w:cs="Times New Roman" w:eastAsia="Times New Roman" w:hAnsi="Times New Roman"/>
          <w:sz w:val="18"/>
          <w:szCs w:val="18"/>
          <w:b w:val="1"/>
          <w:bCs w:val="1"/>
          <w:i w:val="1"/>
          <w:iCs w:val="1"/>
          <w:color w:val="auto"/>
        </w:rPr>
        <w:t>(see page 115)</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A number of customary conditions must be satisfied or waived, where legally permissible, as of the expiration time before BioNTech will be required to accept for payment or pay for any CureVac share validly tendered and not properly withdrawn pursuant to the offer, and the transactions can be consummated. These include, among others:</w:t>
      </w:r>
    </w:p>
    <w:p>
      <w:pPr>
        <w:spacing w:after="0" w:line="81" w:lineRule="exact"/>
        <w:rPr>
          <w:sz w:val="20"/>
          <w:szCs w:val="20"/>
          <w:color w:val="auto"/>
        </w:rPr>
      </w:pPr>
    </w:p>
    <w:p>
      <w:pPr>
        <w:ind w:left="1240" w:right="80" w:hanging="415"/>
        <w:spacing w:after="0" w:line="261"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CureVac shares having been validly tendered and not properly withdrawn that represent at least 80% of CureVac’s issued and outstanding capital immediately prior to the expiration time; provided that if all other offer conditions have been satisfied and BioNTech has previously extended the offer on four or more occasions, BioNTech may, in its sole discretion, reduce the minimum condition to 75% of CureVac’s issued and outstanding capital;</w:t>
      </w:r>
    </w:p>
    <w:p>
      <w:pPr>
        <w:spacing w:after="0" w:line="85"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necessary antitrust and other regulatory approvals, or such approvals being deemed to have been received due to the expiry or termination of their relevant waiting periods or applicable statutory deadlines (and any extensions thereof), or through any other informal comfort letter that is satisfactory to BioNTech, and such approvals being in full force and effect;</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of a governmental authority prohibiting, rendering illegal, or enjoining the consummation of the offer or the other transactions, including the post-offer reorganization;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the representations and warranties of CureVac made in the Purchase Agreement (subject to certain materiality standards);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CureVac’s material compliance with its covenants contained in the Purchase Agreement;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material adverse effect on CureVac or on BioNTech that is continuing (in each case, subject to certain exceptions);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required resolutions at the EGM (or a subsequent EGM).</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Neither BioNTech nor CureVac can give any assurance as to when or if all of the conditions to the consummation of the offer will be satisfied or waived, or that the offer will occur.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Procedures for Tendering </w:t>
      </w:r>
      <w:r>
        <w:rPr>
          <w:rFonts w:ascii="Times New Roman" w:cs="Times New Roman" w:eastAsia="Times New Roman" w:hAnsi="Times New Roman"/>
          <w:sz w:val="18"/>
          <w:szCs w:val="18"/>
          <w:b w:val="1"/>
          <w:bCs w:val="1"/>
          <w:i w:val="1"/>
          <w:iCs w:val="1"/>
          <w:color w:val="auto"/>
        </w:rPr>
        <w:t>(see page 55)</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1" w:lineRule="exact"/>
        <w:rPr>
          <w:sz w:val="20"/>
          <w:szCs w:val="20"/>
          <w:color w:val="auto"/>
        </w:rPr>
      </w:pPr>
    </w:p>
    <w:p>
      <w:pPr>
        <w:ind w:left="1240" w:right="20" w:hanging="415"/>
        <w:spacing w:after="0" w:line="261"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5" w:lineRule="exact"/>
        <w:rPr>
          <w:rFonts w:ascii="Times New Roman" w:cs="Times New Roman" w:eastAsia="Times New Roman" w:hAnsi="Times New Roman"/>
          <w:sz w:val="18"/>
          <w:szCs w:val="18"/>
          <w:color w:val="auto"/>
        </w:rPr>
      </w:pPr>
    </w:p>
    <w:p>
      <w:pPr>
        <w:ind w:left="1240" w:right="240" w:hanging="415"/>
        <w:spacing w:after="0" w:line="261"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Withdrawal Rights </w:t>
      </w:r>
      <w:r>
        <w:rPr>
          <w:rFonts w:ascii="Times New Roman" w:cs="Times New Roman" w:eastAsia="Times New Roman" w:hAnsi="Times New Roman"/>
          <w:sz w:val="18"/>
          <w:szCs w:val="18"/>
          <w:b w:val="1"/>
          <w:bCs w:val="1"/>
          <w:i w:val="1"/>
          <w:iCs w:val="1"/>
          <w:color w:val="auto"/>
        </w:rPr>
        <w:t>(see page 61)</w:t>
      </w:r>
    </w:p>
    <w:p>
      <w:pPr>
        <w:spacing w:after="0" w:line="121"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Acceptance for Exchange of CureVac Shares; Delivery of BioNTech ADSs; Capital Increases </w:t>
      </w:r>
      <w:r>
        <w:rPr>
          <w:rFonts w:ascii="Times New Roman" w:cs="Times New Roman" w:eastAsia="Times New Roman" w:hAnsi="Times New Roman"/>
          <w:sz w:val="18"/>
          <w:szCs w:val="18"/>
          <w:b w:val="1"/>
          <w:bCs w:val="1"/>
          <w:i w:val="1"/>
          <w:iCs w:val="1"/>
          <w:color w:val="auto"/>
        </w:rPr>
        <w:t>(see page 56)</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Upon the terms of, and subject to the conditions to, the offer, including the terms and conditions of any extension or amendment, BioNTech is required to accept for exchange CureVac shares validly tendered and not properly withdrawn promptly following the expiration time (and, in any event, within two business days after the expiration time).</w:t>
      </w:r>
    </w:p>
    <w:p>
      <w:pPr>
        <w:spacing w:after="0" w:line="176"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Under German law, BioNTech is required to implement a share capital increase against contribution in kind (i.e., the tendered CureVac shares) to issue from BioNTech’s authorized capital a definitive number of BioNTech ordinary shares that will underly the BioNTech ADSs constituting the offer consideration. The share capital increase must be registered with BioNTech’s commercial register, which is administered by the German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BioNTech’s judicial district.</w:t>
      </w:r>
    </w:p>
    <w:p>
      <w:pPr>
        <w:spacing w:after="0" w:line="180"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Each capital increase must be as to a specified number of shares and requires prior receipt of the consideration (in this case, the CureVac shares). Accordingly, capital increases must occur following the expiration time (with respect to the initial offer period) and again following the expiration of the subsequent offering period. Under the Purchase Agreement, BioNTech must initiate one share capital increase promptly</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following the acceptance time and another promptly following the subsequent offering period, and in each case no later than the fifth business day thereafter. We refer to the first as the first capital increase and the second as the second capital increase, and we refer to them together as the capital increases. Under the Purchase Agreement, BioNTech must use reasonable best efforts to ensure the capital increases become effective (i.e., are registered with the commercial register) as soon as reasonably possible after filing the applicable registration with the commercial register. BioNTech is obligated to deliver BioNTech ADSs and settle the initial offer and subsequent offering period within 10 business days of the effectiveness of the first and second capital increases, respectively.</w:t>
      </w:r>
    </w:p>
    <w:p>
      <w:pPr>
        <w:spacing w:after="0" w:line="187"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 The exact timing of this assessment lies with the registry court and is outside of the control of BioNTech.</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expects that the delivery of BioNTech ADSs to the tendering CureVac shareholders will be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Antitrust Approvals </w:t>
      </w:r>
      <w:r>
        <w:rPr>
          <w:rFonts w:ascii="Times New Roman" w:cs="Times New Roman" w:eastAsia="Times New Roman" w:hAnsi="Times New Roman"/>
          <w:sz w:val="18"/>
          <w:szCs w:val="18"/>
          <w:b w:val="1"/>
          <w:bCs w:val="1"/>
          <w:i w:val="1"/>
          <w:iCs w:val="1"/>
          <w:color w:val="auto"/>
        </w:rPr>
        <w:t>(see page 62)</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waiting period under the Hart-Scott-Rodino Antitrust Improvements Act of 1976, as amended, which we refer to as the HSR Act, expired at 11:59 pm Eastern Time on August 11, 2025. In addition, the transactions have, as of October 14, 2025, obtained all relevant non-U.S. antitrust approvals, with full force and effect as of October 15,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Other Regulatory Approvals </w:t>
      </w:r>
      <w:r>
        <w:rPr>
          <w:rFonts w:ascii="Times New Roman" w:cs="Times New Roman" w:eastAsia="Times New Roman" w:hAnsi="Times New Roman"/>
          <w:sz w:val="18"/>
          <w:szCs w:val="18"/>
          <w:b w:val="1"/>
          <w:bCs w:val="1"/>
          <w:i w:val="1"/>
          <w:iCs w:val="1"/>
          <w:color w:val="auto"/>
        </w:rPr>
        <w:t>(see page 62)</w:t>
      </w:r>
    </w:p>
    <w:p>
      <w:pPr>
        <w:spacing w:after="0" w:line="121"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The offer has been notified under Regulation (EU) 2022/2560 of December 14, 2022 on foreign subsidies distorting the internal market, which we refer to as the FSR Regulation. The period of 25 working days following the notification during which the transactions shall not be implemented pursuant to Article 24(1) of the FSR Regulation expired on October 10, 2025. Consequently, the offer condition of the lapse of the assessment period or clearance by the European Commission, which we refer to as the EU Commission, under the FSR Regulation was fulfilled that day.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No Solicitation and Adverse Recommendation Change </w:t>
      </w:r>
      <w:r>
        <w:rPr>
          <w:rFonts w:ascii="Times New Roman" w:cs="Times New Roman" w:eastAsia="Times New Roman" w:hAnsi="Times New Roman"/>
          <w:sz w:val="18"/>
          <w:szCs w:val="18"/>
          <w:b w:val="1"/>
          <w:bCs w:val="1"/>
          <w:i w:val="1"/>
          <w:iCs w:val="1"/>
          <w:color w:val="auto"/>
        </w:rPr>
        <w:t>(see pages 104 and 106)</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Under the Purchase Agreement, CureVac has agreed not to, and to cause its subsidiaries and its and their respective directors and officers, and to use, and to cause its subsidiaries to use, their respective reasonable best efforts to cause CureVac’s and its subsidiaries’ respective representatives not to, directly or indirectly: (i) solicit, initiate, or knowingly facilitate, induce or knowingly encourage any inquiries or the making of any proposal or offer that constitutes, or would reasonably be expected to lead to, an alternative acquisition proposal (as defined in the Purchase Agreement), (ii) other than informing persons of the no solicitation restrictions in the Purchase Agreement, enter into, continue, or otherwise participate in any discussions or negotiations regarding any alternative acquisition proposal, or (iii) authorize, execute, or enter into any letter of intent, memorandum of understanding, agreement in principle, purchase agreement, merger agreement, acquisition agreement, option agreement, joint venture agreement, partnership agreement, or other contract with respect to an alternative acquisition proposal.</w:t>
      </w:r>
    </w:p>
    <w:p>
      <w:pPr>
        <w:spacing w:after="0" w:line="192"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However, if CureVac receives, prior to the expiration time, an unsolicited bona fide written alternative acquisition proposal, CureVac may, under certain specified circumstances, provide non-public information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8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60"/>
        <w:spacing w:after="0" w:line="261" w:lineRule="auto"/>
        <w:rPr>
          <w:sz w:val="20"/>
          <w:szCs w:val="20"/>
          <w:color w:val="auto"/>
        </w:rPr>
      </w:pPr>
      <w:r>
        <w:rPr>
          <w:rFonts w:ascii="Times New Roman" w:cs="Times New Roman" w:eastAsia="Times New Roman" w:hAnsi="Times New Roman"/>
          <w:sz w:val="18"/>
          <w:szCs w:val="18"/>
          <w:color w:val="auto"/>
        </w:rPr>
        <w:t>regarding itself and its subsidiaries to and engage in discussions or negotiations with the person making such alternative acquisition proposal. Under the Purchase Agreement, CureVac is required to notify BioNTech, and provide BioNTech with certain information, as promptly as practicable (and in any event within 24 hours) if it receives any alternative acquisition proposal or any request for non-public information or inquiry that would reasonably be expected to lead to an alternative acquisition proposal.</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Before the expiration time, the CureVac boards may, under certain specified circumstances, withdraw their recommendation of the offer and terminate the Purchase Agreement with respect to a superior proposal (as defined in the Purchase Agreement) or withdraw their recommendation of the offer in the case of an intervening event (as defined in the Purchase Agreement) if, among other things, the CureVac boards determine in good faith, after consultation with outside legal counsel and financial advisors, that failure to take such action would be inconsistent with the directors’ fiduciary duties under the laws of the Netherlands.</w:t>
      </w:r>
    </w:p>
    <w:p>
      <w:pPr>
        <w:spacing w:after="0" w:line="183"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limitations on CureVac’s and the CureVac boards’ ability to consider other proposals, see “The Purchase Agreement — Covenants and Agreements — No Solicitation” beginning on page 104 and “The Purchase Agreement — Covenants and Agreements — Adverse Recommendation Change” beginning on page 106.</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Purchase Agreement </w:t>
      </w:r>
      <w:r>
        <w:rPr>
          <w:rFonts w:ascii="Times New Roman" w:cs="Times New Roman" w:eastAsia="Times New Roman" w:hAnsi="Times New Roman"/>
          <w:sz w:val="18"/>
          <w:szCs w:val="18"/>
          <w:b w:val="1"/>
          <w:bCs w:val="1"/>
          <w:i w:val="1"/>
          <w:iCs w:val="1"/>
          <w:color w:val="auto"/>
        </w:rPr>
        <w:t>(see page 116)</w:t>
      </w:r>
    </w:p>
    <w:p>
      <w:pPr>
        <w:spacing w:after="0" w:line="121" w:lineRule="exact"/>
        <w:rPr>
          <w:sz w:val="20"/>
          <w:szCs w:val="20"/>
          <w:color w:val="auto"/>
        </w:rPr>
      </w:pPr>
    </w:p>
    <w:p>
      <w:pPr>
        <w:jc w:val="both"/>
        <w:ind w:left="300" w:right="720" w:firstLine="426"/>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at any time prior to the acceptance time by the mutual written consent of CureVac and BioNTech. In addition, the Purchase Agreement may be terminated prior to the acceptance time by either BioNTech or CureVac under the following conditions, each subject to certain exceptions:</w:t>
      </w:r>
    </w:p>
    <w:p>
      <w:pPr>
        <w:spacing w:after="0" w:line="81" w:lineRule="exact"/>
        <w:rPr>
          <w:sz w:val="20"/>
          <w:szCs w:val="20"/>
          <w:color w:val="auto"/>
        </w:rPr>
      </w:pPr>
    </w:p>
    <w:p>
      <w:pPr>
        <w:ind w:left="1240" w:right="4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the outside date (as may be extended automatically or by mutual agreement of the parties pursuant to the terms of the Purchase Agreement);</w:t>
      </w:r>
    </w:p>
    <w:p>
      <w:pPr>
        <w:spacing w:after="0" w:line="67"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governmental authority has entered, enacted, promulgated, enforced, or issued a law or order that prohibits, renders illegal, or enjoins the consummation of the offer or the other transactions, including the post-offer reorganization, and such action is final, permanent and non-appealable; or</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shall have expired in accordance with its terms without all of the offer conditions having been satisfied and shall have not been extended by BioNTech.</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Purchase Agreement may also be terminated, prior to the acceptance time, by BioNTech, subject to certain conditions:</w:t>
      </w:r>
    </w:p>
    <w:p>
      <w:pPr>
        <w:spacing w:after="0" w:line="131" w:lineRule="exact"/>
        <w:rPr>
          <w:sz w:val="20"/>
          <w:szCs w:val="20"/>
          <w:color w:val="auto"/>
        </w:rPr>
      </w:pPr>
    </w:p>
    <w:p>
      <w:pPr>
        <w:ind w:left="1240" w:right="20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breaches any of its representations or warranties or fails to perform its covenants, which breach or failure would result in the conditions to the offer not being satisfied;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 (as defined in the Purchase Agreement);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subsequent EGM has been held and been concluded, and the required resolutions have not been adopted; or</w:t>
      </w:r>
    </w:p>
    <w:p>
      <w:pPr>
        <w:spacing w:after="0" w:line="130"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engages in a willful breach of its obligations with respect to alternative acquisition proposals under the Purchase Agreement in any material respect.</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Purchase Agreement may also be terminated by CureVac:</w:t>
      </w:r>
    </w:p>
    <w:p>
      <w:pPr>
        <w:spacing w:after="0" w:line="131" w:lineRule="exact"/>
        <w:rPr>
          <w:sz w:val="20"/>
          <w:szCs w:val="20"/>
          <w:color w:val="auto"/>
        </w:rPr>
      </w:pPr>
    </w:p>
    <w:p>
      <w:pPr>
        <w:ind w:left="1240" w:right="180" w:hanging="415"/>
        <w:spacing w:after="0" w:line="266"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CureVac to enter into a definitive agreement with respect to a superior proposal, so long as CureVac pays termination compensation to BioNTech as described below and CureVac had not breached in any material respect its non-solicitation obligations under the Purchase Agreement;</w:t>
      </w:r>
    </w:p>
    <w:p>
      <w:pPr>
        <w:spacing w:after="0" w:line="81"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BioNTech breaches any of its representations or warranties or fails to perform its covenants, which breach or failure would result in the conditions to the offer not being satisfied;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capital increase has not become effective within 90 calendar days of the acceptance time; or</w:t>
      </w:r>
    </w:p>
    <w:p>
      <w:pPr>
        <w:spacing w:after="0" w:line="130" w:lineRule="exact"/>
        <w:rPr>
          <w:rFonts w:ascii="Times New Roman" w:cs="Times New Roman" w:eastAsia="Times New Roman" w:hAnsi="Times New Roman"/>
          <w:sz w:val="18"/>
          <w:szCs w:val="18"/>
          <w:color w:val="auto"/>
        </w:rPr>
      </w:pPr>
    </w:p>
    <w:p>
      <w:pPr>
        <w:ind w:left="1240" w:right="560" w:hanging="415"/>
        <w:spacing w:after="0" w:line="312"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acceptance time has occurred; (ii) BioNTech has failed to exchange CureVac shares tendered in the offer following effectiveness of the first capital increase; and (iii) BioNTech is notified and fails to cure, as set out in the Purchase Agreement.</w:t>
      </w:r>
    </w:p>
    <w:p>
      <w:pPr>
        <w:spacing w:after="0" w:line="32"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rights of BioNTech and CureVac to terminate the Purchase Agreement, see “The Purchase Agreement — Termination of the Purchase Agreement” beginning on page 116.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Termination Payments </w:t>
      </w:r>
      <w:r>
        <w:rPr>
          <w:rFonts w:ascii="Times New Roman" w:cs="Times New Roman" w:eastAsia="Times New Roman" w:hAnsi="Times New Roman"/>
          <w:sz w:val="18"/>
          <w:szCs w:val="18"/>
          <w:b w:val="1"/>
          <w:bCs w:val="1"/>
          <w:i w:val="1"/>
          <w:iCs w:val="1"/>
          <w:color w:val="auto"/>
        </w:rPr>
        <w:t>(see page 118)</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Generally, all fees and expenses incurred in connection with the offer and the other transactions will be paid by the party incurring those fees and expenses.</w:t>
      </w:r>
    </w:p>
    <w:p>
      <w:pPr>
        <w:spacing w:after="0" w:line="162"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Upon termination of the Purchase Agreement in certain circumstances, the Purchase Agreement provides for the payment of termination compensation to BioNTech by CureVac of $43.75 million. The Purchase Agreement also provides for the payment of a termination compensation payment to CureVac by BioNTech of $62.5 million upon termination of the Purchase Agreement in certain circumstances.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Purchase Agreement — Termination of the Purchase Agreement — Termination Payments” beginning on page 118.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United States Federal Income Tax Considerations </w:t>
      </w:r>
      <w:r>
        <w:rPr>
          <w:rFonts w:ascii="Times New Roman" w:cs="Times New Roman" w:eastAsia="Times New Roman" w:hAnsi="Times New Roman"/>
          <w:sz w:val="18"/>
          <w:szCs w:val="18"/>
          <w:b w:val="1"/>
          <w:bCs w:val="1"/>
          <w:i w:val="1"/>
          <w:iCs w:val="1"/>
          <w:color w:val="auto"/>
        </w:rPr>
        <w:t>(see page 67)</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code. Accordingly, and subject to the rules applicable to PFICs, the exchange pursuant to the offer or the cancellation of CureVac shares for BioNTech ADSs (including cash in lieu of fractional BioNTech ADSs) will generally be tax-free for U.S. holders of CureVac shares, except with respect to cash received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189"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See “Material United States Federal Income Tax Considerations” beginning on page 67. CureVac shareholders should consult their tax advisors regarding the U.S. or local tax consequences of the offer and the post-offer reorganization.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German Tax Considerations </w:t>
      </w:r>
      <w:r>
        <w:rPr>
          <w:rFonts w:ascii="Times New Roman" w:cs="Times New Roman" w:eastAsia="Times New Roman" w:hAnsi="Times New Roman"/>
          <w:sz w:val="18"/>
          <w:szCs w:val="18"/>
          <w:b w:val="1"/>
          <w:bCs w:val="1"/>
          <w:i w:val="1"/>
          <w:iCs w:val="1"/>
          <w:color w:val="auto"/>
        </w:rPr>
        <w:t>(see page 75)</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exchange of CureVac shares pursuant to the offer or the cancellation generally will be a taxable event for CureVac shareholders that are subject to German taxation. An individual shareholder who is a German tax resident and holds its CureVac shares as private assets may not be subject to tax with respect to the exchange under certain circumstances, but otherwise will be subject to withholding tax at a rate of 26.375% plus church tax, if applicable, on the gain derived from the exchange, which tax is generally final. An individual shareholder who is a German tax resident and holds the CureVac shares as business assets through a permanent establishment or dependent agent in Germany will be subject to personal income tax on 60% of the gain derived from the exchange, plus solidarity surcharge and, if applicable, trade tax and church tax. An individual shareholder who has held at least 1% of the share capital of CureVac at any time during the five years preceding the exchange will likewise be subject to personal income tax on 60% of the gain derived from the exchange plus solidarity surcharge and, if applicable, trade tax and church tax. This applies regardless of whether such individual shareholder is a German tax resident.</w:t>
      </w:r>
    </w:p>
    <w:p>
      <w:pPr>
        <w:spacing w:after="0" w:line="188"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A corporation that is a German tax resident will be subject to corporate income tax on 5% of the gain derived from the exchange, plus solidarity surcharge and trade tax. If the CureVac shares are held by a</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320" w:top="455"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partnership, personal income tax, with respect to individual partners subject to German income tax, or corporate income tax, with respect to corporate partners subject to German corporate income tax, as well as trade tax, as the case may be, will be assessed from the respective partner or the partnership, as the case may be.</w:t>
      </w:r>
    </w:p>
    <w:p>
      <w:pPr>
        <w:spacing w:after="0" w:line="176"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receipt of cash in lieu of fractional BioNTech ADSs generally will be subject to German income tax. Such tax will generally be withheld at a rate of 26.375% plus church tax, if applicable, on the cash paid.</w:t>
      </w:r>
    </w:p>
    <w:p>
      <w:pPr>
        <w:spacing w:after="0" w:line="160"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color w:val="auto"/>
        </w:rPr>
        <w:t>Any German withholding tax on capital gains generally will be levied by the applicable German disbursing agent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applicable German credit institution, financial services institution, or securities institution through which the recipient holds its CureVac shares).</w:t>
      </w:r>
    </w:p>
    <w:p>
      <w:pPr>
        <w:spacing w:after="0" w:line="160"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For the tax consequences of the exchange to non-German tax resident shareholders, including any exchange in the post-offer reorganization, see the information under “Material German Tax Considerations” beginning on page 75.</w:t>
      </w:r>
    </w:p>
    <w:p>
      <w:pPr>
        <w:spacing w:after="0" w:line="162"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CureVac shareholders should consult their tax advisors regarding the German tax consequences of the offer and the post-offer reorganization to them.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Material Dutch Tax Considerations </w:t>
      </w:r>
      <w:r>
        <w:rPr>
          <w:rFonts w:ascii="Times New Roman" w:cs="Times New Roman" w:eastAsia="Times New Roman" w:hAnsi="Times New Roman"/>
          <w:sz w:val="18"/>
          <w:szCs w:val="18"/>
          <w:b w:val="1"/>
          <w:bCs w:val="1"/>
          <w:i w:val="1"/>
          <w:iCs w:val="1"/>
          <w:color w:val="auto"/>
        </w:rPr>
        <w:t>(see page 87)</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Holders of CureVac shares that are subject to Dutch income tax generally will be required to include in their taxable income any benefits derived or deemed to be derived from the CureVac shares, including any capital gains realized on any disposal of the CureVac shares, including as a result of tendering their CureVac shares pursuant to the offer or as a result of the post-offer reorganization or will be subject to annual income tax imposed on a fictitious yield on the CureVac shares under the regime for savings and investments.</w:t>
      </w:r>
    </w:p>
    <w:p>
      <w:pPr>
        <w:spacing w:after="0" w:line="180" w:lineRule="exact"/>
        <w:rPr>
          <w:sz w:val="20"/>
          <w:szCs w:val="20"/>
          <w:color w:val="auto"/>
        </w:rPr>
      </w:pPr>
    </w:p>
    <w:p>
      <w:pPr>
        <w:ind w:left="300" w:right="620" w:firstLine="426"/>
        <w:spacing w:after="0" w:line="282" w:lineRule="auto"/>
        <w:rPr>
          <w:sz w:val="20"/>
          <w:szCs w:val="20"/>
          <w:color w:val="auto"/>
        </w:rPr>
      </w:pPr>
      <w:r>
        <w:rPr>
          <w:rFonts w:ascii="Times New Roman" w:cs="Times New Roman" w:eastAsia="Times New Roman" w:hAnsi="Times New Roman"/>
          <w:sz w:val="18"/>
          <w:szCs w:val="18"/>
          <w:color w:val="auto"/>
        </w:rPr>
        <w:t>See the information under “Material Dutch Tax Considerations” beginning on page 87. CureVac shareholders should consult their tax advisors regarding the Dutch tax consequences of the offer and the post-offer reorganization to them.</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Dividend Withholding Tax</w:t>
      </w:r>
    </w:p>
    <w:p>
      <w:pPr>
        <w:spacing w:after="0" w:line="119"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Holders of CureVac shares who receive BioNTech ADSs or cash (including cash in lieu of fractional BioNTech ADSs) pursuant to the offer and the subsequent offering period will not be subject to Dutch dividend withholding tax.</w:t>
      </w:r>
    </w:p>
    <w:p>
      <w:pPr>
        <w:spacing w:after="0" w:line="162"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However, the cancellation consideration for the cancelled New Topco A shares is, in principle, subject to Dutch dividend withholding tax if and to the extent the cancellation consideration exceeds the fiscally recognized capital of the New Topco A shares immediately prior to the cancellation effective time.</w:t>
      </w:r>
    </w:p>
    <w:p>
      <w:pPr>
        <w:spacing w:after="0" w:line="176"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order to apply this regime correctly, New Topco needs to identify its shareholders to assess whether they are Dutch resident holders and/or Dutch PE holders. As a practical matter, New Topco will not be able to make this confirmation with certainty prior to the cancellation effective time. Therefore, by default, Dutch dividend withholding tax will be withheld on the cancellation consideration delivered to such holder if and to the extent the cancellation consideration exceeds the fiscally recognized capital of the New Topco A shares immediately prior to the cancellation effective time.</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01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60" w:firstLine="426"/>
        <w:spacing w:after="0" w:line="256" w:lineRule="auto"/>
        <w:rPr>
          <w:sz w:val="20"/>
          <w:szCs w:val="20"/>
          <w:color w:val="auto"/>
        </w:rPr>
      </w:pPr>
      <w:r>
        <w:rPr>
          <w:rFonts w:ascii="Times New Roman" w:cs="Times New Roman" w:eastAsia="Times New Roman" w:hAnsi="Times New Roman"/>
          <w:sz w:val="18"/>
          <w:szCs w:val="18"/>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See “The Offer — The Post-Offer Reorganization and the New Topco U.S. Tax Election” beginning on page 59 for additional information the application of Dutch dividend withholding tax and refund possibilities.</w:t>
      </w:r>
    </w:p>
    <w:p>
      <w:pPr>
        <w:spacing w:after="0" w:line="187" w:lineRule="exact"/>
        <w:rPr>
          <w:sz w:val="20"/>
          <w:szCs w:val="20"/>
          <w:color w:val="auto"/>
        </w:rPr>
      </w:pPr>
    </w:p>
    <w:p>
      <w:pPr>
        <w:ind w:left="300" w:right="500" w:firstLine="426"/>
        <w:spacing w:after="0" w:line="266" w:lineRule="auto"/>
        <w:rPr>
          <w:sz w:val="20"/>
          <w:szCs w:val="20"/>
          <w:color w:val="auto"/>
        </w:rPr>
      </w:pPr>
      <w:r>
        <w:rPr>
          <w:rFonts w:ascii="Times New Roman" w:cs="Times New Roman" w:eastAsia="Times New Roman" w:hAnsi="Times New Roman"/>
          <w:sz w:val="18"/>
          <w:szCs w:val="18"/>
          <w:color w:val="auto"/>
        </w:rPr>
        <w:t>For additional information concerning material Dutch tax considerations, see “Material Dutch Tax Considerations” beginning on page 87.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of the Transaction </w:t>
      </w:r>
      <w:r>
        <w:rPr>
          <w:rFonts w:ascii="Times New Roman" w:cs="Times New Roman" w:eastAsia="Times New Roman" w:hAnsi="Times New Roman"/>
          <w:sz w:val="18"/>
          <w:szCs w:val="18"/>
          <w:b w:val="1"/>
          <w:bCs w:val="1"/>
          <w:i w:val="1"/>
          <w:iCs w:val="1"/>
          <w:color w:val="auto"/>
        </w:rPr>
        <w:t>(see page 65)</w:t>
      </w:r>
    </w:p>
    <w:p>
      <w:pPr>
        <w:spacing w:after="0" w:line="121"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 xml:space="preserve">BioNTech prepares its consolidated financial statements in accordance with IFRS, as issued by the IASB. The transactions will be accounted for by applying the acquisition method according to the rules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we refer to as IFRS 3. See “The Offer — Accounting Treatment of the Transaction” beginning on page 65 for more information.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Comparison of Rights of BioNTech Shareholders and CureVac Shareholders </w:t>
      </w:r>
      <w:r>
        <w:rPr>
          <w:rFonts w:ascii="Times New Roman" w:cs="Times New Roman" w:eastAsia="Times New Roman" w:hAnsi="Times New Roman"/>
          <w:sz w:val="18"/>
          <w:szCs w:val="18"/>
          <w:b w:val="1"/>
          <w:bCs w:val="1"/>
          <w:i w:val="1"/>
          <w:iCs w:val="1"/>
          <w:color w:val="auto"/>
        </w:rPr>
        <w:t>(see page 144)</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The rights of CureVac shareholders are currently governed by Dutch law and the articles of association of CureVac, as amended from time to time, which we refer to as the CureVac articles.</w:t>
      </w:r>
    </w:p>
    <w:p>
      <w:pPr>
        <w:spacing w:after="0" w:line="162"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color w:val="auto"/>
        </w:rPr>
        <w:t>For a summary of certain differences between the rights of BioNTech shareholders and CureVac shareholders, see “Comparison of Rights of BioNTech Shareholders and CureVac Shareholders” beginning on page 144. Please also refer to the description of the BioNTech ADSs in the section “Description of BioNTech Capital Stock” beginning on page 123, as the rights of holders of BioNTech ADSs will differ from those of holders of BioNTech ordinary shares.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w:t>
      </w:r>
    </w:p>
    <w:p>
      <w:pPr>
        <w:spacing w:after="0" w:line="121" w:lineRule="exact"/>
        <w:rPr>
          <w:sz w:val="20"/>
          <w:szCs w:val="20"/>
          <w:color w:val="auto"/>
        </w:rPr>
      </w:pPr>
    </w:p>
    <w:p>
      <w:pPr>
        <w:ind w:left="300" w:right="260" w:firstLine="426"/>
        <w:spacing w:after="0" w:line="254" w:lineRule="auto"/>
        <w:rPr>
          <w:sz w:val="20"/>
          <w:szCs w:val="20"/>
          <w:color w:val="auto"/>
        </w:rPr>
      </w:pPr>
      <w:r>
        <w:rPr>
          <w:rFonts w:ascii="Times New Roman" w:cs="Times New Roman" w:eastAsia="Times New Roman" w:hAnsi="Times New Roman"/>
          <w:sz w:val="18"/>
          <w:szCs w:val="18"/>
          <w:color w:val="auto"/>
        </w:rPr>
        <w:t>The BioNTech ADSs and the CureVac shares are both traded on Nasdaq under the symbols “BNTX” and “CVAC”, respectively. The following table presents the high and low price per BioNTech ADS and CureVac share on June 11, 2025, the last full trading day before public announcement that BioNTech and CureVac had entered into the Purchase Agreement, and October 20, 2025, the last practicable trading day before the commencement of the offer. In addition, for illustrative purposes, the following table provides the equivalent high, low, and closing price per CureVac share on each of the specified dates, assuming the presented high, low, and close price of the BioNTech ADSs were the BioNTech ADS VWAP on the relevant calculation date. Because all prices shown are within the collar, the equivalent value per share does not fluctuate. For additional information on the operation of the collar, see “The Offer — Offer Consideration” beginning on page 54 and “The Offer — Sample Calculation of the Offer Consideration” beginning on page 54.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BioNTech</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CureVac</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CureVac Equivalent</w:t>
            </w:r>
          </w:p>
        </w:tc>
        <w:tc>
          <w:tcPr>
            <w:tcW w:w="0" w:type="dxa"/>
            <w:vAlign w:val="bottom"/>
          </w:tcPr>
          <w:p>
            <w:pPr>
              <w:spacing w:after="0"/>
              <w:rPr>
                <w:sz w:val="1"/>
                <w:szCs w:val="1"/>
                <w:color w:val="auto"/>
              </w:rPr>
            </w:pPr>
          </w:p>
        </w:tc>
      </w:tr>
      <w:tr>
        <w:trPr>
          <w:trHeight w:val="173"/>
        </w:trPr>
        <w:tc>
          <w:tcPr>
            <w:tcW w:w="2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Close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Close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Close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11, 2025</w:t>
            </w:r>
          </w:p>
        </w:tc>
        <w:tc>
          <w:tcPr>
            <w:tcW w:w="1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October 20, 2025</w:t>
            </w:r>
          </w:p>
        </w:tc>
        <w:tc>
          <w:tcPr>
            <w:tcW w:w="22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rPr>
              <w:t>$108.05</w:t>
            </w:r>
          </w:p>
        </w:tc>
        <w:tc>
          <w:tcPr>
            <w:tcW w:w="72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w w:val="99"/>
              </w:rPr>
              <w:t>$103.21</w:t>
            </w:r>
          </w:p>
        </w:tc>
        <w:tc>
          <w:tcPr>
            <w:tcW w:w="1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$107.95</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$5.37</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$5.36</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$5.46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$5.46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Share Prices and Dividends</w:t>
      </w:r>
    </w:p>
    <w:p>
      <w:pPr>
        <w:spacing w:after="0" w:line="121" w:lineRule="exact"/>
        <w:rPr>
          <w:sz w:val="20"/>
          <w:szCs w:val="20"/>
          <w:color w:val="auto"/>
        </w:rPr>
      </w:pPr>
    </w:p>
    <w:p>
      <w:pPr>
        <w:jc w:val="both"/>
        <w:ind w:left="300" w:right="280" w:firstLine="426"/>
        <w:spacing w:after="0" w:line="281" w:lineRule="auto"/>
        <w:rPr>
          <w:sz w:val="20"/>
          <w:szCs w:val="20"/>
          <w:color w:val="auto"/>
        </w:rPr>
      </w:pPr>
      <w:r>
        <w:rPr>
          <w:rFonts w:ascii="Times New Roman" w:cs="Times New Roman" w:eastAsia="Times New Roman" w:hAnsi="Times New Roman"/>
          <w:sz w:val="17"/>
          <w:szCs w:val="17"/>
          <w:color w:val="auto"/>
        </w:rPr>
        <w:t>The following tables set forth, for the periods indicated, the high and low sale prices of BioNTech ADSs as reported by Nasdaq and the high and low sale prices of CureVac shares as reported by Nasdaq. As of October 17, 2025, the last practicable trading day prior to the commencement of the offer, there were 101,103,358 BioNTech ADSs issued and outstanding and 225,181,647 CureVac shares outstanding. BioNTech has not paid dividends on the BioNTech ordinary shares, and CureVac has not paid dividends on the CureVac shares, in each case during the past two years.</w:t>
      </w: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BioNTech</w:t>
      </w:r>
    </w:p>
    <w:p>
      <w:pPr>
        <w:spacing w:after="0" w:line="25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Price Per</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BioNTech ADS</w:t>
      </w:r>
    </w:p>
    <w:tbl>
      <w:tblPr>
        <w:tblLayout w:type="fixed"/>
        <w:tblInd w:w="158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1040" w:type="dxa"/>
            <w:vAlign w:val="bottom"/>
            <w:tcBorders>
              <w:top w:val="single" w:sz="8" w:color="auto"/>
            </w:tcBorders>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2"/>
                <w:szCs w:val="12"/>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$156.28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119.98</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$131.52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100.08</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$125.83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95.50</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$113.04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88.00</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$114.70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85.21</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$104.33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80.02</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$131.49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76.53</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$125.40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94.31</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$129.27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85.55</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$122.90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81.20</w:t>
            </w: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$115.54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90.12</w:t>
            </w:r>
          </w:p>
        </w:tc>
      </w:tr>
    </w:tbl>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CureVac</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4"/>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173"/>
        </w:trPr>
        <w:tc>
          <w:tcPr>
            <w:tcW w:w="1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4"/>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Ordinary Share</w:t>
            </w:r>
          </w:p>
        </w:tc>
      </w:tr>
      <w:tr>
        <w:trPr>
          <w:trHeight w:val="142"/>
        </w:trPr>
        <w:tc>
          <w:tcPr>
            <w:tcW w:w="14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480" w:type="dxa"/>
            <w:vAlign w:val="bottom"/>
          </w:tcPr>
          <w:p>
            <w:pPr>
              <w:spacing w:after="0"/>
              <w:rPr>
                <w:sz w:val="12"/>
                <w:szCs w:val="12"/>
                <w:color w:val="auto"/>
              </w:rPr>
            </w:pPr>
          </w:p>
        </w:tc>
      </w:tr>
      <w:tr>
        <w:trPr>
          <w:trHeight w:val="196"/>
        </w:trPr>
        <w:tc>
          <w:tcPr>
            <w:tcW w:w="1460" w:type="dxa"/>
            <w:vAlign w:val="bottom"/>
          </w:tcPr>
          <w:p>
            <w:pPr>
              <w:spacing w:after="0"/>
              <w:rPr>
                <w:sz w:val="17"/>
                <w:szCs w:val="17"/>
                <w:color w:val="auto"/>
              </w:rPr>
            </w:pPr>
          </w:p>
        </w:tc>
        <w:tc>
          <w:tcPr>
            <w:tcW w:w="2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3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12.79</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12.36</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$6.59</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10.87</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6.93</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$3.41</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4.46</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5.28</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3.87</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3.56</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5.72</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w:t>
            </w:r>
          </w:p>
        </w:tc>
        <w:tc>
          <w:tcPr>
            <w:tcW w:w="14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5.54</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$5.32</w:t>
            </w:r>
          </w:p>
        </w:tc>
        <w:tc>
          <w:tcPr>
            <w:tcW w:w="1480" w:type="dxa"/>
            <w:vAlign w:val="bottom"/>
          </w:tcPr>
          <w:p>
            <w:pPr>
              <w:spacing w:after="0"/>
              <w:rPr>
                <w:sz w:val="20"/>
                <w:szCs w:val="20"/>
                <w:color w:val="auto"/>
              </w:rPr>
            </w:pPr>
          </w:p>
        </w:tc>
      </w:tr>
      <w:tr>
        <w:trPr>
          <w:trHeight w:val="154"/>
        </w:trPr>
        <w:tc>
          <w:tcPr>
            <w:tcW w:w="14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361"/>
        </w:trPr>
        <w:tc>
          <w:tcPr>
            <w:tcW w:w="1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94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CureVac shareholders will be diluted in terms of their ownership in BioNTech following the transactions relative to their current ownership in CureVac.</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transactions will result in CureVac shareholders having an ownership stake in BioNTech that is significantly smaller than their current stake in CureVac. Upon completion of the transactions, BioNTech estimates that former CureVac shareholders will own between four and six percent of the issued and outstanding BioNTech ordinary shares, in the aggregate, depending on the BioNTech ADS VWAP. Consequently, CureVac shareholders, as a general matter, will have less influence over the management and policies of BioNTech after the completion of the transactions than they currently exercise over the management and policies of CureVac.</w:t>
      </w:r>
    </w:p>
    <w:p>
      <w:pPr>
        <w:spacing w:after="0" w:line="17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exchange ratio is calculated by reference to the volume-weighted average of the price per BioNTech ADS as reported on Nasdaq over the period of 10 consecutive trading days ending on, and including, the fifth trading day immediately preceding the expiration time. Notwithstanding the foregoing, in the event the BioNTech ADS VWAP (i) is greater than or equal to $126.55, the exchange ratio will be 0.04318 or (ii) is less than or equal to $84.37, the exchange ratio will be 0.06476. As a result of such collar, the number of BioNTech ADSs received in the offer or the post-offer reorganization may not fully reflect the value of the BioNTech ADSs or $5.4641 per CureVac share.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Changes in the price of the BioNTech ADSs may result from a variety of factors, including, among others, general market and economic conditions, changes in BioNTech’s business, operations, and prospects, market assessment of the likelihood that the transactions will be completed as anticipated or at all, and regulatory considerations. Many of these factors are beyond BioNTech’s control. As a result of any such changes in the price of the BioNTech ADSs, the market value of the BioNTech ADSs that the CureVac shareholders will receive at the time that the BioNTech ADSs are delivered could vary significantly from the value of the BioNTech ADSs immediately prior to the public announcement of the offer, on the date of this offer to exchange/prospectus, on the date CureVac shareholders tender their shares, or at the expiration time, or on the date on which CureVac shareholders actually receive BioNTech ADSs.</w:t>
      </w:r>
    </w:p>
    <w:p>
      <w:pPr>
        <w:spacing w:after="0" w:line="18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From June 12, 2025, when BioNTech and CureVac announced the execution of the Purchase Agreement, through October 20, 2025 (the last practicable date before the commencement of the offer), the BioNTech ADS VWAP was not greater than or equal to $126.55 or less than or equal to $84.37. Accordingly, the offer consideration at all times during that period represented a market value of $5.4641. However, were the BioNTech ADS VWAP to, for example, drop to $80 or go above $130 on the applicable calculation date, the market value of the offer consideration could be greater than or less than, respectively, $5.4641.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U.S. federal income tax consequences of the exchange of CureVac shares for BioNTech ADSs pursuant to the offer or the cancellation to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may be complex.</w:t>
      </w:r>
    </w:p>
    <w:p>
      <w:pPr>
        <w:spacing w:after="0" w:line="9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the exchange of CureVac shares for BioNTech ADSs (including cash in lieu of fractional BioNTech ADSs) pursuant to the offer or the cancellation will qualify as one or more tax-free reorganizations within the meaning of Section 368(a) of the code. Accordingly, and subject to the rules applicable to PFICs, the exchange pursuant to the offer or the cancellation will generally be tax-free for U.S. holders of CureVac shares except with respect to cash received in lieu of fractional BioNTech ADSs. Because CureVac may be a PFIC for the current taxable year, however, the receipt of BioNTech ADSs in exchange for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CureVac shares may be subject to the PFIC rules. In addition, the receipt of cash in exchange for a fractional BioNTech ADS by a U.S. holder is expected to be subject to the PFIC rules. See “Material United States Federal Income Tax Considerations” beginning on page 67 for additional information and a more detailed discussion.</w:t>
      </w:r>
    </w:p>
    <w:p>
      <w:pPr>
        <w:spacing w:after="0" w:line="172"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CureVac shareholders that do not tender their shares in the offer (including the subsequent offering period) may be subject to Dutch dividend withholding tax on the cancellation consideration and thus their after-tax return may be lower than CureVac shareholders who participate in the offer (including the subsequent offering period).</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Following the expiration of the offer and subsequent offering period, the post-offer reorganization will be undertaken. CureVac shareholders who did not tender their shares in the offer (including the subsequent offering period) will receive in the post-offer reorganization the cancellation consideration, without interest and subject to any applicable Dutch dividend withholding tax.</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 Dutch dividend withholding tax is applicable to the offer consideration received in exchange for CureVac shares tendered in the offer, including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180"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Dutch resident holders and Dutch PE holders may be eligible for a (partial) refund from the Dutch tax authorities directly, depending on the particular individual circumstances of the relevant New Topco shareholder. There can be no assurances as to the success of any refund request. In any event, any amounts refunded will be in cash. Therefore, non-tendering CureVac shareholders who are subject to Dutch dividend withholding tax will not receive the investment benefit, if any, of receiving any BioNTech ADSs sold by the exchange agent as described below to cover any applicable Dutch dividend withholding tax.</w:t>
      </w:r>
    </w:p>
    <w:p>
      <w:pPr>
        <w:spacing w:after="0" w:line="17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All Dutch dividend withholding tax due in respect of the cancellation consideration will be for the account of the holder of New Topco A shares. The exchange agent will be allowed to sell, or procure the sale of, in one or more transactions, the minimum number of BioNTech ADSs to obtain a sufficient cash amount to remit to the Dutch tax authority the relevant amount of Dutch dividend withholding tax, if any, and New Topco and the exchange agent will not be obliged to pay any additional amounts to a holder of New Topco A shares for any Dutch dividend withholding tax effectively deducted from the cancellation consideration.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above, the after-tax return of CureVac shareholders who did not tender their shares in the offer, including the subsequent offering period, may be lower than CureVac shareholders who do participate in the offer, including the subsequent offering period.</w:t>
      </w:r>
    </w:p>
    <w:p>
      <w:pPr>
        <w:spacing w:after="0" w:line="15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German tax authorities take the view that German withholding tax on the cancellation consideration should have been withheld, New Topco or the cancellation consideration recipients could be held liable.</w:t>
      </w:r>
    </w:p>
    <w:p>
      <w:pPr>
        <w:spacing w:after="0" w:line="5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New Topco does not intend to withhold German withholding tax from the cancellation consideration. This is consistent with a view taken in German tax literature in relation to German shares that the cancellation of shares should be classified as a taxable disposal for German tax purposes, so that New Topco should have no obligation to withhold (but generally it would be the responsibility of the applicable German depositary, acting as disbursing agent, to withhold). However, absent a definitive decision by the German Federal Fiscal Court, there can be no guarantee that this view will be followed. The German tax authorities or German tax courts may take the view that the cancellation should be classified as a partial liquidation, such that the cancellation consideration would constitute a generally taxable dividend or dividend in kind, subject to withholding tax for which New Topco could have the obligation to withhold. Such a position would not be known unless and until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German tax authorities take a position on the treatment of the cancellation, such as during a tax audit of New Topco or of a cancellation consideration recipient. If the German tax authorities were to take the view that the cancellation consideration constituted a generally taxable dividend and that New Topco had the obligation to withhold, New Topco or the cancellation consideration recipients could be held liable by the German tax authorities for such unremitted withholding tax. In the event New Topco were held liable, it could seek to be made whole by the cancellation consideration recipients.</w:t>
      </w:r>
    </w:p>
    <w:p>
      <w:pPr>
        <w:spacing w:after="0" w:line="287"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159"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BioNTech’s obligation to exchange the CureVac shares validly tendered and not properly withdrawn pursuant to the offer is subject to the satisfaction or waiver of various closing conditions. There can be no assurance that the conditions to the closing of the offer will be satisfied or waived, or that the transactions will be completed. Failure to consummate the transactions may adversely affect BioNTech’s or CureVac’s results of operations and business prospects for the following reasons, among others: (i) each of BioNTech and CureVac will incur certain transaction costs, regardless of whether the transactions close, which could adversely affect each company’s respective financial condition, results of operations, and ability to make distributions to its security holders; and (ii) the transactions, whether or not they close, will divert the attention of certain management and other key employees of BioNTech and CureVac from ongoing business activities, including the pursuit of other opportunities that could be beneficial to BioNTech or CureVac, respectively. In addition, BioNTech or CureVac may terminate the Purchase Agreement under certain circumstances, which may require BioNTech to pay CureVac termination compensation of $62.5 million or may require CureVac to pay BioNTech termination consideration of</w:t>
      </w:r>
    </w:p>
    <w:p>
      <w:pPr>
        <w:spacing w:after="0" w:line="5"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$43.75 million. If the transactions are not consummated, the price of the BioNTech ADSs and CureVac shares might decline. The foregoing could have a negative impact on the business, prospects, operating results, and financial condition of BioNTech or CureVac.</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the transactions could adversely affect the business and operations of BioNTech and CureVac.</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Prior to the completion of the transactions, some counterparties of each of BioNTech and CureVac may delay or defer decisions, which could negatively affect the revenue, earnings, cash flows, and expenses of BioNTech and CureVac, regardless of whether the transactions are completed. Similarly, current and prospective employees of CureVac may experience uncertainty about their future roles with BioNTech following the transactions, which may adversely affect the ability of CureVac to attract and retain key personnel during the pendency of the transactions. In addition, during the pendency of the transactions, BioNTech has agreed, subject to certain exceptions, not to: amend its organizational documents; declare, set aside, or pay any dividends or other distributions; or split, subdivide, exchange, or reclassify its ordinary shares or ADSs. Similarly, during the pendency of the transactions, CureVac has agreed, subject to certain exceptions, not to, among other things: incur certain liens; pursue certain strategic transactions; dispose of certain intellectual property; commence or materially change clinical studies; enter into certain compensatory arrangements; enter into any new line of business; or otherwise pursue certain material actions, even if such actions may prove beneficial to CureVac.</w:t>
      </w:r>
    </w:p>
    <w:p>
      <w:pPr>
        <w:spacing w:after="0" w:line="1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Purchase Agreement contains provisions that could discourage a potential competing acquirer of CureVac or could result in a competing proposal being at a lower price than it might otherwise be.</w:t>
      </w:r>
    </w:p>
    <w:p>
      <w:pPr>
        <w:spacing w:after="0" w:line="51"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Purchase Agreement contains provisions that, subject to limited exceptions necessary to comply with the duties of the CureVac boards, restrict the ability of CureVac to solicit or initiate discussions with any third party regarding alternative acquisition proposals, participate in any discussions or negotiations with any third party regarding such proposals, or inter into instruments with respect to such proposals. Subject to certain exceptions, the CureVac boards are not permitted to (i) withhold, withdraw, qualify, amend, or modify in a manner adverse to BioNTech its recommendation to its shareholders to accept the offer and approve and adopt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certain matters, including the transactions, which we refer to as the CureVac recommendation, (ii) recommend, adopt, or approve any alternative acquisition proposal, (iii) publicly make any recommendation in connection with an alternative acquisition proposal other than a recommendation against such proposal, (iv) fail to publicly and without qualification recommend against any alternative acquisition proposal or fail to reaffirm the CureVac recommendation within certain specified time periods, or (v) publicly propose to do any of the foregoing (any such action in this paragraph we refer to as an adverse recommendation change).</w:t>
      </w:r>
    </w:p>
    <w:p>
      <w:pPr>
        <w:spacing w:after="0" w:line="183"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Solely in response to a superior proposal received by the CureVac boards, which must be (i) on balance more favorable to CureVac and the sustainable success of its business, taking into account the interests of its shareholders, employees, and other stakeholders, than the transactions; and</w:t>
      </w:r>
    </w:p>
    <w:p>
      <w:pPr>
        <w:spacing w:after="0" w:line="1" w:lineRule="exact"/>
        <w:rPr>
          <w:sz w:val="20"/>
          <w:szCs w:val="20"/>
          <w:color w:val="auto"/>
        </w:rPr>
      </w:pPr>
    </w:p>
    <w:p>
      <w:pPr>
        <w:ind w:left="120" w:right="60" w:hanging="4"/>
        <w:spacing w:after="0" w:line="251" w:lineRule="auto"/>
        <w:tabs>
          <w:tab w:leader="none" w:pos="3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likely to be consummated, the CureVac boards may at any time prior to the expiration time and, so long as they have not breached their obligation not to solicit an alternative acquisition proposal, make an adverse recommendation change, or terminate the Purchase Agreement and enter into an alternative acquisition agreement (as defined in the Purchase Agreement) with respect to a superior proposal if, (a) CureVac has provided to BioNTech four business days’ prior written notice of the existence of and material terms and conditions of the superior proposal, including the consideration offered and the identity of the third party making such proposal; (b) CureVac has engaged in good faith negotiations with BioNTech to amend the Purchase Agreement such that the alternative acquisition proposal no longer constitutes a superior proposal; and (c) the CureVac boards have determined that, in light of such superior proposal and taking into account any revised terms proposed by BioNTech, the failure to effectuate an adverse recommendation change and/or terminate the Purchase Agreement would be inconsistent with the directors’ fiduciary duties under the laws of the Netherlands.</w:t>
      </w:r>
    </w:p>
    <w:p>
      <w:pPr>
        <w:spacing w:after="0" w:line="19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provisions could discourage a potential competing acquirer that might have an interest in acquiring all or a significant part of CureVac from considering or proposing such an acquisition, even if the potential competing acquirer was prepared to pay consideration with a higher per share value than the value proposed to be received or realized in the transactions, or might result in a potential competing acquirer proposing to pay a lower per share value than it might otherwise have proposed to pay because of the added expense of the termination fee that may become payable in certain circumstances under the Purchase Agreement.</w:t>
      </w:r>
    </w:p>
    <w:p>
      <w:pPr>
        <w:spacing w:after="0" w:line="179"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transactions similar to the transactions contemplated by the Purchase Agreement, purported shareholders of the companies involved in such transactions have filed class action lawsuits against such companies and their boards of directors. If shareholder litigation were to be brought, the plaintiffs may seek to enjoin the transactions, among other remedies. If a court were to refuse to dismiss such lawsuits, or a settlement could not be reached with the plaintiffs, these actions could prevent or delay completion of the transactions, and result in substantial costs to BioNTech and CureVac, including any costs associated with the indemnification of directors. Any litigation relating to the transactions could distract BioNTech or CureVac from pursuing the consummation of the transactions and other potentially beneficial business opportunities. Further, the defense or settlement of any lawsuit or claim that remains unresolved at the time the transactions are completed may adversely affect the combined company’s business, financial condition, or results of operations.</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color w:val="auto"/>
        </w:rPr>
        <w:t>the German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BioNTech’s judicial district. The exact timing of the registration process for capital increases lies with such court and is outside the control of BioNTech. There may be delays in the effectiveness of the share capital increases and the creation of the BioNTech ordinary shares and, thus, the transfer of the BioNTech ADSs constituting the offer consideration to tendering CureVac shareholders.</w:t>
      </w:r>
    </w:p>
    <w:p>
      <w:pPr>
        <w:spacing w:after="0" w:line="17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expects that the delivery of BioNTech ADSs to the tendering CureVac shareholders will take approximately 10 business days following the acceptance time or, as applicable, the expiration of the subsequent offering period, but it could be three weeks or more. BioNTech is delivering the BioNTech ADSs in accordance with the requirements of German law and practice, consistent with Rule 14d-1(d)(2)(iv) under the Exchange Act.</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will not receive any interest or other compensation for the period between the date on which you tender your CureVac shares in the offer or the subsequent offering period and the date on which you receive BioNTech ADSs and may not be able to react to any adverse developments affecting the business, financial condition, or results of operations of BioNTech or CureVac and the market prices of tendered CureVac shares or, until BioNTech ADSs are received, such BioNTech ADSs by selling the respective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CureVac</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CureVac may be required to repay monies received under the Advance Purchase Agreement with the European Commission for its first-generation COVID-19 vaccine candidate.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November 30, 2020, CureVac SE entered into an Advance Purchase Agreement, which we refer to as the APA, with the EU Commission, acting on behalf of all Member States of the European Union, for the supply of up to 405 million doses of its first-generation COVID-19 vaccine candidate, which we refer to as CVnCoV. Under the APA, CureVac SE received an upfront payment of €450 million for development and commercial supply activities of CVnCoV. In October 2021, CureVac SE notified the EU Commission of the withdrawal of its regulatory approval application for CVnCoV, which notification automatically terminated the APA. According to the APA, in such case of termination, CureVac SE would be required to return any unspent amount of the upfront payment. In the context of the APA, “spent” means either costs incurred, or commitments made in connection with the purposes set forth in the APA.</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July 24, 2024, the EU Commission informed CureVac SE that it had engaged Deloitte, S.L., which we refer to as Deloitte, to conduct an audit of CureVac SE’s compliance with the APA. On September 17, 2025, the EU Commission provided CureVac SE with Deloitte’s draft audit report, which included preliminary findings alleging missing documentation, absence of project cost allocation, cost traceability and reconciliations, as well as inconsistencies between information submitted during the audit and financial information previously provided to the EU Commission. CureVac SE is cooperating fully with the EU Commission and Deloitte and submitted a detailed response and objections on October 17, 2025. The EU Commission is expected to issue a final audit report within 60 days thereafter.</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CureVac SE contested the findings in Deloitte’s draft audit report and believes it can refute the issues raised. However, it remains uncertain to what extent Deloitte and the EU Commission will accept CureVac SE’s position. It is also unclear whether the EU Commission will rely on Deloitte’s final audit report to seek recovery of any portion or all of the €450 million upfront payment. CureVac SE cannot exclude the possibility of being required to repay a portion or all of the €450 million upfront payment. Should CureVac be unsuccessful in contesting any such repayment claims, or the payment of related fines, this could materially affect CureVac’s financial position, cash flows, and results of operations.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BioNTech Following the Transactions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transactions, BioNTech may be unable to integrate the businesses of BioNTech and CureVac successfully and realize the anticipated synergies and other benefits of the transactions or do so within the anticipated timeframe.</w:t>
      </w:r>
    </w:p>
    <w:p>
      <w:pPr>
        <w:spacing w:after="0" w:line="5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transactions involve the combination of two companies that currently operate as independent public companies. BioNTech is expected to benefit from the elimination of duplicative costs associated with supporting a public company platform, technologies, and systems. These savings are expected to be realized upon full integration following the closing of the transactions. However, BioNTech will be required to devote significant management attention and resources to integrating the business practices and operations of BioNTech and CureVac. Potential difficulties or liabilities BioNTech may encounter in the integration process include the following:</w:t>
      </w:r>
    </w:p>
    <w:p>
      <w:pPr>
        <w:spacing w:after="0" w:line="89" w:lineRule="exact"/>
        <w:rPr>
          <w:sz w:val="20"/>
          <w:szCs w:val="20"/>
          <w:color w:val="auto"/>
        </w:rPr>
      </w:pPr>
    </w:p>
    <w:p>
      <w:pPr>
        <w:ind w:left="1080" w:right="22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the businesses of BioNTech and CureVac in a manner that permits BioNTech to achieve the cost savings anticipated to result from the transactions, which would result in the anticipated benefits of the transactions not being realized in the timeframe currently anticipated or at all;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that may become due as a result of the integration of the businesses of BioNTech and CureVac or the post-offer reorganization, including the incurrence of any German real estate transfer tax triggered by the acquisition of CureVac and its subsidiaries as well as the forfeiture of any tax loss carry forwards (as well as ongoing year-to-date losses and interests carry forwards) at the level of the CureVac group companies acquired as a consequence of the transactions or their consummation;</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managing the combined businesses out of several different locations and integrating personnel from the two companies, as well as consolidating facilities of BioNTech and CureVac that are currently in or near the same location;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maintaining existing agreements with counterparties and avoiding delays in entering into new agreements with prospective counterparties;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complexities of combining two companies with different histories, cultures, regulatory restrictions, markets, systems, and customer bases;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transactions;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the transactions and integrating the companies’ operations.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all these reasons, it is possible that the integration process could result in the distraction of BioNTech’s management, the disruption of BioNTech’s ongoing business, or inconsistencies in BioNTech’s operations, services, standards, controls, procedures, and policies, any of which could adversely affect the ability of BioNTech to maintain relationships with customers, vendors, and employees, or to achieve the anticipated benefits of the transactions, or could otherwise adversely affect the business and financial results of BioNTech.</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Following the transactions, BioNTech may be unable to retain key CureVac 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success of the combined company after the transactions will depend in part upon its ability to retain key CureVac employees. Key CureVac employees may depart either before or after the transactions because of issues relating to the uncertainty and difficulty of integration or a desire not to remain with BioNTech following the transactions. Accordingly, no assurance can be given that CureVac or, following the transactions, BioNTech will be able to retain key CureVac employees to the same extent as in the past.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Counterparties to certain significant agreements with CureVac may exercise contractual rights under such agreements in connection with the transactions.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CureVac is a party to certain agreements, including certain lease agreements, collaboration agreements, and business development-related agreements material to the operations of CureVac and/or its affiliates that give the counterparty certain rights following a “change in control,” including in some cases the right to terminate the agreement. Under some such agreements, the closing of the offer may constitute a change in control, and therefore the counterparty may exercise certain rights under the agreement upon the closing of the transactions. Any such counterparty may request modifications of their respective agreements as a condition to granting a waiver or consent under their agreement. There can be no assurances that such counterparties will not exercise their rights under these agreements, including termination rights where available, or that the exercise of any such rights under, or modification of, these agreements will not adversely affect the business or operations of the combined company.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BioNTech expects to incur substantial expenses related to the transactions.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BioNTech expects to incur substantial expenses in connection with completing the transactions, and integrating the business, operations, networks, systems, technologies, policies, and procedures of CureVac with those of BioNTech. There are several systems that must be integrated, including accounting and finance. While BioNTech has assumed that a certain level of transaction and integration expenses would be incurred, there are a number of factors beyond its control that could affect the total amount or the timing of BioNTech’s integration expenses. Many of the expenses that will be incurred, by their nature, are difficult to estimate accurately at the present time. As a result, the transaction and integration expenses associated with the transactions could, particularly in the near term, exceed the savings that BioNTech expects to achieve from the elimination of duplicative expenses and the realization of economies of scale and cost savings related to the integration of the businesses following the completion of the transactions.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an Investment in the BioNTech ADSs Following the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BioNTech ADSs may be volatile.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U.S. stock markets, including Nasdaq, on which the BioNTech ADSs are listed under the symbol “BNTX”, have experienced significant price and volume fluctuations. As a result, the market price of the BioNTech ADSs is likely to be similarly volatile, and investors in BioNTech ADSs may experience a decrease in the value of their ADSs, including decreases unrelated to BioNTech’s operating performance or prospects. BioNTech cannot assure you that the market price of the BioNTech ADSs will not fluctuate or decline significantly in the future.</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risks listed in this “Risk Factors” section, a number of factors could negatively affect the price of the BioNTech ADSs or result in fluctuations in the price or trading volume of the BioNTech ADSs, including:</w:t>
      </w:r>
    </w:p>
    <w:p>
      <w:pPr>
        <w:spacing w:after="0" w:line="67" w:lineRule="exact"/>
        <w:rPr>
          <w:sz w:val="20"/>
          <w:szCs w:val="20"/>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issuances by BioNTech, or future sales of substantial amounts of BioNTech ADSs by its existing or future holders, or the perception that such issuances or future sales may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BioNTech’s operating performance and the performance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BioNTech’s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BioNTech or its industry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BioNTech incurs in the future;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BioNTech or its competitors, such as acquisitions, divestments,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that adversely affect BioNTech or its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BioNTech’s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listing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shareholders of BioNTech;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and/or market conditions, including factors unrelated to BioNTech’s performance.</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price of their traded securities. This type of litigation could result in substantial costs and divert BioNTech’s management’s attention and resources, which could have a material adverse effect on BioNTech’s cash flows, its ability to execute its business strategy, and BioNTech’s business prospects.</w:t>
      </w:r>
    </w:p>
    <w:p>
      <w:pPr>
        <w:spacing w:after="0" w:line="172"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BioNTech ADSs may be affected by factors different from those affecting the prices of the BioNTech ADSs or CureVac shares before the transactions.</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results of operations of BioNTech, as well as the market price of the BioNTech ADSs after the transactions, may be affected by other factors in addition to those currently affecting BioNTech’s or CureVac’s results of operations and the market prices of the BioNTech ADSs and CureVac shares. These factors include:</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greater number of BioNTech ADSs outstanding as compared to the number of currently outstanding BioNTech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shareholders;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assets and capitalizations.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Accordingly, the historical market prices and financial results of BioNTech and CureVac may not be indicative for BioNTech after the transactions. For a discussion of the businesses of BioNTech and CureVac, and certain risks to consider in connection with investing in those businesses, see the documents incorporated by reference by BioNTech and CureVac into this offer to exchange/prospectus referred to under “Where You Can Find More Information and Incorporation by Reference” beginning on page 167.</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BioNTech ADSs may decline as a result of 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the BioNTech ADSs may decline as a result of the transactions if BioNTech does not achieve the perceived benefits of the transactions as rapidly or to the extent anticipated by financial or industry analysts, or the effect of the transactions on BioNTech’s financial results is not consistent with the expectations of financial or industry analysts.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upon consummation of the transactions, former CureVac shareholders will own interests in a business with a different mix of clinical assets, risks, and liabilities. Former CureVac shareholders may not wish to continue to invest in BioNTech, or for other reasons may wish to dispose of some or all of their BioNTech ADSs. If, following the closing of the transactions, large amounts of the BioNTech ADSs are sold, the price of the BioNTech ADSs could decline.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transactions are completed, CureVac shareholders who receive BioNTech ADSs in the transactions will have different rights that may be less favorable than their current rights as CureVac shareholders.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the closing of the transactions, CureVac shareholders who receive BioNTech ADSs in the transactions will have different rights than they currently have as CureVac shareholders. For a detailed discussion of the significant differences between the current rights as a CureVac shareholder and the rights as a BioNTech shareholder and a BioNTech ADS holder following the transactions, see “Comparison of Rights of BioNTech Shareholders and CureVac Shareholders” beginning on page 144 and “Description of BioNTech Capital Stock” beginning on page 123.</w:t>
      </w:r>
    </w:p>
    <w:p>
      <w:pPr>
        <w:spacing w:after="0" w:line="17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BioNTech ADSs are not treated as shareholders of BioNTech and will not have the same voting rights as BioNTech shareholders, which may affect the value of the BioNTech ADSs.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Holders of BioNTech ADSs are not treated as BioNTech shareholders unless they cancel the BioNTech ADSs and withdraw the BioNTech ordinary shares underlying the BioNTech ADSs from the depositary, which is the holder of the BioNTech ordinary shares underlying the BioNTech ADSs. Holders of BioNTech ADSs, therefore, do not have any rights as shareholders of BioNTech, other than the rights that they have pursuant to the deposit agreement. As such, holders of BioNTech ADSs will not be able to directly vote underlying BioNTech ordinary shares. Holders of BioNTech ADSs may instruct the depositary how to vote the BioNTech ordinary shares underlying their BioNTech ADSs. If BioNTech asks it to, the depositary will send out information about shareholder meetings and solicit voting instructions and will try to carry out voting instructions it receives. However, BioNTech is not required to instruct the depositary to take action with respect to shareholder meetings. If BioNTech does not do so, holders of the BioNTech ADSs can still send voting instructions to the depositary, and the depositary may try to carry out those instructions, but it is not required to do so. Holders of the BioNTech ADSs may not become aware of shareholder meetings if the depositary does not send out information. Even if the depositary does solicit voting instructions, holders of BioNTech ADSs may not receive the information in time. As a result of these factors, holders of BioNTech ADSs may not be able to effectively exercise voting rights that they would have if they held BioNTech ordinary shares directly.</w:t>
      </w:r>
    </w:p>
    <w:p>
      <w:pPr>
        <w:spacing w:after="0" w:line="29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BioNTech ADSs are expected to be treated as stock in a passive foreign investment company, which may have adverse U.S. federal income tax consequences to U.S. holders of BioNTech ADSs.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BioNTech’s income and assets, BioNTech expects to be a PFIC for the current taxable year and may be a PFIC in future taxable years. The PFIC rules may result in adverse U.S. federal income tax consequences to U.S. holders of BioNTech ADSs. Because the determination of BioNTech’s PFIC status is made annually following the end of the applicable taxable year based on factual tests described below, BioNTech’s status as a PFIC in the current taxable year and future taxable years is uncertain.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Generally, BioNTech will be classified as a PFIC for any taxable year for which at least 75% of its gross income is “passive income” or at least 50% of its gross assets during that taxable year (based on the average of the fair market values of the assets determined at the end of each quarterly period) are assets that produce or are held for the production of passive income. Passive income for this purpose generally includes, among other items, dividends, interest, rents, royalties, gains from commodities and securities transactions, and gains from assets that produce passive income. However, rents and royalties received from unrelated parties in connection with the active conduct of a trade or business will not be considered passive income for purposes of the PFIC test.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BioNTech is classified as a PFIC in any taxable year during a U.S. holder’s holding period of its BioNTech ADSs, such U.S. holder generally will be subject to additional taxes and interest charges upon certain distributions by BioNTech and any gain recognized on a sale, exchange, or other disposition of such holder’s BioNTech ADSs, regardless of whether BioNTech continues to be characterized as a PFIC. The additional taxes and interest charges may be mitigated if a U.S. holder makes a “mark-to-market” election or an election to treat BioNTech as a “qualified electing fund,” which we refer to as a QEF, election, possibly along with a “purging election.” BioNTech intends to provide U.S. holders with the necessary information to make a QEF election with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respect to the current taxable year and for future taxable years in which BioNTech is classified as a PFIC. However, because the exchange of CureVac shares for BioNTech ADSs pursuant to the offer or the cancellation will generally be tax-free to U.S. holders, these elections may not fully alleviate the adverse consequences of BioNTech’s PFIC status to U.S. holders to the extent typical in taxable acquisitions of PFIC stock. For more information, see “Material United States Federal Income Tax Considerations” beginning on page 67 below.</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CureVac shareholders that are U.S. holders are strongly urged to consult their tax advisors regarding the U.S. federal, state, and local income tax consequences to them of BioNTech ADSs being treated as stock in a PFIC, any available elections to mitigate such tax consequences, and the potential limitations to them of making any such election.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BioNTech and CureVac face other risks.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risks are not exhaustive, and you should be aware that, following the transactions, the combined company will face various other risks, including those discussed in reports filed by BioNTech and CureVac with the SEC. See “Where You Can Find More Information and Incorporation by Reference” beginning on page 167.</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offer to exchange/prospectus includes “forward-looking statements.” Forward-looking statements can generally be identified by words such as “potential,” “can,” “will,” “plan,” “may,” “could,” “would,” “expect,” “look forward,” “investigational,” “pipeline,” “to acquire,” “development,” “to include,” “commitment,” “project,” “prospective,” or similar terms.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Risks and uncertainties include, but are not limited to:</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offer and the post-offer reorganization;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how many of CureVac’s shareholders will tender their shares in the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competing offers or acquisition proposals will be made;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various conditions to the consummation of the offer and the other transactions may not be satisfied or waived;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 termination of the Purchase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necessary antitrust or other regulatory approvals or to obtain them on acceptable terms or within expected timing;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 from the transactions and the impact of the announcement and pendency of the transactions on BioNTech’s and/or CureVac’s business, including their relationships with employees, business partners, or governmental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offer or the other transactions may be more expensive to complete than anticipated;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in connection with the offer or the other transactions may result in significant costs of defense, indemnification, and liability;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attention from ongoing business operations and opportunities as a result of the offer, the other transactions,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competition;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and business conditions, including interest rate, inflation, tariff and currency exchange rate fluctuations, and the ongoing Russia-Ukraine and Middle East conflicts;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developments and changes in the United States, Europe, and countries outside of Europe, including with respect to tax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pharmaceutical industry regulation and health care legislation in the United States, Europe, and elsewhere;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prescribing preferences of physicians and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uncertainties inherent in new product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or maintain proprietary intellectual property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quality, data integrity, or manufacturing issues;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data security and data privacy breaches.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does not have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320" w:top="455" w:right="6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05"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8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BioNTech’s multi-technology combination of platforms and product candidates positions it as a pioneer in the field of individualized, patient-centric therapeutic approaches in oncology and infectious diseases.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83"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7"/>
          <w:szCs w:val="17"/>
          <w:i w:val="1"/>
          <w:iCs w:val="1"/>
          <w:color w:val="auto"/>
        </w:rPr>
        <w:t>Comirnaty</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BioNTech was founded and incorporated on June 2, 2008 as Petersberg 91, V AG, a German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BioNTech changed its name to BioNTech AG on December 11, 2008. On March 8, 2019, BioNTech converted to a European stock corporation under the laws of Germany and the European Union called BioNTech SE. BioNTech completed its initial public offering in October 2019. The BioNTech ADSs are listed on Nasdaq, trading under the symbol “BNTX”. BioNTech’s website address is www.biontech.com. The information found on, or otherwise accessible through, BioNTech’s website is not incorporated into, and does not form a part of, this offer to exchange/prospectus. BioNTech’s agent for service of process solely for the purpose of notices and communications from the SEC in the United States is c/o BioNTech US Inc., 40 Erie Street, Suite 110, Cambridge, Massachusetts 02139, +1 (617) 337-4701.</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Friedrich-Miescher-Strasse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72076 Tübingen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7071-9883-0</w:t>
      </w:r>
    </w:p>
    <w:p>
      <w:pPr>
        <w:spacing w:after="0" w:line="205" w:lineRule="exact"/>
        <w:rPr>
          <w:sz w:val="20"/>
          <w:szCs w:val="20"/>
          <w:color w:val="auto"/>
        </w:rPr>
      </w:pPr>
    </w:p>
    <w:p>
      <w:pPr>
        <w:ind w:left="120" w:right="900" w:firstLine="440"/>
        <w:spacing w:after="0" w:line="284" w:lineRule="auto"/>
        <w:rPr>
          <w:sz w:val="20"/>
          <w:szCs w:val="20"/>
          <w:color w:val="auto"/>
        </w:rPr>
      </w:pPr>
      <w:r>
        <w:rPr>
          <w:rFonts w:ascii="Times New Roman" w:cs="Times New Roman" w:eastAsia="Times New Roman" w:hAnsi="Times New Roman"/>
          <w:sz w:val="18"/>
          <w:szCs w:val="18"/>
          <w:color w:val="auto"/>
        </w:rPr>
        <w:t>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is a global biopharmaceutical company that is developing a new class of transformative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April 7, 2020, CureVac B.V. was incorporated under the laws of the Netherlands and became the holding company of CureVac AG in connection with CureVac’s initial public offering on August 14, 2020, as part of a corporate reorganization, which we refer to as the CureVac corporate reorganization, in which the legal form of CureVac B.V. was converted from a Dutch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to a Dutch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the CureVac articles became effective. Following the CureVac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reorganization, CureVac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became part of the historical consolidated financial statements of CureVac. CureVac’s legal and commercial name is CureVac N.V.</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August 14, 2020, CureVac’s ordinary shares have traded on Nasdaq under the symbol “CVAC.” CureVac’s website address is www.curevac.com. The information found on, or otherwise accessible through, CureVac’s website is not incorporated into, and does not form a part of, this offer to exchange/prospectus. CureVac’s agent for service of process in the United States is CureVac Inc., located at 250 Summer St. 3rd Fl., Boston, Massachusetts 02210.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Merger B.V.</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Friedrich-Miescher-Strasse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72076 Tübingen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+49 7071-9883-0</w:t>
      </w:r>
    </w:p>
    <w:p>
      <w:pPr>
        <w:spacing w:after="0" w:line="20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New Topco is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119"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Purchase Agreement. The following chronology does not purport to catalog every conversation among the BioNTech boards, members of BioNTech management, or BioNTech’s and CureVac’s representatives and other parties.</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BioNTech boards have periodically evaluated and considered a variety of financial and strategic opportunities in the process of executing BioNTech’s long-term strategy of creating value for its stakeholders, including potential acquisitions, divestitures, joint ventures, business combinations, and other similar strategic transactions.</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BioNTech’s ongoing evaluation of business opportunities within the life sciences industry, BioNTech and CureVac management have, from time to time, engaged in discussions regarding the possibility of a transaction between the companies.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Between February 11, 2025 and February 14, 2025, representatives of BioNTech and CureVac, including James Ryan (Chief Legal and Chief Business Officer) of BioNTech and Thaminda Ramanayake (Chief Business Officer) and Marco Rau (General Counsel) of CureVac, met via videoconference to discuss the possibility of finding an amicable resolution to the ongoing litigation between BioNTech and CureVac. During these discussions on February 11, 2025, Mr. Ramanayake communicated CureVac’s new management’s openness to finding an amicable solution and a strategic rationale for the parties to focus on greater value creation for both shareholder bases,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by considering a broad collaborative approach at the program level or a potential strategic transaction between the two companies, which better fit the business objectives of both companies. On February 14, 2025, Mr. Ryan confirmed BioNTech’s openness to consider any such proposal, and a willingness to meet in person to advance further discussions.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26, 2025, representatives of BioNTech and CureVac, including Ugur Sahin (Chief Executive Officer) and Mr. Ryan of BioNTech and Alexander Zehnder (Chief Executive Officer) and Messrs. Ramanayake and Rau of CureVac, met in Mainz, Germany to discuss a new, collaborative perspective for both parties. As part of those discussions, the representatives favored a strategic transaction.</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Between March 3, 2025 and March 6, 2025, representatives of BioNTech and CureVac, including Messrs. Ryan, Ramanayake, and Rau, met in Norfolk, VA to continue to discuss the litigation, as part of the normal course of business.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13, 2025, representatives of BioNTech and CureVac, including Helmut Jeggle (Chairman of the BioNTech Supervisory Board) and Mr. Ryan of BioNTech and Mathias Hothum (Member of the CureVac Supervisory Board) and Messrs. Zehnder, Ramanayake, and Rau of CureVac, met in Frankfurt am Main, Germany, to further discuss potential strategic transactions between the companies and potential transaction structures.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Between March 17, 2025 and March 24, 2025, representatives of BioNTech and CureVac, including Mr. Ryan for BioNTech and Messrs. Ramanayake and Rau for CureVac met to continue discussions of a potential transaction. Covington &amp; Burling LLP, U.S. legal counsel to BioNTech, which we refer to as Covington, and Skadden, Arps, Slate, Meagher &amp; Flom LLP, U.S. and German counsel to CureVac, which we refer to as Skadden, joined certain of these meetings.</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On March 21, 2025, BioNTech delivered a preliminary non-binding indication of interest to CureVac, which provided for a stock-for-stock acquisition of CureVac based on an exchange ratio of between 0.0286 and 0.0263 BioNTech ADSs for each CureVac share. We refer to that as the preliminary IoI.</w:t>
      </w:r>
    </w:p>
    <w:p>
      <w:pPr>
        <w:spacing w:after="0" w:line="176" w:lineRule="exact"/>
        <w:rPr>
          <w:sz w:val="20"/>
          <w:szCs w:val="20"/>
          <w:color w:val="auto"/>
        </w:rPr>
      </w:pPr>
    </w:p>
    <w:p>
      <w:pPr>
        <w:jc w:val="both"/>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Between March 21, 2025 and April 7, 2025, representatives of BioNTech and CureVac, including Messrs. Sahin and Ryan of BioNTech and Messrs. Zehnder and Ramanayake of CureVac, discussed the preliminary IoI.</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At BioNTech’s request, the CureVac representatives provided certain additional information regarding CureVac’s business, including upcoming anticipated milestones and information concerning CureVac’s cash position.</w:t>
      </w:r>
    </w:p>
    <w:p>
      <w:pPr>
        <w:spacing w:after="0" w:line="162"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On April 7, 2025, BioNTech submitted a revised non-binding indication of interest to CureVac increasing the exchange ratio to 0.0476 BioNTech ADSs for each CureVac share, representing a premium over the closing price per CureVac share on April 3, 2025 ($2.84), which we refer to as the reference date, of (i) 54%, when calculated using the closing price per BioNTech ADS on the reference date ($92.01) and (ii) 83%, when calculated using the volume-weighted average closing price per BioNTech ADS for the 60-trading day period prior to and including the reference date ($109.28).</w:t>
      </w:r>
    </w:p>
    <w:p>
      <w:pPr>
        <w:spacing w:after="0" w:line="16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April 11, 2025, BioNTech and CureVac entered into a confidentiality agreement, which we refer to as the confidentiality agreement, which included customary non-disclosure and standstill provisions that provided BioNTech and CureVac the ability to make confidential proposals to one another and accommodated the exchange of confidential information between the companies.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April 15, 2025, Messrs. Ryan, Ramanayake, and Rau met to outline the anticipated due diligence process and discuss a potential timeline for the transaction.</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April 17, 2025, CureVac made available to certain BioNTech employees and its advisors a virtual data room containing certain CureVac confidential diligence materials and thereafter BioNTech continued engaging in business, financial, and legal due diligence.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April 23, 2025, representatives of BioNTech and CureVac, including Mr. Ryan for BioNTech and Messrs. Zehnder, Ramanayake, and Rau for CureVac met in Frankfurt am Main, Germany for a management presentation, which provided an overview of CureVac’s business and also involved a discussion of a potential transaction between the companies.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Between April 24, 2025 and April 26, 2025, representatives and advisors of each company’s intellectual property and scientific teams met to discuss CureVac’s technology and research, including CureVac’s lipid-nanoparticle technology and ribonucleic acid backbone and CureVac’s small scale, semi-automated, ribonucleic acid manufacturing technology for the purpose of evaluating a potential transaction. In addition, representatives of BioNTech and CureVac held meetings to discuss other areas of CureVac’s business, including with respect to finance, tax, business development, research, compliance, and analytics.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27, 2025, representatives of BioNTech, including Messrs. Sahin and Ryan, met with representatives of CureVac, including Messrs.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Zehnder, Ramanayake, and Rau, to tour CureVac’s facility in Tubingen, Germany, for the purpose of evaluating a potential transaction.</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April 29, 2025 and April 30, 2025, representatives of BioNTech and CureVac met for continued due diligence, including an expert session regarding intellectual property of CureVac.</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30, 2025, BioNTech and CureVac established a heightened confidentiality protocol related to ongoing due diligence efforts in connection with the potential transaction. The heightened confidentiality protocol provides certain terms governing the treatment of highly confidential information delivered by CureVac to BioNTech in the course of the due diligence process.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 2025, CureVac and Skadden provided an initial draft of a purchase agreement to BioNTech and Covington.</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May 4, 2025, BioNTech and CureVac signed a special confidentiality agreement, which we refer to as the special confidentiality agreement, to supplement the previously signed confidentiality agreement. The special confidentiality agreement provides additional terms for specified confidential information delivered by CureVac to BioNTech during the due diligence process.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Between May 8, 2025 and June 11, 2025, representatives of BioNTech and CureVac met in-person and via videoconference to continue due diligence, including with respect to tax, intellectual property and finance matters, and discuss transaction workstreams. In addition, during those dates, representatives and advisors of each company’s legal and tax teams held videoconferences to discuss the purchase agreement, including the exchange ratio and related collars, certain offer conditions, treatment of CureVac’s equity awards, transaction bonuses for certain employees of CureVac, the post-offer reorganization, representations and warranties of BioNTech and CureVac, regulatory approvals, and BioNTech’s termination rights as well as the scope of the desired form of tender and support agreement. During this period, numerous drafts of the purchase agreement, tender and support agreement, the company disclosure letter and related transaction documents were exchanged and discussed between the parties and their advisors. Also during this period, on May 23, 2025, representatives of BioNTech and CureVac participated in a meeting with the German Federal Ministry for Economic Affairs and Energy to discuss the Federal German Government’s support of the transaction.</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June 11, 2025, BioNTech held meetings of its management board and supervisory board, at which the members of the BioNTech boards approved, among other things, the Purchase Agreement and the transactions.</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On June 11, 2025, CureVac held meetings of its management board and supervisory board, at which the members of the CureVac boards approved, among other things, the Purchase Agreement and the transactions.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June 12, 2025, BioNTech and CureVac entered into the Purchase Agreement. Prior to opening of the markets in the United States on June 12, 2025, BioNTech and CureVac jointly announced the execution of the Purchase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 Background of the Offer</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additional information on the background, deliberations, and other activities involving CureVac (see Item 4(b) “Background of the Purchase Agreement; Reasons for the Recommendation of the Company Boards — Background of the Purchase Agreement” in the Schedule 14D-9 to be filed by CureVac). You are encouraged to read that section in its entirety.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BioNTech’s Reasons for the Offer and the Transactions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evaluating the Purchase Agreement and related offer, the BioNTech boards consulted with their legal advisors and, after consideration,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deciding to approve the Purchase Agreement and the consummation of the offer, the post-offer reorganization, and the other transactions,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BioNTech boards considered various factors that they viewed as supporting their decision, including the following material factors described below:</w:t>
      </w:r>
    </w:p>
    <w:p>
      <w:pPr>
        <w:spacing w:after="0" w:line="110" w:lineRule="exact"/>
        <w:rPr>
          <w:sz w:val="20"/>
          <w:szCs w:val="20"/>
          <w:color w:val="auto"/>
        </w:rPr>
      </w:pPr>
    </w:p>
    <w:p>
      <w:pPr>
        <w:ind w:left="1080" w:right="220" w:hanging="424"/>
        <w:spacing w:after="0" w:line="284"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Transactions Deliver Key Strategic Benefits</w:t>
      </w:r>
      <w:r>
        <w:rPr>
          <w:rFonts w:ascii="Times New Roman" w:cs="Times New Roman" w:eastAsia="Times New Roman" w:hAnsi="Times New Roman"/>
          <w:sz w:val="18"/>
          <w:szCs w:val="18"/>
          <w:color w:val="auto"/>
        </w:rPr>
        <w:t>. The BioNTech boards expect that the transactions will provide a number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strategic benefits, including the following:</w:t>
      </w:r>
    </w:p>
    <w:p>
      <w:pPr>
        <w:spacing w:after="0" w:line="65" w:lineRule="exact"/>
        <w:rPr>
          <w:rFonts w:ascii="Times New Roman" w:cs="Times New Roman" w:eastAsia="Times New Roman" w:hAnsi="Times New Roman"/>
          <w:sz w:val="18"/>
          <w:szCs w:val="18"/>
          <w:color w:val="auto"/>
        </w:rPr>
      </w:pPr>
    </w:p>
    <w:p>
      <w:pPr>
        <w:ind w:left="1540" w:right="800" w:hanging="331"/>
        <w:spacing w:after="0" w:line="282" w:lineRule="auto"/>
        <w:tabs>
          <w:tab w:leader="none" w:pos="15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Furthering BioNTech’s mRNA Strategy. The acquisition will support global execution of BioNTech’s strategy to develop, manufacture, and commercialize mRNA-based medicines in oncology.</w:t>
      </w:r>
    </w:p>
    <w:p>
      <w:pPr>
        <w:spacing w:after="0" w:line="67"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BioNTech Capabilities. The acquisition is expected to expand BioNTech’s capabilities to research, develop, manufacture, and commercialize mRNA-based medicines as a pan-tumor technology platform in oncology. As a result of the acquisition, BioNTech will obtain complementary capabilities and proprietary technologies in target discovery, production, mRNA design, and delivery formulations. The acquisition complements BioNTech’s recent acquisitions in its other key pillars in oncology, including immunomodulators like bispecific antibodies and targeted therapies like antibody-drug conjugates.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00" w:hanging="424"/>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Familiarity with Businesses</w:t>
      </w:r>
      <w:r>
        <w:rPr>
          <w:rFonts w:ascii="Times New Roman" w:cs="Times New Roman" w:eastAsia="Times New Roman" w:hAnsi="Times New Roman"/>
          <w:sz w:val="18"/>
          <w:szCs w:val="18"/>
          <w:color w:val="auto"/>
        </w:rPr>
        <w:t>. The BioNTech boards considered their and the BioNTech management team’s knowledge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financial condition, earnings, and prospects of CureVac, taking into account the results of BioNTech’s due diligence review of CureVac, as well as their knowledge of the current and prospective environment in which BioNTech and CureVac operate, including economic and market conditions.</w:t>
      </w:r>
    </w:p>
    <w:p>
      <w:pPr>
        <w:spacing w:after="0" w:line="85"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Consummation</w:t>
      </w:r>
      <w:r>
        <w:rPr>
          <w:rFonts w:ascii="Times New Roman" w:cs="Times New Roman" w:eastAsia="Times New Roman" w:hAnsi="Times New Roman"/>
          <w:sz w:val="18"/>
          <w:szCs w:val="18"/>
          <w:color w:val="auto"/>
        </w:rPr>
        <w:t>. The BioNTech boards considered both parties’ commitment to complete the transactions as reflected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obligations under the terms of the Purchase Agreement.</w:t>
      </w:r>
    </w:p>
    <w:p>
      <w:pPr>
        <w:spacing w:after="0" w:line="6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of the Purchase Agreement</w:t>
      </w:r>
      <w:r>
        <w:rPr>
          <w:rFonts w:ascii="Times New Roman" w:cs="Times New Roman" w:eastAsia="Times New Roman" w:hAnsi="Times New Roman"/>
          <w:sz w:val="18"/>
          <w:szCs w:val="18"/>
          <w:color w:val="auto"/>
        </w:rPr>
        <w:t>. The BioNTech boards considered the various terms and provisions of the Purchase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CureVac’s obligation to make a payment of $43.75 million to BioNTech under certain circumstances, including in the event that CureVac were to terminate the Purchase Agreement in order to accept a superior proposal, (ii) the conditions to the parties’ obligations to complete the transactions and the limited ability of either party to terminate, and (iii) the ability of BioNTech to enforce the terms of the Purchase Agreement.</w:t>
      </w:r>
    </w:p>
    <w:p>
      <w:pPr>
        <w:spacing w:after="0" w:line="18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BioNTech boards also considered a variety of risks and other potentially negative factors concerning the Purchase Agreement, the offer, and the other transactions, including the following material factors:</w:t>
      </w:r>
    </w:p>
    <w:p>
      <w:pPr>
        <w:spacing w:after="0" w:line="67" w:lineRule="exact"/>
        <w:rPr>
          <w:sz w:val="20"/>
          <w:szCs w:val="20"/>
          <w:color w:val="auto"/>
        </w:rPr>
      </w:pPr>
    </w:p>
    <w:p>
      <w:pPr>
        <w:ind w:left="1080" w:right="7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management focus and resources from operational matters and other strategic opportunities while working to implement the offer and related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notwithstanding the likelihood of the offer and related transactions being completed, the transactions may not be completed, or that completion may be unduly delayed, including the effect of the pendency of the transactions and the effect such failure to be completed may have on the trading price of BioNTech ADSs and BioNTech’s operating results, particularly in light of the costs incurred in connection with the transactions;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under the terms of the Purchase Agreement, BioNTech must pay to CureVac a termination fee of $62.5 million if the Purchase Agreement is terminated under certain limited circumstances relating to not receiving antitrust approvals;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under the terms of the Purchase Agreement, CureVac has the ability, under certain specified circumstances, to consider an alternative acquisition proposal if the CureVac boards determine it constitutes or would reasonably be expected to lead to a superior proposal and the CureVac boards have the ability, under certain specified circumstances, to make a change in recommendation and to terminate the Purchase Agreement following such change in recommendation in order to enter into an agreement with respect to a superior proposal upon payment of a $43.75 million termination fee to BioNTech;</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strategic and financial benefits of the offer and related transactions may not be realized;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benefits to the holders of the combined company’s securities expected to result from the offer and related transactions might not be fully realized or not realized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other potential difficulties in integrating the two companies and their respective operations;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offer and related transactions, including the transaction expenses and the costs of integrating the businesses of BioNTech and CureVac;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described in the sections “Risk Factors” beginning on page 28 and “Cautionary Statement Concerning Forward-Looking Statements” beginning on page 38.</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This discussion of the foregoing information and material factors considered by the BioNTech boards in reaching their conclusions and recommendations is not intended to be exhaustive and is not provided in any specific order or ranking. In view of the wide variety of factors considered by the BioNTech boards in evaluating the Purchase Agreement and the transactions, including the issuance of BioNTech ADSs in connection with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 and other transactions, and the complexity of these matters, the BioNTech boards did not find it practicable to, and did not attempt to, quantify, rank, or otherwise assign relative weight to those factors. In addition, different members of the BioNTech boards may have given different weight to different factors. The BioNTech boards did not reach any specific conclusion with respect to any of the factors considered and instead conducted an overall review of such factors and determined that, in the aggregate, the potential benefits considered outweighed the potential risks or possible negative consequences of approving the Purchase Agreement, the offer, and the other transactions.</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This explanation of the reasoning of the BioNTech boards and all other information presented in this section is forward-looking in nature and, therefore, should be read in light of the factors discussed in the section entitled “Cautionary Statement Concerning Forward-Looking Statements” beginning on page 38.</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CureVac’s Reasons for the Offer and 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Schedule 14D-9 to be filed by CureVac will include a discussion of the reasons for the recommendation of the CureVac boards with respect to the offer (see Item 4(b) “Background of the Purchase Agreement; Reasons for the Recommendation of the Company Boards — Reasons for the Recommendation of the Company Boards”). You are encouraged to read that section in its entirety.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Financial Projections Provided by CureVac to BioNTech</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CureVac does not, as a matter of principle, publicly disclose long-term projections of future financial performance, revenue, earnings, or other results of operations, due to, among other reasons, the inherent uncertainty, unpredictability, and subjectivity of the underlying assumptions and estimates, particularly in the biotechnology sector. However, CureVac shared its management’s best estimates, as at the relevant time, of potential program outcomes and related financial forecasts in connection with BioNTech’s consideration of the transactions. In this regard, CureVac’s management provided to BioNTech certain unaudited prospective financial information regarding three programs:</w:t>
      </w:r>
    </w:p>
    <w:p>
      <w:pPr>
        <w:spacing w:after="0" w:line="208"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addressing uropathogenic </w:t>
      </w:r>
      <w:r>
        <w:rPr>
          <w:rFonts w:ascii="Times New Roman" w:cs="Times New Roman" w:eastAsia="Times New Roman" w:hAnsi="Times New Roman"/>
          <w:sz w:val="18"/>
          <w:szCs w:val="18"/>
          <w:i w:val="1"/>
          <w:iCs w:val="1"/>
          <w:color w:val="auto"/>
        </w:rPr>
        <w:t>Escherichia coli</w:t>
      </w:r>
      <w:r>
        <w:rPr>
          <w:rFonts w:ascii="Times New Roman" w:cs="Times New Roman" w:eastAsia="Times New Roman" w:hAnsi="Times New Roman"/>
          <w:sz w:val="18"/>
          <w:szCs w:val="18"/>
          <w:color w:val="auto"/>
        </w:rPr>
        <w:t xml:space="preserve"> in urinary tract infections, which we refer to as the UPEC projections;</w:t>
      </w:r>
    </w:p>
    <w:p>
      <w:pPr>
        <w:spacing w:after="0" w:line="132"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cancer precision immunotherapy CVGBM for surgically resected glioblastoma, which we refer to as the CVGBM projections;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cancer precision immunotherapy for squamous non-small cell lung cancer, which we refer to as the sqNSCLC projections.</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At the time these projections were provided by CureVac to BioNTech, these programs were preclinical, Phase 1 ready (with no patients enrolled), and preclinical (with an Investigational New Drug application and Clinical Trial Application submitted in the first quarter of 2025),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above, CureVac’s management provided to BioNTech:</w:t>
      </w:r>
    </w:p>
    <w:p>
      <w:pPr>
        <w:spacing w:after="0" w:line="131" w:lineRule="exact"/>
        <w:rPr>
          <w:sz w:val="20"/>
          <w:szCs w:val="20"/>
          <w:color w:val="auto"/>
        </w:rPr>
      </w:pPr>
    </w:p>
    <w:p>
      <w:pPr>
        <w:ind w:left="1080" w:right="2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unaudited prospective financial information regarding the Development and Intellectual Property Agreement between CureVac AG and Tesla Grohmann Automation GmbH, dated November 24, 2015, which we refer to as the Tesla projections and, together with the UPEC projections, the CVGBM projections, and the sqNSCLC projections, as the CureVac projections;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unaudited prospective financial information from a third-party analyst report regarding the Development and License Agreement between CureVac AG and CRISPR Therapeutics AG, dated November 9, 2017, as amended.</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above programs and collaboration arrangements, including the underlying collaboration agreements, can be found in the CureVac SEC filings incorporated by reference into this offer to exchange/prospectus.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Using the above information, together with certain historical financial information as of December 31, 2024 and assumed proceeds from ongoing intellectual property litigation of $832.5 million, CureVac management calculated CureVac’s total assets to be approximately $2.1 billion. Such assumptions with regard to intellectual property litigation were prepared prior to the settlement arrangements. See “The Offer — Recent Developments” beginning on page 63.</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prospective financial information summarized below is included for the purpose of providing certain non-public information that was furnished by CureVac to BioNTech in connection with the transactions, and such information may not be appropriate for other purposes, and is not included to influence the voting or investment decision of any CureVac shareholder or BioNTech shareholder.</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CureVac projections were prepared by CureVac’s management for internal use and strategic planning purposes and were not prepared with a view toward public disclosure, nor were they prepared with a view toward compliance with generally accepted accounting principles (“GAAP”) or IFRS, or the published guidelines of the SEC regarding projections and forward-looking statements or the guidelines established by the American Institute of Certified Public Accountants, as applicable, for preparation and presentation of prospective financial information. The preparation of such projections were a part of a semi-annual internal planning process, which generally utilizes internal resources and, when needed in the judgment of CureVac management, external consultants. The inclusion of the CureVac projections should not be regarded as an indication that such information is predictive of actual future events or results and such information should not be relied upon as such, and readers of this offer to exchange/prospectus are cautioned not to place undue reliance on the CureVac projections. The CureVac projections included in this offer to exchange/prospectus have been prepared by, and are the responsibility of, CureVac’s management.</w:t>
      </w:r>
    </w:p>
    <w:p>
      <w:pPr>
        <w:spacing w:after="0" w:line="18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While presented with numeric specificity, the CureVac projections reflect numerous estimates, variables, and assumptions made by CureVac management in good faith as of the date of preparation, including, but not limited to, assumptions regarding the probability of technical and regulatory success, clinical development timelines, product launch timing, pricing, market size, market growth, market share, competitive landscape, cost structures, and the realization of potential strategic partnerships and collaborations and other matters specific to CureVac’s business that are inherently subjective and uncertain and are beyond the control of CureVac or BioNTech. The CureVac projections do not give effect to the impact of the transactions, the expenses that may be incurred in connection with consummating the transactions, the effect and cost of operating as a combined company, or any business or strategic decisions that may be taken as a result of the transactions.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CureVac projections are inherently forward-looking, are subject to significant business, economic, competitive, regulatory, and other risks and uncertainties, many of which are beyond CureVac’s and BioNTech’s control, and are susceptible to multiple interpretations and periodic revision based on actual experience and business developments. As such, there can be no assurance that the projected results will be realized, and actual results may differ materially from those reflected in the CureVac projections. Accordingly, there can be no assurance that the projected results summarized below will be realized. CureVac’s shareholders are encouraged to review the most recent SEC filings of CureVac and BioNTech for a description of their respective reported and anticipated results of operations and financial condition and capital resources, including in “Operating and Financial Review and Prospects” in their respective Annual Reports on Form 20-F for the year ended December 31, 2024 and Reports on Form 6-K reporting results for the three-month period ended March 31, 2025 and three- and six-month periods ended June 30, 2025, which are incorporated by reference into this offer to exchange/prospectus.</w:t>
      </w:r>
    </w:p>
    <w:p>
      <w:pPr>
        <w:spacing w:after="0" w:line="18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inclusion of the CureVac projections herein should not be regarded as an indication that CureVac, BioNTech, or their respective affiliates, officers, directors, advisors, or other representatives considered or consider the projections to be necessarily predictive of actual future events, and this information should not be relied upon as such. While presented with numerical specificity, the CureVac projections were based on numerous variables and assumptions known to CureVac at the time of preparation. These variables and assumptions are inherently uncertain and many are beyond the control of CureVac or BioNTech. Such</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uncertainties include, but are not limited to (i) litigation risks (for example, the outcome of jury trials in the United States, the appeals process, associated costs and time until damages (if any) may be paid), (ii) the geo-political environment in the United States, Europe, and other jurisdictions, and (iii) the development of products by collaborators and competitors.</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EXCEPT AS REQUIRED BY APPLICABLE SECURITIES LAWS, NEITHER CUREVAC NOR BIONTECH HAS UPDATED OR OTHERWISE REVISED OR RECONCILED THE CUREVAC PROJECTIONS TO REFLECT CIRCUMSTANCES EXISTING AFTER THE DATE THEY WERE GENERATED OR TO REFLECT THE OCCURRENCE OF FUTURE EVENTS, EVEN IN THE EVENT THAT ANY OR ALL OF THE ASSUMPTIONS UNDERLYING THE CUREVAC PROJECTIONS ARE NO LONGER APPROPRIATE, AND NEITHER INTENDS TO. SINCE THE CUREVAC PROJECTIONS COVER MULTIPLE YEARS, SUCH INFORMATION BY ITS NATURE BECOMES LESS PREDICTIVE WITH EACH SUCCESSIVE YEAR.</w:t>
      </w:r>
    </w:p>
    <w:p>
      <w:pPr>
        <w:spacing w:after="0" w:line="18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CureVac has not made and makes no representation to BioNTech or any CureVac shareholder or BioNTech shareholder, in the Purchase Agreement or otherwise, concerning the CureVac projections or regarding CureVac’s ultimate performance compared to the CureVac projections or that the projected results will be achieved. In light of the foregoing factors and the uncertainties inherent in the CureVac projections, BioNTech encourages all CureVac shareholders and BioNTech shareholders not to place undue reliance on such information and to review CureVac’s and BioNTech’s most recent SEC filings for a description of their respective reported financial results.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Neither CureVac’s nor BioNTech’s independent registered public accounting firms, nor any other independent accountants, have audited, reviewed, examined, compiled, or performed any procedures with respect to the CureVac projections, nor have they expressed any opinion or any other form of assurance on such information or its achievability, and they (and their respective representatives) assume no responsibility for, and disclaim any association with, the CureVac projections. The report of (i) KPMG AG Wirtschaftsprüfungsgesellschaft contained in CureVac’s Annual Report on Form 20-F for the year ended December 31, 2024, which is incorporated by reference into this offer to exchange/prospectus, (ii) EY GmbH &amp; Co. KG Wirtschaftsprüfungsgesellschaft contained in CureVac’s Annual Report on Form 20-F for the year ended December 31, 2024, which is incorporated by reference into this offer to exchange/prospectus, and (iii) EY GmbH &amp; Co. KG Wirtschaftsprüfungsgesellschaft contained in BioNTech’s Annual Report on Form 20-F for the year ended December 31, 2024, which is incorporated by reference into this offer to exchange/prospectus, each relates to historical financial information. They do not extend to the CureVac projections and should not be read to do so. The CureVac projections were prepared by, and are the responsibility of, CureVac management. The CureVac projections do not take into account any circumstances, transactions, or events occurring after the date on which they were prepared. Some or all of the assumptions underlying the CureVac projections set forth below may have changed since the date the CureVac projections were prepared.</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of CureVac Projections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CureVac projections were prepared using several assumptions, including the following assumptions that CureVac management believed to be material, appropriate, and reasonable: the development and commercialization of mRNA-based oncology and infectious disease product candidates, anticipated strategic partnerships, certain market conditions including the competitive landscape, and potential litigation outcomes (as a source of potential project funding). The CureVac projections are presented on a risk-adjusted basis, reflecting CureVac’s management’s estimates of the probability of technical and regulatory success for the identified programs and assets pursuant to certain industry standards and relevant studies. The CureVac projections were based on CureVac’s latest estimates at the time the CureVac projections were prepared for various scenarios.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UPEC Projections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the UPEC projections for fiscal years 2026 through 2043. The UPEC projections assume that Phase 1 studies occur in 2026 and 2027, Phase 2 studies occur in 2028 through 2030, Phase 3 studies occur in 2031 through 2033, and a New Drug Application is submitted in 2034.</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2026P</w:t>
            </w:r>
          </w:p>
        </w:tc>
        <w:tc>
          <w:tcPr>
            <w:tcW w:w="6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2027P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2028P</w:t>
            </w:r>
          </w:p>
        </w:tc>
        <w:tc>
          <w:tcPr>
            <w:tcW w:w="66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2029P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2030P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2031P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2032P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2033P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2034P</w:t>
            </w:r>
          </w:p>
        </w:tc>
        <w:tc>
          <w:tcPr>
            <w:tcW w:w="12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35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2"/>
        </w:trPr>
        <w:tc>
          <w:tcPr>
            <w:tcW w:w="5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42"/>
        </w:trPr>
        <w:tc>
          <w:tcPr>
            <w:tcW w:w="5200" w:type="dxa"/>
            <w:vAlign w:val="bottom"/>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2035P</w:t>
            </w:r>
          </w:p>
        </w:tc>
        <w:tc>
          <w:tcPr>
            <w:tcW w:w="6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2036P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2037P</w:t>
            </w:r>
          </w:p>
        </w:tc>
        <w:tc>
          <w:tcPr>
            <w:tcW w:w="66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2038P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2039P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2040P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2041P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2042P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2043P</w:t>
            </w:r>
          </w:p>
        </w:tc>
        <w:tc>
          <w:tcPr>
            <w:tcW w:w="12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324</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702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1,141</w:t>
            </w:r>
          </w:p>
        </w:tc>
        <w:tc>
          <w:tcPr>
            <w:tcW w:w="6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1,650</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2,235</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2,423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2,626</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2,847</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155</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337</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548</w:t>
            </w:r>
          </w:p>
        </w:tc>
        <w:tc>
          <w:tcPr>
            <w:tcW w:w="6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792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1,073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1,163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1,261</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1,367</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1,481</w:t>
            </w:r>
          </w:p>
        </w:tc>
      </w:tr>
      <w:tr>
        <w:trPr>
          <w:trHeight w:val="35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383</w:t>
            </w: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554</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751</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814</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882</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957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r>
    </w:tbl>
    <w:p>
      <w:pPr>
        <w:spacing w:after="0" w:line="82"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calculates revenue in accordance with IFRS.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a non-IFRS and non-GAAP financial measure. See “Non-IFRS and Non-GAAP Financial Measures” below.</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a non-IFRS and non-GAAP financial measure. See “Non-IFRS and Non-GAAP Financial Measures” below.</w:t>
      </w:r>
    </w:p>
    <w:p>
      <w:pPr>
        <w:spacing w:after="0" w:line="20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CVGBM Projections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the CVGBM projections for fiscal years 2025 through 2044. The CVGBM projections assume that Phase 1 studies conclude in 2025, Phase 2 studies occur in 2026 through 2029, Phase 3 studies occur in 2030 through 2032, and a New Drug Application is submitted in 2033.</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2026P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2027P</w:t>
            </w: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2028P</w:t>
            </w:r>
          </w:p>
        </w:tc>
        <w:tc>
          <w:tcPr>
            <w:tcW w:w="6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2029P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2030P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2031P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2032P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2033P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2034P</w:t>
            </w:r>
          </w:p>
        </w:tc>
        <w:tc>
          <w:tcPr>
            <w:tcW w:w="12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r>
        <w:trPr>
          <w:trHeight w:val="359"/>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r>
        <w:trPr>
          <w:trHeight w:val="222"/>
        </w:trPr>
        <w:tc>
          <w:tcPr>
            <w:tcW w:w="4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42"/>
        </w:trPr>
        <w:tc>
          <w:tcPr>
            <w:tcW w:w="4460" w:type="dxa"/>
            <w:vAlign w:val="bottom"/>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2035P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2036P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2037P</w:t>
            </w: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2038P</w:t>
            </w:r>
          </w:p>
        </w:tc>
        <w:tc>
          <w:tcPr>
            <w:tcW w:w="6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2039P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2040P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2041P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2042P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2043P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2044P</w:t>
            </w:r>
          </w:p>
        </w:tc>
        <w:tc>
          <w:tcPr>
            <w:tcW w:w="12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668</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1,071</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1,525</w:t>
            </w: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2,035</w:t>
            </w: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2,174</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2,322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2,480</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2,648</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2,828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366</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720</w:t>
            </w: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1,118</w:t>
            </w: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1,226</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1,342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1,465</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1,596</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1,737</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r>
      <w:tr>
        <w:trPr>
          <w:trHeight w:val="359"/>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256</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504</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783</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858</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939</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1,025</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1,117</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1,216</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calculates revenue in accordance with IFRS.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a non-IFRS and non-GAAP financial measure. See “Non-IFRS and Non-GAAP Financial Measures” below.</w:t>
      </w:r>
    </w:p>
    <w:p>
      <w:pPr>
        <w:spacing w:after="0" w:line="27" w:lineRule="exact"/>
        <w:rPr>
          <w:rFonts w:ascii="Times New Roman" w:cs="Times New Roman" w:eastAsia="Times New Roman" w:hAnsi="Times New Roman"/>
          <w:sz w:val="18"/>
          <w:szCs w:val="18"/>
          <w:color w:val="auto"/>
        </w:rPr>
      </w:pPr>
    </w:p>
    <w:p>
      <w:pPr>
        <w:ind w:left="560" w:right="760" w:hanging="444"/>
        <w:spacing w:after="0" w:line="427" w:lineRule="auto"/>
        <w:tabs>
          <w:tab w:leader="none" w:pos="5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Free Cash Flow is a non-IFRS and non-GAAP financial measure. See “Non-IFRS and Non-GAAP Financial Measures” below. </w:t>
      </w:r>
      <w:r>
        <w:rPr>
          <w:rFonts w:ascii="Times New Roman" w:cs="Times New Roman" w:eastAsia="Times New Roman" w:hAnsi="Times New Roman"/>
          <w:sz w:val="18"/>
          <w:szCs w:val="18"/>
          <w:b w:val="1"/>
          <w:bCs w:val="1"/>
          <w:i w:val="1"/>
          <w:iCs w:val="1"/>
          <w:color w:val="auto"/>
        </w:rPr>
        <w:t>sqNSCLC Projections</w:t>
      </w:r>
    </w:p>
    <w:p>
      <w:pPr>
        <w:spacing w:after="0" w:line="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the sqNSCLC projections for fiscal years 2026 through 2045. The sqNSCLC projections assume that Phase 1 studies occur in 2026 and 2027, Phase 2 studies occur in 2028 through 2030, Phase 3 studies occur in 2031 through 2033, and a New Drug Application is submitted in 2034.</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6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2026P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2027P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2028P</w:t>
            </w:r>
          </w:p>
        </w:tc>
        <w:tc>
          <w:tcPr>
            <w:tcW w:w="6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2029P</w:t>
            </w: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2030P</w:t>
            </w:r>
          </w:p>
        </w:tc>
        <w:tc>
          <w:tcPr>
            <w:tcW w:w="7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2031P</w:t>
            </w: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2032P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2033P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2034P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2035P</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35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222"/>
        </w:trPr>
        <w:tc>
          <w:tcPr>
            <w:tcW w:w="43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42"/>
        </w:trPr>
        <w:tc>
          <w:tcPr>
            <w:tcW w:w="4360" w:type="dxa"/>
            <w:vAlign w:val="bottom"/>
          </w:tcPr>
          <w:p>
            <w:pPr>
              <w:spacing w:after="0"/>
              <w:rPr>
                <w:sz w:val="12"/>
                <w:szCs w:val="12"/>
                <w:color w:val="auto"/>
              </w:rPr>
            </w:pPr>
          </w:p>
        </w:tc>
        <w:tc>
          <w:tcPr>
            <w:tcW w:w="6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2036P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2037P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2038P</w:t>
            </w:r>
          </w:p>
        </w:tc>
        <w:tc>
          <w:tcPr>
            <w:tcW w:w="6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2039P</w:t>
            </w:r>
          </w:p>
        </w:tc>
        <w:tc>
          <w:tcPr>
            <w:tcW w:w="6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2040P</w:t>
            </w:r>
          </w:p>
        </w:tc>
        <w:tc>
          <w:tcPr>
            <w:tcW w:w="7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2041P</w:t>
            </w: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2042P</w:t>
            </w: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2043P</w:t>
            </w: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2044P</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2045P</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(1)</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1,043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1,655</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2,335</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3,088</w:t>
            </w: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3,268</w:t>
            </w:r>
          </w:p>
        </w:tc>
        <w:tc>
          <w:tcPr>
            <w:tcW w:w="7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3,457</w:t>
            </w: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8"/>
              </w:rPr>
              <w:t>3,658</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3,870</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4,094</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&amp; Development Expense</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w:t>
            </w:r>
            <w:r>
              <w:rPr>
                <w:rFonts w:ascii="Times New Roman" w:cs="Times New Roman" w:eastAsia="Times New Roman" w:hAnsi="Times New Roman"/>
                <w:sz w:val="25"/>
                <w:szCs w:val="25"/>
                <w:b w:val="1"/>
                <w:bCs w:val="1"/>
                <w:color w:val="auto"/>
                <w:vertAlign w:val="superscript"/>
              </w:rPr>
              <w:t>(2)</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74</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552</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1,082</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1,670</w:t>
            </w:r>
          </w:p>
        </w:tc>
        <w:tc>
          <w:tcPr>
            <w:tcW w:w="6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1,809</w:t>
            </w:r>
          </w:p>
        </w:tc>
        <w:tc>
          <w:tcPr>
            <w:tcW w:w="7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1,957</w:t>
            </w:r>
          </w:p>
        </w:tc>
        <w:tc>
          <w:tcPr>
            <w:tcW w:w="5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8"/>
              </w:rPr>
              <w:t>2,113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2,279</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2,454</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2,639</w:t>
            </w:r>
          </w:p>
        </w:tc>
      </w:tr>
      <w:tr>
        <w:trPr>
          <w:trHeight w:val="35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6"/>
                <w:szCs w:val="26"/>
                <w:b w:val="1"/>
                <w:bCs w:val="1"/>
                <w:color w:val="auto"/>
                <w:vertAlign w:val="superscript"/>
              </w:rPr>
              <w:t>(3)</w:t>
            </w: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386</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757</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1,169</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1,266</w:t>
            </w: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1,370</w:t>
            </w: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8"/>
              </w:rPr>
              <w:t>1,479</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1,595</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1,718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calculates revenue in accordance with IFRS.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a non-IFRS and non-GAAP financial measure. See “Non-IFRS and Non-GAAP Financial Measures” below.</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a non-IFRS and non-GAAP financial measure. See “Non-IFRS and Non-GAAP Financial Measures” below.</w:t>
      </w:r>
    </w:p>
    <w:p>
      <w:pPr>
        <w:spacing w:after="0" w:line="20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Tesla Projections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a summary of the Tesla projections for fiscal years 2025 through 2035. The below is subject to certain assumptions, including 100 new customers per year and a 30% tax rate.</w:t>
      </w:r>
    </w:p>
    <w:tbl>
      <w:tblPr>
        <w:tblLayout w:type="fixed"/>
        <w:tblInd w:w="12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6"/>
        </w:trPr>
        <w:tc>
          <w:tcPr>
            <w:tcW w:w="4500" w:type="dxa"/>
            <w:vAlign w:val="bottom"/>
          </w:tcPr>
          <w:p>
            <w:pPr>
              <w:spacing w:after="0"/>
              <w:rPr>
                <w:sz w:val="11"/>
                <w:szCs w:val="11"/>
                <w:color w:val="auto"/>
              </w:rPr>
            </w:pPr>
          </w:p>
        </w:tc>
        <w:tc>
          <w:tcPr>
            <w:tcW w:w="50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w w:val="98"/>
              </w:rPr>
              <w:t>2025P</w:t>
            </w:r>
          </w:p>
        </w:tc>
        <w:tc>
          <w:tcPr>
            <w:tcW w:w="60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2026P</w:t>
            </w:r>
          </w:p>
        </w:tc>
        <w:tc>
          <w:tcPr>
            <w:tcW w:w="62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2027P</w:t>
            </w:r>
          </w:p>
        </w:tc>
        <w:tc>
          <w:tcPr>
            <w:tcW w:w="5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2028P</w:t>
            </w:r>
          </w:p>
        </w:tc>
        <w:tc>
          <w:tcPr>
            <w:tcW w:w="640" w:type="dxa"/>
            <w:vAlign w:val="bottom"/>
            <w:tcBorders>
              <w:bottom w:val="single" w:sz="8" w:color="auto"/>
            </w:tcBorders>
          </w:tcPr>
          <w:p>
            <w:pPr>
              <w:jc w:val="right"/>
              <w:ind w:right="17"/>
              <w:spacing w:after="0" w:line="136" w:lineRule="exact"/>
              <w:rPr>
                <w:sz w:val="20"/>
                <w:szCs w:val="20"/>
                <w:color w:val="auto"/>
              </w:rPr>
            </w:pPr>
            <w:r>
              <w:rPr>
                <w:rFonts w:ascii="Times New Roman" w:cs="Times New Roman" w:eastAsia="Times New Roman" w:hAnsi="Times New Roman"/>
                <w:sz w:val="14"/>
                <w:szCs w:val="14"/>
                <w:b w:val="1"/>
                <w:bCs w:val="1"/>
                <w:color w:val="auto"/>
              </w:rPr>
              <w:t>2029P</w:t>
            </w:r>
          </w:p>
        </w:tc>
        <w:tc>
          <w:tcPr>
            <w:tcW w:w="660" w:type="dxa"/>
            <w:vAlign w:val="bottom"/>
            <w:tcBorders>
              <w:bottom w:val="single" w:sz="8" w:color="auto"/>
            </w:tcBorders>
          </w:tcPr>
          <w:p>
            <w:pPr>
              <w:jc w:val="right"/>
              <w:ind w:right="75"/>
              <w:spacing w:after="0" w:line="136" w:lineRule="exact"/>
              <w:rPr>
                <w:sz w:val="20"/>
                <w:szCs w:val="20"/>
                <w:color w:val="auto"/>
              </w:rPr>
            </w:pPr>
            <w:r>
              <w:rPr>
                <w:rFonts w:ascii="Times New Roman" w:cs="Times New Roman" w:eastAsia="Times New Roman" w:hAnsi="Times New Roman"/>
                <w:sz w:val="14"/>
                <w:szCs w:val="14"/>
                <w:b w:val="1"/>
                <w:bCs w:val="1"/>
                <w:color w:val="auto"/>
              </w:rPr>
              <w:t>2030P</w:t>
            </w:r>
          </w:p>
        </w:tc>
        <w:tc>
          <w:tcPr>
            <w:tcW w:w="56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2031P</w:t>
            </w:r>
          </w:p>
        </w:tc>
        <w:tc>
          <w:tcPr>
            <w:tcW w:w="62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2032P</w:t>
            </w:r>
          </w:p>
        </w:tc>
        <w:tc>
          <w:tcPr>
            <w:tcW w:w="600" w:type="dxa"/>
            <w:vAlign w:val="bottom"/>
            <w:tcBorders>
              <w:bottom w:val="single" w:sz="8" w:color="auto"/>
            </w:tcBorders>
          </w:tcPr>
          <w:p>
            <w:pPr>
              <w:jc w:val="right"/>
              <w:ind w:right="35"/>
              <w:spacing w:after="0" w:line="136" w:lineRule="exact"/>
              <w:rPr>
                <w:sz w:val="20"/>
                <w:szCs w:val="20"/>
                <w:color w:val="auto"/>
              </w:rPr>
            </w:pPr>
            <w:r>
              <w:rPr>
                <w:rFonts w:ascii="Times New Roman" w:cs="Times New Roman" w:eastAsia="Times New Roman" w:hAnsi="Times New Roman"/>
                <w:sz w:val="14"/>
                <w:szCs w:val="14"/>
                <w:b w:val="1"/>
                <w:bCs w:val="1"/>
                <w:color w:val="auto"/>
              </w:rPr>
              <w:t>2033P</w:t>
            </w:r>
          </w:p>
        </w:tc>
        <w:tc>
          <w:tcPr>
            <w:tcW w:w="5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2034P</w:t>
            </w:r>
          </w:p>
        </w:tc>
        <w:tc>
          <w:tcPr>
            <w:tcW w:w="220" w:type="dxa"/>
            <w:vAlign w:val="bottom"/>
          </w:tcPr>
          <w:p>
            <w:pPr>
              <w:spacing w:after="0"/>
              <w:rPr>
                <w:sz w:val="11"/>
                <w:szCs w:val="11"/>
                <w:color w:val="auto"/>
              </w:rPr>
            </w:pPr>
          </w:p>
        </w:tc>
        <w:tc>
          <w:tcPr>
            <w:tcW w:w="3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8"/>
              </w:rPr>
              <w:t>2035P</w:t>
            </w:r>
          </w:p>
        </w:tc>
        <w:tc>
          <w:tcPr>
            <w:tcW w:w="60" w:type="dxa"/>
            <w:vAlign w:val="bottom"/>
          </w:tcPr>
          <w:p>
            <w:pPr>
              <w:spacing w:after="0"/>
              <w:rPr>
                <w:sz w:val="11"/>
                <w:szCs w:val="11"/>
                <w:color w:val="auto"/>
              </w:rPr>
            </w:pPr>
          </w:p>
        </w:tc>
      </w:tr>
      <w:tr>
        <w:trPr>
          <w:trHeight w:val="142"/>
        </w:trPr>
        <w:tc>
          <w:tcPr>
            <w:tcW w:w="4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Milestone Payments Revenue</w:t>
            </w:r>
            <w:r>
              <w:rPr>
                <w:rFonts w:ascii="Times New Roman" w:cs="Times New Roman" w:eastAsia="Times New Roman" w:hAnsi="Times New Roman"/>
                <w:sz w:val="25"/>
                <w:szCs w:val="25"/>
                <w:b w:val="1"/>
                <w:bCs w:val="1"/>
                <w:color w:val="auto"/>
                <w:vertAlign w:val="superscript"/>
              </w:rPr>
              <w:t>(1)</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Royalties Revenue</w:t>
            </w:r>
            <w:r>
              <w:rPr>
                <w:rFonts w:ascii="Times New Roman" w:cs="Times New Roman" w:eastAsia="Times New Roman" w:hAnsi="Times New Roman"/>
                <w:sz w:val="25"/>
                <w:szCs w:val="25"/>
                <w:b w:val="1"/>
                <w:bCs w:val="1"/>
                <w:color w:val="auto"/>
                <w:vertAlign w:val="superscript"/>
              </w:rPr>
              <w:t>(1)</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4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Free Cash Flow</w:t>
            </w:r>
            <w:r>
              <w:rPr>
                <w:rFonts w:ascii="Times New Roman" w:cs="Times New Roman" w:eastAsia="Times New Roman" w:hAnsi="Times New Roman"/>
                <w:sz w:val="25"/>
                <w:szCs w:val="25"/>
                <w:b w:val="1"/>
                <w:bCs w:val="1"/>
                <w:color w:val="auto"/>
                <w:vertAlign w:val="superscript"/>
              </w:rPr>
              <w:t>(2)</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calculates revenue in accordance with IFRS.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a non-IFRS and non-GAAP financial measure. See “Non-IFRS and Non-GAAP Financial Measures” below.</w:t>
      </w:r>
    </w:p>
    <w:p>
      <w:pPr>
        <w:spacing w:after="0" w:line="20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Non-IFRS and Non-GAAP Financial Measures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CureVac projections as set forth above regarding Adjusted EBIT and Adjusted Free Cash Flow are measures not calculated in accordance with IFRS or GAAP. Such non-IFRS and non-GAAP measures should not be considered a substitute for, or superior to, financial measures determined or calculated in accordance with IFRS or GAAP.</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Adjusted EBIT refers to earnings before interest and taxes. It represents operating results before deduction of interest and taxes and thus serves as a measure of operational performance independent of capital structure and tax influences. Adjusted EBIT is calculated by removing non-recurring, irregular, or non-operational items from IFRS-EBIT reflected in compliant financial filings. Operating expenses include cost of goods sold (COGS), research and development expenses (R&amp;D), product license cost, product launch cost, marketing and sales cost (M&amp;S), selling, general, and administrative expenses (SG&amp;A), royalties, and other operating income.</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Adjusted Free Cash Flow refers to the cash inflow available after deducting operating expenses (adjusted by depreciation and amortization expenses), and customary non-cash expenses such as the changes in net working capital and capital expenditures (Capex). Adjusted Free Cash Flow is calculated by removing non-recurring, irregular, or non-operational items that are typically reflected in compliant financial filings.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quantitative reconciliation is not being provided of the forward-looking financial measures set forth above that are not calculated in accordance with IFRS or GAAP. In accordance with Item 10(e)(1)(i)(B) of Regulation S-K, a quantitative reconciliation of a forward-looking non-IFRS or non-GAAP financial measure is only required to the extent it is available without unreasonable efforts. BioNTech does not currently have sufficient data to accurately estimate the variables and individual adjustments for such reconciliation, including details and sources for the underlying assumptions related to financial forecasts, program outcomes, and/or Adjusted EBIT and Adjusted Free Cash Flow calculations. BioNTech is unable to quantify the probable significance of these items at this time. The adjustments required for any such reconciliation of the forward-looking non-IFRS and non-GAAP financial measures cannot be accurately forecasted by BioNTech, and therefore reconciliations have not been included.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Management of BioNTech and CureVac or New Topco, as applicable, following the Closing of the Offer</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composition of the BioNTech boards will not change as a result of the transactions. During the last five years, no member of the BioNTech boards has been (i) convicted in a criminal proceeding (excluding traffic violations and similar misdemeanors) or (ii)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and will at all times qualify as independent in accordance with the independence standards set forth in the DCGC.</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From the merger effective time through the cancellation, the management board and supervisory board of New Topco will be as agreed between BioNTech and CureVac.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BioNTech’s Supervisory and Management Directors in the Offer</w:t>
      </w:r>
    </w:p>
    <w:p>
      <w:pPr>
        <w:spacing w:after="0" w:line="121"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CureVac’s Supervisory and Management Directors in the Offer</w:t>
      </w:r>
    </w:p>
    <w:p>
      <w:pPr>
        <w:spacing w:after="0" w:line="22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These interests are described in some additional detail below. The Schedule 14D-9 will include more detail and additional discussion of the interests of CureVac’s supervisory and management directors in the offer (see Item 3(a) “Arrangements with Supervisory Board and Management Board Members of the Company”), include quantification thereof. You are encouraged to read that section in its entirety.</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 Bonuses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 and CureVac have agreed that CureVac is permitted to enter into transaction bonus agreements with up to 14 identified individuals providing for an aggregate amount not to exceed $13.8 million, with up to $8,914,700 of that payable to members of CureVac’s management board. With respect to such amount payable to CureVac’s management board, $5,094,700 will be payable following the closing of the offer and $3,820,000 will be subject to adjustments depending on the realization of certain contingent liabilities of CureVac. The transaction bonuses will be settled in restricted stock units of BioNTech.</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Certain members of the CureVac boards hold CureVac PSUs, CureVac RSUs, or CureVac options. The outstanding CureVac PSUs, CureVac RSUs, and CureVac options will be treated as described in “The Offer — Treatment of CureVac Equity Awards” beginning on page 55.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CureVac Share Ownership</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CureVac shares held by each member of the CureVac boards that are outstanding as of October 17, 2025, the last practicable date prior to the commencement of the offer, and not subject to any vesting restrictions. As of October 17, 2025, the members of the CureVac boards beneficially owned, in the aggregate, 395,998 CureVac shares, excluding CureVac shares subject to any vesting restrictions. The table also sets forth the implied value of these CureVac shares, assuming the BioNTech ADS VWAP falls within the collar such that $5.4641 in BioNTech ADSs is delivered per CureVac share. The amounts set forth in the table below do not take into account any accelerated vesting of equity awards (which are described above). No additional CureVac shares were granted to any member of the CureVac boards in contemplation of the transactions.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Implied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Management Board Members</w:t>
            </w:r>
          </w:p>
        </w:tc>
        <w:tc>
          <w:tcPr>
            <w:tcW w:w="2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Zehnder</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79,346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433,554.48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Axel Sven Malkomes</w:t>
            </w:r>
          </w:p>
        </w:tc>
        <w:tc>
          <w:tcPr>
            <w:tcW w:w="3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9,862.70</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Myriam Mendila</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21,766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118,931.60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Malte Greune</w:t>
            </w:r>
          </w:p>
        </w:tc>
        <w:tc>
          <w:tcPr>
            <w:tcW w:w="3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33,549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183,315.09</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Thaminda Ramanayake</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6,401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34,975.70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Supervisory Board Members</w:t>
            </w:r>
          </w:p>
        </w:tc>
        <w:tc>
          <w:tcPr>
            <w:tcW w:w="2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Baron Jean Stéphenne</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40,495</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221,268.73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Mathias Hothum</w:t>
            </w:r>
          </w:p>
        </w:tc>
        <w:tc>
          <w:tcPr>
            <w:tcW w:w="3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124,811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681,979.79</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Craig A. Tooman</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27,793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151,863.73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Debra Barker</w:t>
            </w:r>
          </w:p>
        </w:tc>
        <w:tc>
          <w:tcPr>
            <w:tcW w:w="3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22,686</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123,958.57</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Klaus Schollmeier</w:t>
            </w:r>
          </w:p>
        </w:tc>
        <w:tc>
          <w:tcPr>
            <w:tcW w:w="3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17,597</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96,151.77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Brosnan</w:t>
            </w:r>
          </w:p>
        </w:tc>
        <w:tc>
          <w:tcPr>
            <w:tcW w:w="3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19,749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107,910.51</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395,998</w:t>
            </w:r>
          </w:p>
        </w:tc>
        <w:tc>
          <w:tcPr>
            <w:tcW w:w="3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2,163,772.67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 with CureVac Management Board Members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CureVac will agree with each member of the CureVac management board resigning in connection with the transactions that such members will retain their right to receive, at the closing of the offer, payment by CureVac of severance post-contractual and non-compete compensation in accordance with the terms of the service agreements entered into between CureVac and such individuals as if such service agreement had been terminated by CureVac with effect from the closing of the offer other than for urgent cause, as set out in such service agreement.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BioNTech or its subsidiaries intend to enter into service agreements with the resigning members of the CureVac management board in connection with the closing of the offer.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Post-Closing Employee Benefits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of the Purchase Agreement, BioNTech has agreed to certain matters relating to the treatment of individuals who are employed by CureVac or any of its subsidiaries immediately prior to the closing of the offer and who remain employed by BioNTech or an affiliate as of immediately following the closing of the offer, including with respect to compensation, bonus, and benefits. For a more detailed description of the provisions of the Purchase Agreement relating to such matters, see “The Purchase Agreement — Covenants and Agreements — Employee Matters” beginning on page 112.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Continued Indemnification and Insurance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CureVac supervisory and management directors will be entitled to certain on-going indemnification and coverage under directors’ and officers’ liability insurance policies following the closing of the offer. For a more detailed description of the provisions of the Purchase Agreement relating to such indemnification, see “The Purchase Agreement — Covenants and Agreements — Director and Officer Liability” beginning on page 111.</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aspects of the offer. While BioNTech believes that the following description covers the material terms of the offer, the description may not contain all of the information that is important to CureVac shareholders. BioNTech encourages CureVac shareholders to carefully read this entire offer to exchange/prospectus, including the Purchase Agreement and the other documents attached to this offer to exchange/prospectus and incorporated herein by reference, for a more complete understanding of the offer.</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Consideration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BioNTech will commence an exchange offer for all of the outstanding CureVac shares. In exchange for each CureVac share, the tendering CureVac shareholder will receive a number of BioNTech ADSs equal to the quotient (rounded to five decimal places) obtained by dividing (i) $5.4641 by (ii) the volume-weighted average of the price per BioNTech ADS (rounded to four decimal places)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without interest and less any applicable tax withholding, equal to the product of (i) the fractional BioNTech ADS interest such shareholder otherwise would be entitled to and (ii) the BioNTech ADS VWAP, rounded to the nearest cent.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Sample Calculation of the Offer Consideration</w:t>
      </w:r>
    </w:p>
    <w:p>
      <w:pPr>
        <w:spacing w:after="0" w:line="121"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100" w:type="dxa"/>
            <w:vAlign w:val="bottom"/>
            <w:vMerge w:val="restart"/>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0" w:type="dxa"/>
            <w:vAlign w:val="bottom"/>
          </w:tcPr>
          <w:p>
            <w:pPr>
              <w:jc w:val="center"/>
              <w:ind w:left="898"/>
              <w:spacing w:after="0" w:line="149" w:lineRule="exact"/>
              <w:rPr>
                <w:sz w:val="20"/>
                <w:szCs w:val="20"/>
                <w:color w:val="auto"/>
              </w:rPr>
            </w:pPr>
            <w:r>
              <w:rPr>
                <w:rFonts w:ascii="Times New Roman" w:cs="Times New Roman" w:eastAsia="Times New Roman" w:hAnsi="Times New Roman"/>
                <w:sz w:val="14"/>
                <w:szCs w:val="14"/>
                <w:b w:val="1"/>
                <w:bCs w:val="1"/>
                <w:color w:val="auto"/>
              </w:rPr>
              <w:t>In Lieu of</w:t>
            </w:r>
          </w:p>
        </w:tc>
        <w:tc>
          <w:tcPr>
            <w:tcW w:w="0" w:type="dxa"/>
            <w:vAlign w:val="bottom"/>
          </w:tcPr>
          <w:p>
            <w:pPr>
              <w:spacing w:after="0"/>
              <w:rPr>
                <w:sz w:val="1"/>
                <w:szCs w:val="1"/>
                <w:color w:val="auto"/>
              </w:rPr>
            </w:pPr>
          </w:p>
        </w:tc>
      </w:tr>
      <w:tr>
        <w:trPr>
          <w:trHeight w:val="148"/>
        </w:trPr>
        <w:tc>
          <w:tcPr>
            <w:tcW w:w="2940" w:type="dxa"/>
            <w:vAlign w:val="bottom"/>
            <w:vMerge w:val="restart"/>
          </w:tcPr>
          <w:p>
            <w:pPr>
              <w:jc w:val="center"/>
              <w:ind w:right="1295"/>
              <w:spacing w:after="0"/>
              <w:rPr>
                <w:sz w:val="20"/>
                <w:szCs w:val="20"/>
                <w:color w:val="auto"/>
              </w:rPr>
            </w:pPr>
            <w:r>
              <w:rPr>
                <w:rFonts w:ascii="Times New Roman" w:cs="Times New Roman" w:eastAsia="Times New Roman" w:hAnsi="Times New Roman"/>
                <w:sz w:val="14"/>
                <w:szCs w:val="14"/>
                <w:b w:val="1"/>
                <w:bCs w:val="1"/>
                <w:color w:val="auto"/>
              </w:rPr>
              <w:t>BioNTech ADS</w:t>
            </w:r>
          </w:p>
        </w:tc>
        <w:tc>
          <w:tcPr>
            <w:tcW w:w="310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Ratio (After</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BioNTech</w:t>
            </w:r>
          </w:p>
        </w:tc>
        <w:tc>
          <w:tcPr>
            <w:tcW w:w="1600" w:type="dxa"/>
            <w:vAlign w:val="bottom"/>
          </w:tcPr>
          <w:p>
            <w:pPr>
              <w:jc w:val="center"/>
              <w:ind w:left="878"/>
              <w:spacing w:after="0" w:line="149" w:lineRule="exact"/>
              <w:rPr>
                <w:sz w:val="20"/>
                <w:szCs w:val="20"/>
                <w:color w:val="auto"/>
              </w:rPr>
            </w:pPr>
            <w:r>
              <w:rPr>
                <w:rFonts w:ascii="Times New Roman" w:cs="Times New Roman" w:eastAsia="Times New Roman" w:hAnsi="Times New Roman"/>
                <w:sz w:val="14"/>
                <w:szCs w:val="14"/>
                <w:b w:val="1"/>
                <w:bCs w:val="1"/>
                <w:color w:val="auto"/>
              </w:rPr>
              <w:t>Fractional</w:t>
            </w:r>
          </w:p>
        </w:tc>
        <w:tc>
          <w:tcPr>
            <w:tcW w:w="0" w:type="dxa"/>
            <w:vAlign w:val="bottom"/>
          </w:tcPr>
          <w:p>
            <w:pPr>
              <w:spacing w:after="0"/>
              <w:rPr>
                <w:sz w:val="1"/>
                <w:szCs w:val="1"/>
                <w:color w:val="auto"/>
              </w:rPr>
            </w:pPr>
          </w:p>
        </w:tc>
      </w:tr>
      <w:tr>
        <w:trPr>
          <w:trHeight w:val="148"/>
        </w:trPr>
        <w:tc>
          <w:tcPr>
            <w:tcW w:w="2940" w:type="dxa"/>
            <w:vAlign w:val="bottom"/>
            <w:vMerge w:val="continue"/>
          </w:tcPr>
          <w:p>
            <w:pPr>
              <w:spacing w:after="0"/>
              <w:rPr>
                <w:sz w:val="12"/>
                <w:szCs w:val="12"/>
                <w:color w:val="auto"/>
              </w:rPr>
            </w:pPr>
          </w:p>
        </w:tc>
        <w:tc>
          <w:tcPr>
            <w:tcW w:w="310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Collar</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600" w:type="dxa"/>
            <w:vAlign w:val="bottom"/>
          </w:tcPr>
          <w:p>
            <w:pPr>
              <w:jc w:val="center"/>
              <w:ind w:left="878"/>
              <w:spacing w:after="0" w:line="149" w:lineRule="exact"/>
              <w:rPr>
                <w:sz w:val="20"/>
                <w:szCs w:val="20"/>
                <w:color w:val="auto"/>
              </w:rPr>
            </w:pPr>
            <w:r>
              <w:rPr>
                <w:rFonts w:ascii="Times New Roman" w:cs="Times New Roman" w:eastAsia="Times New Roman" w:hAnsi="Times New Roman"/>
                <w:sz w:val="14"/>
                <w:szCs w:val="14"/>
                <w:b w:val="1"/>
                <w:bCs w:val="1"/>
                <w:color w:val="auto"/>
              </w:rPr>
              <w:t>BioNTech</w:t>
            </w:r>
          </w:p>
        </w:tc>
        <w:tc>
          <w:tcPr>
            <w:tcW w:w="0" w:type="dxa"/>
            <w:vAlign w:val="bottom"/>
          </w:tcPr>
          <w:p>
            <w:pPr>
              <w:spacing w:after="0"/>
              <w:rPr>
                <w:sz w:val="1"/>
                <w:szCs w:val="1"/>
                <w:color w:val="auto"/>
              </w:rPr>
            </w:pPr>
          </w:p>
        </w:tc>
      </w:tr>
      <w:tr>
        <w:trPr>
          <w:trHeight w:val="168"/>
        </w:trPr>
        <w:tc>
          <w:tcPr>
            <w:tcW w:w="2940" w:type="dxa"/>
            <w:vAlign w:val="bottom"/>
          </w:tcPr>
          <w:p>
            <w:pPr>
              <w:jc w:val="center"/>
              <w:ind w:right="1275"/>
              <w:spacing w:after="0"/>
              <w:rPr>
                <w:sz w:val="20"/>
                <w:szCs w:val="20"/>
                <w:color w:val="auto"/>
              </w:rPr>
            </w:pPr>
            <w:r>
              <w:rPr>
                <w:rFonts w:ascii="Times New Roman" w:cs="Times New Roman" w:eastAsia="Times New Roman" w:hAnsi="Times New Roman"/>
                <w:sz w:val="14"/>
                <w:szCs w:val="14"/>
                <w:b w:val="1"/>
                <w:bCs w:val="1"/>
                <w:color w:val="auto"/>
                <w:w w:val="98"/>
              </w:rPr>
              <w:t>VWAP</w:t>
            </w:r>
          </w:p>
        </w:tc>
        <w:tc>
          <w:tcPr>
            <w:tcW w:w="3100" w:type="dxa"/>
            <w:vAlign w:val="bottom"/>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ADS</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rPr>
              <w:t>$80.00 (below collar)</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0.06476x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rPr>
              <w:t>$90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0.06071x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$100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0.05464x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$110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0.04967x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w w:val="99"/>
              </w:rPr>
              <w:t>$106.37</w:t>
            </w:r>
          </w:p>
        </w:tc>
        <w:tc>
          <w:tcPr>
            <w:tcW w:w="0" w:type="dxa"/>
            <w:vAlign w:val="bottom"/>
          </w:tcPr>
          <w:p>
            <w:pPr>
              <w:spacing w:after="0"/>
              <w:rPr>
                <w:sz w:val="1"/>
                <w:szCs w:val="1"/>
                <w:color w:val="auto"/>
              </w:rPr>
            </w:pPr>
          </w:p>
        </w:tc>
      </w:tr>
      <w:tr>
        <w:trPr>
          <w:trHeight w:val="216"/>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$120</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0.04553x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34"/>
        </w:trPr>
        <w:tc>
          <w:tcPr>
            <w:tcW w:w="2940" w:type="dxa"/>
            <w:vAlign w:val="bottom"/>
          </w:tcPr>
          <w:p>
            <w:pPr>
              <w:jc w:val="center"/>
              <w:ind w:right="1295"/>
              <w:spacing w:after="0"/>
              <w:rPr>
                <w:sz w:val="20"/>
                <w:szCs w:val="20"/>
                <w:color w:val="auto"/>
              </w:rPr>
            </w:pPr>
            <w:r>
              <w:rPr>
                <w:rFonts w:ascii="Times New Roman" w:cs="Times New Roman" w:eastAsia="Times New Roman" w:hAnsi="Times New Roman"/>
                <w:sz w:val="18"/>
                <w:szCs w:val="18"/>
                <w:color w:val="auto"/>
                <w:w w:val="99"/>
              </w:rPr>
              <w:t>$130 (above collar)</w:t>
            </w:r>
          </w:p>
        </w:tc>
        <w:tc>
          <w:tcPr>
            <w:tcW w:w="31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0.04318x</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jc w:val="center"/>
              <w:ind w:left="898"/>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For example, BioNTech will announce, by issuing a press release no later than 9:00 a.m. (New York City time) on November 26, 2025, the number of BioNTech ADSs to be received in exchange for each CureVac share if the offer expires at 9:00 a.m. (New York City time) on December 3, 2025.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www.envisionreports.com/CureVacOffer, beginning on October 22, 2025.</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CureVac Equity Awards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CureVac VSOP Awards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CureVac PSUs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CureVac RSUs</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CureVac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Upon commencement of the offer, BioNTech will mail, or cause to be mailed, this offer to exchange/prospectus, together with the letter of transmittal, to all CureVac shareholders, in accordance with Rule 14d-4 under the Exchange Act. If you hold your shares through a broker, dealer, commercial bank, trust company, or other nominee, such person may receive such materials and may relay them to you in accordance with the arrangements governing that relationship.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you to validly tender your CureVac shares pursuant to the offer, prior to the expiration time:</w:t>
      </w:r>
    </w:p>
    <w:p>
      <w:pPr>
        <w:spacing w:after="0" w:line="131" w:lineRule="exact"/>
        <w:rPr>
          <w:sz w:val="20"/>
          <w:szCs w:val="20"/>
          <w:color w:val="auto"/>
        </w:rPr>
      </w:pPr>
    </w:p>
    <w:p>
      <w:pPr>
        <w:ind w:left="1080" w:right="18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and are being tendered by book-entry transfer into an account maintained at DTC, the following must be received by the exchange agent in connection with the offer,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exchange agent and forming a part of a book-entry confirmation, which states that DTC has received an express acknowledgment from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80"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exchange agent will establish an account with respect to the CureVac shares at DTC for purposes of the offer, and any eligible institution that is a participant in DTC may make book-entry delivery of the CureVac shares by causing DTC to transfer such shares into the exchange agent’s account at DTC in accordance with DTC’s procedure for the transfer. Delivery of documents to DTC does not constitute delivery to the exchange agent.</w:t>
      </w:r>
    </w:p>
    <w:p>
      <w:pPr>
        <w:spacing w:after="0" w:line="15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Do not send letters of transmittal to BioNTech or CureVac. Letters of transmittal for CureVac shares should be sent to the exchange agent at an address listed on the letter of transmittal.</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Trustees, executors, administrators, guardians, attorneys-in-fact, officers of corporations, or others acting in a fiduciary or representative capacity who sign a letter of transmittal or any stock powers must indicate the capacity in which they are signing and must submit evidence of their power to act in that capacity unless waived by BioNTech.</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method of delivery of CureVac shares and all other required documents, including delivery through DTC, is at the option and risk of the tendering CureVac shareholder, and delivery will be deemed made only when actually received by the exchange agent. If delivery is by mail, BioNTech recommends registered mail with return receipt requested and properly insured. In all cases, CureVac shareholders should allow sufficient time to ensure timely delivery.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Guaranteed Delivery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 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CureVac shareholders must tender their CureVac shares in accordance with the procedures set forth in this offer to exchange/prospectus. In all cases, BioNTech will exchange shares validly tendered and accepted for exchange pursuant to the offer only after timely receipt by the exchange agent of shares (or timely confirmation of a book-entry transfer of such shares into the exchange agent’s account at DTC as described elsewhere in this offer to exchange/prospectus), a properly completed and duly executed letter of transmittal (or an agent’s message in connection with a book-entry transfer), and any other required documents.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Acceptance for Exchange of CureVac Shares; Delivery of BioNTech ADSs; Capital Increases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terms of, and subject to the conditions to, the offer, including the terms and conditions of any extension or amendment, BioNTech is required to accept for exchange CureVac shares validly tendered and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properly withdrawn promptly following the expiration time (and, in any event, within two business days thereafter). For purposes of the offer, BioNTech will be deemed to have accepted for exchange, and thereby acquired, CureVac shares that are validly tendered in the offer and not validly withdrawn prior to the expiration time as, if, and when BioNTech gives oral or written notice to the exchange agent of BioNTech’s acceptance for exchange of such shares. BioNTech will immediately accept CureVac shares tendered during the subsequent offering period.</w:t>
      </w:r>
    </w:p>
    <w:p>
      <w:pPr>
        <w:spacing w:after="0" w:line="18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the terms of, and subject to the conditions to, the offer, the delivery of consideration for CureVac shares that are accepted for exchange will be made by delivery of the BioNTech ADSs (and the deposit of any cash to be paid in lieu of fractional BioNTech ADS) to the exchange agent, which will act as an agent for CureVac shareholders tendering shares for the purpose of receiving the offer consideration from BioNTech and transmitting payment to such CureVac shareholders whose CureVac shares have been accepted for exchange.</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BioNTech is delayed in its acceptance of, or delivery of consideration for, CureVac shares that are tendered, for any reason, including as described below, then, without prejudice to BioNTech’s rights (but subject to compliance with Rule 14e-1(c) under the Exchange Act (relating to a bidder’s obligation to pay for or return tendered securities promptly after the termination or withdrawal of such bidder’s offer) and the terms of the Purchase Agreement), the exchange agent may, nevertheless, on behalf of BioNTech, retain CureVac shares that are tendered, and such shares may not be withdrawn except to the extent that shareholders tendering such shares are entitled to do so as described below under “The Offer — Withdrawal Rights” or as otherwise contemplated by federal securities laws. You will not receive any interest or other compensation for the period between the date on which you tender your CureVac shares in the offer or the subsequent offering period and the date on which you receive BioNTech ADSs.</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transfer of BioNTech ADSs to tendering CureVac shareholders will only be made after BioNTech’s ordinary shares that will underly the BioNTech ADSs constituting the offer consideration have been validly issued and assigned or transferred to the depositary, after which the BioNTech ADSs will be transferred to the exchange agent, as described below.</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Purchase Agreement, BioNTech must initiate a share capital increase promptly following the acceptance time, but in any event no later than the fifth business day thereafter. BioNTech must then initiate an additional share capital increase promptly following the expiration of the subsequent offering period, but in any event no later than the fifth business day thereafter. Under the Purchase Agreement, BioNTech must use reasonable best efforts to ensure the capital increases become effective as soon as reasonably possible after filing the applicable registration. BioNTech is obligated to deliver BioNTech ADSs and settle the initial offer and subsequent offering period within 10 business days of the effectiveness of the first and second capital increases, respectively.</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Prior to the commencement of the offer, the BioNTech management board (with the consent of the BioNTech supervisory board) resolved in-principle to increase BioNTech’s share capital against contribution in kind with exclusion of preemptive rights (</w:t>
      </w:r>
      <w:r>
        <w:rPr>
          <w:rFonts w:ascii="Times New Roman" w:cs="Times New Roman" w:eastAsia="Times New Roman" w:hAnsi="Times New Roman"/>
          <w:sz w:val="18"/>
          <w:szCs w:val="18"/>
          <w:i w:val="1"/>
          <w:iCs w:val="1"/>
          <w:color w:val="auto"/>
        </w:rPr>
        <w:t>Sachkapitalerhöhung 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Bezugsrechtsausschluss</w:t>
      </w:r>
      <w:r>
        <w:rPr>
          <w:rFonts w:ascii="Times New Roman" w:cs="Times New Roman" w:eastAsia="Times New Roman" w:hAnsi="Times New Roman"/>
          <w:sz w:val="18"/>
          <w:szCs w:val="18"/>
          <w:color w:val="auto"/>
        </w:rPr>
        <w:t>) through the issuance of new BioNTech ordinary shares against contribution of validly tendered CureVac shares, utilizing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capital 2025. To issue a definitive number of BioNTech ordinary shares that will underly the BioNTech ADSs constituting the offer consideration, the BioNTech management board (with the consent of the BioNTech supervisory board) is expected to resolve following (i) the acceptance time and (ii) the expiration of the subsequent offering period to increase BioNTech’s share capital against contribution in kind with exclusion of preemptive rights (</w:t>
      </w:r>
      <w:r>
        <w:rPr>
          <w:rFonts w:ascii="Times New Roman" w:cs="Times New Roman" w:eastAsia="Times New Roman" w:hAnsi="Times New Roman"/>
          <w:sz w:val="18"/>
          <w:szCs w:val="18"/>
          <w:i w:val="1"/>
          <w:iCs w:val="1"/>
          <w:color w:val="auto"/>
        </w:rPr>
        <w:t>Sachkapitalerhöhung mit Bezugsrechtsausschluss</w:t>
      </w:r>
      <w:r>
        <w:rPr>
          <w:rFonts w:ascii="Times New Roman" w:cs="Times New Roman" w:eastAsia="Times New Roman" w:hAnsi="Times New Roman"/>
          <w:sz w:val="18"/>
          <w:szCs w:val="18"/>
          <w:color w:val="auto"/>
        </w:rPr>
        <w:t>) of CureVac shares validly tendered by the end of any such period by the corresponding amount through the issuance of the corresponding number of new BioNTech ordinary shares. The new BioNTech ordinary shares that will underly the BioNTech ADSs constituting the offer consideration will be subscribed by, and issued to, Joh. Berenberg, Gossler &amp; Co. KG, which we refer to as the subscription agent, in trust for the benefit of the CureVac shareholders having validly tendered their CureVac shares by the end of any such period. Such capital increase will be effected by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hanging="4"/>
        <w:spacing w:after="0" w:line="255" w:lineRule="auto"/>
        <w:tabs>
          <w:tab w:leader="none" w:pos="3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subscription agent to execute a subscription certificate (</w:t>
      </w:r>
      <w:r>
        <w:rPr>
          <w:rFonts w:ascii="Times New Roman" w:cs="Times New Roman" w:eastAsia="Times New Roman" w:hAnsi="Times New Roman"/>
          <w:sz w:val="18"/>
          <w:szCs w:val="18"/>
          <w:i w:val="1"/>
          <w:iCs w:val="1"/>
          <w:color w:val="auto"/>
        </w:rPr>
        <w:t>Zeichnungsschein</w:t>
      </w:r>
      <w:r>
        <w:rPr>
          <w:rFonts w:ascii="Times New Roman" w:cs="Times New Roman" w:eastAsia="Times New Roman" w:hAnsi="Times New Roman"/>
          <w:sz w:val="18"/>
          <w:szCs w:val="18"/>
          <w:color w:val="auto"/>
        </w:rPr>
        <w:t>) in respect of the relevant number of shares, (b) seeing to the effectuation of the contribution-in-kind through a transfer by the exchange agent of the relevant tendered CureVac shares to the subscription agent and then by the subscription agent to BioNTech, (c) registering the implementation of such capital increase of BioNTech’s registered capital with BioNTech’s commercial register, which we each refer to as a share capital increase, and (d) issuing the new BioNTech ordinary shares that will underly the BioNTech ADSs constituting the offer consideration to the subscription agent in trust for the benefit of the relevant tendering CureVac shareholders, which we each refer to as a share issuance. Following the share issuances, BioNTech’s share capital may be increased from €248,552,200 by an amount equal to €1.00 per new BioNTech ordinary share required to be issued to permit the delivery of the requisite number of BioNTech ADSs constituting the offer consideration.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subscription certificate (clause (a) above) is expected to be executed by the subscription agent promptly following the acceptance time or, as applicable, the expiration of the subsequent offering period and the transfer of the relevant tendered CureVac shares to the subscription agent and the transfer of all validly tendered CureVac shares by the subscription agent to BioNTech (clause (b) above) is expected to be made on that same day. The filing for the registration of the relevant share capital increase (clause (c) above) will be effected as soon as reasonably practicable thereafter.</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the competent court administering BioNTech’s commercial register is responsible for the processing of BioNTech’s application for registration of the relevant share capital increase and the exact timing of the registration process is therefore outside of BioNTech’s control, there may be delays in the effectiveness of the share capital increases and the creation of the BioNTech ordinary shares that will underly the BioNTech ADSs constituting the offer consideration and, thus, the transfer of the BioNTech ADSs constituting the offer consideration to tendering CureVac shareholders.</w:t>
      </w:r>
    </w:p>
    <w:p>
      <w:pPr>
        <w:spacing w:after="0" w:line="16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Following each share issuance, BioNTech will cause (i) the subscription agent to transfer to the depositary, in trust for the benefit of the relevant tendering CureVac shareholders, the BioNTech ordinary shares that will underly the BioNTech ADSs constituting the offer consideration, (ii) the depositary to issue to the exchange agent the BioNTech ADSs constituting the offer consideration, and (iii) the exchange agent to deliver the BioNTech ADSs constituting the offer consideration to the tendering CureVac shareholders and any cash in lieu of fractional BioNTech ADSs. BioNTech expects that the delivery of BioNTech ADSs to the tendering CureVac shareholders will take approximately 10 business days following the acceptance time or, as applicable, the expiration of the subsequent offering period, but it could be three weeks or more.</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light of the foregoing, BioNTech cannot guarantee the precise timing of delivery of BioNTech ADSs in connection with the offer or the subsequent offering period. BioNTech is delivering the BioNTech ADSs in accordance with the requirements of German law and practice, consistent with Rule 14d-1(d)(2)(iv) under the Exchange Act.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information on the authorized capital 2025, see “Description of BioNTech Capital Stock — Future Changes to the Share Capital” beginning on page 124.</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Tenders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tender of CureVac shares pursuant to any of the procedures described above will constitute your acceptance of the terms and conditions of the offer, as well as your representation and warranty to BioNTech that, among other things, (i) you have the full power and authority to tender, sell, assign, and transfer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tendered shares (and any and all other CureVac shares or other securities issued or issuable in respect of such shares); and (ii) when the same are accepted for exchange, BioNTech will acquire good, marketable, and unencumbered title to such shares, free and clear of all liens, restrictions, charges, and encumbrances, and not subject to any adverse claims. You should carefully review the representations and warranties included in the letter of transmittal, all of which you will be deemed to give upon tendering your CureVac shares.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exchange of CureVac shares validly tendered and accepted for exchange pursuant to the offer will be made only after timely receipt by the exchange agent of (i) the letter of transmittal for the CureVac shares, properly completed and duly executed, with any required signature guarantees, or, in the case of a book-entry transfer through DTC, an agent’s message, and (ii) any other required documents.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Validity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BioNTech will determine questions as to the validity, form, eligibility (including time of receipt), and acceptance for exchange of any tender of CureVac shares, in BioNTech’s sole discretion, and its determination will be final and binding, subject to any judgment of any court of competent jurisdiction. BioNTech reserves the absolute right to reject any and all tenders of CureVac shares that it determines are not in proper form or the acceptance of or exchange for which may, in the opinion of its counsel, be unlawful. BioNTech also reserves the absolute right to waive any defect or irregularity in the tender of any CureVac shares. No tender of CureVac shares is valid until all defects and irregularities in such tender have been cured or waived. None of BioNTech, the exchange agent, the information agent, or any other person is under any duty to give notification of any defects or irregularities in the tender of any CureVac shares or will incur any liability for failure to give any such notification. BioNTech’s interpretation of the terms and conditions of the offer (including the letter of transmittal and instructions thereto) will be final and binding.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of the Offer Period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 day extension period. BioNTech will not be required to extend the offer on more than four occasions if the sole remaining unsatisfied condition to the offer is the minimum condition, and BioNTech will not be required to extend the offer beyond the March 12, 2026, the outside date (which outside date may be extended in accordance with the Purchase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Offering Period</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Post-Offer Reorganization and the New Topco U.S. Tax Election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all conditions are satisfied or waived (including, if applicable, the reduced minimum condition of 75%) and the offer expires then, as promptly as practicable following the expiration of the subsequent offering period,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 who does not participate in the offer, including the subsequent offering period, will receive in the post-offer reorganization the same consideration as such shareholder would have received had it participated in the offer. However, the cancellation consideration will, in principle, be subject to Dutch dividend withholding tax, as set out in more detail below.</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ADSs to enable New Topco to distribute to each holder of New Topco A shares pursuant to the cancellation the requisite number of BioNTech ADSs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As a result of the foregoing, former CureVac shareholders who did not tender in the offer, including the subsequent offering period (and now hold New Topco A shares), will receive BioNTech ADSs (and cash in lieu of fractional BioNTech ADSs) following completion of the cancellation, without interest and subject to applicable Dutch dividend withholding tax.</w:t>
      </w:r>
    </w:p>
    <w:p>
      <w:pPr>
        <w:spacing w:after="0" w:line="19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No Dutch dividend withholding tax is applicable to the offer consideration received in exchange for CureVac shares tendered in the offer, including during the subsequent offering period. However, the cancellation consideration received in the post-offer reorganization will, in principle, be subject to Dutch dividend withholding tax at a rate of 15% if and to the extent the cancellation consideration exceeds the fiscally recognized capital of the New Topco A shares immediately prior to the cancellation effective time.</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fiscally recognized capital of New Topco is, immediately following the merger effective time, equal to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the cancellation consideration per New Topco A share exceeds such fiscally recognized capital of the New Topco A shares immediately prior to the cancellation effective time, the excess will, in principle, be subject to Dutch dividend withholding tax. Because the exchange ratio will only be fixed following the close of trading on Nasdaq on the fifth trading day prior to the scheduled expiration time and the number of BioNTech ADSs issuable in the offer is subject to a collar, the value of the BioNTech ADSs to be received by the CureVac shareholders in the post-offer reorganization, and thus the value of the cancellation consideration to be received by non-tendering CureVac shareholders, is not yet clear. Therefore, it is, as of the date of this offer to exchange/prospectus, not possible to determine the value of the cancellation consideration and thus not possible to determine Dutch dividend withholding tax consequences of the legal downstream merger and the cancellation.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above,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Dutch resident holder, or (ii) a Dutch PE holder.</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such Dutch withholding tax will be for the account of such former CureVac shareholders. The exchange agent will be allowed to sell, or procure the sale of, in one or more transactions, the minimum number of BioNTech ADSs to obtain a sufficient cash amount to remit to the Dutch tax authority the relevant amount of withholding tax and will not be obliged to pay any additional amounts to a holder of New Topco A shares for any Dutch withholding tax effectively deducted from the cancellation consideration. As a result, CureVac shareholders that do not tender their shares in the offer (including the subsequent offering period) may receive a lower after-tax return than those who do.</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Shareholders who are neither a Dutch resident holder nor a Dutch PE holder may be able to reclaim any Dutch dividend withholding tax withheld from their cancellation consideration. Under current administrative practice, where a company incorporated under Dutch law is exclusively considered a tax resident in Germany pursuant to the double tax treaty between Germany and the Netherlands, as is expected for New Topco, the Dutch tax authorities generally require that refund applications be submitted through the designated withholding agent through an objection to the relevant dividend withholding tax return filed by the withholding agent. The dividend withholding tax return must be filed within one month following the cancellation and any objection must be submitted within six weeks of the date of payment. Accordingly, shareholders who may be eligible for a refund have a limited window in which to request that New Topco, as withholding agent, initiate the objection process.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enable New Topco to file a timely objection, a cancellation consideration recipient must submit a written request to New Topco no later than three weeks following the cancellation effective time in which such recipient timely confirms that such recipient (i) is not a resident nor deemed to be resident in the Netherlands for Dutch corporate income tax purposes or Dutch income tax purposes, (ii) does not derive profits from an enterprise, which enterprise is carried on, in whole or in part, through a permanent establishment or a permanent representative in the Netherlands to which its New Topco A shares are attributable, and (iii) is, under Dutch law, the beneficial owner of the cancellation consideration. We refer to such confirmation as the Dutch WHT confirmation. New Topco will only process such requests and submit an objection to the Dutch tax authorities for the purpose of claiming a refund if the Dutch WHT confirmation is provided to New Topco’s sole satisfaction and all required conditions are also satisfied. All costs associated with this process will be borne by the requesting cancellation consideration recipient.</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assurances as to the success of any refund request. In any event, any amounts refunded will be in cash. Therefore, non-tendering CureVac shareholders will not receive the investment benefit, if any, of receiving any BioNTech ADSs sold by the exchange agent as described above to cover any applicable Dutch dividend withholding tax.</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properly withdraw previously tendered shares, CureVac shareholders must instruct the exchange agent to arrange for the withdrawal of such shares by a written or facsimile transmission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CureVac shares tendered during the subsequent offering period may not be withdrawn.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Antitrust Approvals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HSR Act and the rules and regulations promulgated thereunder, the offer may not be completed until BioNTech and CureVac each files a Notification and Report Form with the Federal Trade Commission, which we refer to as the FTC, and the Antitrust Division of the U.S. Department of Justice, which we refer to as the DOJ, and the applicable waiting period has expired or been terminated. The waiting period under the HSR Act expired at 11:59 pm Eastern Time on August 11, 2025.</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before or after consummation of the transactions, notwithstanding the termination or expiration of the waiting period under the HSR Act, the FTC or the DOJ could take such action under U.S. antitrust laws as it deems necessary under the applicable statutes, including seeking to enjoin the completion of the transactions, seeking divestiture of substantial assets of the parties, or requiring the parties to license, or hold separate, assets or to terminate existing relationships and contractual rights. At any time before or after the completion of the transactions, and notwithstanding the termination or expiration of the waiting period under the HSR Act, any U.S. state attorney general could take such action under the antitrust laws as they deem necessary or desirable in the public interest. Such action could include seeking to enjoin the completion of the transactions or seeking divestiture of substantial assets of the parties, or requiring the parties to license, or hold separate, assets or to terminate existing relationships and contractual rights. Private parties may also seek to take legal action under the antitrust laws under certain circumstances.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transactions have, as of October 14, 2025, obtained all relevant non-U.S. antitrust approvals, with full force and effect as of October 15, 2025.</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Regulatory Approvals</w:t>
      </w:r>
    </w:p>
    <w:p>
      <w:pPr>
        <w:spacing w:after="0" w:line="121"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Under the FSR Regulation, the offer may not be completed until the assessment period of 25 working days after receipt of BioNTech’s complete notification by the EU Commission has lapsed and the EU Commission has not initiated an in-depth investigation. BioNTech submitted notification on September 5, 2025, so that the assessment period of 25 working days expired on October 10, 2025. The EU Commission considers, on the basis of the information available to it, that there are insufficient indications to initiate an in-depth investigation and has, therefore, closed its preliminary review.</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Consequently, the offer condition of the lapse of the assessment period or clearance by the EU Commission under the FSR Regulation was fulfilled on that day.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58" w:lineRule="exact"/>
        <w:rPr>
          <w:sz w:val="20"/>
          <w:szCs w:val="20"/>
          <w:color w:val="auto"/>
        </w:rPr>
      </w:pPr>
    </w:p>
    <w:p>
      <w:pPr>
        <w:jc w:val="right"/>
        <w:ind w:right="9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jc w:val="right"/>
        <w:ind w:right="9340"/>
        <w:spacing w:after="0"/>
        <w:rPr>
          <w:sz w:val="20"/>
          <w:szCs w:val="20"/>
          <w:color w:val="auto"/>
        </w:rPr>
      </w:pPr>
      <w:r>
        <w:rPr>
          <w:rFonts w:ascii="Times New Roman" w:cs="Times New Roman" w:eastAsia="Times New Roman" w:hAnsi="Times New Roman"/>
          <w:sz w:val="18"/>
          <w:szCs w:val="18"/>
          <w:b w:val="1"/>
          <w:bCs w:val="1"/>
          <w:i w:val="1"/>
          <w:iCs w:val="1"/>
          <w:color w:val="auto"/>
        </w:rPr>
        <w:t>GSK Settlement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previously disclosed, the BioNTech parties were party to disputes with the CureVac parties and GSK involving intellectual property relating to BioNTech’s and Pfizer’s COVID-19 vaccines. We refer to the BioNTech parties, the CureVac parties, GSK, and Pfizer collectively as the litigation parties. On August 7, 2025, the litigation parties entered into the settlement arrangements to resolve the pending patent litigation among the BioNTech parties, the CureVac parties, and Pfizer in the United States, and set a framework for resolving patent litigation and allegations of patent infringement among the BioNTech parties, the CureVac parties, and Pfizer outside the United States (subject to the closing of the offer).</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arrangements, the pending patent litigation among the BioNTech parties, the CureVac parties, and Pfizer in the United States, including all claims relating to alleged infringement of CureVac patents against the BioNTech parties and Pfizer in the United States prior to January 1, 2025, was dismissed. To effectuate the dismissal, the litigation parties filed a Stipulation and Order with the United States District Court for the Eastern District of Virginia dismissing with prejudice the CureVac parties’ action for patent infringement relating to certain CureVac patents (Civil Action No 2:23-cv-222). Additionally, BioNTech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which we refer to as the licensed products.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settlement arrangements, BioNTech agreed to pay (or cause to be paid) (i) $370 million to GSK within five days after the entry of the dismissal order and (ii) $370 million to CureVac within five days of the earlier to occur of (a) the termination of the Purchase Agreement and (b) the closing of the offer. BioNTech will pay a one percent royalty on U.S. sales of licensed products to each of GSK and CureVac beginning with effect as of January 1, 2025. Of the $370 million payable to GSK, $320 million will be in cash. The remainder is attributed to the value of an amendment to GSK’s existing agreement with CureVac relating to mRNA influenza, COVID-19, and influenza/COVID-19 combination products, which includes certain reductions in royalties to be paid by GSK.</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upon and subject to the closing of the offer, (i) the patent litigation between CureVac and BioNTech outside of the United States will be dismissed, and all claims released; (ii) BioNTech will receive a non-exclusive license with a right to sublicense for the manufacture, use, sale, offer for sale, and importing of licensed products worldwide; and (iii) BioNTech will pay $130 million to GSK within five days of the later to occur of (a) the entry of a withdrawal of actions by CureVac against BioNTech and (b) January 1, 2026. BioNTech will pay a one percent royalty on sales of licensed products outside of the United States to each 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Subject to the closing of the offer, Pfizer has agreed to reimburse BioNTech for $80 million and half of claimed royalties payable to GSK from January 1, 2025 onwards on sales of mRNA-based COVID-19 products.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BioNTech’s agreement to the settlement arrangements does not in any way constitute an admission of liability with respect to the disputes covered thereby, which BioNTech expressly denies, and the settlement arrangements shall not be taken as or construed to be an admission by BioNTech as evidence supporting any such allegation, any matter of fact or law, any violation of law, or any other liability whatsoever.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Autogene Cevumeran Clinical Program in Adjuvant Colorectal Cancer</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At the first pre-specified interim analysis of the ongoing BNT122-01 Phase 2 clinical trial (NCT04486378) evaluating autogene cevumeran (BNT122/RO7198457), an individualized neoantigen specific immunotherapy candidate, for the adjuvant treatment of patients with ctDNA-positive, resected Stage II (high risk) and Stage III colorectal cancer, the futility boundary has been crossed.</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clinical trial is evaluating the efficacy of autogene cevumeran compared to watchful waiting, the current standard of care for these high-risk patients, with the aim to investigate whether an individualized mRNA cancer immunotherapy can prevent relapses after primary treatment of surgical resection of the tumor and completion of adjuvant chemotherapy. The primary endpoint for the trial is disease-free survival (DFS), which is an event-driven endpoint. Secondary objectives include relapse-free survival (RFS), overall survival (OS), and safety.</w:t>
      </w:r>
    </w:p>
    <w:p>
      <w:pPr>
        <w:spacing w:after="0" w:line="18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interim analysis was reviewed by an independent Data and Safety Monitoring Board, which we refer to as the DSMB, which is responsible for overseeing the safety and integrity of the trial. The DSMB considered autogene cevumeran to be generally well tolerated with no new safety signals identified, and also indicated that the data is not yet mature enough to draw reliable conclusions about efficacy, with a median follow-up time for participants at the time of the analysis was approximately nine months, which is insufficient to evaluate the trial’s primary endpoint. This assessment is consistent with recently published data from a study published in Nature (Nakamura Y, et al. Nature Medicine volume 30, pages 3272–3283 (2024)), which showed that a majority of patients with ctDNA-positive colorectal cancer experience disease recurrence within 24 months after surgery.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because the futility boundary was crossed, the DSMB was bound by its charter to make a non-binding recommendation to terminate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study.</w:t>
      </w:r>
    </w:p>
    <w:p>
      <w:pPr>
        <w:spacing w:after="0" w:line="2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Based on this assessment that the data are not yet mature enough to draw reliable conclusions about efficacy, BioNTech has determined to continue the trial in accordance with the protocol. The sponsor will remain masked, and interim data will not be disclosed at this time ensuring the integrity of the ongoing trial and allowing for a comprehensive and mature assessment of the treatment’s efficacy at the final analysis of the trial. The DSMB had no objections with the continuation of the study in the absence of safety concerns.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Alnylam Litigation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the BioNTech parties, as well as Pfizer and Pharmacia &amp; Upjohn Co. LLC, which we refer to together as the Pfizer parties, were party to certain patent litigation with Alnylam. On July 30, 2025, the court entered final judgment of noninfringement of all asserted claims in that matter in favor of the BioNTech parties and the Pfizer parties. On August 29, 2025, Alnylam, the BioNTech parties, and the Pfizer parties entered into the Alnylam Settlement Agreement. Pursuant to the Alnylam Settlement Agreement, Alnylam agreed not to appeal the final judgment and the BioNTech parties and Pfizer parties agreed not to seek attorneys’ fees or costs. The parties further agreed to certain mutual releases and covenants not to sue.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Genevant Arbitration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September 2025, Genevant initiated an arbitration against BioNTech alleging that BioNTech breached the License Agreement by (i) practicing Genevant’s technology for purposes related to products outside the License Agreement and outside prescribed fields of use to research, develop, manufacture, and commercialize our COVID-19 vaccine, (ii) enabling a third party to wrongfully practice Genevant’s technology for purposes outside the scope of the License Agreement to develop, manufacture, and commercialize Comirnaty, and (iii) using Genevant’s confidential information to develop, manufacture, and commercialize Comirnaty and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alleged wrongful disclosure to third parties for purposes unrelated to the License Agreement. Genevant seeks certain declaratory and injunctive relief as well as unspecified monetary damages. The proceeding is currently pending.</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BioNTech believes it has strong defenses against the allegations claimed and intends to vigorously defend itself in the arbitration. However, BioNTech’s analysis of Genevant’s claims is ongoing, and BioNTech believes the outcome of the arbitration remains substantially uncertain. Taking into account discussions with its external lawyers, BioNTech does not consider the probability of an outflow of resources to be sufficient to recognize a provision. In BioNTech’s opinion, these matters constitute contingent liabilities. However, it is currently impractical for BioNTech to estimate with sufficient reliability the respective contingent liabilities.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acquisition will be accounted for in accordance with IFRS as issued by the IASB and in particular, with IFRS 3, under which the transaction qualifies as a business combination, since the acquisition of CureVac by BioNTech fulfills the definition of the acquisition of a business. On the date of the acquisition, the identifiable assets acquired and liabilities assumed of CureVac will be recorded by BioNTech at their respective acquisition-date fair values.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BioNTech has retained Georgeson LLC as the information agent in connection with the offer and the post-offer reorganization. The information agent may contact holders of shares by mail, email, telephone, facsimile, and personal interview and may request brokers, dealers, and other nominee stockholders to forward material relating to the offer and the post-offer reorganization to beneficial owners of CureVac shares. BioNTech will pay the information agent reasonable and customary compensation for these services in addition to reimbursing the information agent for its reasonable out-of-pocket expenses. BioNTech agreed to indemnify the information agent against certain liabilities and expenses, including certain liabilities under the U.S. federal securities laws.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BioNTech has retained Computershare Trust Company, N.A. as exchange agent in connection with the offer and the post-offer reorganization. BioNTech will pay the exchange agent reasonable and customary compensation for its services in connection with the offer and the post-offer reorganization, will reimburse the exchange agent for its reasonable out-of-pocket expenses and will indemnify the exchange agent against certain liabilities and expenses, including certain liabilities under the U.S. federal securities laws. BioNTech will reimburse brokers, dealers, commercial banks, and trust companies and other nominees, upon request, for customary clerical and mailing expenses incurred by them in forwarding offering materials to their customers.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neither BioNTech nor New Topco will pay any fees or commissions to any broker, dealer, or other person for soliciting tenders of CureVac shares pursuant to the offer.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 on Resales of BioNTech ADSs Received in the Offer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BioNTech ADSs to be issued in connection with the offer will not be subject to any restrictions on transfer existing under the Securities Act of 1933, as amended, which we refer to as the Securities Act, except for any ADSs to be paid by BioNTech to a CureVac shareholder who may be deemed to be an “affiliate” of BioNTech after the completion of the transactions. Such a CureVac shareholder will be subject to volume and manner of sale restrictions pursuant to Rule 144 under the Securities Act. This offer to exchange/prospectus does not cover resales of BioNTech ADSs by affiliates of BioNTech or CureVac.</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dievini TSA (as defined below)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Jurisdictions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below, the offer is open to all CureVac shareholders, consistent with Rule 14d-10 under the Exchange Act.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which we refer to as a relevant member state, the offer to exchange all of the CureVac shares for BioNTech ADSs contemplated by this offer to exchange/prospectus is not made in that relevant member state, except as set out below.</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8"/>
          <w:szCs w:val="18"/>
          <w:i w:val="1"/>
          <w:iCs w:val="1"/>
          <w:color w:val="auto"/>
        </w:rPr>
        <w:t>Bundesanstalt für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Finanzdienstleistungsaufsicht</w:t>
      </w:r>
      <w:r>
        <w:rPr>
          <w:rFonts w:ascii="Times New Roman" w:cs="Times New Roman" w:eastAsia="Times New Roman" w:hAnsi="Times New Roman"/>
          <w:sz w:val="18"/>
          <w:szCs w:val="18"/>
          <w:color w:val="auto"/>
        </w:rPr>
        <w:t>) and notified to the competent authorities in Austria, France, Italy, The Netherlands, and Spain available free of charge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website of BioNTech SE (https://investors.biontech.de/eea-switzerland-disclaimer)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which we refer to as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offer to exchange all of the CureVac shares for BioNTech ADSs contemplated by this offer to exchange/prospectus is not made in the United Kingdom (the “UK”) except as set out below.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offer of BioNTech ADSs to the public in the UK is based on the UK prospectus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(https://investors.biontech.de/uk-disclaimer)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of the exchange of CureVac shares for BioNTech ADSs pursuant to the offer or the cancellation that are generally applicable to U.S. holders (as defined below) that hold their CureVac shares, and will hold their BioNTech ADSs, as capital assets (generally, property held for investment) for U.S. federal income tax purposes. This discussion addresses only the U.S. federal income tax consequences that are relevant for U.S. holders and does not address any tax consequences to a holder of CureVac shares that is not a U.S. holder. This discussion is based on the code, the Treasury regulations promulgated thereunder, which we refer to as U.S. treasury regulations, rulings by the Internal Revenue Service, which we refer to as the IRS, and judicial decisions, all as in effect as of the date of this offer to exchange/prospectus. These authorities are subject to change (possibly with retroactive effect) and different interpretations. Any such change might alter the U.S. federal income tax consequences described herein. No ruling is being sought or obtained from the IRS, and the conclusions herein are not binding on the IRS or a court. As a result, we cannot assure you that the U.S. federal income tax consequences described herein will not be challenged by the IRS or sustained by a court if so challenged.</w:t>
      </w:r>
    </w:p>
    <w:p>
      <w:pPr>
        <w:spacing w:after="0" w:line="19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considerations that may be relevant to particular U.S. holders in light of their particular circumstances, including, without limitation: tax-exempt organizations; individual retirement accounts and other tax-deferred accounts; financial institutions, regulated investment companies, or real estate investments trusts; dealers or brokers in securities or foreign currency; traders that use a mark-to-market method of accounting; persons whose functional currency is not the U.S. dollar; pass-through entities for U.S. federal income tax purposes such as partnerships (or entities or arrangements classified as partnerships for U.S. federal income tax purposes) and S corporations, and investors therein; corporations that accumulate earnings to avoid U.S. federal income tax; persons holding their CureVac shares as part of a hedging, straddle, or other risk reduction strategy; persons treated as having sold their CureVac shares pursuant to the constructive sale provisions of the code; U.S. holders that currently own, or have owned at any time during the preceding five years, directly, indirectly, and/or constructively, at least 5% of the outstanding CureVac shares by vote or by value; U.S. holders that will own, directly, indirectly, and/or constructively, at least 5% of the outstanding stock of BioNTech by vote or by value; U.S. holders that are tax residents of the Netherlands or Germany, or maintain a permanent establishment or fixed base in the Netherlands or Germany to which their BioNTech ADSs are attributable; and persons who acquired their shares in connection with stock option or stock purchase plans or in other compensatory transactions. This discussion does not purport to be a comprehensive analysis or description of all potential U.S. federal income tax consequences of acquiring BioNTech ADSs pursuant to the offer or the cancellation.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This discussion also does not address the tax consequences of the offer or the cancellation and the ownership of BioNTech ADSs acquired pursuant to the offer or the cancellation under U.S. state or local, or non-U.S. tax laws or under any U.S. federal non-income tax laws (such as estate or gift tax laws), nor does it address alternative minimum tax, the Medicare tax on net investment income, special tax accounting rules under</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Section 451(b) of the code, or the tax consequences of transactions effectuated prior or subsequent to, or concurrently with, the exchange pursuant to the offer or the cancellation (whether or not any such transactions are undertaken in connection with the completion of the offer or the cancellation, as applicable) other than the post-offer reorganization and the New Topco U.S. tax election.</w:t>
      </w:r>
    </w:p>
    <w:p>
      <w:pPr>
        <w:spacing w:after="0" w:line="18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we refer to a beneficial owner of CureVac shares that exchanges such shares for BioNTech ADSs pursuant to the offer or the cancellation and that thereafter is a beneficial owner of BioNTech ADSs so acquired as a U.S. holder if such beneficial owner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corporation;</w:t>
      </w:r>
    </w:p>
    <w:p>
      <w:pPr>
        <w:spacing w:after="0" w:line="130" w:lineRule="exact"/>
        <w:rPr>
          <w:rFonts w:ascii="Times New Roman" w:cs="Times New Roman" w:eastAsia="Times New Roman" w:hAnsi="Times New Roman"/>
          <w:sz w:val="18"/>
          <w:szCs w:val="18"/>
          <w:color w:val="auto"/>
        </w:rPr>
      </w:pPr>
    </w:p>
    <w:p>
      <w:pPr>
        <w:ind w:left="5540" w:right="2920" w:hanging="4884"/>
        <w:spacing w:after="0" w:line="454" w:lineRule="auto"/>
        <w:tabs>
          <w:tab w:leader="none" w:pos="10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 67</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(as defined under the code) are authorized or have the authority to control all substantial decisions of the trust, or (ii) a valid election under applicable U.S. treasury regulations to be treated as a United States person is in effect with respect to such trust.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further based in part upon the representations of the depositary and the assumption that each obligation in the deposit agreement and any related agreements will be performed in accordance with its terms. In general, taking into account these assumptions, for U.S. federal income tax purposes, a holder that holds ADRs evidencing ADSs will be treated as the owner of the shares represented by those ADRs. Exchanges of shares for ADRs, and ADRs for shares, generally will not be subject to U.S. federal income tax.</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Treatment of Exchanging CureVac Shares for BioNTech ADSs Pursuant to the Offer or the Cancellation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BioNTech intends to effect the post-offer reorganization and the New Topco U.S. tax election as promptly as practicable following the expiration of the subsequent offering period. The offer followed by and integrated with the post-offer reorganization and the New Topco U.S. tax election will qualify as one or more “reorganizations” within the meaning of Section 368(a) of the code. Except where expressly stated otherwise, the remainder of this discussion assumes that the post-offer reorganization and the New Topco U.S. tax election will be effected and that the offer will be integrated with the post-offer reorganization and the New Topco U.S. tax election to qualify as one or more tax-free reorganizations within the meaning of Section 368(a) of the code.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and subject to the PFIC considerations below, a U.S. holder generally will not recognize gain or loss with respect to such holder’s exchange of CureVac shares for BioNTech ADSs pursuant to the offer or the cancellation. A U.S. holder that receives cash in lieu of a fractional BioNTech ADS will be treated as receiving a fractional BioNTech ADS pursuant to the offer or the cancellation and then exchanging such fractional BioNTech ADS for cash. Accordingly, such U.S. holder generally will recognize gain or loss equal to the difference between the amount of cash received in lieu of a fractional BioNTech ADS and the holder’s adjusted tax basis in the fractional BioNTech ADS deemed received, determined as described immediately below.</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U.S. holder will have aggregate tax basis in its BioNTech ADSs received pursuant to the offer or the cancellation, including any fractional BioNTech ADS deemed received in respect of CureVac shares and considered redeemed for cash as described above, equal to the U.S. holder’s aggregate adjusted tax basis in the CureVac shares surrendered pursuant to the offer or the cancellation. The U.S. holder’s adjusted tax basis in the fractional BioNTech ADS deemed received is the proportionate amount of the aggregate tax basis that such fractional BioNTech ADS deemed received bears to the total number of BioNTech ADSs received. A U.S. holder’s holding period in the BioNTech ADSs received pursuant to the offer or the cancellation (including any fractional BioNTech ADS deemed received and redeemed for cash as described above) will include such holder’s holding period for the CureVac shares surrendered therefor pursuant to the offer or the cancellation.</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BioNTech is expected to be classified as a PFIC for the current taxable year, such gain or loss may be subject to the PFIC rules described in more detail below in “Material United States Federal Income Considerations — Material U.S. Federal Income Tax Consequences of Owning and Disposing of BioNTech ADSs Acquired Pursuant to the Offer or the Cancellation — Passive Foreign Investment Company Considerations.” CureVac may likewise be a PFIC for the current taxable year. If that were the case, section 1291(f) of the code would require that a U.S. holder recognize gain, notwithstanding any other provision of the code, including the nonrecognition provisions applicable to a “reorganization” within the meaning of section 368(a) of the code described above, to the extent provided in U.S. treasury regulations. While no U.S. treasury regulations under section 1291(f) of the code are currently finalized and in effect, regulations have been proposed that, if finalized, provide that a U.S. holder would not recognize gain (or loss) with respect to such holder’s exchange of CureVac shares for BioNTech ADSs, even if the CureVac shares are treated as shares in a PFIC, provided that BioNTech ADSs are treated as shares in a PFIC in the taxable year in which the exchange occurs.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 section 1291(f) of the code, the exchange of CureVac shares for BioNTech ADSs by a U.S. holder were treated as a taxable transaction in which gain (but not loss) is recognized, and assuming that CureVac has not been a PFIC for any taxable year prior to the current taxable year, then any gain recognized by a U.S. holder would be treated as ordinary income. Special rules would apply to U.S. persons that make the QEF election or a mark-to-market election with respect to their CureVac shares, which are described in more detail below in “Material United States Federal Income Considerations — Material U.S. Federal Income Tax Consequences of Owning and Disposing of BioNTech ADSs Acquired Pursuant to the Offer or the Cancellation — Passive Foreign Investment Company Considerations — Elective Alternative Treatment: QEF Election” and “Material United States Federal Income Considerations — Material U.S. Federal Income Tax Consequences of Owning and Disposing of BioNTech ADSs Acquired Pursuant to the Offer or the Cancellation — Passive Foreign Investment Company Considerations — Elective Alternative Treatment: Mark-to-Market Election.”</w:t>
      </w:r>
    </w:p>
    <w:p>
      <w:pPr>
        <w:spacing w:after="0" w:line="190"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U.S. holders are urged to discuss with their tax advisor whether it may be advisable to dispose of their CureVac shares rather than tender them pursuant to the offer or have them exchanged pursuant to the cancellation in exchange for BioNTech ADSs, and the implications to them if CureVac shares are treated as stock in a PFIC.</w:t>
      </w:r>
    </w:p>
    <w:p>
      <w:pPr>
        <w:spacing w:after="0" w:line="173"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Non-corporate U.S. holders of CureVac shares may be subject, under certain circumstances,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reporting and backup withholding (currently at a rate of 24%) in respect of the exchange of CureVac shares for BioNTech ADSs, and the receipt of cash for fractional BioNTech ADSs.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81"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OF THE MATERIAL U.S. FEDERAL INCOME TAX CONSEQUENCES IS FOR GENERAL INFORMATION PURPOSES ONLY AND IS NOT INTENDED TO BE, AND MAY NOT BE CONSTRUED AS, TAX ADVICE. HOLDERS OF CUREVAC SHARES ARE URGED TO CONSULT THEIR TAX ADVISORS WITH RESPECT TO THE APPLICATION OF U.S. FEDERAL INCOME TAX LAWS TO THEIR PARTICULAR SITUATIONS AS WELL AS ANY TAX CONSEQUENCES ARISING UNDER OTHER U.S. FEDERAL TAX RULES, OR UNDER THE LAWS OF ANY STATE, LOCAL, OR NON-U.S. TAXING JURISDICTION.</w:t>
      </w:r>
    </w:p>
    <w:p>
      <w:pPr>
        <w:spacing w:after="0" w:line="179"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of Owning and Disposing of BioNTech ADSs Acquired Pursuant to the Offer or the Cancellation</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BioNTech expects to be a PFIC for U.S. federal income tax purposes with respect to its 2025 taxable year and believes that it was a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2023 and 2024 taxable years. Because the determination of BioNTech’s PFIC status is made annually following the end of the applicable taxable year based on the factual tests described below, however, BioNTech cannot determine with certainty whether it will be classified as a PFIC in the current taxable year or in any future taxable year.</w:t>
      </w:r>
    </w:p>
    <w:p>
      <w:pPr>
        <w:spacing w:after="0" w:line="18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BioNTech is classified as a PFIC for any taxable year in which at least 75% of its gross income is “passive income” or at least 50% of its gross assets during the taxable year (based on the average of the fair market values of the assets determined at the end of each quarterly period) consists of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investments are treated as passive assets regardless of the fact that they may not produce any income. Rents and royalties received from unrelated parties in connection with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 xml:space="preserve">active conduct of a trade or business are not considered passive income for purposes of these PFIC tests. In determining whether BioNTech is to be classified as a PFIC,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income and assets of each corporation in which it owns, directly or indirectly, at least a 25% interest (by value) is taken into account.</w:t>
      </w:r>
    </w:p>
    <w:p>
      <w:pPr>
        <w:spacing w:after="0" w:line="176"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total value of BioNTech’s assets under the asset test generally will be calculated taking into account the market price of the BioNTech ADSs and its ordinary shares. This value has fluctuated considerably in the past and may fluctuate considerably in the future. Even if BioNTech determines that it is not a PFIC for a taxable year, there can be no assurance that the IRS will agree with BioNTech’s conclusion regarding its PFIC status.</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any year for which BioNTech is classified as a PFIC, a U.S. holder will be subject to special rules with respect to distributions on and sales, exchanges, and other dispositions of the ADSs, as described further below. In addition, a U.S. holder that holds BioNTech ADSs at any time during a taxable year in which BioNTech is classified as a PFIC generally will continue to have to treat such BioNTech ADSs as shares in a PFIC, even if BioNTech no longer satisfies the income and asset tests described above, unless the U.S. holder elects to recognize gain with respect to the BioNTech ADSs. This gain will be taxed under the excess distribution regime described below as if such BioNTech ADSs had been sold on the last day of the last taxable year for which BioNTech was a PFIC.</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Certain elections by a U.S. holder, described below, may alleviate some of the adverse consequences of the excess distribution rules, as described below. A U.S. holder of PFIC shares generally must file an annual information return on IRS Form 8621 (</w:t>
      </w:r>
      <w:r>
        <w:rPr>
          <w:rFonts w:ascii="Times New Roman" w:cs="Times New Roman" w:eastAsia="Times New Roman" w:hAnsi="Times New Roman"/>
          <w:sz w:val="18"/>
          <w:szCs w:val="18"/>
          <w:i w:val="1"/>
          <w:iCs w:val="1"/>
          <w:color w:val="auto"/>
        </w:rPr>
        <w:t>Information Return by a Shareholder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or Qualified Electing Fund</w:t>
      </w:r>
      <w:r>
        <w:rPr>
          <w:rFonts w:ascii="Times New Roman" w:cs="Times New Roman" w:eastAsia="Times New Roman" w:hAnsi="Times New Roman"/>
          <w:sz w:val="18"/>
          <w:szCs w:val="18"/>
          <w:color w:val="auto"/>
        </w:rPr>
        <w:t>) and make any of the elections described below on such Form attached to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U.S. federal income tax return (including available extensions). The failure to file IRS Form 8621 for each applicable taxable year could result in penalties and an extension of the statute of limitations with respect to U.S. federal income tax until such forms are properly filed.</w:t>
      </w:r>
    </w:p>
    <w:p>
      <w:pPr>
        <w:spacing w:after="0" w:line="179"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AS TO BIONTECH’S STATUS AS A PFIC, AND THE TAX CONSEQUENCES TO THEM AS A RESULT OF THE EXPECTED CLASSIFICATION OF BIONTECH AS A PFIC, INCLUDING THE REPORTING REQUIREMENTS, THE DESIRABILITY AND AVAILABILITY TO THEM OF MAKING ANY OF THE ELECTIONS DESCRIBED BELOW, WITH RESPECT TO THE BIONTECH ADSS RECEIVED PURSUANT TO THE OFFER OR THE CANCELLATION, THE CONSEQUENCES OF THE PFIC RULES ON THEIR RECEIPT OF CASH IN LIEU OF FRACTIONAL BIONTECH ADSS, AND WHETHER IT MAY BE ADVISABLE TO DISPOSE OF THEIR CUREVAC SHARES OTHER THAN PURSUANT TO THE OFFER OR THE CANCELLATION.</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Rules. </w:t>
      </w:r>
      <w:r>
        <w:rPr>
          <w:rFonts w:ascii="Times New Roman" w:cs="Times New Roman" w:eastAsia="Times New Roman" w:hAnsi="Times New Roman"/>
          <w:sz w:val="18"/>
          <w:szCs w:val="18"/>
          <w:color w:val="auto"/>
        </w:rPr>
        <w:t>If BioNTech is classified as a PFIC with respect to a U.S. holder, then unless such U.S. holder makes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elections described below, the excess distribution rules described below will apply to the U.S. holder with respect to (i) any “excess distribution” on BioNTech ADSs (generally, aggregate distributions in any year that are greater than 125% of the average annual distribution received by the holder in the shorter of the three preceding years or the holder’s holding period for the BioNTech ADSs) and (ii) any gain realized on the sale or other disposition of the BioNTech ADSs.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excess distribution rules, the amount of any excess distribution and the amount of any realized gain is treated as ordinary income and is subject to tax as if (a) the excess distribution or gain on the U.S. holder’s BioNTech ADSs had been realized ratably over the U.S. holder’s holding period, (b) the amount deemed realized in each year had been subject to U.S. federal income tax in each year of that holding period at the highest marginal rate for such year (other than income allocated to the current period or any taxable period before BioNTech became a PFIC, which is subject to tax at the U.S. holder’s regular ordinary income rate for the current taxable year and is not subject to the interest charge discussed below), and (c) the interest charge generally applicable to underpayments of taxes for the years to which the excess distribution or gain is allocated as if the taxes had been payable in those years. If applicable, this tax treatment for U.S. holders applies also to</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indirect distributions and gains deemed realized by U.S. holders in respect of stock of any of the subsidiaries of BioNTech determined to be PFICs. BioNTech expects one or more of its subsidiaries to be classified as a PFIC, but such treatment is uncertain. In addition, dividend distributions from a PFIC do not qualify for the lower U.S. federal income tax rates applicable to qualified dividends, discussed below under “Material United States Federal Income Considerations — Material U.S. Federal Income Tax Considerations if BioNTech is not Classified as a Passive Foreign Investment Company — Dividends.”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exchanging U.S. holder’s holding period in the BioNTech ADSs received in exchange for such CureVac shares includes the holder’s holding period in the CureVac shares, then the allocation of excess distributions and gain (including any gain recognized with respect to cash received in lieu of fractional BioNTech ADSs) may apply with respect to the U.S. holder’s entire holding period, including the period during which the U.S. holder held shares in CureVac prior to their exchange for BioNTech ADSs pursuant to the offer or the cancellation, as applicable. Under proposed U.S. treasury regulations, however, the portion of a U.S. holder’s holding period in its BioNTech ADS that is determined by reference to its holding period in its CureVac share prior to the completion of the offer or the cancellation, as applicable, will be treated as a period during which BioNTech ADSs were not shares of a PFIC to the extent CureVac shares were not classified as shares of a PFIC for such U.S. holder during such period. </w:t>
      </w:r>
      <w:r>
        <w:rPr>
          <w:rFonts w:ascii="Times New Roman" w:cs="Times New Roman" w:eastAsia="Times New Roman" w:hAnsi="Times New Roman"/>
          <w:sz w:val="18"/>
          <w:szCs w:val="18"/>
          <w:i w:val="1"/>
          <w:iCs w:val="1"/>
          <w:color w:val="auto"/>
        </w:rPr>
        <w:t>U.S. holders are strongly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urged to consult their tax advisors regarding this allocation under the excess distribution rules.</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Elective Alternative Treatment: QEF Election</w:t>
      </w:r>
      <w:r>
        <w:rPr>
          <w:rFonts w:ascii="Times New Roman" w:cs="Times New Roman" w:eastAsia="Times New Roman" w:hAnsi="Times New Roman"/>
          <w:sz w:val="18"/>
          <w:szCs w:val="18"/>
          <w:color w:val="auto"/>
        </w:rPr>
        <w:t>. If BioNTech is classified as a PFIC, the rules described above do not apply to a U.S. holder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makes an election to treat its BioNTech ADSs as stock of a QEF in the first year in the U.S. holder’s holding period of BioNTech ADSs during which BioNTech is classified as a PFIC, possibly along with a “purging election,” or in a later year along with a “purging election” described below. BioNTech intends to provide to U.S. holders the required information that will allow a U.S. holder to make a valid QEF election on an annual basis. As a result, a U.S. holder is expected to be able to make a QEF election with respect to its BioNTech ADSs (including with an extension to file its U.S. federal income tax return). A U.S. holder that makes a QEF election is required to include in income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BioNTech’s ordinary earnings and net capital gain as ordinary income and long-term capital gain, respectively, subject to a separate election to defer payment of U.S. federal income taxes, which deferral is subject to an interest charge. The basis of the U.S. holder’s BioNTech ADSs is increased by any amount which is included in the income of the U.S. holder pursuant to a QEF election with respect to such BioNTech ADSs, and decreased by any amount distributed with respect to such BioNTech ADSs which is not includible in the income of the U.S. holder by reason of such distribution being treated as made out of previously taxed earnings and profits, as described further below in “Material United States Federal Income Tax Considerations — Material U.S. Federal Income Tax Consequences of Owning and Disposing of BioNTech ADSs Acquired Pursuant to the Offer or the Cancellation — Material U.S. Federal Income Tax Considerations if BioNTech is not Classified as a Passive Foreign Investment Company — Dividends”. If a QEF election is made for the current taxable year, and the current taxable year is not the first year in the U.S. holder’s holding period of BioNTech ADSs when BioNTech was a PFIC, the excess distribution rules will apply with respect to such years in the U.S. holder’s holding period that precede the year of the QEF election, unless a purging election is made.</w:t>
      </w:r>
    </w:p>
    <w:p>
      <w:pPr>
        <w:spacing w:after="0" w:line="19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makes a QEF election generally by attaching a completed IRS Form 8621 to a timely filed U.S. federal income tax return for the year beginning with which the QEF election is to be effective (taking into account any extensions). A QEF election can be revoked only with the consent of the IRS.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U.S. holder’s holding period in the BioNTech ADSs received in exchange for CureVac shares includes years during which BioNTech was a PFIC prior to the current taxable year, a U.S. holder may make a purging election along with the QEF Election. If a U.S. holder makes a purging election, the U.S. holder will be treated as selling the holder’s BioNTech ADSs at their then fair market value and recognizing gain, which gain is subject to U.S. federal income tax under the excess distribution rules described above. As a result of any such purging election, the U.S. holder would increase the adjusted tax basis in its BioNTech ADSs by the amount of the gain recognized and, solely for purposes of the PFIC rules, would have a new holding period in its BioNTech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U.S. holders are strongly urged to consult their tax advisors regarding the implications of a QEF election and a purging election with respect to their BioNTech ADSs in light of the effect of the tax-free reorganization treatment of the offer, the post-offer reorganization, and the New Topco U.S. tax election on their respective holding periods in BioNTech ADSs.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Elective Alternative Treatment: Mark-to-Market Election</w:t>
      </w:r>
      <w:r>
        <w:rPr>
          <w:rFonts w:ascii="Times New Roman" w:cs="Times New Roman" w:eastAsia="Times New Roman" w:hAnsi="Times New Roman"/>
          <w:sz w:val="18"/>
          <w:szCs w:val="18"/>
          <w:color w:val="auto"/>
        </w:rPr>
        <w:t>. The rules described above also do not apply to a U.S. holder that makes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“mark-to-market” election with respect to its BioNTech ADSs. This election is available with respect to the BioNTech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BioNTech ADSs generally will be considered regularly traded during any calendar year during which they are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Any trades that have as their principal purpose meeting this requirement will be disregarded. BioNTech ADSs will be marketable stock as long as they remain listed on the Nasdaq Global Select Market and are traded regularly. In addition, U.S. holders may not be able to make a mark-to-market election with respect to stock of a lower-tier PFIC, the stock of which is not marketable. A U.S. holder that has made a mark-to-market election with respect to its BioNTech ADSs may continue to be subject to the PFIC rules with respect to such U.S. holder’s indirect interest in any investments held by BioNTech that are treated as an equity interest in a PFIC for U.S. federal income tax purposes.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that makes a valid mark-to-market election for the first taxable year in which the U.S. holder holds (or is deemed to hold) BioNTech ADSs and for which BioNTech is a PFIC will be required to include each year an amount equal to the excess, if any, of the fair market value of such BioNTech ADSs the holder owns as of the close of the taxable year over the holder’s adjusted tax basis in such BioNTech ADSs. The U.S. holder will be entitled to a deduction for the excess, if any, of the holder’s adjusted tax basis in the BioNTech ADSs over the fair market value of such BioNTech ADSs as of the close of the taxable year, but only to the extent of any net mark-to-market gains with respect to such BioNTech ADSs included by the U.S. holder under the election for prior taxable years. The U.S. holder’s basis in such BioNTech ADSs will be adjusted to reflect the amounts included or deducted pursuant to the election. Amounts included in income pursuant to a mark-to-market election, as well as gain on the sale, exchange, or other taxable disposition of such BioNTech ADSs, will be treated as ordinary income. The deductible portion of any mark-to-market loss, as well as loss on a sale, exchange, or other disposition of BioNTech ADSs to the extent that the amount of such loss does not exceed net mark-to-market gains previously included in income, will be treated as ordinary loss.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mark-to-market election applies to the taxable year for which the election is made and all subsequent taxable years, unless BioNTech ADSs cease to be treated as marketable stock for purposes of the PFIC rules or the IRS consents to a revocation of the election. The excess distribution rules described above generally will not apply to a U.S. holder for taxable years for which a mark-to-market election is in effect.</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However, if BioNTech is a PFIC for any year after the beginning of the U.S. holder’s holding period in its BioNTech ADSs but before a mark-to-market election is made, the excess distribution rules described above apply to any mark-to-market gain recognized in the year the election is made. Because an exchanging U.S. holder’s holding period in the BioNTech ADSs received in exchange for such CureVac shares includes the holder’s holding period in the CureVac shares, any mark-to-market election during the current taxable year may be subject to the excess distribution regime for the first year of the mark-to-market election regardless of the fact that CureVac shares may not have been shares of a PFIC in the hands of such U.S. holder. </w:t>
      </w:r>
      <w:r>
        <w:rPr>
          <w:rFonts w:ascii="Times New Roman" w:cs="Times New Roman" w:eastAsia="Times New Roman" w:hAnsi="Times New Roman"/>
          <w:sz w:val="18"/>
          <w:szCs w:val="18"/>
          <w:i w:val="1"/>
          <w:iCs w:val="1"/>
          <w:color w:val="auto"/>
        </w:rPr>
        <w:t>U.S. holders are strongly urged to consult their tax advisors regarding the application of the excess distribution regime to any mark-to-market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4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U.S. Federal Income Tax Considerations if BioNTech is not Classified as a Passive Foreign Investment Company </w:t>
      </w:r>
      <w:r>
        <w:rPr>
          <w:rFonts w:ascii="Times New Roman" w:cs="Times New Roman" w:eastAsia="Times New Roman" w:hAnsi="Times New Roman"/>
          <w:sz w:val="18"/>
          <w:szCs w:val="18"/>
          <w:i w:val="1"/>
          <w:iCs w:val="1"/>
          <w:color w:val="auto"/>
        </w:rPr>
        <w:t>Dividends</w:t>
      </w: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PFIC rules described above do not apply to a U.S. holder, for example because the U.S. holder has made a QEF election or a mark-to-market election with respect to its BioNTech ADSs for all taxable years for which such BioNTech ADSs are treated as a stock in a PFIC with respect to such U.S. holder, and BioNTech is no longer classified as a PFIC, the gross amount (before deduction for any withholding tax) of any distribution BioNTech pays out of its current or accumulated earnings and profits (as determined for U.S. federal income tax purposes) will be treated as a dividend and is includible in income for a U.S. holder and subject to U.S. federal income taxation. Dividends paid to a noncorporate U.S. holder that are treated as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However, dividends paid by BioNTech will not be treated as a qualified dividend income if BioNTech is a PFIC for the taxable year of the payment of the dividend or the preceding taxable year.</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To the extent the U.S. holder can establish that any amount is paid out earnings and profits of BioNTech which were included pursuant to a QEF election in the income of any United States person, that amount is treated, for all purposes of the code, as a distribution that is not a dividend. Accordingly, those amounts are not included in the gross income of the U.S. holder. Relevant legislative history states that U.S. treasury regulations should establish ordering rules that follow the approach of section 959(c) of the code. Consequently, actual distributions by BioNTech should be treated as being first from previously taxed earnings and profits, then from other earnings and profits.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dividend is taxable to the U.S. holder when the U.S. holder receives the dividend, actually or constructively. Because BioNTech is not a U.S. corporation, dividends paid by BioNTech will not be eligible for the dividends-received deduction generally allowed to U.S. corporations in respect of dividends received from other U.S. corporations. The dividend income generally will be income from sources without the United States for foreign tax credit limitation purposes.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amount of the dividend includible in a U.S. holder’s income will be the U.S. dollar value of the Euro payments made, determined at the spot Euro/U.S. dollar rate on the date the dividend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In addition, with respect to any distribution from previously taxed earnings and profits, the U.S. holder must recognize ordinary income or loss resulting from currency exchange fluctuations during the period from the time the earnings were included in a United States person’s income to the time the distribution is actually made. In each case, the gain or loss generally will be income or loss from sources within the United States for foreign tax credit limitation purposes.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a distribution with respect to BioNTech ADSs exceeds BioNTech’s current or accumulated earnings and profits, as determined under U.S. federal income tax principles, the distribution will be treated, first, as a tax-free return of the U.S. holder’s investment, up to the holder’s adjusted tax basis in its BioNTech ADSs and, thereafter, as capital gain, which is subject to the tax treatment described below in “Material United States Federal Income Tax Considerations — Gain on Sale, Exchange, or Other Taxable Disposition.”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PFIC rules described above do not apply, a U.S. holder that disposes of BioNTech ADSs in a sale, exchange, or other taxable disposition generally will recognize capital gain or loss for U.S. federal income tax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purposes equal to the difference between the U.S. dollar value of the amount realized and the U.S. holder’s tax basis, determined in U.S. dollars, in the BioNTech ADSs, taking into account any adjustments to the U.S. holder’s tax basis resulting from income inclusions pursuant to a QEF election. Gain or loss recognized on such a sale, exchange, or other disposition of BioNTech ADSs generally will be long-term capital gain if the U.S. holder’s holding period in the BioNTech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with Respect to Foreign Financial Assets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Individual U.S. holders may be subject to certain reporting obligations on IRS Form 8938 (</w:t>
      </w:r>
      <w:r>
        <w:rPr>
          <w:rFonts w:ascii="Times New Roman" w:cs="Times New Roman" w:eastAsia="Times New Roman" w:hAnsi="Times New Roman"/>
          <w:sz w:val="18"/>
          <w:szCs w:val="18"/>
          <w:i w:val="1"/>
          <w:iCs w:val="1"/>
          <w:color w:val="auto"/>
        </w:rPr>
        <w:t>Statement of Specified Foreign Financial Assets</w:t>
      </w:r>
      <w:r>
        <w:rPr>
          <w:rFonts w:ascii="Times New Roman" w:cs="Times New Roman" w:eastAsia="Times New Roman" w:hAnsi="Times New Roman"/>
          <w:sz w:val="18"/>
          <w:szCs w:val="18"/>
          <w:color w:val="auto"/>
        </w:rPr>
        <w:t>) with respect to their BioNTech ADSs for any taxable year during which the U.S. holder’s aggregate value of these and certain other “specified foreign financial assets” exceeds a threshold amount that varies with the filing status of the individual. This reporting obligation also applies to domestic entities formed or availed of to hold, directly or indirectly, specified foreign financial assets, including the BioNTech ADSs. Significant penalties can apply if U.S. holders are required to make this disclosure and fail to do so.</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Non-corporate U.S. holders of BioNTech ADSs may be subject, under certain circumstances, to information reporting and backup withholding (currently at a rate of 24%) in respect of dividends paid on BioNTech ADSs or the proceeds from a sale, exchange, or redemption of BioNTech ADSs that are paid to a holder of BioNTech ADSs within the United States (and in certain cases, outside the United States).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GERMAN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addresses certain German tax consequences of acceptance, or non-acceptance, of the offer and of acquiring, owning or disposing of the BioNTech ADSs. This discussion is based on domestic German tax laws, including, but not limited to, circulars issued by German tax authorities, which are not binding on the German courts, and applicable double taxation treaties. It is based upon tax laws in effect as of the date of this offer to exchange/prospectus. These laws are subject to change, possibly with retroactive effect. For example, certain member states of the European Union are considering introducing a financial transaction tax (</w:t>
      </w:r>
      <w:r>
        <w:rPr>
          <w:rFonts w:ascii="Times New Roman" w:cs="Times New Roman" w:eastAsia="Times New Roman" w:hAnsi="Times New Roman"/>
          <w:sz w:val="18"/>
          <w:szCs w:val="18"/>
          <w:i w:val="1"/>
          <w:iCs w:val="1"/>
          <w:color w:val="auto"/>
        </w:rPr>
        <w:t>Finanztransaktionssteuer</w:t>
      </w:r>
      <w:r>
        <w:rPr>
          <w:rFonts w:ascii="Times New Roman" w:cs="Times New Roman" w:eastAsia="Times New Roman" w:hAnsi="Times New Roman"/>
          <w:sz w:val="18"/>
          <w:szCs w:val="18"/>
          <w:color w:val="auto"/>
        </w:rPr>
        <w:t>) which, if introduced, may also be applicable on sales and/or transfer of the BioNTech ADSs. There is no assurance that German tax authorities will not challenge one or more of the tax consequences described in this section. The following discussion does not address the German tax consequences of the acceptance, or non-acceptance, of the offer and of acquiring, owning, or disposing of the BioNTech ADSs for CureVac shareholders that currently hold 10% or more of the shares in CureVac.</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acceptance, or non-acceptance, of the offer and of acquiring, owning, or disposing of the BioNTech ADSs.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tax information presented in this section is not a substitute for tax advice. Investors should consult their tax advisors regarding the German tax consequences of the acceptance, or non-acceptance, of the offer and regarding acquiring, owning, or disposing of the BioNTech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withheld. Only an individual tax consultation can appropriately account for the particular tax situation of each investor.</w:t>
      </w:r>
    </w:p>
    <w:p>
      <w:pPr>
        <w:spacing w:after="0" w:line="18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Based on the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dated May 24, 2013, reference number IV C 1-S 2204/12/10003, as amended by the circular dated December 18, 2018 (reference number IV C 1-S 2204/12/10003), in respect of the taxation of American Depositary Receipts, or ADRs, on domestic shares, which we refer to as the ADR Tax Circular, for German tax purposes, the BioNTech ADSs should, in light of the ADR Tax Circular, represent a beneficial ownership interest in the underlying shares of BioNTech and qualify as ADRs for the purpose of the ADR Tax Circular. If the BioNTech ADSs qualify as ADRs under the ADR Tax Circular, dividends would accordingly be attributable to holders of the BioNTech ADSs for German tax purposes, and not to the legal owner of the ordinary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financial institution on behalf of which the ordinary shares are stored at a domestic depository for the BioNTech ADS holders). Furthermore, holders of the BioNTech ADSs should be treated as beneficial owners of the shares in BioNTech with respect to capital gains.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BioNTech ADSs. For the purpose of this section, it is assumed that the BioNTech ADSs qualify as ADRs within the meaning of the ADR Tax Circular. The following tax considerations focus on certain German tax aspects for holders of the BioNTech ADSs. In light of the fact that the BioNTech ADS represent a beneficial ownership interest in the underlying shares of BioNTech, the following considerations should generally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shareholders who exercise their right to receive the underlying shares of BioNTech.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940" w:hanging="439"/>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Material German income tax consequences of the offer and the post-offer reorganization for CureVac shareholders </w:t>
      </w:r>
      <w:r>
        <w:rPr>
          <w:rFonts w:ascii="Times New Roman" w:cs="Times New Roman" w:eastAsia="Times New Roman" w:hAnsi="Times New Roman"/>
          <w:sz w:val="17"/>
          <w:szCs w:val="17"/>
          <w:b w:val="1"/>
          <w:bCs w:val="1"/>
          <w:i w:val="1"/>
          <w:iCs w:val="1"/>
          <w:color w:val="auto"/>
        </w:rPr>
        <w:t>Income and dividend withholding tax aspects for CureVac shareholders who tender their CureVac shares in the offer</w:t>
      </w:r>
    </w:p>
    <w:p>
      <w:pPr>
        <w:spacing w:after="0" w:line="173"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Taxes on Income and Capital Gains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assumed for all purposes herein that CureVac is tax resident in Germany at all relevant points in time when taxable events may occur.</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German tax resident CureVac shareholders</w:t>
      </w:r>
    </w:p>
    <w:p>
      <w:pPr>
        <w:spacing w:after="0" w:line="1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as Private Assets</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general rule, for CureVac shareholders holding their shares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xml:space="preserve">) who tendered their CureVac shares in the offer, such exchange constitutes a taxable disposal of the tendered CureVac shares. The consideration offered in the offer, i.e., the market value of the BioNTech ADSs (plus any cash in lieu of fractional BioNTech ADSs), constitutes the gross capital income. From this tax base the disposal costs and the acquisition costs for the CureVac shares are to be deducted. The difference,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capital gain, is subject to taxation.</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shareholders, or in the case of a gratuitous transfer, the shareholder’s legal predecessor, who directly or indirectly have held less than 1% of the share capital of CureVac at any time during the five years preceding the exchange of CureVac shares for BioNTech ADSs, such exchange of CureVac shares into BioNTech ADSs does not lead to German income tax or withholding tax. Since there is no explicit administrative guidance or case law in relation to ADSs, there is a risk that the German tax authorities or German tax courts take a deviating view.</w:t>
      </w:r>
    </w:p>
    <w:p>
      <w:pPr>
        <w:spacing w:after="0" w:line="180" w:lineRule="exact"/>
        <w:rPr>
          <w:sz w:val="20"/>
          <w:szCs w:val="20"/>
          <w:color w:val="auto"/>
        </w:rPr>
      </w:pPr>
    </w:p>
    <w:p>
      <w:pPr>
        <w:jc w:val="both"/>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receipt of cash in lieu of fractional BioNTech ADSs would generally be subject to a German withholding tax at a rate of 25% plus solidarity surcharge of 5.5%, resulting in an aggregate withholding tax of 26.375% (plus church tax, if any).</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shareholder, or in the case of a gratuitous transfer, the shareholder’s legal predecessor, directly or indirectly has held at least 1% of the share capital of CureVac at any time during the five years preceding the exchange of CureVac shares for BioNTech ADSs, the rules applicable to the income taxation of the exchange of CureVac shares that are held as business assets will apply correspondingly (see immediately below).</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as Business Assets by Individual Shareholders (Sole Proprietors)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For individuals holding CureVac shares as business assets, the exchange of CureVac shares for BioNTech ADSs (and cash in lieu of fractional BioNTech ADSs) in the offer will constitute a taxable event. Generally, 60% of capital gains derived from the exchange of CureVac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(plus any cash in lieu of fractional BioNTech ADSs) minus the disposal and acquisition costs) are taxable at the respective shareholder’s income tax rate (plus solidarity surcharge of 5.5% thereon and church tax, if any).</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Correspondingly, only 60% of the business expenses related to such a gain (subject to general restrictions on deductions, if any) and only 60% of any capital loss are tax deductible.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the CureVac shares are attributable to a permanent establishment of a trade or business in Germany, 60% of the capital gains are also subject to trade tax (</w:t>
      </w:r>
      <w:r>
        <w:rPr>
          <w:rFonts w:ascii="Times New Roman" w:cs="Times New Roman" w:eastAsia="Times New Roman" w:hAnsi="Times New Roman"/>
          <w:sz w:val="18"/>
          <w:szCs w:val="18"/>
          <w:i w:val="1"/>
          <w:iCs w:val="1"/>
          <w:color w:val="auto"/>
        </w:rPr>
        <w:t>Gewerbesteuer</w:t>
      </w:r>
      <w:r>
        <w:rPr>
          <w:rFonts w:ascii="Times New Roman" w:cs="Times New Roman" w:eastAsia="Times New Roman" w:hAnsi="Times New Roman"/>
          <w:sz w:val="18"/>
          <w:szCs w:val="18"/>
          <w:color w:val="auto"/>
        </w:rPr>
        <w:t>). However, up to a certain threshold and depending on the local trade tax rate of the municipality in which the trade or business is operated all or part of the trade tax is credited against the respective shareholder’s income tax liability.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rules discussed in this section also apply if a shareholder, or, in the case of a gratuitous acquisition, the shareholder’s legal predecessor, directly or indirectly holds at the time of the exchange, or has held at least 1% of the share capital of CureVac at any time during the five years preceding the exchange of CureVac shares for BioNTech ADSs. Special rules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limitation of tax deductibility) apply with regard to capital losses.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exchange of CureVac shares for BioNTech ADSs and the receipt of cash in lieu of fractional BioNTech ADSs would generally be subject to a German withholding tax at a rate of 25% plus solidarity surcharge of 5.5%, resulting in an aggregate withholding tax of 26.375% (plus church tax, if any).</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by Corporations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Generally, capital gains recognized by corporations on the exchange of CureVac shares for BioNTech ADSs (plus any cash in lieu of fractional BioNTech ADSs) in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(plus any cash in lieu of fractional BioNTech ADSs) minus the disposal and acquisition costs) are exempt from corporate income tax and trade tax if the CureVac shares are held as business assets attributable to a permanent establishment in Germany. However, 5% of such capital gain is treated as non-deductible business expenses and is, as such, subject to corporate income tax (plus solidarity surcharge of 5.5% thereon) and trade tax. Losses from the exchange of CureVac shares and any other profit reductions related to the exchange are generally not tax deductible.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95% tax exemption rule also applies to the cash compensation received in lieu of fractional BioNTech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rules apply to companies operating in the financial and insurance sectors, as well as to pension funds.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CureVac shares held by Partnerships</w:t>
      </w:r>
    </w:p>
    <w:p>
      <w:pPr>
        <w:spacing w:after="0" w:line="11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If the shareholder is a partnership engaged or deemed to be engaged in a trade or business (commercial partnership (</w:t>
      </w:r>
      <w:r>
        <w:rPr>
          <w:rFonts w:ascii="Times New Roman" w:cs="Times New Roman" w:eastAsia="Times New Roman" w:hAnsi="Times New Roman"/>
          <w:sz w:val="18"/>
          <w:szCs w:val="18"/>
          <w:i w:val="1"/>
          <w:iCs w:val="1"/>
          <w:color w:val="auto"/>
        </w:rPr>
        <w:t>Mitunternehmerschaft</w:t>
      </w:r>
      <w:r>
        <w:rPr>
          <w:rFonts w:ascii="Times New Roman" w:cs="Times New Roman" w:eastAsia="Times New Roman" w:hAnsi="Times New Roman"/>
          <w:sz w:val="18"/>
          <w:szCs w:val="18"/>
          <w:color w:val="auto"/>
        </w:rPr>
        <w:t>)), income tax or corporate income tax, as the case may be, is assessed at the level of each partner rather than at the level of the partnership. The taxation of each partner depends on whether the partner is subject to income tax or corporate income tax.</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partner is subject to corporate income tax, capital gains from the exchange of CureVac shares are, in general, effectively 95% tax exempt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w:t>
      </w:r>
    </w:p>
    <w:p>
      <w:pPr>
        <w:spacing w:after="0" w:line="180"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If the partner is subject to income tax, 60% of the capital gains from the exchange of the CureVac shares are taxable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CureVac shares are attributable to a permanent establishment of the commercial partnership in Germany, any capital gain from their exchange is subject to trade tax at the level of the partnership, with 60% of the gain being subject to trade tax to the extent that the partners are individuals and, effectively, 5% to the extent that the partners are corporations. In the case of partners who are individuals, up to a certain threshold, and depending on the local trade tax rate of the municipality in which the trade or business is operated, all or part of the trade tax is credited against their income tax liability.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deductibility of business expenses related to the capital gains and the deductibility of capital losses for income tax or corporate income tax purposes, as the case may be, the rules outlined above apply to the partners accordingly.</w:t>
      </w:r>
    </w:p>
    <w:p>
      <w:pPr>
        <w:spacing w:after="0" w:line="160"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If the shareholder is a partnership which is neither engaged nor deemed to be engaged in a trade or business (</w:t>
      </w:r>
      <w:r>
        <w:rPr>
          <w:rFonts w:ascii="Times New Roman" w:cs="Times New Roman" w:eastAsia="Times New Roman" w:hAnsi="Times New Roman"/>
          <w:sz w:val="18"/>
          <w:szCs w:val="18"/>
          <w:i w:val="1"/>
          <w:iCs w:val="1"/>
          <w:color w:val="auto"/>
        </w:rPr>
        <w:t>vermögensverwaltende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Personengesellschaft</w:t>
      </w:r>
      <w:r>
        <w:rPr>
          <w:rFonts w:ascii="Times New Roman" w:cs="Times New Roman" w:eastAsia="Times New Roman" w:hAnsi="Times New Roman"/>
          <w:sz w:val="18"/>
          <w:szCs w:val="18"/>
          <w:color w:val="auto"/>
        </w:rPr>
        <w:t>), each partner is taxed, generally speaking, as though they hold a fraction of each share held by such partnership directly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Private Assets, CureVac shares held as Business Assets by Individual Shareholders (Sole Proprietors), and CureVac shares held by Corporations”).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Non-German tax resident CureVac shareholders</w:t>
      </w:r>
    </w:p>
    <w:p>
      <w:pPr>
        <w:spacing w:after="0" w:line="11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Capital gains realized on the exchange of CureVac shares pursuant to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market value of the BioNTech ADSs minus the disposal and acquisition costs) are subject to a limited tax liability in Germany to the extent that the shares are held as part of business assets in Germany (that is, they are attributable to a permanent establishment or fixed base or to business assets for which a permanent representative in Germany has been appointed), and the provisions outlined above with respect to the taxation of shareholders that are German tax residents principally apply accordingly.</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Otherwise, capital gains realized by shareholders that are not German tax residents are taxable in Germany only if an individual shareholder making the disposal — or, in the event of shares acquired without consideration, his legal predecessor — held a direct or indirect stake of at least 1% in CureVac’s share capital at any point in time in the five years preceding the disposal or holds this stake during the disposal. In general, most double taxation conventions concluded by Germany provide for full exemption from German taxation in such cases and assigns the taxation right to the country of residence of the shareholder.</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Non-German tax resident CureVac shareholders will be subject to German withholding tax at an aggregate rate of 26.375% with respect to the receipt of cash in lieu of fractional BioNTech ADSs.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 Withholding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German tax resident CureVac shareholders</w:t>
      </w:r>
    </w:p>
    <w:p>
      <w:pPr>
        <w:spacing w:after="0" w:line="11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rate (</w:t>
      </w:r>
      <w:r>
        <w:rPr>
          <w:rFonts w:ascii="Times New Roman" w:cs="Times New Roman" w:eastAsia="Times New Roman" w:hAnsi="Times New Roman"/>
          <w:sz w:val="18"/>
          <w:szCs w:val="18"/>
          <w:i w:val="1"/>
          <w:iCs w:val="1"/>
          <w:color w:val="auto"/>
        </w:rPr>
        <w:t>Abgeltungsteuertarif</w:t>
      </w:r>
      <w:r>
        <w:rPr>
          <w:rFonts w:ascii="Times New Roman" w:cs="Times New Roman" w:eastAsia="Times New Roman" w:hAnsi="Times New Roman"/>
          <w:sz w:val="18"/>
          <w:szCs w:val="18"/>
          <w:color w:val="auto"/>
        </w:rPr>
        <w:t>) of 25% plus solidarity surcharge of 5.5%, resulting in an aggregate withholding tax of 26.375% (plus church tax, if any) applies for any German tax resident CureVac shareholder holding the shares as private assets and who directly or indirectly, or in the case of a gratuitous transfer, the shareholder’s legal predecessor, held less than 1% of the share capital of CureVac at any time during the five years preceding the exchange of CureVac shares for BioNTech ADSs. For other shareholders, withholding tax may not be final but still needs to be deducted.</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To the extent that the shares are not held as private assets, the general rules of German withholding tax will apply,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any withholding tax and solidarity surcharge that is withheld at source and remitted to the German tax authorities could generally be credited against the respective shareholder’s income tax or corporate income tax liability or refunded in the amount of any excess paid.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Non-German tax resident CureVac shareholders</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capital gains realized on the exchange is subject to limited tax liability in Germany, generally, withholding tax needs to be deducted. Any withholding tax and solidarity surcharge that is withheld at source and remitted to the German tax authorities could, under certain circumstances fully or partially, be credited towards the respective shareholder’s income tax or corporate income tax liability or refunded in the amount of any excess paid. Non-German tax resident CureVac shareholders could under certain circumstances have German filing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do not tender their CureVac shares in the offer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Following the expiration of the subsequent offering period, the post-offer reorganization will be implemented, including the legal downstream merger, which merger includes an allotment of shares, together with a cancellation. It is assumed for all purposes herein that New Topco is tax resident in Germany at all relevant points in time when taxable events may occur.</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downstream merger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5"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CureVac shareholders holding their shares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and who do not tender their CureVac shares in the offer would generally not be subject to German income tax as a result of the legal downstream merger.</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individuals holding CureVac shares as business assets, the tax aspects described above under the section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apply accordingly. These rules also apply if a shareholder, or, in the case of a gratuitous acquisition, the shareholder’s legal predecessor, directly or indirectly has held at least 1% of the share capital of CureVac at any time during the five years preceding the legal downstream merger. For corporations and partnerships holding CureVac shares, the tax aspects described above under the sections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and CureVac shares held by Partnerships” apply accordingly. Upon certain conditions, such as the exercise of election rights, the legal downstream merger may not lead to an otherwise taxable capital gain.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Cancellation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Based on a view taken in German tax literature in relation to German shares, the cancellation of shares should be classified as a taxable disposal for German tax purposes. The principles with respect to capital gains that are described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should apply accordingly. However, there is a risk that the German tax authorities or German tax courts qualify the receipt of BioNTech ADSs and cash in lieu of fractional BioNTech ADSs as cancellation consideration as a generally taxable dividend. In such case, the principles stated below in section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with respect to income tax on dividend income should apply accordingly.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Withholding Tax</w:t>
      </w:r>
    </w:p>
    <w:p>
      <w:pPr>
        <w:spacing w:after="0" w:line="11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the cancellation is classified as a disposal for German tax purposes, the principles stated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capital gains should apply to the receipt of BioNTech ADSs pursuant to the cancellation. However, the receipt of cash in lieu of fractional BioNTech ADSs as part of the cancellation consideration would generally be subject to German withholding tax at a rate of 25% plus solidarity surcharge of 5.5%, resulting in an aggregate withholding tax of 26.375% (plus church tax, if any). Such German withholding tax on capital gains would generally be levied by the applicable German disbursing agent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German credit institution, financial services institution, or securities institution through which the recipient holds its CureVac shares) rather than New Topco. For certain German shareholders, withholding tax may not be final but still needs to be deducted.</w:t>
      </w:r>
    </w:p>
    <w:p>
      <w:pPr>
        <w:spacing w:after="0" w:line="19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the event the German tax authorities (for example, during a tax audit of New Topco or a cancellation consideration recipient) or German tax courts were to qualify the receipt of cancellation consideration as a generally taxable dividend, the cancellation consideration would generally be subject to the aggregate withholding tax rate of 26.375% (plus church tax, if applicable), and the principles stated below in section “Material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dividend income should apply accordingly. Under such circumstances, the applicable German disbursing agent (where there is one) or New Topco (otherwise) would have an obligation to withhold. In the event New Topco had the obligation to withhold, New Topco could be held liable for such unremitted withholding tax (and could seek to be made whole by the cancellation consideration recipients). In addition, the cancellation consideration recipients could be held liable by the German tax authorities.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German tax aspects for CureVac shareholders or New Topco shareholders</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No German transfer tax, stamp duty, or any other similar documentary tax or duty is payable in Germany by a CureVac shareholder or New Topco shareholder in connection with the offer or any post-offer reorganization, as applicable. Disposals of shares are generally exempt from German VAT.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German income tax consequences for holders of BioNTech ADSs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not tax resident in Germany</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selected German tax consequences of acquiring the BioNTech ADSs, owning the BioNTech ADSs and disposing of the BioNTech ADSs to a holder that is not tax resident in Germany.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treatment of BioNTech ADSs that are (i) held in connection with a permanent establishment or fixed base through which a non-German resident holder of BioNTech ADSs carries on business or performs personal services in Germany or (ii) part of business assets for which a permanent representative in Germany has been appointed.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rules for the taxation of holders not tax resident in Germany</w:t>
      </w:r>
    </w:p>
    <w:p>
      <w:pPr>
        <w:spacing w:after="0" w:line="117"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7"/>
          <w:szCs w:val="17"/>
          <w:color w:val="auto"/>
        </w:rPr>
        <w:t>Non-German resident holders of BioNTech ADSs are subject to a German limited tax liability with respect to German source income (</w:t>
      </w:r>
      <w:r>
        <w:rPr>
          <w:rFonts w:ascii="Times New Roman" w:cs="Times New Roman" w:eastAsia="Times New Roman" w:hAnsi="Times New Roman"/>
          <w:sz w:val="17"/>
          <w:szCs w:val="17"/>
          <w:i w:val="1"/>
          <w:iCs w:val="1"/>
          <w:color w:val="auto"/>
        </w:rPr>
        <w:t>beschränkte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Steuerpflicht</w:t>
      </w:r>
      <w:r>
        <w:rPr>
          <w:rFonts w:ascii="Times New Roman" w:cs="Times New Roman" w:eastAsia="Times New Roman" w:hAnsi="Times New Roman"/>
          <w:sz w:val="17"/>
          <w:szCs w:val="17"/>
          <w:color w:val="auto"/>
        </w:rPr>
        <w:t>). According to the ADR Tax Circular, income from the shares should be attributed to the holder of the BioNTech ADSs for German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purposes. Income from the BioNTech ADSs would be treated as German source income and would generally be subject to German limited tax liability.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withholding taxation of dividends of holders not tax resident in Germany</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plus church tax, if applicable. The basis for the withholding tax is generally the dividend approved for distribution by our general shareholder’s meeting. German withholding tax is withheld and remitted to the German tax authorities by (i) the disbursing agent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German credit institution, financial services institution, or securities institution) that holds or administers the underlying shares in custody and (a) disburses or credits the dividend income from the underlying shares,</w:t>
      </w:r>
    </w:p>
    <w:p>
      <w:pPr>
        <w:spacing w:after="0" w:line="5" w:lineRule="exact"/>
        <w:rPr>
          <w:sz w:val="20"/>
          <w:szCs w:val="20"/>
          <w:color w:val="auto"/>
        </w:rPr>
      </w:pPr>
    </w:p>
    <w:p>
      <w:pPr>
        <w:ind w:left="120" w:right="140" w:hanging="4"/>
        <w:spacing w:after="0" w:line="250" w:lineRule="auto"/>
        <w:tabs>
          <w:tab w:leader="none" w:pos="3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disburses or credits the dividend income from the underlying shares on delivery of the dividend coupons or (c) disburses such dividend income to a foreign agent; or (ii) the central securities depository (</w:t>
      </w:r>
      <w:r>
        <w:rPr>
          <w:rFonts w:ascii="Times New Roman" w:cs="Times New Roman" w:eastAsia="Times New Roman" w:hAnsi="Times New Roman"/>
          <w:sz w:val="18"/>
          <w:szCs w:val="18"/>
          <w:i w:val="1"/>
          <w:iCs w:val="1"/>
          <w:color w:val="auto"/>
        </w:rPr>
        <w:t>Wertpapiersammelbank</w:t>
      </w:r>
      <w:r>
        <w:rPr>
          <w:rFonts w:ascii="Times New Roman" w:cs="Times New Roman" w:eastAsia="Times New Roman" w:hAnsi="Times New Roman"/>
          <w:sz w:val="18"/>
          <w:szCs w:val="18"/>
          <w:color w:val="auto"/>
        </w:rPr>
        <w:t>) in terms of the German Depositary Act (</w:t>
      </w:r>
      <w:r>
        <w:rPr>
          <w:rFonts w:ascii="Times New Roman" w:cs="Times New Roman" w:eastAsia="Times New Roman" w:hAnsi="Times New Roman"/>
          <w:sz w:val="18"/>
          <w:szCs w:val="18"/>
          <w:i w:val="1"/>
          <w:iCs w:val="1"/>
          <w:color w:val="auto"/>
        </w:rPr>
        <w:t>Depotgesetz</w:t>
      </w:r>
      <w:r>
        <w:rPr>
          <w:rFonts w:ascii="Times New Roman" w:cs="Times New Roman" w:eastAsia="Times New Roman" w:hAnsi="Times New Roman"/>
          <w:sz w:val="18"/>
          <w:szCs w:val="18"/>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w:t>
      </w:r>
    </w:p>
    <w:p>
      <w:pPr>
        <w:spacing w:after="0" w:line="1" w:lineRule="exact"/>
        <w:rPr>
          <w:rFonts w:ascii="Times New Roman" w:cs="Times New Roman" w:eastAsia="Times New Roman" w:hAnsi="Times New Roman"/>
          <w:sz w:val="18"/>
          <w:szCs w:val="18"/>
          <w:color w:val="auto"/>
        </w:rPr>
      </w:pPr>
    </w:p>
    <w:p>
      <w:pPr>
        <w:ind w:left="120" w:right="220" w:hanging="4"/>
        <w:spacing w:after="0" w:line="255" w:lineRule="auto"/>
        <w:tabs>
          <w:tab w:leader="none" w:pos="4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 of the capital gains under further requirements. Dividend payments, to the extent funded from BioNTech’s tax-recognized contribution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subject to certain prerequisites, do not form part of the taxable dividend income but should lower the holder’s acquisition costs for the BioNTech ADSs.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dividends are distributed to a company resident in another member state of the EU within the meaning of Article 2 of Council</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Directive 2011/96/EU of November 30, 2011, on the common system of taxation applicable in the case of parent companies and subsidiaries of different Member States, as amended, which we refer to as the Parent Subsidiary Directive, withholding of the dividend withholding tax may not be required (withholding tax exemption) or may be refunded, in each case only upon application and provided that certain additional requirements are met. This also applies to dividends distributed to a permanent establishment located in another member state of the EU of such parent company or of a parent company that is tax resident in Germany, if the interest in the dividend paying subsidiary is part of the respective permanent establishment’s business assets. Further prerequisites for the exemption from withholding at the source or a refund of withholding tax under the Parent Subsidiary Directive are that the holder has directly held at least 10% of BioNTech’s registered share capital uninterruptedly for twelve months at the time at which the withholding tax arises and that the German Federal Central Tax Office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xml:space="preserve">), with its registered office in An der Küppe 1, 53225 Bonn, Germany, has certified to the creditor of the dividends, based upon an application filed by such creditor on the officially prescribed electronic form, that the prerequisites for exemption have been met. The exemption from, or the refund of, withholding taxes on dividends is subject to the German anti-treaty shopping rules. These rules,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generally require that a holder maintains its own administrative substance in the country of its tax residence and conducts its own business activities.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dividend withholding tax rate for dividends paid to holders of BioNTech ADSs without a tax residence in Germany may be reduced in accordance with any applicable double taxation treaty between Germany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relevant holder’s country of residence, provided that the BioNTech ADSs are neither held as part of the business assets of a permanent establishment in Germany nor as part of the business assets for which a permanent representative in Germany has been appointed. The reduction in the dividend withholding tax is generally obtained by applying electronically to the German Federal Central Tax Office at the aforementioned offices for a refund of the difference between the dividend withholding tax withheld, including the solidarity surcharge and the amount of withholding tax actually owed under the applicable double taxation treaty, which usually amounts to between 5% and 15%. Depending on the applicable double taxation treaty, a reduced withholding tax rate may be applicable in the tax withholding process, if the holder of BioNTech ADSs has electronically applied for and received an exemption certificate from the German Federal Central Tax Office. The applicable double taxation treaty may also provide for a full exemption from the German dividend withholding tax if the relevant holder of BioNTech ADSs has directly held at least 10% of the BioNTech’s registered share capital and if further prerequisites are met. Corporations that are not tax resident in Germany may upon application, and subject to certain requirements, receive a refund of two fifths of the dividend withholding tax that was withheld and remitted to the tax authorities subject to certain requirements. This applies regardless of any further reduction or exemption provided for under the Parent Subsidiary Directive or a double taxation treaty.</w:t>
      </w:r>
    </w:p>
    <w:p>
      <w:pPr>
        <w:spacing w:after="0" w:line="180"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Foreign corporations will generally have to meet certain prerequisites,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stringent substance criteria, defined by statute, in order to receive an exemption from, or (partial) refund of, German dividend withholding tax.</w:t>
      </w:r>
    </w:p>
    <w:p>
      <w:pPr>
        <w:spacing w:after="0" w:line="16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However, it should be noted that there is uncertainty as to how the German tax authorities will apply the refund process to dividends on the BioNTech ADSs with respect to non-German resident holders. Further, such refund is subject to the German anti-avoidance treaty shopping rule (as described below in the section “Material German Tax Considerations — Material German income tax consequences for holders of BioNTech ADSs — Taxation of holders not tax resident in Germany — Withholding tax refund for holders not tax resident in Germany”).</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income and withholding taxation of capital gains of holders not tax resident in Germany</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capital gains from the disposition of the BioNTech ADSs realized by a non-German resident holder, which does not maintain a permanent establishment or other taxable presence in Germany, would be treated as German source income and be subject to German limited tax liability if the BioNTech ADSs qualify as a qualifying participation. A qualifying participation exists if a holder at any time during the five years preceding the disposition, directly or indirectly, owned at least 1% of BioNTech’s share capital, irrespective of whether through the BioNTech ADSs or shares of BioNTech. If such holder had acquired the BioNTech ADSs without consideration, the previous owner’s holding period and quota would be taken into account.</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German statutory law requires the disbursing agent to levy withholding tax on capital gains from the sale of BioNTech ADSs or other securities held in a custodial account in Germany. With regard to the German taxation of capital gains, disbursing agent means a German credit institution, financial services institution, or securities institution that holds the BioNTech ADSs in custody or administers the BioNTech ADSs for the investor or conducts sales or other dispositions and disburses or credits the income from the BioNTech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a circular issued by the German Federal Ministry of Finance, dated May 19, 2022, reference number IV C 1-S2252/19/10003:009, as most recently amended by circular dated May 14, 2025, reference number IV C 1-S2252/00075/016/070, provides that taxes need not be withheld upon a disposal when a non-German tax resident holder has shares in a domestic custody account even if the non-German tax 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contained in such circulars. Therefore, a disbursing agent would only withhold tax at 26.375% plus church tax, if applicable, on capital gains derived by a non-resident holder from the sale of BioNTech ADSs held in a custodial account in Germany in the event that the disbursing agent did not follow the abovementioned guidance. In this case, the non-resident holder may be entitled to claim a refund of the withholding tax from the German tax authorities under the applicable double taxation treaty, as described below in the section “Material German Tax Considerations — Material German income tax consequences for holders of BioNTech ADSs — Taxation of holders not tax resident in Germany — Withholding tax refund for holders not tax resident in Germany.” A refund of taxes withheld on capital gains from the disposition of the BioNTech ADSs which do not qualify as qualifying participations may also be claimed based on German statutory domestic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Withholding tax refund for holders not tax resident in Germany</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not tax resident in Germany may generally be eligible for treaty benefits under applicable double taxation treaties, as described above in the section “Material German Tax Considerations — Material German income tax consequences for holders of BioNTech ADSs — Taxation of holders not tax resident in Germany —Taxation of holders not tax resident in Germany.” Accordingly, holders not tax resident in Germany may in general be entitled to claim a refund of (i) the portion of the otherwise applicable 26.375% German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on dividends that exceeds the applicable double taxation treaty rate and (ii) the full amount of German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on capital gains from the disposition of BioNTech ADSs. The application for such claim is generally to be filed with the Federal Central Office of Taxation (</w:t>
      </w:r>
      <w:r>
        <w:rPr>
          <w:rFonts w:ascii="Times New Roman" w:cs="Times New Roman" w:eastAsia="Times New Roman" w:hAnsi="Times New Roman"/>
          <w:sz w:val="18"/>
          <w:szCs w:val="18"/>
          <w:i w:val="1"/>
          <w:iCs w:val="1"/>
          <w:color w:val="auto"/>
        </w:rPr>
        <w:t>Bundeszentralamt für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Steuern</w:t>
      </w:r>
      <w:r>
        <w:rPr>
          <w:rFonts w:ascii="Times New Roman" w:cs="Times New Roman" w:eastAsia="Times New Roman" w:hAnsi="Times New Roman"/>
          <w:sz w:val="18"/>
          <w:szCs w:val="18"/>
          <w:color w:val="auto"/>
        </w:rPr>
        <w:t>) within four years after the end of the calendar year in which the capital gains or dividends have been received (</w:t>
      </w:r>
      <w:r>
        <w:rPr>
          <w:rFonts w:ascii="Times New Roman" w:cs="Times New Roman" w:eastAsia="Times New Roman" w:hAnsi="Times New Roman"/>
          <w:sz w:val="18"/>
          <w:szCs w:val="18"/>
          <w:i w:val="1"/>
          <w:iCs w:val="1"/>
          <w:color w:val="auto"/>
        </w:rPr>
        <w:t>bezogen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BioNTech ADSs for an uninterrupted minimum holding period of 45 days within a period starting 45 days prior to and ending 45 days after the due date of the dividends,</w:t>
      </w:r>
    </w:p>
    <w:p>
      <w:pPr>
        <w:spacing w:after="0" w:line="2" w:lineRule="exact"/>
        <w:rPr>
          <w:sz w:val="20"/>
          <w:szCs w:val="20"/>
          <w:color w:val="auto"/>
        </w:rPr>
      </w:pPr>
    </w:p>
    <w:p>
      <w:pPr>
        <w:ind w:left="380" w:hanging="264"/>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to bear at least 70% of the change in value risk related to the BioNTech ADSs during the minimum holding period as described under</w:t>
      </w:r>
    </w:p>
    <w:p>
      <w:pPr>
        <w:spacing w:after="0" w:line="9" w:lineRule="exact"/>
        <w:rPr>
          <w:rFonts w:ascii="Times New Roman" w:cs="Times New Roman" w:eastAsia="Times New Roman" w:hAnsi="Times New Roman"/>
          <w:sz w:val="18"/>
          <w:szCs w:val="18"/>
          <w:color w:val="auto"/>
        </w:rPr>
      </w:pPr>
    </w:p>
    <w:p>
      <w:pPr>
        <w:ind w:left="120" w:right="100" w:hanging="4"/>
        <w:spacing w:after="0" w:line="252" w:lineRule="auto"/>
        <w:tabs>
          <w:tab w:leader="none" w:pos="3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refund does not apply if the holder has beneficially owned the BioNTech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of the dividends.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general, as previously discussed, investors should note that it is unclear how the German tax administration will apply the refund process to dividends on the BioNTech ADSs. Further, such refund is subject to the German anti treaty shopping rule. Generally, this rule requires that the non-German holder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Whether or not and to which extent the anti-treaty shopping rule applies to the BioNTech ADSs has to be analyzed on a case by case basis taking into account all relevant tests. In addition, the interpretation of these tests is disputed.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Due to the legal structure of the BioNTech ADSs, only limited guidance from the German tax authorities exists on the practical application of the refund process with respect to the BioNTech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8"/>
          <w:szCs w:val="18"/>
          <w:i w:val="1"/>
          <w:iCs w:val="1"/>
          <w:color w:val="auto"/>
        </w:rPr>
        <w:t>Datenträgerverfahren</w:t>
      </w:r>
      <w:r>
        <w:rPr>
          <w:rFonts w:ascii="Times New Roman" w:cs="Times New Roman" w:eastAsia="Times New Roman" w:hAnsi="Times New Roman"/>
          <w:sz w:val="18"/>
          <w:szCs w:val="18"/>
          <w:color w:val="auto"/>
        </w:rPr>
        <w:t>) for claims for reimbursement based on ADRs has been suspended temporarily by the tax authorities.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tax resident in Germany</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subsection provides an overview of dividend taxation and of capital gains taxation with regard to the general principles applicable to BioNTech ADS holders that are tax resident in Germany. A holder is a German tax resident if, in case of an individual, he or she maintains a domicile (</w:t>
      </w:r>
      <w:r>
        <w:rPr>
          <w:rFonts w:ascii="Times New Roman" w:cs="Times New Roman" w:eastAsia="Times New Roman" w:hAnsi="Times New Roman"/>
          <w:sz w:val="18"/>
          <w:szCs w:val="18"/>
          <w:i w:val="1"/>
          <w:iCs w:val="1"/>
          <w:color w:val="auto"/>
        </w:rPr>
        <w:t>Wohnsitz</w:t>
      </w:r>
      <w:r>
        <w:rPr>
          <w:rFonts w:ascii="Times New Roman" w:cs="Times New Roman" w:eastAsia="Times New Roman" w:hAnsi="Times New Roman"/>
          <w:sz w:val="18"/>
          <w:szCs w:val="18"/>
          <w:color w:val="auto"/>
        </w:rPr>
        <w:t>) or a usual residence (</w:t>
      </w:r>
      <w:r>
        <w:rPr>
          <w:rFonts w:ascii="Times New Roman" w:cs="Times New Roman" w:eastAsia="Times New Roman" w:hAnsi="Times New Roman"/>
          <w:sz w:val="18"/>
          <w:szCs w:val="18"/>
          <w:i w:val="1"/>
          <w:iCs w:val="1"/>
          <w:color w:val="auto"/>
        </w:rPr>
        <w:t>gewöhnlicher Aufenthalt</w:t>
      </w:r>
      <w:r>
        <w:rPr>
          <w:rFonts w:ascii="Times New Roman" w:cs="Times New Roman" w:eastAsia="Times New Roman" w:hAnsi="Times New Roman"/>
          <w:sz w:val="18"/>
          <w:szCs w:val="18"/>
          <w:color w:val="auto"/>
        </w:rPr>
        <w:t>) in Germany or if, in case of a corporation, it has its place of management (</w:t>
      </w:r>
      <w:r>
        <w:rPr>
          <w:rFonts w:ascii="Times New Roman" w:cs="Times New Roman" w:eastAsia="Times New Roman" w:hAnsi="Times New Roman"/>
          <w:sz w:val="18"/>
          <w:szCs w:val="18"/>
          <w:i w:val="1"/>
          <w:iCs w:val="1"/>
          <w:color w:val="auto"/>
        </w:rPr>
        <w:t>Geschäftsleitung</w:t>
      </w:r>
      <w:r>
        <w:rPr>
          <w:rFonts w:ascii="Times New Roman" w:cs="Times New Roman" w:eastAsia="Times New Roman" w:hAnsi="Times New Roman"/>
          <w:sz w:val="18"/>
          <w:szCs w:val="18"/>
          <w:color w:val="auto"/>
        </w:rPr>
        <w:t>) or registered seat (</w:t>
      </w:r>
      <w:r>
        <w:rPr>
          <w:rFonts w:ascii="Times New Roman" w:cs="Times New Roman" w:eastAsia="Times New Roman" w:hAnsi="Times New Roman"/>
          <w:sz w:val="18"/>
          <w:szCs w:val="18"/>
          <w:i w:val="1"/>
          <w:iCs w:val="1"/>
          <w:color w:val="auto"/>
        </w:rPr>
        <w:t>Sitz</w:t>
      </w:r>
      <w:r>
        <w:rPr>
          <w:rFonts w:ascii="Times New Roman" w:cs="Times New Roman" w:eastAsia="Times New Roman" w:hAnsi="Times New Roman"/>
          <w:sz w:val="18"/>
          <w:szCs w:val="18"/>
          <w:color w:val="auto"/>
        </w:rPr>
        <w:t>) in Germany.</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German dividend and capital gains taxation rules applicable to German tax residents require a distinction between BioNTech ADSs held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and BioNTech ADSs held as business assets (</w:t>
      </w:r>
      <w:r>
        <w:rPr>
          <w:rFonts w:ascii="Times New Roman" w:cs="Times New Roman" w:eastAsia="Times New Roman" w:hAnsi="Times New Roman"/>
          <w:sz w:val="18"/>
          <w:szCs w:val="18"/>
          <w:i w:val="1"/>
          <w:iCs w:val="1"/>
          <w:color w:val="auto"/>
        </w:rPr>
        <w:t>Betriebsvermögen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BioNTech ADSs as private assets (Privatvermögen)</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If the BioNTech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cs="Times New Roman" w:eastAsia="Times New Roman" w:hAnsi="Times New Roman"/>
          <w:sz w:val="17"/>
          <w:szCs w:val="17"/>
          <w:i w:val="1"/>
          <w:iCs w:val="1"/>
          <w:color w:val="auto"/>
        </w:rPr>
        <w:t>Abgeltungsteuer</w:t>
      </w:r>
      <w:r>
        <w:rPr>
          <w:rFonts w:ascii="Times New Roman" w:cs="Times New Roman" w:eastAsia="Times New Roman" w:hAnsi="Times New Roman"/>
          <w:sz w:val="17"/>
          <w:szCs w:val="17"/>
          <w:color w:val="auto"/>
        </w:rPr>
        <w:t>) (plus a 5.5% solidarity surcharge (</w:t>
      </w:r>
      <w:r>
        <w:rPr>
          <w:rFonts w:ascii="Times New Roman" w:cs="Times New Roman" w:eastAsia="Times New Roman" w:hAnsi="Times New Roman"/>
          <w:sz w:val="17"/>
          <w:szCs w:val="17"/>
          <w:i w:val="1"/>
          <w:iCs w:val="1"/>
          <w:color w:val="auto"/>
        </w:rPr>
        <w:t>Solidaritätszuschlag</w:t>
      </w:r>
      <w:r>
        <w:rPr>
          <w:rFonts w:ascii="Times New Roman" w:cs="Times New Roman" w:eastAsia="Times New Roman" w:hAnsi="Times New Roman"/>
          <w:sz w:val="17"/>
          <w:szCs w:val="17"/>
          <w:color w:val="auto"/>
        </w:rPr>
        <w:t>) thereon, resulting in an aggregate rate of 26.375%) plus church tax, if applicable, which is levied in the form of withholding tax (</w:t>
      </w:r>
      <w:r>
        <w:rPr>
          <w:rFonts w:ascii="Times New Roman" w:cs="Times New Roman" w:eastAsia="Times New Roman" w:hAnsi="Times New Roman"/>
          <w:sz w:val="17"/>
          <w:szCs w:val="17"/>
          <w:i w:val="1"/>
          <w:iCs w:val="1"/>
          <w:color w:val="auto"/>
        </w:rPr>
        <w:t>Kapitalertragsteuer</w:t>
      </w:r>
      <w:r>
        <w:rPr>
          <w:rFonts w:ascii="Times New Roman" w:cs="Times New Roman" w:eastAsia="Times New Roman" w:hAnsi="Times New Roman"/>
          <w:sz w:val="17"/>
          <w:szCs w:val="17"/>
          <w:color w:val="auto"/>
        </w:rPr>
        <w:t>). In other words, once deducted, the holder’s income tax liability on the dividends will be settled. Dividend payments to the extent funded from BioNTech’s tax-recognized contribution account (</w:t>
      </w:r>
      <w:r>
        <w:rPr>
          <w:rFonts w:ascii="Times New Roman" w:cs="Times New Roman" w:eastAsia="Times New Roman" w:hAnsi="Times New Roman"/>
          <w:sz w:val="17"/>
          <w:szCs w:val="17"/>
          <w:i w:val="1"/>
          <w:iCs w:val="1"/>
          <w:color w:val="auto"/>
        </w:rPr>
        <w:t>steuerliches Einlagekonto</w:t>
      </w:r>
      <w:r>
        <w:rPr>
          <w:rFonts w:ascii="Times New Roman" w:cs="Times New Roman" w:eastAsia="Times New Roman" w:hAnsi="Times New Roman"/>
          <w:sz w:val="17"/>
          <w:szCs w:val="17"/>
          <w:color w:val="auto"/>
        </w:rPr>
        <w:t>), subject to certain prerequisites, do not form part of the taxable dividend income but should lower the holder’s acquisition costs for the BioNTech ADSs.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Holders of BioNTech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BioNTech ADSs), less the saver’s allowance of €1,000 for an individual or €2,000 for a married couple and a registered civil union (</w:t>
      </w:r>
      <w:r>
        <w:rPr>
          <w:rFonts w:ascii="Times New Roman" w:cs="Times New Roman" w:eastAsia="Times New Roman" w:hAnsi="Times New Roman"/>
          <w:sz w:val="18"/>
          <w:szCs w:val="18"/>
          <w:i w:val="1"/>
          <w:iCs w:val="1"/>
          <w:color w:val="auto"/>
        </w:rPr>
        <w:t>eingetragene Lebenspartnerschaft</w:t>
      </w:r>
      <w:r>
        <w:rPr>
          <w:rFonts w:ascii="Times New Roman" w:cs="Times New Roman" w:eastAsia="Times New Roman" w:hAnsi="Times New Roman"/>
          <w:sz w:val="18"/>
          <w:szCs w:val="18"/>
          <w:color w:val="auto"/>
        </w:rPr>
        <w:t>) filing taxes jointly. The deduction of expenses related to the investment income (including dividends or gains with respect to BioNTech ADSs) is generally not possible for private investors.</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Losses resulting from the disposal of BioNTech ADSs can only be offset against capital gains from the sale of any shares (</w:t>
      </w:r>
      <w:r>
        <w:rPr>
          <w:rFonts w:ascii="Times New Roman" w:cs="Times New Roman" w:eastAsia="Times New Roman" w:hAnsi="Times New Roman"/>
          <w:sz w:val="18"/>
          <w:szCs w:val="18"/>
          <w:i w:val="1"/>
          <w:iCs w:val="1"/>
          <w:color w:val="auto"/>
        </w:rPr>
        <w:t>Aktien</w:t>
      </w:r>
      <w:r>
        <w:rPr>
          <w:rFonts w:ascii="Times New Roman" w:cs="Times New Roman" w:eastAsia="Times New Roman" w:hAnsi="Times New Roman"/>
          <w:sz w:val="18"/>
          <w:szCs w:val="18"/>
          <w:color w:val="auto"/>
        </w:rPr>
        <w:t>) and other ADSs. If, however, a holder holds a Qualifying Participation, 60% of any capital gains resulting from the sale and transfer are taxable at the holder’s personal income tax rate (plus 5.5% solidarity surcharge thereon) plus church tax, if applicable. Conversely, 60% of any capital losses are recognized for tax purposes.</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Church tax generally has to be withheld, if applicable, based on an automatic data access procedure, unless the holder of BioNTech ADSs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Federal Central Tax Office. Where church tax is not levied by way of withholding, it is determined by means of income tax assessment.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BioNTech ADSs as business assets (Betriebsvermögen)</w:t>
      </w:r>
    </w:p>
    <w:p>
      <w:pPr>
        <w:spacing w:after="0" w:line="117"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In case the BioNTech ADSs are held as business assets, the taxation depends on the legal form of the holder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whether the holder is a corporation or an individual).</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Irrespective of the legal form of the holder, dividends are subject to the aggregate withholding tax rate of 26.375% plus church tax, if applicable.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BioNTech ADSs for an uninterrupted minimum holding period of 45 days occurring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BioNTech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of the dividends.</w:t>
      </w:r>
    </w:p>
    <w:p>
      <w:pPr>
        <w:spacing w:after="0" w:line="19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the amount withheld exceeds the income tax liability, the withholding tax may be refunded, provided that certain requirements are met (including the aforementioned requirements).</w:t>
      </w:r>
    </w:p>
    <w:p>
      <w:pPr>
        <w:spacing w:after="0" w:line="160"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Special rules apply to credit institutions (</w:t>
      </w:r>
      <w:r>
        <w:rPr>
          <w:rFonts w:ascii="Times New Roman" w:cs="Times New Roman" w:eastAsia="Times New Roman" w:hAnsi="Times New Roman"/>
          <w:sz w:val="18"/>
          <w:szCs w:val="18"/>
          <w:i w:val="1"/>
          <w:iCs w:val="1"/>
          <w:color w:val="auto"/>
        </w:rPr>
        <w:t>Kreditinstitute</w:t>
      </w:r>
      <w:r>
        <w:rPr>
          <w:rFonts w:ascii="Times New Roman" w:cs="Times New Roman" w:eastAsia="Times New Roman" w:hAnsi="Times New Roman"/>
          <w:sz w:val="18"/>
          <w:szCs w:val="18"/>
          <w:color w:val="auto"/>
        </w:rPr>
        <w:t>), financial services institutions (</w:t>
      </w:r>
      <w:r>
        <w:rPr>
          <w:rFonts w:ascii="Times New Roman" w:cs="Times New Roman" w:eastAsia="Times New Roman" w:hAnsi="Times New Roman"/>
          <w:sz w:val="18"/>
          <w:szCs w:val="18"/>
          <w:i w:val="1"/>
          <w:iCs w:val="1"/>
          <w:color w:val="auto"/>
        </w:rPr>
        <w:t>Finanzdienstleistungsinstitute</w:t>
      </w:r>
      <w:r>
        <w:rPr>
          <w:rFonts w:ascii="Times New Roman" w:cs="Times New Roman" w:eastAsia="Times New Roman" w:hAnsi="Times New Roman"/>
          <w:sz w:val="18"/>
          <w:szCs w:val="18"/>
          <w:color w:val="auto"/>
        </w:rPr>
        <w:t>), financial enterprises (</w:t>
      </w:r>
      <w:r>
        <w:rPr>
          <w:rFonts w:ascii="Times New Roman" w:cs="Times New Roman" w:eastAsia="Times New Roman" w:hAnsi="Times New Roman"/>
          <w:sz w:val="18"/>
          <w:szCs w:val="18"/>
          <w:i w:val="1"/>
          <w:iCs w:val="1"/>
          <w:color w:val="auto"/>
        </w:rPr>
        <w:t>Finanzunternehmen</w:t>
      </w:r>
      <w:r>
        <w:rPr>
          <w:rFonts w:ascii="Times New Roman" w:cs="Times New Roman" w:eastAsia="Times New Roman" w:hAnsi="Times New Roman"/>
          <w:sz w:val="18"/>
          <w:szCs w:val="18"/>
          <w:color w:val="auto"/>
        </w:rPr>
        <w:t>), life insurance and health insurance companies, and pension funds.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principle, dividends that a corporation receives from German or foreign corporations are subject to corporate income tax (and solidarity surcharge thereon) at a rate of 15.825% and also subject to trade tax at a rate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if the holder held at least 10% of the registered share capital (</w:t>
      </w:r>
      <w:r>
        <w:rPr>
          <w:rFonts w:ascii="Times New Roman" w:cs="Times New Roman" w:eastAsia="Times New Roman" w:hAnsi="Times New Roman"/>
          <w:sz w:val="18"/>
          <w:szCs w:val="18"/>
          <w:i w:val="1"/>
          <w:iCs w:val="1"/>
          <w:color w:val="auto"/>
        </w:rPr>
        <w:t>Grundkapital oder Stammkapital</w:t>
      </w:r>
      <w:r>
        <w:rPr>
          <w:rFonts w:ascii="Times New Roman" w:cs="Times New Roman" w:eastAsia="Times New Roman" w:hAnsi="Times New Roman"/>
          <w:sz w:val="18"/>
          <w:szCs w:val="18"/>
          <w:color w:val="auto"/>
        </w:rPr>
        <w:t>) of BioNTech at the beginning of the calendar year, such dividends which we refer to as qualifying dividends. Five percent of the capital gains and five percent of the qualifying dividends are treated as non-deductible business expenses, respectively, and, as such, are subject to corporate income tax (plus solidarity surcharge thereon);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attributable to the respective partner only on a pro rata basis at the ratio of its entitlement to the profits of the partnership.</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Capital gains and dividend income of a German tax resident corporation are generally subject to German trade tax at a rate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BioNTech ADSs are generally not tax deductible for corporate income tax and trade tax purposes.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With regard to individuals holding BioNTech ADSs as business assets, 60% of dividends and capital gains are taxed at the individual’s personal income tax rate (plus 5.5% solidarity surcharge thereon). Correspondingly, only 60% of business expenses related to the dividends and capital gains as well as losses from the sale of BioNTech ADSs are principally deductible for income tax purposes. 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has been reduced for certain individual persons being subject to tax assessments (other than withholding taxes), and in certain cases, the solidarity surcharge has been abolished, subject to the limitations described above in the section “Material German Tax Considerations — Material German income tax consequences for holders of BioNTech ADSs — Taxation of holders tax resident in Germany — German tax resident CureVac shareholders — BioNTech ADSs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German inheritance and gift tax (Erbschaft- und Schenkungsteuer)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of BioNTech ADSs to another person by inheritance or gift generally should be subject to German inheritance and gift tax only if:</w:t>
      </w:r>
    </w:p>
    <w:p>
      <w:pPr>
        <w:spacing w:after="0" w:line="131" w:lineRule="exact"/>
        <w:rPr>
          <w:sz w:val="20"/>
          <w:szCs w:val="20"/>
          <w:color w:val="auto"/>
        </w:rPr>
      </w:pPr>
    </w:p>
    <w:p>
      <w:pPr>
        <w:ind w:left="1080" w:hanging="424"/>
        <w:spacing w:after="0" w:line="25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decedent or donor or heir, beneficiary or other transferee (i) maintained his or her domicile or a usual residence in Germany, (ii) had its place of management or registered office in Germany at the time of the transfer, (iii) is a German citizen who has spent no more than five consecutive years (this term is extended to ten years for German expatriates with residence in the United States) outside of Germany without maintaining a domicile in Germany, or (iv)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9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transfer, the BioNTech ADSs are held by the decedent or donor as business assets forming part of a permanent establishment in Germany or for which a permanent representative in Germany has been appointed;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BioNTech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provisions apply to certain German citizens living outside of Germany and former German citizens.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German transfer tax, value-added tax, stamp duty, or similar taxes are assessed on dividend payments.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of BioNTech for the withholding of tax at source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BioNTech does not assume any responsibility for the deduction of withholding tax (including the solidarity surcharge and, if applicable, the church tax thereon) at source, in accordance with the statutory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Dutch Income Tax Consequences of the Offer and the Post-Offer Reorganization for CureVac Shareholders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This summary solely addresses certain material Dutch tax consequences of the offer and the post-offer reorganization for the CureVac shareholders and does not purport to describe every aspect of taxation that may be relevant to a particular shareholder. This summary does not describe any Dutch tax consequences arising from the Dutch Minimum Tax Act 2024 (the Dutch implementation of Council Directive (EU) 2022/2523 of</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14 December 2022 on ensuring a global minimum level of taxation for multinational enterprise groups and large-scale domestic groups in the EU) which may be relevant for a particular shareholder. Tax matters are complex, and the tax consequences of the offer and the post-offer reorganization to a particular CureVac shareholder will depend in part on such shareholder’s circumstances. Accordingly, CureVac shareholders are urged to consult their tax advisor for a full understanding of the tax consequences of the offer or the post-offer reorganization to them, including the applicability and effect of Dutch tax laws, in light of their particular circumstances.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Where in this summary English terms and expressions are used to refer to Dutch concepts, the meaning to be attributed to such terms and expressions shall be the meaning to be attributed to the equivalent Dutch concepts under Dutch tax law. Where in this summary the terms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Netherlands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Dutch</w:t>
      </w:r>
      <w:r>
        <w:rPr>
          <w:rFonts w:ascii="Times New Roman" w:cs="Times New Roman" w:eastAsia="Times New Roman" w:hAnsi="Times New Roman"/>
          <w:sz w:val="18"/>
          <w:szCs w:val="18"/>
          <w:color w:val="auto"/>
        </w:rPr>
        <w:t>” are used, these refer solely to the European part of the Kingdom of the Netherlands. This summary assumes that BioNTech,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CureVac, and New Topco are organized, and that their respective businesses will be conducted, in the manner outlined in this offer. It is further assumed that New Topco is regarded as a tax resident of Germany exclusively under the double tax treaty between Germany and the Netherlands. A change to such organizational structure, tax residency, or to the manner in which BioNTech, CureVac, or New Topco conducts its business may invalidate the contents of this summary, which will not be updated to reflect any such change.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summary is based on the tax law of the Netherlands (unpublished case law not included) as it stands at the date of this offer. The tax law upon which this summary is based, is subject to changes, possibly with retroactive effect. Any such change may invalidate the contents of this summary, which will not be updated to reflect such change.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summary does not address the Dutch tax consequences for a CureVac shareholder or a New Topco shareholder who:</w:t>
      </w:r>
    </w:p>
    <w:p>
      <w:pPr>
        <w:spacing w:after="0" w:line="131" w:lineRule="exact"/>
        <w:rPr>
          <w:sz w:val="20"/>
          <w:szCs w:val="20"/>
          <w:color w:val="auto"/>
        </w:rPr>
      </w:pPr>
    </w:p>
    <w:p>
      <w:pPr>
        <w:ind w:left="1080" w:right="1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who may be deemed an owner of CureVac shares or New Topco A shares for Dutch tax purposes pursuant to specific statutory attribution rules in Dutch tax law;</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although in principle subject to Dutch corporate income tax, in whole or in part, specifically exempt from that tax in connection with income from CureVac shares or New Topco A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institution as defined in the Dutch Corporate Income Tax Act 1969;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although in principle subject to Dutch corporate income tax, is fully or partly exempt from Dutch corporate income tax;</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CureVac shares or New Topco A shares in connection with a membership of a management board or a supervisory board, an employment relationship, a deemed employment relationship, or management role;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interest in CureVac or New Topco, or a deemed substantial interest in CureVac or New Topco, as the case may be, for Dutch tax purposes. Generally, a person holds a substantial interest if (i) such person — either alone or, in the case of an individual, together with such person’s partner or any of such person’s relatives by blood or by marriage in the direct line (including foster-children) or of those of such person’s partner for Dutch tax purposes — owns or is deemed to own, directly or indirectly, five percent or more of the shares or of any class of shares of CureVac or New Topco, as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case may be, or rights to acquire, directly or indirectly, such an interest in the shares CureVac or New Topco, as the case may be, or profit participating certificates relating to five percent or more of the annual profits or to five percent or more of the liquidation proceeds of CureVac or New Topco, as the case may be, or (ii) such person’s shares, rights to acquire shares, or profit participating certificates in CureVac or New Topco, as the case may be, are held by such person following the application of a non-recognition provision; or</w:t>
      </w:r>
    </w:p>
    <w:p>
      <w:pPr>
        <w:spacing w:after="0" w:line="85"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Dutch tax purposes taxable as a corporate entity and resident of Aruba, Curaçao, or Sint Maarten.</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tender their CureVac shares in the offer</w:t>
      </w:r>
    </w:p>
    <w:p>
      <w:pPr>
        <w:spacing w:after="0" w:line="254" w:lineRule="exact"/>
        <w:rPr>
          <w:sz w:val="20"/>
          <w:szCs w:val="20"/>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Taxes on Income and Capital Gains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Resident CureVac shareholders</w:t>
      </w:r>
    </w:p>
    <w:p>
      <w:pPr>
        <w:spacing w:after="0" w:line="1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CureVac shareholder who is resident or deemed to be resident in the Netherlands for Dutch tax purposes is fully subject to Dutch income tax, if such shareholder is an individual, or fully subject to Dutch corporate income tax, if such shareholder is a corporate entity, or an entity, including an association, a partnership, or a mutual fund, taxable as a corporate entity, as described in the summary below.</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 deriving profits or deemed to be deriving profits from an enterprise</w:t>
      </w:r>
    </w:p>
    <w:p>
      <w:pPr>
        <w:spacing w:after="0" w:line="11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Any benefits derived or deemed to be derived from or in connection with CureVac shares, including as a result of tendering CureVac shares in connection with the offer, that are attributable to an enterprise from which an individual derives profits, whether as an entrepreneur or pursuant to a co-entitlement to the net value of an enterprise, other than as a shareholder, are generally subject to Dutch income tax at progressive rates up to 49.5%.</w:t>
      </w:r>
    </w:p>
    <w:p>
      <w:pPr>
        <w:spacing w:after="0" w:line="1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 deriving benefits from miscellaneous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CureVac shares, including as a result of tendering CureVac shares in connection with the offer, that constitute benefits from miscellaneous activities by an individual are generally subject to Dutch income tax at progressive rates up to 49.5%.</w:t>
      </w:r>
    </w:p>
    <w:p>
      <w:pPr>
        <w:spacing w:after="0" w:line="174"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 individual may,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derive, or be deemed to derive, benefits from or in connection with CureVac shares that are taxable as benefits from miscellaneous activities if such individual’s investment activities go beyond regular active portfolio management.</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Other individuals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a CureVac shareholder is an individual whose situation has not been discussed before in this section “Material Dutch Tax Considerations — Income and dividend withholding tax aspects for CureVac shareholders who tender their shares in the offer — Taxes on Income and Capital Gains — Resident CureVac shareholders”, the value of such shareholder’s CureVac shares forms part of the yield basis for purposes of tax on benefits from savings and investments. A deemed benefit, which is calculated on the basis of a holder’s actual bank savings plus such holder’s actual other investments (including the value of such holder’s CureVac shares), minus such holder’s actual liabilities whilst taking into account a deemed benefit for each of these categories, is taxed at the rate of 36%. For the year 2025, the estimated deemed benefit rate for actual bank savings is 1.44%, the deemed benefit rate for actual other investments is 5.88%, and the estimated deemed benefit rate for actual liabilities is 2.62%. The estimated deemed return percentages will be confirmed at a future date. Actual benefits derived from or in connection with their CureVac shares, including as a result of tendering their CureVac shares in connection with the offer, are in principle not subject to Dutch income tax.</w:t>
      </w:r>
    </w:p>
    <w:p>
      <w:pPr>
        <w:spacing w:after="0" w:line="186"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However, on June 6 and 14, 2024, the Dutch Supreme Court (</w:t>
      </w:r>
      <w:r>
        <w:rPr>
          <w:rFonts w:ascii="Times New Roman" w:cs="Times New Roman" w:eastAsia="Times New Roman" w:hAnsi="Times New Roman"/>
          <w:sz w:val="18"/>
          <w:szCs w:val="18"/>
          <w:i w:val="1"/>
          <w:iCs w:val="1"/>
          <w:color w:val="auto"/>
        </w:rPr>
        <w:t>Hoge Raad</w:t>
      </w:r>
      <w:r>
        <w:rPr>
          <w:rFonts w:ascii="Times New Roman" w:cs="Times New Roman" w:eastAsia="Times New Roman" w:hAnsi="Times New Roman"/>
          <w:sz w:val="18"/>
          <w:szCs w:val="18"/>
          <w:color w:val="auto"/>
        </w:rPr>
        <w:t>) ruled that the Dutch income tax regime for savings and investments as described above, which we refer to as the box 3 regime, in certain specific</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circumstances contravenes with Section 1 of the First Protocol to the European Convention on Human Rights in combination with Section 14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European Convention on Human Rights, which we refer to as the rulings. In the rulings, the Dutch Supreme Court introduced a rebuttal provision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tegenbewijsregeling</w:t>
      </w:r>
      <w:r>
        <w:rPr>
          <w:rFonts w:ascii="Times New Roman" w:cs="Times New Roman" w:eastAsia="Times New Roman" w:hAnsi="Times New Roman"/>
          <w:sz w:val="18"/>
          <w:szCs w:val="18"/>
          <w:color w:val="auto"/>
        </w:rPr>
        <w:t>) pursuant to which taxpayers have the possibility to demonstrate that the actual return realized by the taxpayer in respect of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investments assets (as calculated in line with the rules as set out in the rulings), is less than the deemed return realized by the taxpayer in respect of those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(as calculated in accordance with the rules of the box 3 regime). The rebuttal provision introduced by the Dutch Supreme Court as well as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set out in the rulings have been implemented in Dutch tax law pursuant to the Dutch Box 3 Rebuttal Scheme Act (</w:t>
      </w:r>
      <w:r>
        <w:rPr>
          <w:rFonts w:ascii="Times New Roman" w:cs="Times New Roman" w:eastAsia="Times New Roman" w:hAnsi="Times New Roman"/>
          <w:sz w:val="18"/>
          <w:szCs w:val="18"/>
          <w:i w:val="1"/>
          <w:iCs w:val="1"/>
          <w:color w:val="auto"/>
        </w:rPr>
        <w:t>Wet tegenbewijsregeling box 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taxpayer successfully demonstrates that the actual return is less than the deemed return (using a standardized form), the taxpayer will be taxed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actual return instead of the deemed return. Therefore, CureVac shareholders who are taxed in this manner with respect to their shares are advised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consult a professional tax advisor.</w:t>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benefits derived or deemed to be derived from or in connection with CureVac shares, including as a result of tendering their CureVac shares in connection with the offer, that are held by a corporate entity, or an entity, including an association, a partnership, or a mutual fund, taxable as a corporate entity, are generally subject to Dutch corporate income tax.</w:t>
      </w:r>
    </w:p>
    <w:p>
      <w:pPr>
        <w:spacing w:after="0" w:line="1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 CureVac shareholder will not be deemed to be resident in the Netherlands for Dutch tax purposes by reason only of the execution and/or enforcement of the documents relating to the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Non-resident CureVac shareholders</w:t>
      </w:r>
    </w:p>
    <w:p>
      <w:pPr>
        <w:spacing w:after="0" w:line="1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CureVac shareholder is an individual who is neither resident nor deemed to be resident in the Netherlands for purposes of Dutch income tax, they will not be subject to Dutch income tax in respect of any benefits derived or deemed to be derived from or in connection with CureVac shares, except if:</w:t>
      </w:r>
    </w:p>
    <w:p>
      <w:pPr>
        <w:spacing w:after="0" w:line="81" w:lineRule="exact"/>
        <w:rPr>
          <w:sz w:val="20"/>
          <w:szCs w:val="20"/>
          <w:color w:val="auto"/>
        </w:rPr>
      </w:pPr>
    </w:p>
    <w:p>
      <w:pPr>
        <w:ind w:left="1080" w:right="12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derive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their CureVac shares are attributable to such permanent establishment or permanent representative; or</w:t>
      </w:r>
    </w:p>
    <w:p>
      <w:pPr>
        <w:spacing w:after="0" w:line="85"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derive benefits or is deemed to derive benefits from or in connection with CureVac shares that are taxable as benefits from miscellaneous activities performed in the Netherlands.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Corporate entities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CureVac shareholder is a corporate entity, or an entity including an association, a partnership, or a mutual fund, taxable as a corporate entity, which is neither resident, nor deemed to be resident in the Netherlands for purposes of Dutch corporate income tax, it will not be subject to Dutch corporate income tax in respect of any benefits derived or deemed to be derived from or in connection with CureVac shares, except if:</w:t>
      </w:r>
    </w:p>
    <w:p>
      <w:pPr>
        <w:spacing w:after="0" w:line="81" w:lineRule="exact"/>
        <w:rPr>
          <w:sz w:val="20"/>
          <w:szCs w:val="20"/>
          <w:color w:val="auto"/>
        </w:rPr>
      </w:pPr>
    </w:p>
    <w:p>
      <w:pPr>
        <w:ind w:left="1080" w:hanging="424"/>
        <w:spacing w:after="0" w:line="312"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derives profits from an enterprise directly which is carried on, in whole or in part, through a permanent establishment or a permanent representative in the Netherlands, and to which permanent establishment or permanent representative its CureVac shares are attributable; or</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derives profits pursuant to a co-entitlement to the net value of an enterprise which is managed in the Netherlands, other than as a holder of securities, and to which enterprise its CureVac shares are attributable.</w:t>
      </w:r>
    </w:p>
    <w:p>
      <w:pPr>
        <w:spacing w:after="0" w:line="187" w:lineRule="exact"/>
        <w:rPr>
          <w:sz w:val="20"/>
          <w:szCs w:val="20"/>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Withholding Tax</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No Dutch dividend withholding tax will be withheld or deducted from the payment of the offer consideration by BioNTech to the CureVac shareholders in respect of a disposal of the CureVac shares under the offer.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and dividend withholding tax aspects for CureVac shareholders who do not tender their CureVac shares in the offer</w:t>
      </w:r>
    </w:p>
    <w:p>
      <w:pPr>
        <w:spacing w:after="0" w:line="121" w:lineRule="exact"/>
        <w:rPr>
          <w:sz w:val="20"/>
          <w:szCs w:val="20"/>
          <w:color w:val="auto"/>
        </w:rPr>
      </w:pPr>
    </w:p>
    <w:p>
      <w:pPr>
        <w:jc w:val="both"/>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Following the expiration of the subsequent offering period, the post-offer reorganization will be implemented, including the legal downstream merger, which merger includes an allotment of New Topco A shares, together with a cancellation against payment of the cancellation consideration.</w:t>
      </w:r>
    </w:p>
    <w:p>
      <w:pPr>
        <w:spacing w:after="0" w:line="1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Legal downstream merger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Dutch income tax and corporate income tax consequences for CureVac shareholders in respect of a disposal of the CureVac shares under the legal downstream merger are in principle similar to the Dutch tax treatment of the disposal of the CureVac shares in connection with the offer, unless roll-over relief is available in respect of any gain realized in connection with the legal downstream merger.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Dutch dividend withholding tax is due upon a disposal of the CureVac shares under the legal downstream merger or in respect of receipt of New Topco A shares pursuant to the legal downstream merger.</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Cancellation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Taxes on Income and Capital Gains</w:t>
      </w:r>
    </w:p>
    <w:p>
      <w:pPr>
        <w:spacing w:after="0" w:line="11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Dutch income tax and corporate income tax consequences of the cancellation for a New Topco A shareholder are in principle similar to the Dutch tax treatment of the disposal of CureVac shares in connection with the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New Topco is generally required to withhold Dutch dividend withholding tax at a rate of 15% on dividends distributed by it, subject to potential relief under Dutch domestic law, EU law, or an applicable Dutch income tax treaty, depending on the particular individual circumstances of the relevant New Topco shareholder. The term “dividends distributed by New Topco” as used in this paragraph includes, but is not limited to, payments (in cash or in kind) made pursuant to the cancellation of the New Topco A shares that exceed the fiscally recognized capital immediately prior to the cancellation effective time.</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fiscally recognized capital of New Topco is, immediately following the merger effective time, equal to (i) the fiscally recognized capital of CureVac at the time of the legal downstream merger, or (ii) if lower, the fair market value of CureVac at such time. It is currently expected that the fiscally recognized capital of New Topco will be increased at most by an amount equal to the fair market value of CureVac at the time of the legal downstream merger.</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the cancellation consideration per New Topco A share exceeds the fiscally recognized capital of the New Topco A shares immediately prior to the cancellation effective time, the excess will, in principle, be subject to Dutch dividend withholding tax.</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However, as long as New Topco has its place of effective management in Germany and is therefore exclusively considered a tax resident of Germany under the double tax treaty between Germany and the Netherlands, as currently expected, the Netherlands will be restricted from imposing Dutch dividend withholding tax in respect of the cancellation consideration, except in the event the cancellation consideration is paid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order to apply this regime correctly, New Topco needs to identify its shareholders to assess whether they are Dutch resident holders and Dutch PE holders. As a practical matter, New Topco will not be able to make this confirmation with certainty prior to the cancellation effective time. Therefore, by default, Dutch dividend withholding tax will be withheld on the cancellation consideration if and to the extent the cancellation consideration exceeds the fiscally recognized capital of the New Topco A shares immediately prior to the cancellation effective time.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long as New Topco has its place of effective management in Germany and is therefore exclusively considered a tax resident of Germany under the double tax treaty between Germany and the Netherlands, as currently expected, shareholders who are neither a Dutch resident holder nor a Dutch PE holder may be able to reclaim any Dutch dividend withholding tax withheld from the cancellation consideration via New Topco. See “The Offer — The Post-Offer Reorganization and the New Topco U.S. Tax Election” for more detail.</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Dutch resident holders and Dutch PE holders may be eligible for a (partial) refund from the Dutch tax authorities directly, depending on the particular individual circumstances of the relevant New Topco shareholder. CureVac shareholders should consult their tax advisors regarding the potential refund possibilities in light of their particular circumstances.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can be no assurances as to the success of any refund request.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Dutch tax aspects for CureVac shareholders or New Topco shareholders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 Dutch registration tax, transfer tax, stamp duty, or any other similar documentary tax or duty, is payable in the Netherlands by a CureVac shareholder or a holder of New Topco A shares in connection with the offer or the post-offer reorganization, as applicable.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MAJOR SHAREHOLDERS OF BIONTECH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as of October 17, 2025, regarding the beneficial ownership of BioNTech’s ordinary shares for:</w:t>
      </w:r>
    </w:p>
    <w:p>
      <w:pPr>
        <w:spacing w:after="0" w:line="13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BioNTech to own beneficially five percent or more of BioNTech’s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BioNTech’s supervisory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BioNTech’s management board;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BioNTech’s supervisory board and management board, as a group.</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and member of BioNTech’s supervisory board and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October 17, 2025, through the exercise of any option, warrant, or other right. Except as otherwise indicated, and subject to applicable community property laws, the persons named in the table have sole voting and investment power with respect to all ordinary shares held by that person. All BioNTech ordinary shares and ADSs representing BioNTech ordinary shares vote on an equal basis.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percentage of outstanding ordinary shares is computed on the basis of 240,455,450 ordinary shares outstanding as of October 17, 2025. This amount excludes 8,096,750 shares held in treasury. Amounts presented in this section include BioNTech ordinary shares held in the form of BioNTech ADSs. Unless otherwise indicated, the address for each beneficial owner is An der Goldgrube 12, D-55131 Mainz, Germany.</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300" w:type="dxa"/>
            <w:vAlign w:val="bottom"/>
            <w:vMerge w:val="restart"/>
          </w:tcPr>
          <w:p>
            <w:pPr>
              <w:spacing w:after="0"/>
              <w:rPr>
                <w:sz w:val="12"/>
                <w:szCs w:val="12"/>
                <w:color w:val="auto"/>
              </w:rPr>
            </w:pPr>
          </w:p>
        </w:tc>
        <w:tc>
          <w:tcPr>
            <w:tcW w:w="152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520" w:type="dxa"/>
            <w:vAlign w:val="bottom"/>
            <w:gridSpan w:val="3"/>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76"/>
        </w:trPr>
        <w:tc>
          <w:tcPr>
            <w:tcW w:w="592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5% shareholders</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AT Impf GmbH</w:t>
            </w:r>
            <w:r>
              <w:rPr>
                <w:rFonts w:ascii="Times New Roman" w:cs="Times New Roman" w:eastAsia="Times New Roman" w:hAnsi="Times New Roman"/>
                <w:sz w:val="24"/>
                <w:szCs w:val="24"/>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101,279,878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Medine GmbH</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40,131,958</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5% shareholders, as a group</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141,411,836</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58.8%</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of the Supervisory Board and the Management Board</w:t>
            </w: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6"/>
                <w:szCs w:val="16"/>
                <w:color w:val="auto"/>
              </w:rPr>
              <w:t>Prof. Ugur Sahin, M.D.</w:t>
            </w:r>
            <w:r>
              <w:rPr>
                <w:rFonts w:ascii="Times New Roman" w:cs="Times New Roman" w:eastAsia="Times New Roman" w:hAnsi="Times New Roman"/>
                <w:sz w:val="23"/>
                <w:szCs w:val="23"/>
                <w:color w:val="auto"/>
                <w:vertAlign w:val="superscript"/>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41,415,044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Annemarie Hanekamp</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2"/>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Ramón Zapata-Gomez</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 xml:space="preserve">Jens Holstein </w:t>
            </w:r>
            <w:r>
              <w:rPr>
                <w:rFonts w:ascii="Times New Roman" w:cs="Times New Roman" w:eastAsia="Times New Roman" w:hAnsi="Times New Roman"/>
                <w:sz w:val="23"/>
                <w:szCs w:val="23"/>
                <w:color w:val="auto"/>
                <w:vertAlign w:val="superscript"/>
              </w:rPr>
              <w:t>(4)</w:t>
            </w: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line="210" w:lineRule="exact"/>
              <w:rPr>
                <w:sz w:val="20"/>
                <w:szCs w:val="20"/>
                <w:color w:val="auto"/>
              </w:rPr>
            </w:pPr>
            <w:r>
              <w:rPr>
                <w:rFonts w:ascii="Times New Roman" w:cs="Times New Roman" w:eastAsia="Times New Roman" w:hAnsi="Times New Roman"/>
                <w:sz w:val="16"/>
                <w:szCs w:val="16"/>
                <w:color w:val="auto"/>
              </w:rPr>
              <w:t>Sierk Poetting, Ph.D.</w:t>
            </w:r>
            <w:r>
              <w:rPr>
                <w:rFonts w:ascii="Times New Roman" w:cs="Times New Roman" w:eastAsia="Times New Roman" w:hAnsi="Times New Roman"/>
                <w:sz w:val="24"/>
                <w:szCs w:val="24"/>
                <w:color w:val="auto"/>
                <w:vertAlign w:val="superscript"/>
              </w:rPr>
              <w:t>(5)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692,539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Ryan Richardson</w:t>
            </w:r>
            <w:r>
              <w:rPr>
                <w:rFonts w:ascii="Times New Roman" w:cs="Times New Roman" w:eastAsia="Times New Roman" w:hAnsi="Times New Roman"/>
                <w:sz w:val="23"/>
                <w:szCs w:val="23"/>
                <w:color w:val="auto"/>
                <w:vertAlign w:val="superscript"/>
              </w:rPr>
              <w:t>(6)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23,048</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James Ryan, Ph.D.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Prof. Özlem Türeci, M.D.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184,998</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line="210" w:lineRule="exact"/>
              <w:rPr>
                <w:sz w:val="20"/>
                <w:szCs w:val="20"/>
                <w:color w:val="auto"/>
              </w:rPr>
            </w:pPr>
            <w:r>
              <w:rPr>
                <w:rFonts w:ascii="Times New Roman" w:cs="Times New Roman" w:eastAsia="Times New Roman" w:hAnsi="Times New Roman"/>
                <w:sz w:val="16"/>
                <w:szCs w:val="16"/>
                <w:color w:val="auto"/>
              </w:rPr>
              <w:t>Helmut Jeggle</w:t>
            </w:r>
            <w:r>
              <w:rPr>
                <w:rFonts w:ascii="Times New Roman" w:cs="Times New Roman" w:eastAsia="Times New Roman" w:hAnsi="Times New Roman"/>
                <w:sz w:val="24"/>
                <w:szCs w:val="24"/>
                <w:color w:val="auto"/>
                <w:vertAlign w:val="superscript"/>
              </w:rPr>
              <w:t>(7)</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1,125,967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Ulrich Wandschneider, Ph.D.</w:t>
            </w:r>
            <w:r>
              <w:rPr>
                <w:rFonts w:ascii="Times New Roman" w:cs="Times New Roman" w:eastAsia="Times New Roman" w:hAnsi="Times New Roman"/>
                <w:sz w:val="23"/>
                <w:szCs w:val="23"/>
                <w:color w:val="auto"/>
                <w:vertAlign w:val="superscript"/>
              </w:rPr>
              <w:t>(8)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1,480</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Baroness Nicola Blackwood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Prof. Anja Morawietz, Ph.D.</w:t>
            </w:r>
            <w:r>
              <w:rPr>
                <w:rFonts w:ascii="Times New Roman" w:cs="Times New Roman" w:eastAsia="Times New Roman" w:hAnsi="Times New Roman"/>
                <w:sz w:val="23"/>
                <w:szCs w:val="23"/>
                <w:color w:val="auto"/>
                <w:vertAlign w:val="superscript"/>
              </w:rPr>
              <w:t>(9)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Michael Motschmann</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Prof. Rudolf Staudigl, Ph.D.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members of the Supervisory Board and Management Board, as a group</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43,445,142</w:t>
            </w:r>
          </w:p>
        </w:tc>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18.1%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5"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101,279,878 ordinary shares held by AT Impf GmbH. The sole shareholder of AT Impf GmbH is ATHOS KG, and, as a result, ATHOS KG is deemed to be the beneficial owner of the securities held by AT Impf GmbH. Thomas Maier is a general partner (</w:t>
      </w:r>
      <w:r>
        <w:rPr>
          <w:rFonts w:ascii="Times New Roman" w:cs="Times New Roman" w:eastAsia="Times New Roman" w:hAnsi="Times New Roman"/>
          <w:sz w:val="18"/>
          <w:szCs w:val="18"/>
          <w:i w:val="1"/>
          <w:iCs w:val="1"/>
          <w:color w:val="auto"/>
        </w:rPr>
        <w:t>Komplementär</w:t>
      </w:r>
      <w:r>
        <w:rPr>
          <w:rFonts w:ascii="Times New Roman" w:cs="Times New Roman" w:eastAsia="Times New Roman" w:hAnsi="Times New Roman"/>
          <w:sz w:val="18"/>
          <w:szCs w:val="18"/>
          <w:color w:val="auto"/>
        </w:rPr>
        <w:t>) of ATHOS KG and may be deemed to be beneficial owners of the securities held by AT Impf GmbH. Mr. Maier disclaims beneficial ownership of such shares except to the extent of their pecuniary interest therein.</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 of Medine GmbH is Prof. Ugur Sahin, M.D. and, as a result, Ugur Sahin is deemed to be the beneficial owner of the securities held by Medine GmbH. Consists of 39,111,390 ordinary shares held by Medine GmbH and 1,020,568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note 2 above, plus 1,283,086 ordinary shares held directly by Ugur Sahin. He is the sole shareholder of Medine GmbH.</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Holstein retired effective June 30, 2025.</w:t>
      </w:r>
    </w:p>
    <w:p>
      <w:pPr>
        <w:spacing w:after="0" w:line="9" w:lineRule="exact"/>
        <w:rPr>
          <w:rFonts w:ascii="Times New Roman" w:cs="Times New Roman" w:eastAsia="Times New Roman" w:hAnsi="Times New Roman"/>
          <w:sz w:val="18"/>
          <w:szCs w:val="18"/>
          <w:color w:val="auto"/>
        </w:rPr>
      </w:pPr>
    </w:p>
    <w:p>
      <w:pPr>
        <w:jc w:val="both"/>
        <w:ind w:left="540" w:right="22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549,387 ordinary shares held by Tofino GmbH (Sierk Poetting is sole shareholder of Tofino GmbH), (ii) 141,514 ordinary shares held directly by Sierk Poetting, and (iii) 1,638 ordinary shares held by his immediate family. Mr. Poetting disclaims beneficial ownership of the 1,638 ordinary shares held by his immediate family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Richardson stepped down from his positions on September 30,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332,316 ordinary shares held directly by Helmut Jeggle and (ii) 793,651 ordinary shares held by Salvia GmbH.</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1,480 ordinary shares held by beebusy Capital GmbH. Ulrich Wandschneider is sole shareholder of beebusy Capital GmbH.</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 ordinary shares held directly by Anja Morawietz and (ii) 40 ordinary shares held by her immediate family.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PURCHASE AGREEMENT</w:t>
      </w:r>
    </w:p>
    <w:p>
      <w:pPr>
        <w:spacing w:after="0" w:line="227"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of this offer to exchange/prospectus summarizes the material provisions of the Purchase Agreement, which is attached as Annex A to this offer to exchange/prospectus and is incorporated herein by reference. As a CureVac shareholder, you are not a third-party beneficiary of the Purchase Agreement and therefore you may not directly enforce any of its terms and conditions.</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may not contain all of the information about the Purchase Agreement that is important to you. BioNTech urges you to carefully read the full text of the Purchase Agreement because it is the legal document that governs the offer. The Purchase Agreement is not intended to provide you with any factual information about BioNTech. In particular, the assertions embodied in the representations and warranties contained in the Purchase Agreement (and summarized below) are qualified by information each of BioNTech and CureVac filed with the SEC prior to the date of the Purchase Agreement, as well as by certain disclosure letters each party delivered to the other in connection with the signing of the Purchase Agreement, which modify, qualify, and create exceptions to the representations and warranties set forth in the Purchase Agreement. Moreover, some of those representations and warranties may not be accurate or complete as of any specified date, may apply contractual standards of materiality in a way that is different from what may be viewed as material by investors or that is different from standards of materiality generally applicable under the U.S. federal securities laws or may not be intended as statements of fact, but rather as a way of allocating risk among the parties to the Purchase Agreement. The representations and warranties and other provisions of the Purchase Agreement and the description of such provisions in this offer to exchange/prospectus should not be read alone but instead should be read in conjunction with the other information contained in the reports, statements, and filings that BioNTech and CureVac file with or furnish to (to the extent incorporated into this offer to exchange/prospectus by reference) the SEC and the other information in this offer to exchange/prospectus. See “Where You Can Find More Information and Incorporation by Reference” beginning on page 167.</w:t>
      </w:r>
    </w:p>
    <w:p>
      <w:pPr>
        <w:spacing w:after="0" w:line="185"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BioNTech acknowledges that, notwithstanding the inclusion of the foregoing cautionary statements, BioNTech is responsible for considering whether additional specific disclosures of material information regarding material contractual provisions are required to make the statements in this offer to exchange/prospectus not misleading.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Offered to CureVac Shareholders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of the Purchase Agreement, BioNTech will offer to exchange each CureVac share validly tendered and not properly withdrawn pursuant to the offer for the right to receive a number of BioNTech ADS equal to the amount obtained by dividing $5.4641 by the BioNTech ADS VWAP. In the event the BioNTech ADS VWAP is greater than or equal to $126.55, the exchange ratio will be 0.04318, and in the event the BioNTech ADS VWAP is less than or equal to $84.37, the exchange ratio will be 0.06476.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Commencement and Expiration of the Offer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Purchase Agreement, BioNTech must commence the offer promptly (and, in any event, within two business days) after the registration statement is declared effective under the Securities Act and the EU prospectus (as defined in the Purchase Agreement) is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The offer will expire at 9:00 a.m. (New York City time) on December 3, 2025, unless extended or terminated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Acceptance of CureVac Shares in the Offer</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BioNTech to accept for exchange, and the obligation of BioNTech to issue and cause to be transferred BioNTech ADSs in exchange for, any CureVac shares validly tendered and not properly withdrawn pursuant to the offer will be subject to the satisfaction or waiver of the closing conditions set forth below 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heading “The Purchase Agreement — Conditions to Closing of the Offer.” If BioNTech accepts CureVac shares in the offer in accordance with the terms of the Purchase Agreement, then BioNTech and CureVac and their respective subsidiaries, as applicable, will effectuate or cause to be effectuated the post-offer reorganization.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Extension of the Offer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BioNTech may extend the offer to such other date and time as may be agreed in writing by BioNTech and CureVac, and BioNTech will extend the offer for any minimum period as required by the SEC (including, without limitation, for any period required under Rule 14d-4 or Rule 14e-1 under the Exchange Act) or Nasdaq.</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BioNTech will also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if it is not reasonably likely that, within such 10 business-day extension period, a required antitrust approval will be obtained and/or a legal restraint will be removed.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outside date will be automatically extended for up to two additional 90-day periods.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order to allow sufficient time to determine the BioNTech ADS VWAP, BioNTech will also extend the offer if, on any date that is less than five consecutive Nasdaq trading days prior to then-scheduled expiration time, all conditions to the offer have been satisfied or waived by BioNTech or CureVac, in each case to the extent any such condition to the offer is for the benefit of BioNTech or CureVac, respectively, such that the offer will expire at 5:00 p.m. (New York City time) on the fifth consecutive Nasdaq trading day following such date.</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Following the acceptance time, BioNTech will provide a subsequent offering period in accordance with Rule 14d-11 promulgated under the Exchange Act for not less than 10 business days (calculated in accordance with Rule 14d-1(g)(3) under the Exchange Act).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Treatment of CureVac Equity Awards</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CureVac VSOP Awards</w:t>
      </w:r>
      <w:r>
        <w:rPr>
          <w:rFonts w:ascii="Times New Roman" w:cs="Times New Roman" w:eastAsia="Times New Roman" w:hAnsi="Times New Roman"/>
          <w:sz w:val="18"/>
          <w:szCs w:val="18"/>
          <w:color w:val="auto"/>
        </w:rPr>
        <w:t>. As promptly as practicable following the date of the Purchase Agreement, CureVac will use reasonable best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18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CureVac PSUs</w:t>
      </w:r>
      <w:r>
        <w:rPr>
          <w:rFonts w:ascii="Times New Roman" w:cs="Times New Roman" w:eastAsia="Times New Roman" w:hAnsi="Times New Roman"/>
          <w:sz w:val="18"/>
          <w:szCs w:val="18"/>
          <w:color w:val="auto"/>
        </w:rPr>
        <w:t>. At the closing of the offer, each CureVac PSU that is outstanding as of immediately prior to the closing of the offer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vested solely with respect to any time-vesting conditions applicable thereto and (i) if the performance-vesting conditions applicable to such CureVac PSU have been satisfied in full immediately prior to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closing of the offer, will be cancelled for no consideration.</w:t>
      </w:r>
    </w:p>
    <w:p>
      <w:pPr>
        <w:spacing w:after="0" w:line="182"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CureVac RSUs</w:t>
      </w:r>
      <w:r>
        <w:rPr>
          <w:rFonts w:ascii="Times New Roman" w:cs="Times New Roman" w:eastAsia="Times New Roman" w:hAnsi="Times New Roman"/>
          <w:sz w:val="18"/>
          <w:szCs w:val="18"/>
          <w:color w:val="auto"/>
        </w:rPr>
        <w:t>. At the closing of the offer, each CureVac RSU that is outstanding as of immediately prior to the closing of the offer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vested and will be settled in cash (without interest and subject to any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applicable tax withholdings) in an amount equal to the product obtained by multiplying (i) the CureVac value per share by (ii) the total number of CureVac shares subject to such CureVac RSU as of immediately prior to the closing of the offer.</w:t>
      </w:r>
    </w:p>
    <w:p>
      <w:pPr>
        <w:spacing w:after="0" w:line="16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CureVac Options</w:t>
      </w:r>
      <w:r>
        <w:rPr>
          <w:rFonts w:ascii="Times New Roman" w:cs="Times New Roman" w:eastAsia="Times New Roman" w:hAnsi="Times New Roman"/>
          <w:sz w:val="18"/>
          <w:szCs w:val="18"/>
          <w:color w:val="auto"/>
        </w:rPr>
        <w:t>. At the closing of the offer, each CureVac option that is outstanding as of immediately prior to the closing of the offer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lieu of any fractional BioNTech ADSs that otherwise would be issuable pursuant to the offer, each holder of CureVac shares who otherwise would be entitled to receive a fraction of a BioNTech ADS pursuant to the offer (after aggregating all CureVac shares tendered in the offer (and not validly withdrawn) by such holder) will be paid an amount in cash (without interest and subject to any applicable dividend withholding tax) equal to such fractional part of a BioNTech ADS multiplied by the BioNTech ADS VWAP, rounded to the nearest whole cent.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Post-Offer Reorganization and the New Topco U.S. Tax Election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BioNTech will effectuate, or cause to be effectuated, in which case CureVac and its subsidiaries will effectuate, a corporate reorganization (referred to as the post-offer reorganization) consisting of the legal downstream merger, the post-downstream merger share sale, and the cancellation, in that order, provided that each step of the post-offer reorganization is permitted under applicable law. In addition, BioNTech will effectuate, or cause to be effectuated, the New Topco U.S. tax election, to be effective after the cancellation.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Purchase Agreement contains a number of representations and warranties made by BioNTech, on the one hand, and CureVac, on the other hand. The representations and warranties were made by the parties as of the date of the Purchase Agreement and, with respect to the representations and warranties made by CureVac, are repeated, subject to materiality qualifiers with respect to specific representations and warranties, as of the expiration time for purposes of determining whether the conditions to the offer are satisfied, but do not survive the acceptance time. Certain of these representations and warranties are subject to specified exceptions and qualifications contained in the Purchase Agreement and qualified by information with respect to each of BioNTech and CureVac filed with or furnished to the SEC prior to the date of the Purchase Agreement and in the disclosure letters delivered by BioNTech and CureVac in connection with the Purchase Agreement.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CureVac</w:t>
      </w:r>
    </w:p>
    <w:p>
      <w:pPr>
        <w:spacing w:after="0" w:line="121" w:lineRule="exact"/>
        <w:rPr>
          <w:sz w:val="20"/>
          <w:szCs w:val="20"/>
          <w:color w:val="auto"/>
        </w:rPr>
      </w:pPr>
    </w:p>
    <w:p>
      <w:pPr>
        <w:ind w:left="120" w:right="320" w:firstLine="440"/>
        <w:spacing w:after="0" w:line="254" w:lineRule="auto"/>
        <w:rPr>
          <w:sz w:val="20"/>
          <w:szCs w:val="20"/>
          <w:color w:val="auto"/>
        </w:rPr>
      </w:pPr>
      <w:r>
        <w:rPr>
          <w:rFonts w:ascii="Times New Roman" w:cs="Times New Roman" w:eastAsia="Times New Roman" w:hAnsi="Times New Roman"/>
          <w:sz w:val="18"/>
          <w:szCs w:val="18"/>
          <w:color w:val="auto"/>
        </w:rPr>
        <w:t>In the Purchase Agreement, CureVac has made customary representations and warranties to BioNTech, including representations relating to, among other things: its organization, valid existence, and standing under the laws of the jurisdiction in which its business is being conducted; its subsidiaries; its articles of association and bylaws; its capitalization; its corporate power and authority relative to the Purchase Agreement and the transactions; required governmental authorizations or filings or other consents and approvals, and the absence of violations or conflicts of its or its subsidiaries’ organizational documents and contracts; public SEC filings and financial statements; certain business practices, including controls and procedures over disclosures and financial reporting; the absence of certain changes or events; the absence of undisclosed liabilities; compliance with laws, including sanctions laws, healthcare laws, and other regulatory matters; the absence of litigation; real property; intellectual property matters, including software, IT systems, privacy, and data protection; tax matters; tax free reorganization matters; employee benefit plan matters; labor and employment matters; environmental matters;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material contracts; financial advisor fees and expenses; the opinion of CureVac’s financial advisor with respect to the fairness of the offer consideration; insurance matters; anti-takeover measures; the accuracy of information supplied for purposes of the offer documents and the Schedule 14D-9; related party transactions and Rule 14d-10 matters; and the absence of representations and warranties by BioNTech except as set forth in the Purchase Agreement.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representations and warranties in the Purchase Agreement made by CureVac are, in certain cases, modified by knowledge, materiality, and company material adverse effect (as defined below) qualifiers. For purposes of the Purchase Agreement, knowledge means the actual knowledge of certain identified employees and/or members of the CureVac boards,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For purposes of the Purchase Agreement, company material adverse effect means any fact, change, event, development, occurrence, or effect, each of which we refer to as an effect, that, individually or in the aggregate, (i) materially adversely affects, or would reasonably be expected to materially adversely affect, the business, assets, results of operations or condition of CureVac and its subsidiaries, taken as a whole, or (ii) prevents or materially impairs the ability of CureVac to consummate the transactions. Clause (i) of the definition of company material adverse effect excludes:</w:t>
      </w:r>
    </w:p>
    <w:p>
      <w:pPr>
        <w:spacing w:after="0" w:line="94" w:lineRule="exact"/>
        <w:rPr>
          <w:sz w:val="20"/>
          <w:szCs w:val="20"/>
          <w:color w:val="auto"/>
        </w:rPr>
      </w:pPr>
    </w:p>
    <w:p>
      <w:pPr>
        <w:ind w:left="1080" w:right="50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Germany, the United States, the Netherlands, or any other country or region in the world in which CureVac or its subsidiaries conduct business;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CureVac or any of its subsidiaries conduct business;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currency, or exchange rates or in the price of any commodity, security, or market index;</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Purchase Agreement in applicable law (or enforcement or the interpretation thereof), tariffs issued by any governmental authority after the date of the Purchase Agreement, or in IFRS or other applicable accounting standards (or the interpretation thereof) and changes after the date of the Purchase Agreement in stock exchange rules or listing standards (or the enforcement or interpretation thereof);</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CureVac or its subsidiaries operate;</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ratings of any securities or indebtedness of CureVac or any of its subsidiaries, any change of the ratings or the ratings outlook for CureVac or any of its subsidiaries by any applicable rating agency and the consequences of such ratings or outlook decrease, or failure of CureVac to meet, or the publication of any report regarding, any internal or public projections, forecasts, guidance, budgets, predictions, or estimates of or relating to CureVac or any of its subsidiaries (it being understood that the underlying facts and circumstances giving rise to any such change or failure may, if not otherwise excluded, be deemed to constitute and be taken into account in determining whether a company material adverse effect has occurred or will occur);</w:t>
      </w:r>
    </w:p>
    <w:p>
      <w:pPr>
        <w:spacing w:after="0" w:line="92"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Purchase Agreement or the announcement or pendency of the transactions (including by reason of the identity of BioNTech), including any disruption in supplier, distributor, customer, partner, licensing or similar relationships or any loss of employees (other than certain specified exceptions);</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occurrence, or continuation of any force majeure events, including any earthquakes, floods, hurricanes, tropical storms, fires, or other natural or manmade disasters, any epidemic,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pandemic, or other similar outbreak (including any non-human epidemic, pandemic, or other similar outbreak), or any other national, international, or regional calamity;</w:t>
      </w:r>
    </w:p>
    <w:p>
      <w:pPr>
        <w:spacing w:after="0" w:line="67" w:lineRule="exact"/>
        <w:rPr>
          <w:sz w:val="20"/>
          <w:szCs w:val="20"/>
          <w:color w:val="auto"/>
        </w:rPr>
      </w:pPr>
    </w:p>
    <w:p>
      <w:pPr>
        <w:ind w:left="1080" w:hanging="532"/>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or threatened by shareholders of CureVac (whether on behalf of CureVac or otherwise) asserting allegations of breach of fiduciary duty relating to the Purchase Agreement or violations of securities laws in connection with the company disclosure documents (as defined in the Purchase Agreement);</w:t>
      </w:r>
    </w:p>
    <w:p>
      <w:pPr>
        <w:spacing w:after="0" w:line="81"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expressly required to be taken pursuant to the Purchase Agreement or any action taken at the express written direction of BioNTech;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ongoing litigation between CureVac and BioNTech, including any potential dismissal or mutually agreed settlement thereof;</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provided that, with respect to subclauses (A), (B), (C), (D), (E), (G), and (I), if such effect disproportionately affects CureVac and its subsidiaries, taken as a whole, compared to other companies operating in the same industry and market as CureVac and its subsidiaries, then, only such incremental disproportionate impact or impacts will be taken into account in determining whether there has been, or would reasonably be expected to be, a company material adverse effect.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Purchase Agreement provides, among other things, that CureVac has represented that the CureVac boards, at a meeting duly called and held, (i) determined that the Purchase Agreement and the transactions are in the best interests of CureVac and the sustainable success of its business, having considered the interest of its shareholders, employees, and other relevant stakeholders, (ii) approved and adopted the Purchase Agreement (including the execution, delivery and performance thereof) and approved the transactions, and (iii) unanimously resolved, on the terms and subject to the conditions set forth in Purchase Agreement, including the no solicitation/adverse recommendation change clauses, to support the offer and to recommend acceptance of the offer by the shareholders of CureVac and to recommend approval and adoption of the matters at the EGM.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BioNTech</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the Purchase Agreement, BioNTech has also made customary representations and warranties to CureVac that are subject to specified exemptions and qualifications contained in the Purchase Agreement.</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BioNTech’s representations and warranties include representations relating to, among other things: organization, valid existence, and standing of BioNTech; corporate power and authority relative to the Purchase Agreement and the transactions; required governmental authorizations or filings or other consents and approvals, and the absence of violations of its organizational documents; public SEC filings and financial statements; its capitalization; certain business practices, including controls and procedures over disclosures and financial reporting; the absence of certain changes or events; the absence of undisclosed liabilities; the absence of litigation; the absence of ownership of CureVac’s shares with certain exceptions, and the absence of voting trusts or other agreements to which BioNTech is party with respect to the voting of CureVac’s shares, other than the tender and support agreements; accuracy of information supplied for purposes of the offer documents and the Schedule 14D-9; tax-free reorganization matters; the absence of certain agreements; and the absence of representations and warranties by CureVac except as set forth in the Purchase Agreement.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BioNTech’s representations and warranties are, in certain cases, modified by knowledge, materiality, and buyer material adverse effect (as defined below). For purposes of the Purchase Agreement, buyer material adverse effect means an effect that, individually or in the aggregate, (i) materially adversely affects, or would reasonably be expected to materially adversely affect, the business, assets, results of operations or condition (financial or otherwise) of BioNTech and its subsidiaries, taken as a whole, or (ii) prevents or materially impairs the ability of BioNTech to consummate the transactions. Clause (i) of the definition of buyer material adverse effect excludes:</w:t>
      </w:r>
    </w:p>
    <w:p>
      <w:pPr>
        <w:spacing w:after="0" w:line="89" w:lineRule="exact"/>
        <w:rPr>
          <w:sz w:val="20"/>
          <w:szCs w:val="20"/>
          <w:color w:val="auto"/>
        </w:rPr>
      </w:pPr>
    </w:p>
    <w:p>
      <w:pPr>
        <w:ind w:left="1080" w:right="44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Germany, the United States, the Netherlands, or any other country or region in the world in which Buyer or any of its Subsidiaries conduct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BioNTech or any of its subsidiaries conduct business;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currency, or exchange rates or in the price of any commodity, security or market index;</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Purchase Agreement in applicable law (or the enforcement or interpretation thereof), tariffs issued by any governmental authority after the date of the Purchase Agreement, changes after the date of the Purchase Agreement in IFRS or other applicable accounting standards (or the interpretation thereof), and changes after the date of the Purchase Agreement in stock exchange rules or listing standards (or the enforcement or interpretation thereof);</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BioNTech or its subsidiaries operate;</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ratings of any securities or indebtedness of BioNTech or any of its subsidiaries, any change or prospective change of the ratings or the ratings outlook for BioNTech or any of its subsidiaries by any applicable rating agency and the consequences of such ratings or outlook decrease, or the change in, or failure of BioNTech to meet, or the publication of any report regarding, any internal or public projections, forecasts, guidance, budgets, predictions, or estimates of or relating to BioNTech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w:t>
      </w:r>
    </w:p>
    <w:p>
      <w:pPr>
        <w:spacing w:after="0" w:line="94"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Purchase Agreement or the announcement or pendency of the transactions (including by reason of the identity of CureVac), including any disruption in supplier, distributor, customer, partner, licensing, or similar relationships or any loss of employees (other than certain specified exceptions);</w:t>
      </w:r>
    </w:p>
    <w:p>
      <w:pPr>
        <w:spacing w:after="0" w:line="81"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w:t>
      </w:r>
    </w:p>
    <w:p>
      <w:pPr>
        <w:spacing w:after="0" w:line="81" w:lineRule="exact"/>
        <w:rPr>
          <w:rFonts w:ascii="Times New Roman" w:cs="Times New Roman" w:eastAsia="Times New Roman" w:hAnsi="Times New Roman"/>
          <w:sz w:val="18"/>
          <w:szCs w:val="18"/>
          <w:color w:val="auto"/>
        </w:rPr>
      </w:pPr>
    </w:p>
    <w:p>
      <w:pPr>
        <w:ind w:left="1080" w:right="440" w:hanging="532"/>
        <w:spacing w:after="0" w:line="312"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brought or threatened by shareholders of BioNTech (whether on behalf of BioNTech or otherwise) asserting allegations of breach of fiduciary duty relating to the Purchase Agreement or violations of securities laws in connection with the offer documents;</w:t>
      </w:r>
    </w:p>
    <w:p>
      <w:pPr>
        <w:spacing w:after="0" w:line="45" w:lineRule="exact"/>
        <w:rPr>
          <w:rFonts w:ascii="Times New Roman" w:cs="Times New Roman" w:eastAsia="Times New Roman" w:hAnsi="Times New Roman"/>
          <w:sz w:val="17"/>
          <w:szCs w:val="17"/>
          <w:color w:val="auto"/>
        </w:rPr>
      </w:pPr>
    </w:p>
    <w:p>
      <w:pPr>
        <w:ind w:left="1080" w:right="480" w:hanging="532"/>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expressly required to be taken pursuant to the Purchase Agreement, or any action taken at the express written direction of CureVac;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ongoing litigation between the BioNTech and CureVac, including any potential dismissal or mutually agreed settlement thereof;</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provided that, with respect to subclauses (A), (B), (C), (D), (E), (G), and (I), if such effect disproportionately affects BioNTech and its subsidiaries, taken as a whole, compared to other companies operating in the same industry and market as BioNTech and its subsidiaries, then, only such incremental disproportionate impact or impacts will be taken into account in determining whether there has been, or would reasonably be expected to be, a buyer material adverse effect.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CureVac</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From the date of the Purchase Agreement until the closing of the offer or the earlier termination of the Purchase Agreement in accordance with its terms, except as (i) expressly required or expressly contemplated by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the Purchase Agreement, (ii) set forth on the disclosure letter that CureVac delivered to BioNTech concurrently with the execution of the Purchase Agreement, which we refer to as the CureVac disclosure letter, (iii) required by applicable law, or (iv) consented to in advance in writing by BioNTech, CureVac has agreed to (a) conduct its business in all material respects in the ordinary course of CureVac and its subsidiaries and (b) use commercially reasonable efforts to preserve intact its business organization and material business relationships with third parties, including manufacturers, suppliers, vendors, distributors, governmental authorities, customers, licensors, licensees, and others third parties with which it has material business relationships, and keep available the services of its present officers and key employees, subject to certain exceptions. In addition to the foregoing, from the date of the Purchase Agreement until the closing of the offer or the earlier termination of the Purchase Agreement in accordance with its terms, except as</w:t>
      </w:r>
    </w:p>
    <w:p>
      <w:pPr>
        <w:spacing w:after="0" w:line="2" w:lineRule="exact"/>
        <w:rPr>
          <w:sz w:val="20"/>
          <w:szCs w:val="20"/>
          <w:color w:val="auto"/>
        </w:rPr>
      </w:pPr>
    </w:p>
    <w:p>
      <w:pPr>
        <w:ind w:left="120" w:right="200" w:hanging="4"/>
        <w:spacing w:after="0" w:line="255" w:lineRule="auto"/>
        <w:tabs>
          <w:tab w:leader="none" w:pos="4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required or expressly contemplated by the Purchase Agreement, (x) set forth on the CureVac disclosure letter, (y) required by applicable law or tax law or IFRS, or (z) as consented to in advance by BioNTech in writing (such consent not to be unreasonably withheld, conditioned or delayed), CureVac will not, and will cause its subsidiaries not to:</w:t>
      </w:r>
    </w:p>
    <w:p>
      <w:pPr>
        <w:spacing w:after="0" w:line="9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to, or otherwise change its articles of association, bylaws, or other similar organizational documents;</w:t>
      </w:r>
    </w:p>
    <w:p>
      <w:pPr>
        <w:spacing w:after="0" w:line="130"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CureVac or other wholly owned subsidiaries of CureVac, (iii) redeem, repurchase, or otherwise acquire or offer to redeem, repurchase, or otherwise acquire any CureVac securities or any securities of CureVac’s subsidiaries, except as required by the terms of any CureVac equity plan or CureVac equity awards, (iv) enter into any contract with respect to the voting or registration of its share capital or any other CureVac securities or securities of CureVac’s subsidiaries, or (v) other than offers and sales pursuant to Form S-8 that are otherwise permitted under the Purchase Agreement, register the offer or sale of any class of debt or equity securities pursuant to the Securities Act or otherwise subject any class of debt or equity securities to the periodic reporting requirements of the Exchange Act;</w:t>
      </w:r>
    </w:p>
    <w:p>
      <w:pPr>
        <w:spacing w:after="0" w:line="99"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(i) issue, pledge, dispose, grant, transfer, encumber (or otherwise cause to be subject to any lien), deliver or sell, or authorize the issuance, pledge, disposition, grant, transfer, encumbrance (or subjection to any lien), delivery of or sale of, any shares of any CureVac securities or securities of CureVac’s subsidiaries, other than the issuance of any CureVac shares upon the exercise of CureVac options or CureVac VSOP awards or the settlement of CureVac RSUs and CureVac PSUs that are outstanding on the date of the Purchase Agreement in each case, in accordance with the terms of such CureVac options, CureVac VSOP awards, CureVac RSUs and CureVac PSUs as of the date of the Purchase Agreement; provided that, in the event that CureVac is required to make a performance determination prior to the closing of the offer, such determination will be made in the ordinary course of business of CureVac and its subsidiaries in a manner consistent with past practice, or (ii) adjust or amend the rights of, or any term of, any CureVac security (including CureVac equity awards) or any securities of CureVac’s subsidiaries;</w:t>
      </w:r>
    </w:p>
    <w:p>
      <w:pPr>
        <w:spacing w:after="0" w:line="93"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CureVac; (b) the purchase of equipment, supplies, and inventory in the ordinary course of business of CureVac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54"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license by formation of a joint venture, or otherwise), or otherwise mortgage, encumber, or subject to any lien (other than permitted liens), to any person (including any subsidiary of CureVac) in a single transaction or series of related transactions any of its assets, securities, properties, interests or businesses, including the capital stock of subsidiaries of CureVac, except (i) in the ordinary course of business of CureVac and its subsidiaries in a manner consistent with past practice (including granting non-exclusive licenses under owned company intellectual property (as defined in the Purchase Agreement), for the purpose of enabling research and development by third parties, which, for the avoidance of doubt, will not include commercialization licenses or exclusive licenses to owned company intellectual property), and (ii) disposition of immaterial equipment and immaterial property no longer required in the operation of the business;</w:t>
      </w:r>
    </w:p>
    <w:p>
      <w:pPr>
        <w:spacing w:after="0" w:line="93"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transfer, convey, pledge, encumber, dispose, license, sublicense, abandon, cancel, waive, permit to lapse or relinquish (other than any patent or copyright expiring at the end of its statutory term and not capable of being extended), or impair any owned company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CureVac intellectual property rights, or amend or abandon any patent application or trademark application in CureVac intellectual property rights except as required by diligent prosecution, (iii) fail to exercise a right of renewal or extension under or with respect to any CureVac intellectual property right, or (iv) disclose any confidential and non-public data or information of CureVac, its subsidiaries, or its affiliates without a confidentiality agreement consistent with past practice in place protecting such confidential and non-public data;</w:t>
      </w:r>
    </w:p>
    <w:p>
      <w:pPr>
        <w:spacing w:after="0" w:line="99" w:lineRule="exact"/>
        <w:rPr>
          <w:rFonts w:ascii="Times New Roman" w:cs="Times New Roman" w:eastAsia="Times New Roman" w:hAnsi="Times New Roman"/>
          <w:sz w:val="18"/>
          <w:szCs w:val="18"/>
          <w:color w:val="auto"/>
        </w:rPr>
      </w:pPr>
    </w:p>
    <w:p>
      <w:pPr>
        <w:jc w:val="both"/>
        <w:ind w:left="1080" w:right="180" w:hanging="532"/>
        <w:spacing w:after="0" w:line="312" w:lineRule="auto"/>
        <w:tabs>
          <w:tab w:leader="none" w:pos="10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CureVac product, (ii) make any material change to, discontinue, terminate, or suspend any clinical study, or (iii) qualify any new site for manufacturing of any CureVac product unless in line with existing development plans;</w:t>
      </w:r>
    </w:p>
    <w:p>
      <w:pPr>
        <w:spacing w:after="0" w:line="45"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renew, extend, modify, terminate, or waive any rights under, in each case, in any material respect, any real property lease or material contract required under the Purchase Agreement to be listed in a specific section of the CureVac disclosure letter (or any CureVac real property lease or material contract that if entered into prior to the date of the Purchase Agreement would be a CureVac real property lease or any contract required to be listed thereunder) or any affiliate agreement (subject to certain exceptions);</w:t>
      </w:r>
    </w:p>
    <w:p>
      <w:pPr>
        <w:spacing w:after="0" w:line="85"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CureVac disclosure letter, make any loans, advances, or capital contributions to, or investments in, any other person, other than loans, advances or capital contributions among CureVac and any of its wholly owned subsidiaries and capital contributions to or investments in its wholly owned subsidiaries, in each case in the ordinary course of business of CureVac and its subsidiaries in a manner consistent with past practice;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CureVac and any of its wholly owned subsidiaries or between any of such wholly owned subsidiaries or guarantees by CureVac of indebtedness of any wholly owned subsidiary of CureVac, in each case in the ordinary course of business of CureVac and its subsidiaries in a manner consistent with past practice;</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CureVac plan or collective bargaining agreement (as defined in the Purchase Agreement), in each case, in effect as of the date of the Purchase Agreement, (i) increase the annualized compensation or benefits of any then-current CureVac service provider (other than annual increases in base salary or hourly wage rate, as applicable, in the ordinary course of business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7" w:lineRule="auto"/>
        <w:rPr>
          <w:sz w:val="20"/>
          <w:szCs w:val="20"/>
          <w:color w:val="auto"/>
        </w:rPr>
      </w:pPr>
      <w:r>
        <w:rPr>
          <w:rFonts w:ascii="Times New Roman" w:cs="Times New Roman" w:eastAsia="Times New Roman" w:hAnsi="Times New Roman"/>
          <w:sz w:val="17"/>
          <w:szCs w:val="17"/>
          <w:color w:val="auto"/>
        </w:rPr>
        <w:t>CureVac and its subsidiaries in a manner consistent with past practice), (ii) grant any equity (or equity-based) award to any current, former, or future CureVac service provider, (iii) grant any rights to severance, termination pay, retention, or change in control benefit or agreement to any CureVac service provider or increase the amount of such rights, (iv) establish, adopt, enter into, amend, or terminate any CureVac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CureVac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CureVac service provider or otherwise pay any amounts or provide any benefits (including the forgiveness of indebtedness of any loan) not required to be paid to such individual under the applicable CureVac plan or collective bargaining agreement, in each case, as in effect as of the date of the Purchase Agreement,</w:t>
      </w:r>
    </w:p>
    <w:p>
      <w:pPr>
        <w:spacing w:after="0" w:line="2" w:lineRule="exact"/>
        <w:rPr>
          <w:sz w:val="20"/>
          <w:szCs w:val="20"/>
          <w:color w:val="auto"/>
        </w:rPr>
      </w:pPr>
    </w:p>
    <w:p>
      <w:pPr>
        <w:ind w:left="1500" w:hanging="399"/>
        <w:spacing w:after="0"/>
        <w:tabs>
          <w:tab w:leader="none" w:pos="1500"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or terminate the employment of any CureVac service provider (other than a termination for cause), or (ix) promote any employee</w:t>
      </w:r>
    </w:p>
    <w:p>
      <w:pPr>
        <w:spacing w:after="0" w:line="20" w:lineRule="exact"/>
        <w:rPr>
          <w:rFonts w:ascii="Times New Roman" w:cs="Times New Roman" w:eastAsia="Times New Roman" w:hAnsi="Times New Roman"/>
          <w:sz w:val="17"/>
          <w:szCs w:val="17"/>
          <w:color w:val="auto"/>
        </w:rPr>
      </w:pPr>
    </w:p>
    <w:p>
      <w:pPr>
        <w:ind w:left="1100" w:right="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86" w:lineRule="exact"/>
        <w:rPr>
          <w:rFonts w:ascii="Times New Roman" w:cs="Times New Roman" w:eastAsia="Times New Roman" w:hAnsi="Times New Roman"/>
          <w:sz w:val="17"/>
          <w:szCs w:val="17"/>
          <w:color w:val="auto"/>
        </w:rPr>
      </w:pPr>
    </w:p>
    <w:p>
      <w:pPr>
        <w:ind w:left="1080" w:right="220" w:hanging="532"/>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expenditures, except as consistent with (i) CureVac’s current capital expenditure plan, and (ii) any other subsequent annual capital budget that (a) is prepared in the ordinary course of business of CureVac and its subsidiaries in a manner consistent with past practice by CureVac and approved by the CureVac boards, and (b) provides for total capital expenditures that do not exceed, in the aggregate, 110% of those set forth in the capital expenditure plan referred to in subclause (i) above;</w:t>
      </w:r>
    </w:p>
    <w:p>
      <w:pPr>
        <w:spacing w:after="0" w:line="85"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080" w:right="180" w:firstLine="8"/>
        <w:spacing w:after="0" w:line="260" w:lineRule="auto"/>
        <w:tabs>
          <w:tab w:leader="none" w:pos="13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the Purchase Agreement or any other agreements contemplated thereby or otherwise related to the transactions;</w:t>
      </w:r>
    </w:p>
    <w:p>
      <w:pPr>
        <w:spacing w:after="0" w:line="86" w:lineRule="exact"/>
        <w:rPr>
          <w:rFonts w:ascii="Times New Roman" w:cs="Times New Roman" w:eastAsia="Times New Roman" w:hAnsi="Times New Roman"/>
          <w:sz w:val="18"/>
          <w:szCs w:val="18"/>
          <w:color w:val="auto"/>
        </w:rPr>
      </w:pPr>
    </w:p>
    <w:p>
      <w:pPr>
        <w:ind w:left="1080" w:right="160" w:hanging="532"/>
        <w:spacing w:after="0" w:line="276" w:lineRule="auto"/>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discharge, compromise, settle, or satisfy any liability (whether absolute, accrued, asserted or unasserted, contingent, or otherwise) or any action, inquiry, or investigation against CureVac or any of its subsidiaries or any of their respective directors or officers, other than</w:t>
      </w:r>
    </w:p>
    <w:p>
      <w:pPr>
        <w:ind w:left="1080" w:right="100" w:firstLine="8"/>
        <w:spacing w:after="0" w:line="251" w:lineRule="auto"/>
        <w:tabs>
          <w:tab w:leader="none" w:pos="129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actions relating to taxes, (ii) the payment, discharge, settlement, or satisfaction of claims or liabilities (a) fully covered by insurance, (b) reflected in or reserved against in the CureVac balance sheet (or the notes thereto) (as defined in the Purchase Agreement) and for amounts not in excess of such reserves, (c) related to costs and expenses incurred by CureVac in connection with the transactions, or (d) with respect to any transaction litigation in accordance with, and as permitted by the Purchase Agreement, or (iii) where the amount paid or to be paid by CureVac and its subsidiaries does not exceed $1,000,000 individually, or $5,000,000, in the aggregate (except with respect to settlement of certain matters set forth in the CureVac disclosure letter) (in each case, net of insurance proceeds, indemnity, contribution, or similar payments received or to be received by CureVac or any of its subsidiaries in respect thereof), in each case, only without the imposition of any material restrictions on the business or operations of CureVac or any of its subsidiaries or the imposition of equitable relief on, or the admission of criminal or fraudulent conduct by, CureVac or any of its subsidiaries or any of their respective officers or directors;</w:t>
      </w:r>
    </w:p>
    <w:p>
      <w:pPr>
        <w:spacing w:after="0" w:line="98" w:lineRule="exact"/>
        <w:rPr>
          <w:rFonts w:ascii="Times New Roman" w:cs="Times New Roman" w:eastAsia="Times New Roman" w:hAnsi="Times New Roman"/>
          <w:sz w:val="18"/>
          <w:szCs w:val="18"/>
          <w:color w:val="auto"/>
        </w:rPr>
      </w:pPr>
    </w:p>
    <w:p>
      <w:pPr>
        <w:ind w:left="1080" w:right="100" w:hanging="532"/>
        <w:spacing w:after="0" w:line="289" w:lineRule="auto"/>
        <w:tabs>
          <w:tab w:leader="none" w:pos="10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convene any general meeting of CureVac (or any adjournment or postponement thereof) other than the EGM and any subsequent EGM or pursuant to BioNTech’s request under the Purchase Agreement (unless CureVac determines in good faith, after consultation with outside legal counsel, that such a meeting is required by applicable law, or such a meeting would otherwise be in the ordinary course of business);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532"/>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CureVac’s methods of accounting (including any change to CureVac’s fiscal year), except as required by concurrent changes in IFRS or in Regulation S-X as promulgated by the SEC, as agreed to by its independent public accountants;</w:t>
      </w:r>
    </w:p>
    <w:p>
      <w:pPr>
        <w:spacing w:after="0" w:line="67"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92"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dissolution, restructuring, recapitalization, merger, or other reorganization of CureVac or any of its subsidiaries (other than wholly owned subsidiaries or as contemplated by the Purchase Agreement);</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CureVac and its subsidiaries conducted as of the date of the Purchase Agreement;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certain conditions set forth in the Purchase Agreement not being satisfied, or (iv) impair its ability to perform its obligations under the Purchase Agreement or to consummate the transactions on a timely basis;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propose, authorize, agree, resolve, or commit to do any of the foregoing.</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pre-closing period (as defined in the Purchase Agreement), CureVac will take all actions and implement any measures required to remediate any deficiencies or weaknesses disclosed in any CureVac SEC document or in the CureVac disclosure letter related to CureVac’s (i) system of internal control over financial reporting (as defined in Rules 13a-15(f) and 15d-15(f) of the Exchange Act) regarding the reliability of financial reporting and the preparation of its financial statements for external purposes in accordance with IFRS, or (ii) disclosure controls and procedures (as defined in Rule 13a-15(e) of the Exchange Act).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BioNTech</w:t>
      </w:r>
    </w:p>
    <w:p>
      <w:pPr>
        <w:spacing w:after="0" w:line="121" w:lineRule="exact"/>
        <w:rPr>
          <w:sz w:val="20"/>
          <w:szCs w:val="20"/>
          <w:color w:val="auto"/>
        </w:rPr>
      </w:pPr>
    </w:p>
    <w:p>
      <w:pPr>
        <w:ind w:left="120" w:right="720" w:firstLine="440"/>
        <w:spacing w:after="0" w:line="276" w:lineRule="auto"/>
        <w:rPr>
          <w:sz w:val="20"/>
          <w:szCs w:val="20"/>
          <w:color w:val="auto"/>
        </w:rPr>
      </w:pPr>
      <w:r>
        <w:rPr>
          <w:rFonts w:ascii="Times New Roman" w:cs="Times New Roman" w:eastAsia="Times New Roman" w:hAnsi="Times New Roman"/>
          <w:sz w:val="17"/>
          <w:szCs w:val="17"/>
          <w:color w:val="auto"/>
        </w:rPr>
        <w:t>During the pre-closing period, except as (i) expressly required or expressly contemplated by the Purchase Agreement, (ii) set forth in the disclosure letter delivered by BioNTech to CureVac, which we refer to as the BioNTech disclosure letter, (iii) required by applicable law or</w:t>
      </w:r>
    </w:p>
    <w:p>
      <w:pPr>
        <w:spacing w:after="0" w:line="1" w:lineRule="exact"/>
        <w:rPr>
          <w:sz w:val="20"/>
          <w:szCs w:val="20"/>
          <w:color w:val="auto"/>
        </w:rPr>
      </w:pPr>
    </w:p>
    <w:p>
      <w:pPr>
        <w:ind w:left="120" w:right="260" w:hanging="4"/>
        <w:spacing w:after="0" w:line="265" w:lineRule="auto"/>
        <w:tabs>
          <w:tab w:leader="none" w:pos="42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consented to in advance in writing by CureVac (such consent not to be unreasonably withheld, conditioned, or delayed), BioNTech will, and will cause each of its subsidiaries to, (a) conduct its business in all material respects in the ordinary course of business consistent with past practice and</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use its reasonable best efforts to preserve intact in all material respects its business organization and material business relationships with suppliers, vendors, governmental authorities, customers, and other persons with which BioNTech has material business relationships; provided, that neither BioNTech nor any of its subsidiaries will be required to (or will without CureVac’s prior consent, not to be unreasonably withheld, conditioned, or delayed)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the Purchase Agreement, (x) set forth in the BioNTech disclosure letter, (y) required by applicable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 or tax law or IFRS, or (z) consented to in advance in writing by CureVac (such consent not to be unreasonably withheld, conditioned, or delayed),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BioNTech will not, and will cause its subsidiaries not to:</w:t>
      </w:r>
    </w:p>
    <w:p>
      <w:pPr>
        <w:spacing w:after="0" w:line="112" w:lineRule="exact"/>
        <w:rPr>
          <w:sz w:val="20"/>
          <w:szCs w:val="20"/>
          <w:color w:val="auto"/>
        </w:rPr>
      </w:pPr>
    </w:p>
    <w:p>
      <w:pPr>
        <w:ind w:left="1080" w:right="20" w:hanging="532"/>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BioNTech organizational documents, except for such amendments or changes as would not have or reasonably be expected to have, individually or in the aggregate, a buyer material adverse effect;</w:t>
      </w:r>
    </w:p>
    <w:p>
      <w:pPr>
        <w:spacing w:after="0" w:line="81"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BioNTech or other subsidiaries of BioNTech;</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BioNTech shares or the BioNTech ADSs including pursuant to any recapitalization, merger, issuer tender, or exchange offer or other similar transaction, unless the offer consideration and any other amounts payable pursuant to the transactions are equitably adjusted in order to provide the (former) shareholders of CureVac the same economic benefit as contemplated by the Purchase Agreement prior to such event;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CureVac has agreed not to, and has agreed to cause its subsidiaries and its and their respective directors and officers not to, and CureVac has agreed to, and will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enter into, continue, or otherwise participate in any discussions or negotiations regarding any alternative acquisition proposal, or (iii) authorize, execute, or enter into any letter of intent, agreement in principle, acquisition agreement, or other similar contract (whether or not binding) with respect to an alternative acquisition proposal.</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CureVac has also agreed to, and has also agreed to cause each of its subsidiaries and its and their respective directors and officers to, and will use their reasonable best efforts to cause each of the representatives of CureVac and its subsidiaries to, immediately cease and cause to be terminated any and all existing discussions or negotiations with any person conducted prior to the date of the Purchase Agreement with respect to any alternative acquisition proposal, and has agreed not to modify, amend, or terminate, or waive, release, or assign, any provisions of, any confidentiality or standstill agreement (or any similar agreement) to which CureVac or any of its subsidiaries is a party relating to any such alternative acquisition proposal and has agreed to enforce the provisions of any such agreement. CureVac, however, will be permitted to release or waive the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the CureVac boards on a confidential basis conditioned upon such person agreeing that CureVac will not be prohibited from providing any information to BioNTech regarding any such alternative acquisition proposal in accordance with the terms of the Purchase Agreement.</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CureVac has also agreed to promptly request each person that has prior to the date of the Purchase Agreement executed a confidentiality agreement in connection with its consideration of any alternative acquisition proposal to, in accordance with the terms of such agreement, return or destroy all confidential information furnished prior to the execution of the Purchase Agreement to or for the benefit of such person by or on behalf of CureVac or any of its subsidiaries. CureVac has further agreed that it will promptly inform its representatives of the foregoing obligations.</w:t>
      </w:r>
    </w:p>
    <w:p>
      <w:pPr>
        <w:spacing w:after="0" w:line="17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If CureVac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prior to the expiration time, CureVac may then take the following actions upon giving notice to BioNTech (but only if (i) the CureVac boards determine in good faith, after consultation with its outside legal counsel, that the failure to do so would be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inconsistent with its fiduciary duties under the laws of the Netherlands and (ii) (a) the CureVac boards determine in good faith, after consultation with its outside legal counsel and financial advisor, that such alternative acquisition proposal constitutes or would reasonably be expected to lead to a superior proposal and (b) the submission of such alternative acquisition proposal did not result from or arise in connection with a breach of the non-solicitation covenants undertaken by CureVac, as described in this section):</w:t>
      </w:r>
    </w:p>
    <w:p>
      <w:pPr>
        <w:spacing w:after="0" w:line="85" w:lineRule="exact"/>
        <w:rPr>
          <w:sz w:val="20"/>
          <w:szCs w:val="20"/>
          <w:color w:val="auto"/>
        </w:rPr>
      </w:pPr>
    </w:p>
    <w:p>
      <w:pPr>
        <w:ind w:left="1080" w:hanging="532"/>
        <w:spacing w:after="0" w:line="254"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non-public information with respect to CureVac and its subsidiaries to the person or group making such alternative acquisition proposal (and its representatives), provided that, (A) prior to furnishing any such non-public information, it receives from such person or group an executed confidentiality agreement containing terms at least as restrictive to the person or group in the aggregate as the terms contained in the respective confidentiality agreements (as defined in the Purchase Agreement) are to BioNTech, and which may not contain any exclusivity provision or other term that would restrict, in any manner, CureVac’s ability to consummate the transactions or to comply with its disclosure obligations to BioNTech pursuant to the Purchase Agreement, and (B) prior to or contemporaneously with furnishing any such non-public information to such person or group (or its representatives), it furnishes such non-public information to BioNTech to the extent BioNTech has not previously been provided with such information; and</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or group with respect to such alternative acquisition proposal.</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CureVac is required to notify BioNTech as promptly as practicable (and in any event within 24 hours) after receipt of any alternative acquisition proposal or any request for non-public information or any inquiry that would reasonably be expected to lead to any alternative acquisition proposal, and to provide BioNTech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CureVac (or its outside legal counsel) will keep BioNTech (or its outside legal counsel) informed on a reasonably current basis regarding the status and material terms (including any changes thereto) of discussions and negotiations relating to any such alternative acquisition proposal, request, or inquiry (and within 24 hours after any changes to the material terms thereof) and (ii) CureVac will, as promptly as practicable (and in any event within 24 hours following the receipt or delivery thereof), provide BioNTech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 Purchase Agreement, an alternative acquisition proposal means any inquiry, proposal, indication of interest, or offer from any person or group of persons (or the shareholders of any person) relating to, or that would reasonably be expected to lead to, any of the following transactions:</w:t>
      </w:r>
    </w:p>
    <w:p>
      <w:pPr>
        <w:spacing w:after="0" w:line="81" w:lineRule="exact"/>
        <w:rPr>
          <w:sz w:val="20"/>
          <w:szCs w:val="20"/>
          <w:color w:val="auto"/>
        </w:rPr>
      </w:pPr>
    </w:p>
    <w:p>
      <w:pPr>
        <w:ind w:left="1080" w:right="200" w:hanging="532"/>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pursuant to which any third party acquires or would acquire, directly or indirectly, beneficial ownership (as defined in Rule 13d-3 under the Exchange Act) of more than 20% of the outstanding CureVac shares or other equity securities of CureVac (or options, rights or warrants to purchase, or securities convertible into or exchangeable for, such securities) representing more than 20% of the voting power of CureVac, including pursuant to a stock purchase, merger, consolidation, tender offer, share exchange, or other transaction involving CureVac or any of its subsidiaries;</w:t>
      </w:r>
    </w:p>
    <w:p>
      <w:pPr>
        <w:spacing w:after="0" w:line="88"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transactions pursuant to which any third party acquires or would acquire, directly or indirectly, control of assets (including for this purpose the outstanding equity securities of the CureVac subsidiaries and any entity surviving any merger or combination including any of them) of CureVac or its subsidiaries representing more than 20% of the revenues, net income or assets (in each case, on a consolidated basis) of CureVac and its subsidiaries, taken as a whole;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representing more than 20% of the revenues, net income, or assets (in each case, on a consolidated basis) of CureVac and its subsidiaries, taken as a whole.</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the purposes of the Purchase Agreement, a superior proposal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the Purchase Agreement) and that did not result from a breach of the non-solicitation covenants undertaken by CureVac (as described above) and that the CureVac boards have determined in good faith (after consultation with outside legal counsel and financial advisors), taking into account all legal, financial, regulatory, financing, certainty, timing, and other relevant aspects of the proposal and the person making the proposal (and taking into account any amendment or modification to the Purchase Agreement proposed by BioNTech): (i) is on balance more favorable to CureVac and the sustainable success of its business, taking into account the interests of its shareholders, employees, and other stakeholders, than the transactions, and (ii) is reasonably likely to be consummated. For purposes of the definition of superior proposal, each reference in the definition of alternative acquisition proposal to 20% is deemed to be a reference to 50%.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Adverse Recommendation Change</w:t>
      </w:r>
    </w:p>
    <w:p>
      <w:pPr>
        <w:spacing w:after="0" w:line="121" w:lineRule="exact"/>
        <w:rPr>
          <w:sz w:val="20"/>
          <w:szCs w:val="20"/>
          <w:color w:val="auto"/>
        </w:rPr>
      </w:pPr>
    </w:p>
    <w:p>
      <w:pPr>
        <w:jc w:val="both"/>
        <w:ind w:left="120" w:right="360" w:firstLine="440"/>
        <w:spacing w:after="0" w:line="270" w:lineRule="auto"/>
        <w:rPr>
          <w:sz w:val="20"/>
          <w:szCs w:val="20"/>
          <w:color w:val="auto"/>
        </w:rPr>
      </w:pPr>
      <w:r>
        <w:rPr>
          <w:rFonts w:ascii="Times New Roman" w:cs="Times New Roman" w:eastAsia="Times New Roman" w:hAnsi="Times New Roman"/>
          <w:sz w:val="17"/>
          <w:szCs w:val="17"/>
          <w:color w:val="auto"/>
        </w:rPr>
        <w:t>BioNTech and CureVac have agreed that, subject to certain exceptions, the CureVac boards and committees will not: (i) withhold, qualify, or amend, in a manner adverse to BioNTech, CureVac’s recommendation in favor of the Purchase Agreement, the acceptance of the offer and the other transactions, which we refer to as the CureVac boards’ recommendation, or publicly propose to do the same, or fail to make or include the CureVac boards’ recommendation in the applicable CureVac disclosure documents, or to make any public statement inconsistent with that recommendation;</w:t>
      </w:r>
    </w:p>
    <w:p>
      <w:pPr>
        <w:spacing w:after="0" w:line="3" w:lineRule="exact"/>
        <w:rPr>
          <w:sz w:val="20"/>
          <w:szCs w:val="20"/>
          <w:color w:val="auto"/>
        </w:rPr>
      </w:pPr>
    </w:p>
    <w:p>
      <w:pPr>
        <w:ind w:left="120" w:right="320" w:hanging="4"/>
        <w:spacing w:after="0" w:line="253" w:lineRule="auto"/>
        <w:tabs>
          <w:tab w:leader="none" w:pos="3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any alternative acquisition proposal or publicly propose to do the same; (iii) make any kind of public statement in relation to an alternative acquisition proposal other than a recommendation against it; (iv) fail to publicly recommend against any such alternative acquisition proposal or reaffirm CureVac’s recommendation within 10 business days after any such alternative proposal is made public or after BioNTech’s reasonable, written request to do so (or, under certain circumstances, earlier); or (v) publicly propose to do any of the above; any of the foregoing being referred to as an adverse recommendation change.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BioNTech and CureVac have also agreed that the CureVac boards and committees will not approve or recommend or allow CureVac or any of its affiliates to execute or enter into any memorandum of understanding, merger agreement, acquisition agreement, or other similar contract (i) relating to any alternative acquisition proposal or offer that would reasonably be expected to lead to an alternative acquisition proposal or (ii) requiring it to abandon, terminate, or fail to consummate the transactions, nor will it publicly propose to do the same, which we refer to as an alternative acquisition agreement.</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BioNTech and CureVac have further agreed that the CureVac boards may, solely in response to receiving a superior proposal after the date of the Purchase Agreement, make an adverse recommendation change and validly terminate the Purchase Agreement to enter into an agreement in respect to the superior proposal, only if the following conditions are met:</w:t>
      </w:r>
    </w:p>
    <w:p>
      <w:pPr>
        <w:spacing w:after="0" w:line="81"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not breached any of its non-solicitation obligations and covenants described in the section entitled “The Purchase Agreement</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Covenants and Agreements — No Solicitation,” or any of its obligations and covenants described in this section;</w:t>
      </w:r>
    </w:p>
    <w:p>
      <w:pPr>
        <w:spacing w:after="0" w:line="112"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(a) provided BioNTech four business days’ prior written notice, which will state (x) that CureVac has received a superior proposal, (y) the material terms, consideration, and identity of the offering party along with the most current version of the alternative acquisition agreement and any ancillary documents relating to the superior proposal (with any amendment to the financial or material terms of the superior proposal requiring new notice and new three business days period), and (z) that CureVac’s boards have determined to make an adverse recommendation change and/or terminate the Purchase Agreement and have consulted with outside advisors and determined that failure to make 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adverse recommendation change and/or terminate the Purchase Agreement would be inconsistent with fiduciary duties of the members of CureVac boards under the Laws of the Netherlands; and (b) prior to making an adverse recommendation change or terminating the Purchase Agreement, to the extent requested in writing by BioNTech, CureVac will engage in good faith negotiations with BioNTech during the applicable three or four business day period (as applicable) to amend the Purchase Agreement such that the alternative acquisition agreement ceases to be a superior proposal; and</w:t>
      </w:r>
    </w:p>
    <w:p>
      <w:pPr>
        <w:spacing w:after="0" w:line="89" w:lineRule="exact"/>
        <w:rPr>
          <w:sz w:val="20"/>
          <w:szCs w:val="20"/>
          <w:color w:val="auto"/>
        </w:rPr>
      </w:pPr>
    </w:p>
    <w:p>
      <w:pPr>
        <w:ind w:left="1080" w:hanging="532"/>
        <w:spacing w:after="0" w:line="258"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three or four business day period (as applicable), CureVac’s boards have determined in good faith, after consultation with its outside legal counsel and financial advisor, and after taking into account the revised terms proposed by BioNTech, that the superior proposal continues to be a superior proposal, and the failure to make an adverse recommendation change and/or terminate the Purchase Agreement would continue to be inconsistent with fiduciary duties of the members of CureVac boards under the laws of the Netherlands.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BioNTech and CureVac have agreed that the CureVac boards may, upon the occurrence of an event or change in circumstances arising after the date of the Purchase Agreement and prior to the expiration time that was not known to, or reasonably foreseeable by, CureVac’s boards as of the date of the Purchase Agreement, and that has not arisen as a result of any actions taken by CureVac in breach of the Purchase Agreement, which causes the CureVac boards to determine in good faith (after consultation with its outside legal counsel and financial advisor) that the failure to make an adverse recommendation change would be inconsistent with fiduciary duties of the members of CureVac boards under the laws of the Netherlands (subject to certain exceptions, including the receipt, existence, or terms of an alternative acquisition proposal or any matter relating thereto or consequence thereof, any change in the market price or trading volume of the CureVac shares or the BioNTech ADSs, or any ongoing litigation between the BioNTech and CureVac, among others), which we refer to as an intervening event, at any time prior to the expiration time, make an adverse recommendation change, or authorize or propose publicly to do the same, only if the following conditions are met:</w:t>
      </w:r>
    </w:p>
    <w:p>
      <w:pPr>
        <w:spacing w:after="0" w:line="94" w:lineRule="exact"/>
        <w:rPr>
          <w:sz w:val="20"/>
          <w:szCs w:val="20"/>
          <w:color w:val="auto"/>
        </w:rPr>
      </w:pPr>
    </w:p>
    <w:p>
      <w:pPr>
        <w:ind w:left="1080" w:right="40" w:hanging="532"/>
        <w:spacing w:after="0" w:line="254"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has (a) provided four business days’ prior written notice, which will provide (y) reasonably detailed information describing the intervening event and the rationale for the adverse recommendation change and (z) the CureVac boards’ determination to make an adverse recommendation change, and, after consultation with its outside legal counsel and financial advisors, failure to make an adverse recommendation change would be inconsistent with fiduciary duties of the members of CureVac boards under the laws of the Netherlands and (b) prior to making such an adverse recommendation change, to the extent requested in writing by BioNTech, engaged in good faith negotiations with BioNTech during the applicable four business day period to amend the Purchase Agreement in response to the intervening event in such a manner that the failure of the CureVac boards to effect an adverse recommendation change in response to the intervening event would no longer be inconsistent with fiduciary duties of the members of the CureVac boards under the laws of the Netherlands; and</w:t>
      </w:r>
    </w:p>
    <w:p>
      <w:pPr>
        <w:spacing w:after="0" w:line="93"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applicable four business day period, the CureVac boards have determined in good faith (after consultation with its outside legal counsel and financial advisors), in light of the intervening event and after taking into account any revised terms proposed by BioNTech, the failure to make an adverse recommendation change would continue to be inconsistent with fiduciary duties of the members of the CureVac boards under the laws of the Netherlands (with any material change to the circumstances causing the intervening event requiring new notice to BioNTech and a new three business day period).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Purchase Agreement provides that nothing contained therein will prohibit CureVac or the CureVac boards from (A) taking and disclosing to CureVac’s shareholders a position contemplated by Rule 14d-9 and Rule 14e-2(a) promulgated under the Exchange Act (or any similar communication to shareholders in connection with the making or amendment of a tender offer or exchange offer) or (B) making any disclosure to the CureVac shareholders that is required by applicable law or if the CureVac boards determine in good faith (after consultation with outside legal counsel) that the failure to make such disclosure would reasonably be expected to be inconsistent with their duties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under applicable law; provided that any disclosures with respect to any of the foregoing will be considered an adverse recommendation change unless the CureVac boards expressly publicly reaffirm CureVac’s recommendation of approval and adoption of the matters at the EGM.</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Schedule TO; Form F-4</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 later than the date on which BioNTech commences the offer, BioNTech will (i) file with the SEC a Tender Offer Statement on Schedule TO with respect to the offer, which will contain or incorporate by reference an exchange offer and a related letter of transmittal and other appropriate ancillary offer documents required to be included therein (such Schedule TO and the documents included therein, together with any amendments or supplements thereto and including exhibits thereto, we refer to as the offer documents) and (ii) cause the offer documents to be disseminated to holders of CureVac shares to the extent required by applicable U.S. federal securities laws and any other applicable law. No later than 10 business days following the date of the Purchase Agreement, BioNTech will file with the SEC a registration statement on Form F-4 to register under the Securities Act the offer and sale of BioNTech ADSs pursuant to the offer. BioNTech agreed to use its reasonable best efforts to: (a) have the Form F-4 declared effective under the Securities Act as promptly as practicable after such filing, (b) ensure that the Form F-4 complies in all material respects with the applicable provisions of the Exchange Act or Securities Act, and (c) keep the Form F-4 effective for so long as necessary to complete the issuance of BioNTech ADSs.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pre-closing period, subject to the confidentiality agreements, CureVac will, and will cause each of its subsidiaries to, and CureVac and its subsidiaries will cause its and their respective representatives to, (i) afford BioNTech and its representatives reasonable access on reasonable advance notice and in a manner not unreasonably disruptive to the operations of the business of CureVac and its subsidiaries, during normal business hours, to the officers, CureVac senior employees, representatives, auditors, properties, assets, offices, and other facilities and the books and records of CureVac and its subsidiaries and (ii) promptly furnish or cause to be furnished to BioNTech and its representatives copies (including in electronic form) of books, records, and other financial, tax, operating, and other data and information (including the work papers of CureVac’s or its subsidiaries’ independent accountants upon receipt of any required consents from such accountants and subject to the execution of customary access letters) as BioNTech or its representatives may reasonably request in writing. However, the foregoing access will not permit BioNTech and its representatives to conduct any invasive environmental testing or sampling at any of the properties, offices, and other facilities of CureVac and its subsidiaries.</w:t>
      </w:r>
    </w:p>
    <w:p>
      <w:pPr>
        <w:spacing w:after="0" w:line="188"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Notwithstanding the foregoing, CureVac and its subsidiaries will not be obligated to disclose any information if (i) providing such access or disclosing such information would cause significant competitive harm to CureVac or its subsidiaries, or would reasonably be expected to cause a strategic disadvantage to CureVac or its subsidiaries in ongoing legal proceedings between, among others, BioNTech or any of its affiliates, on the one hand, and CureVac or any of its affiliates, on the other hand, if the transactions are not consummated, provided, that CureVac will use its reasonable best efforts to develop an alternative to providing such information so as to address such matters that is reasonably acceptable to BioNTech and CureVac,</w:t>
      </w:r>
    </w:p>
    <w:p>
      <w:pPr>
        <w:spacing w:after="0" w:line="3" w:lineRule="exact"/>
        <w:rPr>
          <w:sz w:val="20"/>
          <w:szCs w:val="20"/>
          <w:color w:val="auto"/>
        </w:rPr>
      </w:pPr>
    </w:p>
    <w:p>
      <w:pPr>
        <w:ind w:left="120" w:right="80" w:hanging="4"/>
        <w:spacing w:after="0" w:line="251" w:lineRule="auto"/>
        <w:tabs>
          <w:tab w:leader="none" w:pos="3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access or disclosing such information would violate any applicable law (including antitrust and privacy laws) or binding agreement entered into prior to the date of the Purchase Agreement, or (iii) in the reasonable judgement of CureVac (following consultation with its outside legal counsel) that would result in the loss of attorney-client privilege with respect to such information or would constitute a waiver of any other privilege or trade secret protection held by CureVac or any of its subsidiaries; provided, that CureVac will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BioNTech and CureVac. CureVac will advise BioNTech in such circumstances that it is unable to comply with BioNTech’s reasonable requests for information pursuant to the immediately preceding</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sentence, and CureVac will reasonably describe the reasons why such information is being withheld. CureVac will be entitled to have representatives present at all times during any inspection by BioNTech or its representatives, and no notice, access, review, or investigation or information provided, made available, or delivered to BioNTech or its representatives pursuant to the foregoing provisions or otherwise will affect any representations or warranties of CureVac or conditions or rights of BioNTech contained in the Purchase Agreement.</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BioNTech and CureVac have agreed that all information and materials provided pursuant to the Purchase Agreement will be subject to the provisions of the confidentiality agreements, which will be deemed terminated as of the closing of the offer.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of Certain Events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party will give prompt notice to the other party of (i) any material written notice or other material communication received by it from any governmental authority during the pre-closing period in connection with the Purchase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the Purchase Agreement and the transactions.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party will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CureVac, the knowledge of CureVac of any breach of or inaccuracy in its representations or warranties set forth in the Purchase Agreement or failure to perform its covenants or agreements set forth in the Purchase Agreement to the extent such inaccuracy, breach, or failure to perform would reasonably be expected to give rise to, individually or in the aggregate, the failure of certain offer conditions or (b) in the case of BioNTech, the knowledge of BioNTech of any breach of, or inaccuracy in, the representations or warranties of BioNTech set forth in the Purchase Agreement or failure to perform the covenants or agreements of BioNTech set forth in the Purchase Agreement to the extent such inaccuracy, breach, or failure to perform would reasonably be expected to, individually or in the aggregate, prevent or materially delay or materially impair the ability of BioNTech to perform its obligations under the Purchase Agreement or to consummate the transactions.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notice described above will not cure any breach of any representation, warranty, obligation, covenant, or agreement contained in the Purchase Agreement or otherwise limit or affect any remedies available in the Purchase Agreement to the party receiving such notice.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w:t>
      </w:r>
    </w:p>
    <w:p>
      <w:pPr>
        <w:spacing w:after="0" w:line="121"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During the pre-closing period, CureVac and BioNTech have agreed to use their reasonable best efforts to consummate the transactions, including to (i) promptly satisfy certain offer conditions set forth in the Purchase Agreement, and (ii) avoid entry of, or effect the dissolution of, any legal orders that would have the effect of preventing or materially delaying the consummation of the transactions. These efforts include, but are not limited to,</w:t>
      </w:r>
    </w:p>
    <w:p>
      <w:pPr>
        <w:spacing w:after="0" w:line="2" w:lineRule="exact"/>
        <w:rPr>
          <w:sz w:val="20"/>
          <w:szCs w:val="20"/>
          <w:color w:val="auto"/>
        </w:rPr>
      </w:pPr>
    </w:p>
    <w:p>
      <w:pPr>
        <w:jc w:val="both"/>
        <w:ind w:left="120" w:right="40" w:hanging="4"/>
        <w:spacing w:after="0" w:line="253" w:lineRule="auto"/>
        <w:tabs>
          <w:tab w:leader="none" w:pos="3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Notification and Report form pursuant to the HSR Act within 20 business days of the date of the Purchase Agreement, and (b) responding as promptly as practicable to any inquiries or requests received from the FTC, the DOJ, or any other governmental authority in connection with antitrust or related matters. BioNTech also agrees to make all required filings with respect to other necessary antitrust approvals and other required regulatory approvals as promptly as practicable.</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CureVac and BioNTech’s outside counsel will consult and cooperate with one another and consider in good faith the views of one another in connection with any proceedings relating to antitrust laws, and each parties’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outside counsel will provide to the other, in advance, any material written analyses, presentations, memoranda, briefs and proposals made or submitted to any governmental authority in connection such proceedings. Either party may limit the disclosure of commercially sensitive portions of such materials to the outside legal counsel and consultants of the other party.</w:t>
      </w:r>
    </w:p>
    <w:p>
      <w:pPr>
        <w:spacing w:after="0" w:line="176"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BioNTech will consult and cooperate with CureVac, and consider in good faith the views of CureVac, in connection with, and will provide to CureVac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CureVac will not make any submissions related to the transactions to any governmental authority in relation to any antitrust law and other required regulatory approvals without the prior approval of BioNTech, such approval not to be unreasonably withheld, delayed, or conditioned; provided that no prior approval is required for the submission of the Notification and Report form pursuant to the HSR Act or any submission related to the transactions reasonably required to comply with CureVac’s statutory obligations.</w:t>
      </w:r>
    </w:p>
    <w:p>
      <w:pPr>
        <w:spacing w:after="0" w:line="17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CureVac and BioNTech will give each other prompt notice of any pending or threatened request, inquiry, or other action brought by a governmental authority, or brought by a third party to a governmental authority, in each case with respect to the transactions under any antitrust laws, which we refer to as an antitrust investigation. To the extent permitted by applicable law and other applicable limitations (including the preservation of attorney-client privilege), each party will use its reasonable best efforts to (i) keep the other informed of the status of any antitrust investigation,</w:t>
      </w:r>
    </w:p>
    <w:p>
      <w:pPr>
        <w:spacing w:after="0" w:line="3" w:lineRule="exact"/>
        <w:rPr>
          <w:sz w:val="20"/>
          <w:szCs w:val="20"/>
          <w:color w:val="auto"/>
        </w:rPr>
      </w:pPr>
    </w:p>
    <w:p>
      <w:pPr>
        <w:ind w:left="120" w:right="160" w:hanging="4"/>
        <w:spacing w:after="0" w:line="253" w:lineRule="auto"/>
        <w:tabs>
          <w:tab w:leader="none" w:pos="3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other’s outside counsel of any material communications received from any governmental authority in connection with any antitrust investigation, and (iii) give each other’s outside counsel reasonable advance notice of all material meetings and teleconferences with any such governmental authority. CureVac and BioNTech will consult with each other in advance and cooperate with the other party’s outside counsel and consider in good faith each other’s views in connection with any such antitrust investigation, including by providing the other party reasonable opportunity to comment on any material analysis, memorandum, or other presentation made or submitted to any such governmental authority.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CureVac will promptly furnish to BioNTech all information required or requested to be included in any application or filing or submission made in connection with applicable antitrust laws or for any other required regulatory approvals. CureVac will have the right to review and, to the extent reasonably practicable, to be consulted in good faith on any material information relating to it or its affiliates that might appear in any such applications or filings, and its comments will be considered by BioNTech in good faith. In the case of information (i) which is commercially sensitive or (ii) the provision of which would infringe antitrust laws, disclosure of such information may be limited to the other party’s outside legal counsel, and such counsel will not disclose such information to the other party.</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of BioNTech and CureVac further agrees to cooperate with the other and use its reasonable best efforts in order to resolve any investigation or other inquiry concerning the transactions initiated by the FTC, the DOJ, or any governmental authority. Each of BioNTech and CureVac’s outside counsel will promptly notify the other’s outside counsel of any material written notice or other communication received by such party from any governmental authority in connection with the transactions and, to the extent reasonably practicable, and allowed by the government authority, all material discussions, telephone calls, and meetings with a governmental authority regarding the transactions will include the representatives of CureVac and BioNTech.</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BioNTech will not be required to, and “reasonable best efforts” will in no event require, or be construed to require, BioNTech or any of its affiliates (as defined in the Purchase Agreement)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defend against, vacate, modify, or suspend any injunction,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CureVac or any of its subsidiaries to take any of the foregoing actions), or otherwise proffer or agree to do any of the foregoing, with respect to any of the businesses, assets or properties of BioNTech, CureVac or any of their respective affiliates or subsidiaries,</w:t>
      </w:r>
    </w:p>
    <w:p>
      <w:pPr>
        <w:spacing w:after="0" w:line="3" w:lineRule="exact"/>
        <w:rPr>
          <w:sz w:val="20"/>
          <w:szCs w:val="20"/>
          <w:color w:val="auto"/>
        </w:rPr>
      </w:pPr>
    </w:p>
    <w:p>
      <w:pPr>
        <w:ind w:left="120" w:right="40" w:hanging="4"/>
        <w:spacing w:after="0" w:line="253" w:lineRule="auto"/>
        <w:tabs>
          <w:tab w:leader="none" w:pos="3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existing relationships or contractual rights or obligations, (vi) take any action, or commit to take any action, or to accept any restriction, commitment, or condition, involving BioNTech, CureVac, or any of their respective affiliates or subsidiaries, or (vii) otherwise offer to take or offer to commit to take any action that would limit BioNTech’s or any of its affiliates’ freedom of action with respect to, or ability to retain, operate, or otherwise exercise full rights of ownership with respect to, businesses, assets or properties of BioNTech, CureVac, or any of their respective affiliates or subsidiaries (or equity interests held by BioNTech or any of its affiliates in entities with businesses, assets or properties).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BioNTech will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CureVac will, and will cause its subsidiaries to, take such actions as reasonably requested by BioNTech in connection with obtaining any such authorizations, consents, expirations, or terminations of any waiting periods, orders and approvals.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BioNTech and CureVac agree to refrain from, and to cause each of their respective affiliates to refrain from, acquiring or agreeing to acquire any assets or businesses that would reasonably be expected to (i) prevent, materially impede, or materially delay receipt of any authorizations, consents, orders, or approvals of governmental authorities, (ii) prevent, materially delay, or impede the closing of the offer, or (iii) cause any governmental authority to object to such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Announcements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CureVac and BioNTech have agreed, subject to certain exceptions, that they will receive consent (which consent is not to be unreasonably withheld, conditioned, or delayed) from each other before issuing, and provide each other with opportunity to review and comment upon, any press release, public announcement, public statement, or other public disclosure with respect to the Purchase Agreement or the transactions (subject to certain exceptions, including as required by applicable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Liability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closing of the offer until six years after the completion of the transactions, BioNTech will cause CureVac and its subsidiaries to indemnify and hold harmless, and provide advances to, the present and former directors and officers of CureVac or its subsidiaries, which we refer to as indemnified persons, in respect of acts or omissions occurring at or prior to the completion of the transactions pursuant to, in accordance with the terms of, and to the fullest extent provided for in CureVac’s organizational documents, as they are in force on the date of the Purchase Agreement and any relevant indemnification agreements and as permitted by applicable law. From closing of the offer until six years after the completion of the transactions, BioNTech will cause CureVac and its subsidiaries to honor and fulfill the obligations of CureVac and its subsidiaries under any and all indemnification agreements in effect as of the date of the Purchase Agreement between CureVac or any of its subsidiaries and any indemnified person as listed in the CureVac disclosure letter.</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the closing of the offer until six years after the completion of the transactions, BioNTech will cause CureVac and its subsidiaries to cause the CureVac articles and rules and regulations (or other similar organizational documents) of CureVac and its subsidiaries to contain provisions with respect to the indemnification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of all indemnified persons that are no less advantageous in the aggregate to the intended beneficiaries than the corresponding provisions contained in CureVac’s and its subsidiaries’ organizational documents in effect on the date of the Purchase Agreement. To the maximum extent permitted by applicable law, such indemnification will be mandatory rather than permissive.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BioNTech will obtain, or cause to be obtained, as of the closing of the offer, a “tail” insurance policy with a claims period of six years after the completion of the transactions with respect to directors’ and officers’ liability insurance covering each person currently covered by CureVac’s directors’ and officers’ liability insurance policy for acts or omissions occurring at or prior to the completion of the transactions on terms that are no less favorable than those of such policy of CureVac in effect on the date of the Purchase Agreement, which insurance will be in effect and prepaid for such period, subject to a premium cap.</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CureVac has agreed that CureVac and the CureVac boards will take all actions within their power and authority necessary so that no anti-takeover measures are or become applicable to the transactions. If any anti-takeover measure becomes applicable to any of the transactions, CureVac and the CureVac boards will grant such approvals and take such actions within their power and authority as are necessary, so that any such transactions may be consummated as promptly as practicable on the terms contemplated by the Purchase Agreement, and otherwise act within their power and authority to eliminate such anti-takeover measures in respect of such transactions.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a one-year period beginning on the date of the closing of the offer, each individual who is an employee of CureVac or its subsidiaries immediately prior to the closing of the offer and who remains employed by CureVac or any of its affiliates (including, following the closing of the offer, BioNTech or any of its subsidiaries) as of immediately following the closing of the offer, each of which we refer to as a continuing employee, will receive from BioNTech (or its applicable affiliate) (i) at least the same base salary and the same target annual bonus opportunity that was provided to such continuing employee immediately prior to the closing of the offer;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of the offer.</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BioNTech will, and will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of the offer, and (ii) credit each continuing employee for any copayments, deductibles, offsets, or similar payments made under a CureVac plan during the plan year that includes the closing of the offer for purposes of satisfying any applicable copayment, deductible, offset, or similar requirements under the comparable plans of BioNTech or any of its controlled affiliates. As of the closing of the offer, BioNTech will, or will cause any of its controlled affiliates to, credit to continuing employees the amount of vacation time that such employees had accrued under any applicable CureVac plan as of the closing, in each case, insofar as not prohibited by applicable law. In addition, as of the closing of the offer, BioNTech will, and will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BioNTech or its controlled affiliates that such continuing employees may be eligible to participate in after the closing of the offer for such continuing employees’ service with CureVac or any of its subsidiaries to the same extent that such service was credited for purposes of any comparable CureVac plan immediately prior to the closing of the offer, except, in each case, to the extent such treatment would result in duplicative benefits.</w:t>
      </w:r>
    </w:p>
    <w:p>
      <w:pPr>
        <w:spacing w:after="0" w:line="19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requested in writing by BioNTech no later than three days prior to the closing of the offer, the CureVac boards or board of directors of the applicable subsidiary (or the appropriate committee thereof)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take actions necessary to terminate any CureVac plan intended to include a code section 401(k) arrangement, such termination to be effective as of the day immediately prior to the closing of the offer and contingent upon the closing of the offer. CureVac will provide BioNTech, prior to the closing of the offer, with evidence that such plan has been terminated (the form and substance of which will be subject to reasonable review and comment by BioNTech). In the event of such a termination, BioNTech will establish or designate a 401(k) retirement plan maintained by BioNTech or an affiliate to accept the rollover of participant accounts distributed from the 401(k) plan maintained by CureVac (including promissory notes evidencing employee loans, if any).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and after the closing of the offer, BioNTech will cause CureVac and its subsidiaries to honor the terms of all collective bargaining agreements to which CureVac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and/or benefits will be governed by any such obligations, rather than the terms of the Purchase Agreement.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 and Agreements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certain other covenants and agreements, including, among other things, covenants and agreements related to the following:</w:t>
      </w:r>
    </w:p>
    <w:p>
      <w:pPr>
        <w:spacing w:after="0" w:line="16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Arrangements</w:t>
      </w:r>
      <w:r>
        <w:rPr>
          <w:rFonts w:ascii="Times New Roman" w:cs="Times New Roman" w:eastAsia="Times New Roman" w:hAnsi="Times New Roman"/>
          <w:sz w:val="18"/>
          <w:szCs w:val="18"/>
          <w:color w:val="auto"/>
        </w:rPr>
        <w:t>. Prior to the closing of the offer, CureVac (acting through the CureVac boards and the compensation committee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CureVac supervisory board) will take all steps that may be required, necessary, or advisable to cause (a) each employment compensation arrangement (as defined in the Purchase Agreement) that has been or, after the date of the Purchase Agreement, will be entered into by CureVac or any of its subsidiaries with any current or former CureVac service provider, (b) the treatment of the company equity awards, in accordance with the terms set forth in the Purchase Agreement, and (c) the applicable terms set forth above under the headings “The Purchase Agreement — Covenants and Agreements — Director and Officer Liability” and “The Purchase Agreement — Covenants and Agreements — Employee Matters” to be approved as an “employment compensation, severance or other employee benefit arrangement” within the meaning of Rule 14d-10(d)(2) promulgated under the Exchange Act and to satisfy the requirements of the non-exclusive safe harbor set forth in Rule 14d-10(d) promulgated under the Exchange Act.</w:t>
      </w:r>
    </w:p>
    <w:p>
      <w:pPr>
        <w:spacing w:after="0" w:line="18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Delisting</w:t>
      </w:r>
      <w:r>
        <w:rPr>
          <w:rFonts w:ascii="Times New Roman" w:cs="Times New Roman" w:eastAsia="Times New Roman" w:hAnsi="Times New Roman"/>
          <w:sz w:val="18"/>
          <w:szCs w:val="18"/>
          <w:color w:val="auto"/>
        </w:rPr>
        <w:t>. CureVac has agreed that, prior to the acceptance time, CureVac will cooperate with BioNTech and use reasonable best efforts to take,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to be taken, all actions, and do or cause to be done all things, reasonably necessary, proper, or advisable on its part under applicable laws and rules and policies of Nasdaq to cause the delisting of CureVac and the CureVac shares from Nasdaq as promptly as practicable after the offer closing and the deregistration of the CureVac shares under the Exchange Act as promptly as practicable after such delisting.</w:t>
      </w:r>
    </w:p>
    <w:p>
      <w:pPr>
        <w:spacing w:after="0" w:line="180"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BioNTech has agreed not to make (and to cause each of its affiliates not to make) any election under Section 338 of the code,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provision of any U.S. state or local or foreign law with respect to CureVac or any of its subsidiaries.</w:t>
      </w:r>
    </w:p>
    <w:p>
      <w:pPr>
        <w:spacing w:after="0" w:line="16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pursuant to the New Topco U.S. tax election, BioNTech will not make any entity classification election pursuant to section 301.7701-3 of the U.S. treasury regulations, with respect to BioNTech or any of its subsidiaries, which election would be effective on or prior to the cancellation effective time.</w:t>
      </w:r>
    </w:p>
    <w:p>
      <w:pPr>
        <w:spacing w:after="0" w:line="176"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BioNTech will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U.S. treasury regulations.</w:t>
      </w:r>
    </w:p>
    <w:p>
      <w:pPr>
        <w:spacing w:after="0" w:line="15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During the one-year period beginning on the date of the cancellation effective time, BioNTech will not transfer any of the assets of CureVac and, after the New Topco U.S. tax election pursuant to conditions set forth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above under the heading “The Purchase Agreement — The Post-Offer Reorganization and the New Topco U.S. Tax Election,” New Topco to any entity that is treated as a corporation for U.S. federal income tax purposes of which BioNTech directly owns, or is considered to directly own, through New Topco, for U.S. federal income tax purposes, at least 80% of the total combined voting power of all classes of stock entitled to vote and at least 80% of each class of other stock.</w:t>
      </w:r>
    </w:p>
    <w:p>
      <w:pPr>
        <w:spacing w:after="0" w:line="17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CureVac and BioNTech have agreed that CureVac will control any action brought against CureVac or any of its subsidiaries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relating in any way to the Purchase Agreement or the transactions, which together we refer to as transaction litigation; provided that CureVac will give BioNTech the right to (i) review and comment in advance on all filings or responses to be made by CureVac in connection with any transaction litigation (and any amendments thereto) and CureVac will consider in good faith any comments proposed by BioNTech, (ii) participate in (at BioNTech’s expense), but not control, the defense of such transaction litigation, (iii) consult on any settlement with respect to such transaction litigation, and (iv) participate in any negotiations or mediation with respect to such transaction litigation, and no settlement will be agreed to without BioNTech’s prior written consent in BioNTech’s sole discretion. CureVac will promptly notify BioNTech of any transaction litigation brought, or, to the knowledge of CureVac, threatened in writing, against CureVac, members of the CureVac boards, or any subsidiary of CureVac, and will keep BioNTech apprised of proposed strategy and other significant decisions with respect to the transaction litigation (to the extent that the attorney-client privilege between CureVac and its counsel is not undermined or otherwise adversely affected).</w:t>
      </w:r>
    </w:p>
    <w:p>
      <w:pPr>
        <w:spacing w:after="0" w:line="187" w:lineRule="exact"/>
        <w:rPr>
          <w:sz w:val="20"/>
          <w:szCs w:val="20"/>
          <w:color w:val="auto"/>
        </w:rPr>
      </w:pPr>
    </w:p>
    <w:p>
      <w:pPr>
        <w:ind w:left="120" w:right="440" w:firstLine="440"/>
        <w:spacing w:after="0" w:line="255" w:lineRule="auto"/>
        <w:rPr>
          <w:sz w:val="20"/>
          <w:szCs w:val="20"/>
          <w:color w:val="auto"/>
        </w:rPr>
      </w:pPr>
      <w:r>
        <w:rPr>
          <w:rFonts w:ascii="Times New Roman" w:cs="Times New Roman" w:eastAsia="Times New Roman" w:hAnsi="Times New Roman"/>
          <w:sz w:val="18"/>
          <w:szCs w:val="18"/>
          <w:color w:val="auto"/>
        </w:rPr>
        <w:t>With respect to pending litigation among BioNTech and CureVac (and other third parties, as the case may be), BioNTech and CureVac have agreed to explore amicable solutions and to implement them, on a case-by-case basis, if and when mutually agreed. To enable such exploration, BioNTech and CureVac and their respective affiliates will take steps to suspend and preserve all on-going proceedings, and not institute new proceedings, at least until the earlier of (i) the closing of the offer, (ii) the termination of the Purchase Agreement in accordance with its terms, (iii) BioNTech no longer performing its obligations under the Purchase Agreement, the satisfaction of which are required for the closing of the offer in accordance with the Purchase Agreement, and (iv) the outside date, including obtaining relevant consents from or consulting with third parties, as applicable.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Business Continuity</w:t>
      </w:r>
      <w:r>
        <w:rPr>
          <w:rFonts w:ascii="Times New Roman" w:cs="Times New Roman" w:eastAsia="Times New Roman" w:hAnsi="Times New Roman"/>
          <w:sz w:val="18"/>
          <w:szCs w:val="18"/>
          <w:color w:val="auto"/>
        </w:rPr>
        <w:t>. After the closing of the offer, BioNTech and CureVac will use reasonable efforts to safeguard that (i) CureVac SE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Free Reorganization Matters. </w:t>
      </w:r>
      <w:r>
        <w:rPr>
          <w:rFonts w:ascii="Times New Roman" w:cs="Times New Roman" w:eastAsia="Times New Roman" w:hAnsi="Times New Roman"/>
          <w:sz w:val="18"/>
          <w:szCs w:val="18"/>
          <w:color w:val="auto"/>
        </w:rPr>
        <w:t>BioNTech and CureVac intend that, for U.S. federal income tax purposes, the offer, taken together with the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downstream merger, the post-downstream merger share sale, the cancellation and the New Topco U.S. tax election, will qualify as one or more “reorganizations” within the meaning of Section 368(a) of the code and the U.S. treasury regulations to which one or both BioNTech and CureVac are to be parties under Section 368(b) of the code and the U.S. treasury regulations and the Purchase Agreement is intended to be, and is adopted as, a plan of reorganization for purposes of Sections 354, 361 and the 368 of the code and within the meaning of U.S. treasury regulations section 1.368-2(g). None of BioNTech or CureVac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U.S. treasury regulations. The offer, taken together with the legal downstream merger, the post-downstream merger share sale, the cancellation, and the New Topco U.S. tax election will be reported by the parties for all tax purposes in accordance with the foregoing, unless otherwise required by a governmental authority as a result of a “determination” within the meaning of Section 1313(a) of the code.</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BioNTech and CureVac will reasonably cooperate with each other in order to obtain a written tax opinion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from one or both of each of its outside counsel or other nationally recognized tax counsel reasonably acceptable to BioNTech or CureVac, solely to the extent one or both of such tax opinions is required by the SEC. Each tax opinion required by the SEC will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U.S. treasury regulations thereunder.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Closing of the Offer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Purchase Agreement or the offer and in addition to BioNTech’s right and obligation to extend, terminate, amend, or modify the offer pursuant to the provisions of the Purchase Agreement and subject to any applicable rules and regulations of the SEC, BioNTech will not be required to, or, in the case of the condition set forth in item (x) below, may not be permitted to, accept for exchange or exchange any CureVac share validly tendered and not properly withdrawn pursuant to the offer unless, as of the scheduled expiration time, the following conditions are satisfied:</w:t>
      </w:r>
    </w:p>
    <w:p>
      <w:pPr>
        <w:spacing w:after="0" w:line="89" w:lineRule="exact"/>
        <w:rPr>
          <w:sz w:val="20"/>
          <w:szCs w:val="20"/>
          <w:color w:val="auto"/>
        </w:rPr>
      </w:pPr>
    </w:p>
    <w:p>
      <w:pPr>
        <w:ind w:left="1200" w:right="20" w:hanging="652"/>
        <w:spacing w:after="0" w:line="261"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CureVac shares having been validly tendered and not properly withdrawn, that, together with the CureVac shares then owned by BioNTech or its affiliates, would be sufficient to meet the minimum condition; provided, that if all other offer conditions have been satisfied and BioNTech has previously extended the offer on four or more occasions of 10 business days each, BioNTech may, in its sole discretion, reduce the minimum condition to 75% of CureVac’s issued and outstanding capital;</w:t>
      </w:r>
    </w:p>
    <w:p>
      <w:pPr>
        <w:spacing w:after="0" w:line="85" w:lineRule="exact"/>
        <w:rPr>
          <w:rFonts w:ascii="Times New Roman" w:cs="Times New Roman" w:eastAsia="Times New Roman" w:hAnsi="Times New Roman"/>
          <w:sz w:val="18"/>
          <w:szCs w:val="18"/>
          <w:color w:val="auto"/>
        </w:rPr>
      </w:pPr>
    </w:p>
    <w:p>
      <w:pPr>
        <w:jc w:val="both"/>
        <w:ind w:left="1200" w:hanging="652"/>
        <w:spacing w:after="0" w:line="266"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necessary antitrust approvals will have been received, or be deemed to have been received due to the expiry or termination of their relevant waiting periods or applicable statutory deadlines (and any extension thereof), or through any other informal comfort letter that is satisfactory to BioNTech, and be in full force and effect;</w:t>
      </w:r>
    </w:p>
    <w:p>
      <w:pPr>
        <w:spacing w:after="0" w:line="81" w:lineRule="exact"/>
        <w:rPr>
          <w:rFonts w:ascii="Times New Roman" w:cs="Times New Roman" w:eastAsia="Times New Roman" w:hAnsi="Times New Roman"/>
          <w:sz w:val="18"/>
          <w:szCs w:val="18"/>
          <w:color w:val="auto"/>
        </w:rPr>
      </w:pPr>
    </w:p>
    <w:p>
      <w:pPr>
        <w:jc w:val="both"/>
        <w:ind w:left="1200" w:right="180" w:hanging="652"/>
        <w:spacing w:after="0" w:line="266"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of a governmental authority prohibiting, rendering illegal, or enjoining the consummation of the offer or the other transactions, including the post-offer reorganization, the legal downstream merger, the post-downstream merger share sale, and the cancellation;</w:t>
      </w:r>
    </w:p>
    <w:p>
      <w:pPr>
        <w:spacing w:after="0" w:line="81" w:lineRule="exact"/>
        <w:rPr>
          <w:rFonts w:ascii="Times New Roman" w:cs="Times New Roman" w:eastAsia="Times New Roman" w:hAnsi="Times New Roman"/>
          <w:sz w:val="18"/>
          <w:szCs w:val="18"/>
          <w:color w:val="auto"/>
        </w:rPr>
      </w:pPr>
    </w:p>
    <w:p>
      <w:pPr>
        <w:ind w:left="1200" w:right="20" w:hanging="652"/>
        <w:spacing w:after="0" w:line="266"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in all respects at and as of the date of the Purchase Agreement and at and as of the expiration time with the same effect as though made at and as of the expiration time of representations and warranties of CureVac regarding the nonexistence of a company material adverse effect since December 31, 2024;</w:t>
      </w:r>
    </w:p>
    <w:p>
      <w:pPr>
        <w:spacing w:after="0" w:line="79" w:lineRule="exact"/>
        <w:rPr>
          <w:rFonts w:ascii="Times New Roman" w:cs="Times New Roman" w:eastAsia="Times New Roman" w:hAnsi="Times New Roman"/>
          <w:sz w:val="18"/>
          <w:szCs w:val="18"/>
          <w:color w:val="auto"/>
        </w:rPr>
      </w:pPr>
    </w:p>
    <w:p>
      <w:pPr>
        <w:ind w:left="1200" w:right="20" w:hanging="652"/>
        <w:spacing w:after="0" w:line="261"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truth and correctness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authorized and issued and outstanding share counts, capitalization, and subsidiaries (including their capitalization);</w:t>
      </w:r>
    </w:p>
    <w:p>
      <w:pPr>
        <w:spacing w:after="0" w:line="87" w:lineRule="exact"/>
        <w:rPr>
          <w:rFonts w:ascii="Times New Roman" w:cs="Times New Roman" w:eastAsia="Times New Roman" w:hAnsi="Times New Roman"/>
          <w:sz w:val="18"/>
          <w:szCs w:val="18"/>
          <w:color w:val="auto"/>
        </w:rPr>
      </w:pPr>
    </w:p>
    <w:p>
      <w:pPr>
        <w:ind w:left="1200" w:right="80" w:hanging="652"/>
        <w:spacing w:after="0" w:line="258"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in all material respects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corporate existence and powers and authorizations to carry on its business, enter into the Purchase Agreement, and consummate the transactions, material contracts, and the fees of its financial advisor;</w:t>
      </w:r>
    </w:p>
    <w:p>
      <w:pPr>
        <w:spacing w:after="0" w:line="88" w:lineRule="exact"/>
        <w:rPr>
          <w:rFonts w:ascii="Times New Roman" w:cs="Times New Roman" w:eastAsia="Times New Roman" w:hAnsi="Times New Roman"/>
          <w:sz w:val="18"/>
          <w:szCs w:val="18"/>
          <w:color w:val="auto"/>
        </w:rPr>
      </w:pPr>
    </w:p>
    <w:p>
      <w:pPr>
        <w:jc w:val="both"/>
        <w:ind w:left="1200" w:right="80" w:hanging="652"/>
        <w:spacing w:after="0" w:line="266"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and correctness (disregarding all materiality qualifications and limitations) at and as of the date of the Purchase Agreement and at and as of the expiration time with the same effect as though made at and as of the expiration time (except to the extent expressly made at and as of an earlier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which case at and as of such earlier date) of all other representations and warranties of CureVac not specified in the foregoing items</w:t>
      </w:r>
    </w:p>
    <w:p>
      <w:pPr>
        <w:spacing w:after="0" w:line="27" w:lineRule="exact"/>
        <w:rPr>
          <w:sz w:val="20"/>
          <w:szCs w:val="20"/>
          <w:color w:val="auto"/>
        </w:rPr>
      </w:pPr>
    </w:p>
    <w:p>
      <w:pPr>
        <w:ind w:left="1200" w:right="100" w:firstLine="9"/>
        <w:spacing w:after="0" w:line="260" w:lineRule="auto"/>
        <w:tabs>
          <w:tab w:leader="none" w:pos="15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 except where the failure to be true and correct would not have or reasonably be expected to have, individually or in the aggregate, a company material adverse effect;</w:t>
      </w:r>
    </w:p>
    <w:p>
      <w:pPr>
        <w:spacing w:after="0" w:line="86" w:lineRule="exact"/>
        <w:rPr>
          <w:rFonts w:ascii="Times New Roman" w:cs="Times New Roman" w:eastAsia="Times New Roman" w:hAnsi="Times New Roman"/>
          <w:sz w:val="18"/>
          <w:szCs w:val="18"/>
          <w:color w:val="auto"/>
        </w:rPr>
      </w:pPr>
    </w:p>
    <w:p>
      <w:pPr>
        <w:ind w:left="1200" w:right="20" w:hanging="652"/>
        <w:spacing w:after="0" w:line="282" w:lineRule="auto"/>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will have performed or complied with, in all material respects, each of the obligations, agreements, and covenants required to be performed by, or complied with by, it under the Purchase Agreement at or prior to the expiration time;</w:t>
      </w:r>
    </w:p>
    <w:p>
      <w:pPr>
        <w:spacing w:after="0" w:line="67" w:lineRule="exact"/>
        <w:rPr>
          <w:rFonts w:ascii="Times New Roman" w:cs="Times New Roman" w:eastAsia="Times New Roman" w:hAnsi="Times New Roman"/>
          <w:sz w:val="18"/>
          <w:szCs w:val="18"/>
          <w:color w:val="auto"/>
        </w:rPr>
      </w:pPr>
    </w:p>
    <w:p>
      <w:pPr>
        <w:ind w:left="1200" w:right="40" w:hanging="652"/>
        <w:spacing w:after="0" w:line="266" w:lineRule="auto"/>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Purchase Agreement, there will not have occurred any company material adverse effect that is continuing (excluding for this purpose any company material adverse effects that prevent or materially impair the ability of CureVac to consummate the transactions);</w:t>
      </w:r>
    </w:p>
    <w:p>
      <w:pPr>
        <w:spacing w:after="0" w:line="81" w:lineRule="exact"/>
        <w:rPr>
          <w:rFonts w:ascii="Times New Roman" w:cs="Times New Roman" w:eastAsia="Times New Roman" w:hAnsi="Times New Roman"/>
          <w:sz w:val="18"/>
          <w:szCs w:val="18"/>
          <w:color w:val="auto"/>
        </w:rPr>
      </w:pPr>
    </w:p>
    <w:p>
      <w:pPr>
        <w:jc w:val="both"/>
        <w:ind w:left="1200" w:hanging="652"/>
        <w:spacing w:after="0" w:line="312" w:lineRule="auto"/>
        <w:tabs>
          <w:tab w:leader="none" w:pos="12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Purchase Agreement, there will not have occurred any buyer material adverse effect that is continuing (excluding for this purpose any buyer material adverse effects that prevent or materially impair the ability of BioNTech to consummate the transactions);</w:t>
      </w:r>
    </w:p>
    <w:p>
      <w:pPr>
        <w:spacing w:after="0" w:line="45" w:lineRule="exact"/>
        <w:rPr>
          <w:rFonts w:ascii="Times New Roman" w:cs="Times New Roman" w:eastAsia="Times New Roman" w:hAnsi="Times New Roman"/>
          <w:sz w:val="17"/>
          <w:szCs w:val="17"/>
          <w:color w:val="auto"/>
        </w:rPr>
      </w:pPr>
    </w:p>
    <w:p>
      <w:pPr>
        <w:ind w:left="1200" w:hanging="652"/>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resolutions at the EGM approving the required resolutions;</w:t>
      </w:r>
    </w:p>
    <w:p>
      <w:pPr>
        <w:spacing w:after="0" w:line="130" w:lineRule="exact"/>
        <w:rPr>
          <w:rFonts w:ascii="Times New Roman" w:cs="Times New Roman" w:eastAsia="Times New Roman" w:hAnsi="Times New Roman"/>
          <w:sz w:val="18"/>
          <w:szCs w:val="18"/>
          <w:color w:val="auto"/>
        </w:rPr>
      </w:pPr>
    </w:p>
    <w:p>
      <w:pPr>
        <w:ind w:left="1200" w:right="60" w:hanging="652"/>
        <w:spacing w:after="0" w:line="282" w:lineRule="auto"/>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CureVac to BioNTech of a certificate signed by an executive officer of CureVac, dated as of the expiration time, certifying as to the satisfaction of the conditions specified in the foregoing items (iv) through (ix);</w:t>
      </w:r>
    </w:p>
    <w:p>
      <w:pPr>
        <w:spacing w:after="0" w:line="67"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no stop order suspending the effectiveness of the registration statement;</w:t>
      </w:r>
    </w:p>
    <w:p>
      <w:pPr>
        <w:spacing w:after="0" w:line="130" w:lineRule="exact"/>
        <w:rPr>
          <w:rFonts w:ascii="Times New Roman" w:cs="Times New Roman" w:eastAsia="Times New Roman" w:hAnsi="Times New Roman"/>
          <w:sz w:val="18"/>
          <w:szCs w:val="18"/>
          <w:color w:val="auto"/>
        </w:rPr>
      </w:pPr>
    </w:p>
    <w:p>
      <w:pPr>
        <w:ind w:left="1200" w:right="260" w:hanging="652"/>
        <w:spacing w:after="0" w:line="266" w:lineRule="auto"/>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required regulatory approvals will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81"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of the Purchase Agreement in accordance with the terms of the Purchase Agreement shall have occurred.</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for the condition set forth in item (x) above, which is for the sole benefit of CureVac and may only be waived by CureVac in writing, the foregoing conditions are for the sole benefit of BioNTech and may be asserted by BioNTech regardless of the circumstances giving rise to any such conditions and, other than the minimum condition, may be waived, subject to applicable law, by BioNTech in whole or in part at any time and from time to time in its sole discretion, in each case, subject to the terms of the Purchase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Purchase Agreement may be terminated and the transactions may be abandoned at any time prior to the acceptance time:</w:t>
      </w:r>
    </w:p>
    <w:p>
      <w:pPr>
        <w:spacing w:after="0" w:line="131" w:lineRule="exact"/>
        <w:rPr>
          <w:sz w:val="20"/>
          <w:szCs w:val="20"/>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BioNTech and CureVac;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BioNTech and CureVac, if:</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66" w:lineRule="auto"/>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has not occurred on or before the outside date, which we refer to as an outside date termination, provided that the outside date termination will not be available to any party that is in breach of its covenants or agreements under the Purchase Agreement where such breach proximately caused the failure of the acceptance time to occur by the outside date;</w:t>
      </w:r>
    </w:p>
    <w:p>
      <w:pPr>
        <w:spacing w:after="0" w:line="81" w:lineRule="exact"/>
        <w:rPr>
          <w:rFonts w:ascii="Times New Roman" w:cs="Times New Roman" w:eastAsia="Times New Roman" w:hAnsi="Times New Roman"/>
          <w:sz w:val="18"/>
          <w:szCs w:val="18"/>
          <w:color w:val="auto"/>
        </w:rPr>
      </w:pPr>
    </w:p>
    <w:p>
      <w:pPr>
        <w:ind w:left="1540" w:right="160" w:hanging="439"/>
        <w:spacing w:after="0" w:line="261" w:lineRule="auto"/>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condition relating to there not being a law or order issued by a governmental authority prohibiting the consummation of the offer is not satisfied, and the applicable law or order has become final, permanent, and non-appealable, which we refer to as a restraints termination, provided that the party seeking to exercise the restraints termination must have complied in all material respects with its obligations described under the section “The Purchase Agreement — Conditions to Closing of the Offer”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180" w:hanging="439"/>
        <w:spacing w:after="0" w:line="258" w:lineRule="auto"/>
        <w:tabs>
          <w:tab w:leader="none" w:pos="15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has expired without all of the conditions to the offer having been satisfied, which we refer to as a condition failure termination, provided that the condition failure termination will not be available to any party to the Purchase Agreement whose breach of any provision of the Purchase Agreement proximately caused the offer to expire without all of the conditions to the offer having been satisfied, and will not be available to BioNTech if BioNTech has not extended the offer in circumstances where BioNTech is required to extend the offer under the Purchase Agreement;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BioNTech:</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CureVac breaches any of its representations or warranties or fails to perform any of its covenants or agreements set forth in the Purchase Agreement, which breach or failure would result in any of the conditions to the offer not being satisfied and such breach or failure cannot be or has not been cured by CureVac by the earlier of (x) the second business day prior to the outside date or (y) 30 days after receipt by CureVac of written notice of such breach or failure, which we refer to as a CureVac breach termination, provided that a CureVac breach termination will not be available if BioNTech is then in material breach of its representations or warranties or then materially failing to perform its covenants, obligations or agreements under the Purchase Agreement;</w:t>
      </w:r>
    </w:p>
    <w:p>
      <w:pPr>
        <w:spacing w:after="0" w:line="9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 which we refer to as an adverse recommendation change termination;</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the governance resolutions have not been adopted, or the post-offer reorganization resolutions have not been adopted, which we refer to as an EGM termination; or</w:t>
      </w:r>
    </w:p>
    <w:p>
      <w:pPr>
        <w:spacing w:after="0" w:line="67" w:lineRule="exact"/>
        <w:rPr>
          <w:rFonts w:ascii="Times New Roman" w:cs="Times New Roman" w:eastAsia="Times New Roman" w:hAnsi="Times New Roman"/>
          <w:sz w:val="18"/>
          <w:szCs w:val="18"/>
          <w:color w:val="auto"/>
        </w:rPr>
      </w:pPr>
    </w:p>
    <w:p>
      <w:pPr>
        <w:jc w:val="both"/>
        <w:ind w:left="1540" w:right="520" w:hanging="439"/>
        <w:spacing w:after="0" w:line="312" w:lineRule="auto"/>
        <w:tabs>
          <w:tab w:leader="none" w:pos="154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willful breach of any of CureVac’s obligations as set forth above under the heading “The Purchase Agreement — Covenants and Agreements — No Solicitation” in any material respect, which we refer to as a solicitation breach termination.</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CureVac:</w:t>
      </w:r>
    </w:p>
    <w:p>
      <w:pPr>
        <w:spacing w:after="0" w:line="130" w:lineRule="exact"/>
        <w:rPr>
          <w:rFonts w:ascii="Times New Roman" w:cs="Times New Roman" w:eastAsia="Times New Roman" w:hAnsi="Times New Roman"/>
          <w:sz w:val="18"/>
          <w:szCs w:val="18"/>
          <w:color w:val="auto"/>
        </w:rPr>
      </w:pPr>
    </w:p>
    <w:p>
      <w:pPr>
        <w:ind w:left="1540" w:right="300" w:hanging="439"/>
        <w:spacing w:after="0" w:line="276" w:lineRule="auto"/>
        <w:tabs>
          <w:tab w:leader="none" w:pos="154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 CureVac has received a superior proposal, (x) the CureVac boards approve, and CureVac concurrently with or immediately following the termination of the Purchase Agreement, enters into, a definitive agreement with respect to such superior proposal,</w:t>
      </w:r>
    </w:p>
    <w:p>
      <w:pPr>
        <w:ind w:left="154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prior to or concurrently with such termination, CureVac pays to BioNTech the company termination compensation (as defined in the Purchase Agreement), and (z) CureVac has not breached in any material respect any of its obligations restricting solicitation under the Purchase Agreement, which we refer to as a superior proposal termination;</w:t>
      </w:r>
    </w:p>
    <w:p>
      <w:pPr>
        <w:spacing w:after="0" w:line="91" w:lineRule="exact"/>
        <w:rPr>
          <w:rFonts w:ascii="Times New Roman" w:cs="Times New Roman" w:eastAsia="Times New Roman" w:hAnsi="Times New Roman"/>
          <w:sz w:val="17"/>
          <w:szCs w:val="17"/>
          <w:color w:val="auto"/>
        </w:rPr>
      </w:pPr>
    </w:p>
    <w:p>
      <w:pPr>
        <w:ind w:left="1540" w:hanging="439"/>
        <w:spacing w:after="0" w:line="25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BioNTech breaches any of its representations or warranties or fails to perform any covenant or agreement set forth in the Purchase Agreement, which breach or failure would result in any of the conditions to the offer not being satisfied and such breach or failure cannot be or has not been cured by the earlier of the second business day prior to the outside date or 30 days after receipt by BioNTech of written notice of such breach or failure, which we refer to as a BioNTech breach termination, provided that a BioNTech breach termination will not be available if CureVac is then in material breach of its representations or warranties or then materially failing to perform its covenants, obligations, or agreements contained in the Purchase Agreement;</w:t>
      </w:r>
    </w:p>
    <w:p>
      <w:pPr>
        <w:spacing w:after="0" w:line="92"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acceptance time has occurred and (y) the first capital increase has not become effective within ninety calendar days after the acceptance time; or</w:t>
      </w:r>
    </w:p>
    <w:p>
      <w:pPr>
        <w:spacing w:after="0" w:line="67" w:lineRule="exact"/>
        <w:rPr>
          <w:rFonts w:ascii="Times New Roman" w:cs="Times New Roman" w:eastAsia="Times New Roman" w:hAnsi="Times New Roman"/>
          <w:sz w:val="18"/>
          <w:szCs w:val="18"/>
          <w:color w:val="auto"/>
        </w:rPr>
      </w:pPr>
    </w:p>
    <w:p>
      <w:pPr>
        <w:ind w:left="1540" w:right="80" w:hanging="439"/>
        <w:spacing w:after="0" w:line="258"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 the acceptance time has occurred, (w) BioNTech has failed to exchange the first company shares (as defined in the Purchase Agreement) within 10 business days following the effectiveness of the first capital increase, (x) the first capital increase has become effective, (y) CureVac delivers written notice to BioNTech demanding that BioNTech after the occurrence of the events described in clauses (v), (w), and (x) make (or cause to be made) such exchange, and (z) BioNTech fails to make (or cause to be made) such exchange within three business days of receiving such notice.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CureVac and BioNTech will each pay all of its own fees, costs, and expenses incurred in connection with the transactions (whether or not they are consummated). In addition, CureVac has agreed to pay BioNTech an amount equal to $43,750,000 (without interest and less any applicable withholding taxes), which we refer to as the company termination compensation, if:</w:t>
      </w:r>
    </w:p>
    <w:p>
      <w:pPr>
        <w:spacing w:after="0" w:line="81"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terminates the Purchase Agreement pursuant to a superior proposal termination;</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terminates the Purchase Agreement pursuant to an adverse recommendation change termination or a solicitation breach termination;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70" w:lineRule="auto"/>
        <w:tabs>
          <w:tab w:leader="none" w:pos="108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 alternative acquisition proposal has been publicly made or otherwise become generally known to the public prior to the acceptance time, (b) the Purchase Agreement is terminated (x) by BioNTech or CureVac pursuant to an outside date termination (subject to certain exceptions), (y) by CureVac or BioNTech pursuant to a condition failure termination and the minimum condition has not been satisfied as of the expiration time (provided that the antitrust clearance condition and the restraints condition have been satisfied as of such date), or</w:t>
      </w:r>
    </w:p>
    <w:p>
      <w:pPr>
        <w:spacing w:after="0" w:line="2" w:lineRule="exact"/>
        <w:rPr>
          <w:rFonts w:ascii="Times New Roman" w:cs="Times New Roman" w:eastAsia="Times New Roman" w:hAnsi="Times New Roman"/>
          <w:sz w:val="17"/>
          <w:szCs w:val="17"/>
          <w:color w:val="auto"/>
        </w:rPr>
      </w:pPr>
    </w:p>
    <w:p>
      <w:pPr>
        <w:ind w:left="108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by BioNTech pursuant to a CureVac breach termination or an EGM termination, and (c) within 12 months of such termination, CureVac enters into a definitive agreement with any third party to consummate, or consummates, any transaction referenced in the definition of alternative acquisition proposal (provided that any references in such definition to 20% will be deemed to be references to 50%) whether or not such third party is the same party whose alternative acquisition proposal has been publicly made or otherwise become generally known.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BioNTech has agreed to pay CureVac an amount equal to $62,500,000, which we refer to as the purchaser termination compensation, if:</w:t>
      </w:r>
    </w:p>
    <w:p>
      <w:pPr>
        <w:spacing w:after="0" w:line="131" w:lineRule="exact"/>
        <w:rPr>
          <w:sz w:val="20"/>
          <w:szCs w:val="20"/>
          <w:color w:val="auto"/>
        </w:rPr>
      </w:pPr>
    </w:p>
    <w:p>
      <w:pPr>
        <w:ind w:left="1080" w:right="20" w:hanging="532"/>
        <w:spacing w:after="0" w:line="258"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an outside date termination, but only if the conditions to the offer that are still unsatisfied at the time of such termination are either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88"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 restraints termination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or</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or CureVac terminates the Purchase Agreement pursuant to a condition failure termination, but only if the conditions to the offer that are still unsatisfied at the time of such termination are any of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BioNTech is not obligated to pay the purchaser termination compensation if CureVac’s breach of its representations, covenants, or agreements under the Purchase Agreement proximately caused a legal restraint on the satisfaction of the offer, or if BioNTech was, at the time of CureVac’s termination, entitled to terminate pursuant to a CureVac breach termination.</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parties to the Purchase Agreement have agreed that the purchaser termination compensation and company termination compensation will, as applicable and except for claims for the willful breach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Purchase Agreement or fraud, be the sole and exclusive remedy of each party and its respective affiliates, on one hand, against the other party and its former, current, or future shareholders, directors, officers, affiliates, agents, or other representatives, on the other hand, for any loss suffered as a result of any breach of any representation, warranty, covenant, or agreement in the Purchase Agreement or the transactions. Each party will compensate the other for all expenses incurred in connection with enforcing the terms of the Purchase Agreement with respect to payment of either the purchaser termination compensation or the company termination compensation. Upon payment of either such amount, the paying party (and its former, current, or future shareholders, directors, officers, affiliates, agents, or other representative) will cease to have any liability under the Purchase Agreement, except with respect to fraud or willful breach.</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Purchase Agreement is validly terminated in accordance with its terms, notice of such termination will be given to the non-terminating party, the Purchase Agreement will become void and of no effect, with no liability remaining on the part of any party to the Purchase Agreement (or any director, officer, employee, shareholder, representative, agent, or advisor of such party). In no event will any such termination relieve any party to the Purchase Agreement from its obligations under the confidentiality agreements and under the Purchase Agreement (i) restricting public disclosure of the transactions, (ii) with respect to the payment of any expenses and each of the purchaser termination compensation and company termination compensation under the Purchase Agreement, and (iii) certain other provisions regarding termination and other miscellaneous provisions. In no event will either party to the Purchase Agreement be relieved of any liability for damages resulting from such party’s fraud or willful breach of the Purchase Agreement prior to its termination.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Purchase Agreement have agreed that irreparable damage would occur if any provision of the Purchase Agreement were not performed in accordance with the Purchase Agreement and that the parties to the Purchase Agreement will be entitled to seek injunctive relief to prevent breaches of the Purchase Agreement or to enforce specifically the performance of the terms and provisions of the Purchase Agreement, in addition to any other remedy to which they are entitled at law or in equity.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Waiver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for in the offer conditions, the Purchase Agreement may only be amended or supplemented at any time by additional written agreements signed by, or on behalf of, the parties to the Purchase Agreement.</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Additionally, no provision of the Purchase Agreement may be waived or extended except by a written instrument signed by the party against whom the waiver or extension is to be effective. No failure or delay on the part of any party in the exercise of any right under the Purchase Agreement will impair such right or be construed to be a waiver of, or acquiescence in, any breach of any representation, warranty, or agreement in the Purchase Agreement, nor will any single or partial exercise of any such right preclude any other or further exercise thereof or of any other right.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Purchase Agreement will be governed by and construed in accordance with Delaware law, except that any matters concerning or implicating the fiduciary duties of the members of the CureVac boards will be governed by and construed in accordance with the applicable fiduciary duty laws of the Netherlands.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Dispute Resolution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Any dispute, controversy, or claim arising out of or relating to the Purchase Agreement (and any subsequent amendments thereof), or the breach, termination, or validity thereof, or the transactions, each a dispute, will be resolved in accordance with this section.</w:t>
      </w:r>
    </w:p>
    <w:p>
      <w:pPr>
        <w:spacing w:after="0" w:line="160" w:lineRule="exact"/>
        <w:rPr>
          <w:sz w:val="20"/>
          <w:szCs w:val="20"/>
          <w:color w:val="auto"/>
        </w:rPr>
      </w:pPr>
    </w:p>
    <w:p>
      <w:pPr>
        <w:jc w:val="both"/>
        <w:ind w:left="120" w:right="34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Consent to Jurisdiction</w:t>
      </w:r>
      <w:r>
        <w:rPr>
          <w:rFonts w:ascii="Times New Roman" w:cs="Times New Roman" w:eastAsia="Times New Roman" w:hAnsi="Times New Roman"/>
          <w:sz w:val="17"/>
          <w:szCs w:val="17"/>
          <w:color w:val="auto"/>
        </w:rPr>
        <w:t>. For purposes of resolving any dispute, BioNTech and CureVac each (i) irrevocably and unconditionally submit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which we refer to as the chosen court,</w:t>
      </w:r>
    </w:p>
    <w:p>
      <w:pPr>
        <w:spacing w:after="0" w:line="1" w:lineRule="exact"/>
        <w:rPr>
          <w:sz w:val="20"/>
          <w:szCs w:val="20"/>
          <w:color w:val="auto"/>
        </w:rPr>
      </w:pPr>
    </w:p>
    <w:p>
      <w:pPr>
        <w:ind w:left="120" w:right="60" w:hanging="4"/>
        <w:spacing w:after="0" w:line="251" w:lineRule="auto"/>
        <w:tabs>
          <w:tab w:leader="none" w:pos="3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attempt to deny or defeat such personal jurisdiction by motion or other request for leave from any such chosen court, (iii) waives any claim of improper venue or any claim that the chosen court is an inconvenient forum, and (iv) agrees that, subject to section (b) below, it will not bring any action relating to a dispute in any court other than the chosen court. Each of BioNTech and CureVac irrevocably and unconditionally waives, and agrees not to assert, by way of motion or as a defense, counterclaim or otherwise, in any action or proceeding arising out of or relating to the Purchase Agreement or the transactions: (a) any claim that BioNTech or CureVac is not personally subject to the jurisdiction of the chosen courts as described in the Purchase Agreement for any reason; (b)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(c) that (x) the action in any such court is brought in an inconvenient forum, (y) the venue of such action is improper, or (z) the Purchase Agreement, or the subject matter thereof, may not be enforced in or by such chosen court.</w:t>
      </w:r>
    </w:p>
    <w:p>
      <w:pPr>
        <w:spacing w:after="0" w:line="191" w:lineRule="exact"/>
        <w:rPr>
          <w:sz w:val="20"/>
          <w:szCs w:val="20"/>
          <w:color w:val="auto"/>
        </w:rPr>
      </w:pPr>
    </w:p>
    <w:p>
      <w:pPr>
        <w:ind w:left="120"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Arbitration</w:t>
      </w:r>
      <w:r>
        <w:rPr>
          <w:rFonts w:ascii="Times New Roman" w:cs="Times New Roman" w:eastAsia="Times New Roman" w:hAnsi="Times New Roman"/>
          <w:sz w:val="17"/>
          <w:szCs w:val="17"/>
          <w:color w:val="auto"/>
        </w:rPr>
        <w:t>. In the event that a chosen court of first instance declines jurisdiction over an action brought in accordance with this section,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dispute will be resolved by final and binding arbitration administered by the International Chamber of Commerce, which we refer to as ICC, in accordance with its rules of arbitration in effect at the time, which we refer to as rules of arbitration, except as modified in the Purchase Agreement.</w:t>
      </w:r>
    </w:p>
    <w:p>
      <w:pPr>
        <w:spacing w:after="0" w:line="15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BioNTech and CureVac have acknowledged and agree that any controversy that may arise under the Purchase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likely to involve complicated and difficult issues and, therefore, BioNTech and CureVac each have irrevocably and unconditionally waived any right it may have to a trial by jury in respect of any action (whether based on contract, tort, or otherwise) directly or indirectly arising out of or relating to the Purchase Agreement, the other documents and agreements delivered in connection therewith or the transactions or the actions of BioNTech and CureVac in the negotiation, administration, performance, and enforcement thereof.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TENDER AND SUPPORT AGREEMENTS</w:t>
      </w:r>
    </w:p>
    <w:p>
      <w:pPr>
        <w:spacing w:after="0" w:line="227"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of this offer to exchange/prospectus summarizes the material provisions of the tender and support agreements, a form of which are attached as Annex B to this offer to exchange/prospectus and are incorporated herein by reference. As a CureVac shareholder, you are not a third party beneficiary of the tender and support agreements and therefore you may not directly enforce any of their terms and conditions.</w:t>
      </w:r>
    </w:p>
    <w:p>
      <w:pPr>
        <w:spacing w:after="0" w:line="175"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Dievini, KfW, Glaxo Group Limited, which we refer to in this section as GSK, and all members of the CureVac boards, which hold approximately 57% of CureVac shares, in the aggregate, have entered into tender and support agreements pursuant to which they have agreed, among other things, to</w:t>
      </w:r>
    </w:p>
    <w:p>
      <w:pPr>
        <w:spacing w:after="0" w:line="1" w:lineRule="exact"/>
        <w:rPr>
          <w:sz w:val="20"/>
          <w:szCs w:val="20"/>
          <w:color w:val="auto"/>
        </w:rPr>
      </w:pPr>
    </w:p>
    <w:p>
      <w:pPr>
        <w:ind w:left="120" w:right="160" w:hanging="4"/>
        <w:spacing w:after="0" w:line="255" w:lineRule="auto"/>
        <w:tabs>
          <w:tab w:leader="none" w:pos="3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the offer in respect of CureVac shares held by them and (ii) vote in favor of all resolutions proposed by CureVac at the EGM (and any subsequent EGM) and against certain proposals incompatible with the transactions, subject to the conditions and in accordance with the terms set forth therein.</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Dievini’s tender and support agreement, which we refer to as the dievini TSA,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 After the expiration of both periods, the BioNTech ADSs dievini receives in the transactions will be freely tradeable. BioNTech has agreed in the dievini TSA that dievini may terminate such agreement in the event that a modification to the Purchase Agreement is effected without dievini’s consent and is materially adverse to dievini relative to other shareholders of CureVac, or if BioNTech is in violation of the obligation described in the next sentence. Additionally, BioNTech agreed in the dievini TSA that it will not, without dievini’s prior written consent, (i) impose any additional offer condition other than those set forth in the Purchase Agreement, (ii) amend, modify, or supplement such offer conditions or terms of the offer in a manner adverse to dievini, or (iii) make any modification or amendment that decreases the offer consideration or changes the form of consideration payable to dievini pursuant to the terms of the Purchase Agreement. Additionally, the dievini TSA includes a most favored nation provision with respect to tender and support and similar agreements entered into with other shareholders of CureVac, subject to certain exclusions and limitations.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dievini has waived its rights to bring or participate in claims against BioNTech, CureVac, or any of their respective affiliates or successors, or their respective boards of directors (or similar governing bodies), relating to the negotiation, execution, or delivery of the dievini TSA or the consummation of the transactions or the transactions contemplated by the dievini TSA, such waiver by dievini excludes its right to commence claims or other actions under applicable law with respect to disclosure violations in connection with the dievini TSA, the offer, or the post-offer reorganization to the same extent as other shareholders of CureVac.</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KfW’s tender and support agreement, which we refer to as the KfW TSA, provides that KfW may terminate such agreement in the event that a modification to the Purchase Agreement is effected without KfW’s consent and is materially adverse to KfW relative to other shareholders of CureVac, or if BioNTech is in violation of the obligations described in the next sentence. Additionally, BioNTech agreed in the KfW TSA that it will not, without KfW’s prior written consent, (i) impose any additional offer condition other than those set forth in the Purchase Agreement, (ii) amend, modify, or supplement such offer conditions or terms of the offer in a manner adverse to KfW, or (iii) make any modification or amendment that decreases the offer consideration or changes the form of consideration payable to KfW pursuant to the terms of the Purchase Agreement. Additionally, the KfW TSA includes a most favored nation provision with respect to tender and support and similar agreements entered into with other shareholders of CureVac, subject to certain exclusions and limitations.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KfW has waived its rights to bring or participate in claims against BioNTech, CureVac, or any of their respective affiliates or successors, or their respective boards of directors (or similar governing bodies), relating to the negotiation, execution, or delivery of the KfW TSA or the consummation of the transactions or the transactions contemplated by the KfW TSA, such waiver by KfW excludes its right to commence claims or other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actions under applicable law with respect to disclosure violations in connection with the KfW TSA, the offer, or the post-offer reorganization to the same extent as other shareholders of CureVac.</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GSK’s tender and support agreement, which we refer to as the GSK TSA, provides that GSK may terminate such agreement in the event that a modification to the Purchase Agreement is effected without GSK’s consent and is materially adverse to GSK relative to other shareholders of CureVac, or if BioNTech is in violation of the obligation described in the next sentence. Additionally, BioNTech agreed in the GSK TSA that it will not, without GSK’s prior written consent, (i) impose any additional offer condition other than those set forth in the Purchase Agreement, (ii) amend, modify, or supplement such offer conditions or terms of the offer in a manner adverse to GSK, or (iii) make any modification or amendment that decreases the offer consideration or changes the form of consideration payable to GSK pursuant to the terms of the Purchase Agreement. Additionally, the GSK TSA includes a most favored nation provision with respect to tender and support and similar agreements entered into with other shareholders of CureVac, subject to certain exclusions and limitations.</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Although GSK has waived its rights to bring claims against BioNTech, CureVac, or any of their respective affiliates or successors, or their respective boards of directors (or similar governing bodies), relating to the negotiation, execution, or delivery of the GSK TSA or the consummation of the transactions or the transactions contemplated by the GSK TSA, such waiver by GSK excludes its right to commence claims or other actions under applicable law with respect to disclosure violations in connection with the GSK TSA, the offer, or the post-offer reorganization to the same extent as other shareholders of CureVac.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BIONTECH CAPITAL STOCK</w:t>
      </w:r>
    </w:p>
    <w:p>
      <w:pPr>
        <w:spacing w:after="0" w:line="22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description sets forth certain material terms and provisions of BioNTech ordinary shares and BioNTech ADSs representing BioNTech ordinary shares that are registered under Section 12 of the Exchange Act. This description also summarizes certain provisions of the articles of association of BioNTech, as amended from time to time, which we refer to as the BioNTech articles, and German law as of the date of this offer to exchange/prospectus. This summary does not purport to be complete and is qualified in its entirety by the provisions of the BioNTech articles filed with the SEC, which is included as an exhibit to the registration statement, as well as to the applicable provisions of German legislation on stock corporations. We encourage you to read the BioNTech articles and the applicable provisions of German law for additional information. References in this section to “we,” “us,” “our,” or similar pronouns refer to BioNTech.</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were incorporated as a German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 the legal name Petersberg 91. V V AG under the laws of the Federal Republic of Germany on June 2, 2008. We changed our name to BioNTech AG on November 10, 2008. Effective as of March 8, 2019, the date on which the change of legal form and company was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which we refer to as the SE Regulation, the German Law on the Implementation of Council Regulation (EC) No 2157/2001 of October 8, 2001 on the Statute for a European company (SE) (</w:t>
      </w:r>
      <w:r>
        <w:rPr>
          <w:rFonts w:ascii="Times New Roman" w:cs="Times New Roman" w:eastAsia="Times New Roman" w:hAnsi="Times New Roman"/>
          <w:sz w:val="18"/>
          <w:szCs w:val="18"/>
          <w:i w:val="1"/>
          <w:iCs w:val="1"/>
          <w:color w:val="auto"/>
        </w:rPr>
        <w:t>Gesetz zur Ausführung der Verordnung (EG) NR. 2157/2001 des Rates vom</w:t>
      </w:r>
    </w:p>
    <w:p>
      <w:pPr>
        <w:spacing w:after="0" w:line="5" w:lineRule="exact"/>
        <w:rPr>
          <w:sz w:val="20"/>
          <w:szCs w:val="20"/>
          <w:color w:val="auto"/>
        </w:rPr>
      </w:pPr>
    </w:p>
    <w:p>
      <w:pPr>
        <w:ind w:left="120" w:right="820" w:hanging="4"/>
        <w:spacing w:after="0" w:line="260" w:lineRule="auto"/>
        <w:tabs>
          <w:tab w:leader="none" w:pos="300" w:val="left"/>
        </w:tabs>
        <w:numPr>
          <w:ilvl w:val="0"/>
          <w:numId w:val="1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Oktober 2001 über das Statut der Europäischen Gesellschaft (SE) (SE-Ausführungsgesetz-SEAG)</w:t>
      </w:r>
      <w:r>
        <w:rPr>
          <w:rFonts w:ascii="Times New Roman" w:cs="Times New Roman" w:eastAsia="Times New Roman" w:hAnsi="Times New Roman"/>
          <w:sz w:val="18"/>
          <w:szCs w:val="18"/>
          <w:color w:val="auto"/>
        </w:rPr>
        <w:t>), and the German Stock Corporation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in each case as amended.</w:t>
      </w:r>
    </w:p>
    <w:p>
      <w:pPr>
        <w:spacing w:after="0" w:line="17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in Mainz, Germany, under number HRB 48720. Our statutory seat is in Mainz, Germany, and our registered office is An der Goldgrube 12, D-55131 Mainz, Germany. Copies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are publicly available from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of Mainz, Germany, electronically at www. handelsregister.de, and included as an exhibit to the registration statement.</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19"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We have share capital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in the amount of €248,552,200, which is divided into 248,552,200 registered shares (</w:t>
      </w:r>
      <w:r>
        <w:rPr>
          <w:rFonts w:ascii="Times New Roman" w:cs="Times New Roman" w:eastAsia="Times New Roman" w:hAnsi="Times New Roman"/>
          <w:sz w:val="18"/>
          <w:szCs w:val="18"/>
          <w:i w:val="1"/>
          <w:iCs w:val="1"/>
          <w:color w:val="auto"/>
        </w:rPr>
        <w:t>Namensaktien</w:t>
      </w:r>
      <w:r>
        <w:rPr>
          <w:rFonts w:ascii="Times New Roman" w:cs="Times New Roman" w:eastAsia="Times New Roman" w:hAnsi="Times New Roman"/>
          <w:sz w:val="18"/>
          <w:szCs w:val="18"/>
          <w:color w:val="auto"/>
        </w:rPr>
        <w:t>). All shares are shares with no par value (</w:t>
      </w:r>
      <w:r>
        <w:rPr>
          <w:rFonts w:ascii="Times New Roman" w:cs="Times New Roman" w:eastAsia="Times New Roman" w:hAnsi="Times New Roman"/>
          <w:sz w:val="18"/>
          <w:szCs w:val="18"/>
          <w:i w:val="1"/>
          <w:iCs w:val="1"/>
          <w:color w:val="auto"/>
        </w:rPr>
        <w:t>Stückaktien ohne Nennbetrag</w:t>
      </w:r>
      <w:r>
        <w:rPr>
          <w:rFonts w:ascii="Times New Roman" w:cs="Times New Roman" w:eastAsia="Times New Roman" w:hAnsi="Times New Roman"/>
          <w:sz w:val="18"/>
          <w:szCs w:val="18"/>
          <w:color w:val="auto"/>
        </w:rPr>
        <w:t>) with a notional amount attributable to each ordinary share of €1.00. Each issued BioNTech ordinary share is fully paid.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Certification, and Transferability of Shares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shares are freely transferable under German law.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Charter Documents</w:t>
      </w:r>
    </w:p>
    <w:p>
      <w:pPr>
        <w:spacing w:after="0" w:line="119"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do not include any provisions that would have a direct effect of delaying, deferring, or preventing a change of control. However, in the event of a hostile takeover, we could use our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Future Changes to the Share Capital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relevant law, the general meeting of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and is valid for a maximum period of five years.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 4(5)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the BioNTech management board is authorized, with the approval of the BioNTech supervisory board, to increase BioNTech’s share capital on one or more occasions in the period up to May 15, 2030, by a total of up to €124,276,100 by issuing up to 124,276,100 new no-par value registered shares in return for cash and/or non-cash contributions, which we refer to as the authorized capital 2025. The BioNTech management board is authorized, with the approval of the BioNTech supervisory board, to determine the further content of the share rights and the conditions of the share issue.</w:t>
      </w:r>
    </w:p>
    <w:p>
      <w:pPr>
        <w:spacing w:after="0" w:line="18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Shareholders must generally be granted subscription rights. The shares may also be acquired by one or more credit institutions, securities institutions, or other companies within the meaning of Section 186 para. 5 sentence 1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determined by the BioNTech management board with the obligation to offer them to BioNTech’s shareholders for subscription (indirect subscription right).</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However, the BioNTech management board is authorized, with the approval of the BioNTech supervisory board, to exclude shareholders’ subscription rights for one or more capital increases as part of the authorized capital 2025, including:</w:t>
      </w:r>
    </w:p>
    <w:p>
      <w:pPr>
        <w:spacing w:after="0" w:line="67"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fractional amounts from the subscription right;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9" w:lineRule="auto"/>
        <w:tabs>
          <w:tab w:leader="none" w:pos="10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capital increase against cash contributions, if the issue price of the new shares is not significantly lower than the market price; the market price is also deemed to be the price of one BioNTech ADS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BioNTech ADSs issued or sold during the term of this authorization in direct or analogous application of Section 186 para. 3 sentence 4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with the exclusion of subscription rights. The above issue limitation applies to BioNTech ADSs, provided that the number of BioNTech ADSs is to be divided by the number of BioNTech ADSs representing one share;</w:t>
      </w:r>
    </w:p>
    <w:p>
      <w:pPr>
        <w:spacing w:after="0" w:line="87" w:lineRule="exact"/>
        <w:rPr>
          <w:rFonts w:ascii="Times New Roman" w:cs="Times New Roman" w:eastAsia="Times New Roman" w:hAnsi="Times New Roman"/>
          <w:sz w:val="17"/>
          <w:szCs w:val="17"/>
          <w:color w:val="auto"/>
        </w:rPr>
      </w:pPr>
    </w:p>
    <w:p>
      <w:pPr>
        <w:jc w:val="both"/>
        <w:ind w:left="1080" w:right="100" w:hanging="424"/>
        <w:spacing w:after="0" w:line="26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BioNTech and its group companies as well as license or industrial property rights;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option or conversion rights or obligations arising from bonds issued or to be issued by BioNTech and/or companies in which BioNTech directly or indirectly holds a majority interest;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9" w:lineRule="auto"/>
        <w:tabs>
          <w:tab w:leader="none" w:pos="10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implement a scrip dividend, whereby shareholders are offered the option of contributing their dividend entitlement (in whole or in part) to BioNTech as a contribution in kind in return for the issuance of new shares;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new shares are issued as part of an incentive program and/or as share-based compensation to members of BioNTech’s management board, members of the management of companies affiliated with BioNTech within the meaning of sections 15 et seq.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or employees of BioNTech or of companies affiliated with BioNTech within the meaning of sections 15 et seq.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restrictions relating to the shares issued may be agreed. If shares are to be issued to members of the BioNTech management board, the BioNTech supervisory board decides on the allocation in accordance with the allocation of responsibilities under stock corporation law.</w:t>
      </w:r>
    </w:p>
    <w:p>
      <w:pPr>
        <w:spacing w:after="0" w:line="7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BioNTech ADSs that are issued or sold during the term of this authorization on the basis of other authorizations with the exclusion of subscription rights, with the exception of treasury shares or BioNTech ADSs used in accordance with para. c) (iv), (v), or (vi) of the resolution on agenda item 10 of BioNTech’s Annual General Meeting on May 17, 2024, also in conjunction with para. f) of the resolution on agenda item 11 of BioNTech’s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BioNTech ADSs with the proviso that the number of BioNTech ADSs is to be divided by the number of BioNTech ADSs representing one share.</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 4(6)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€4,943,452 through issuance of new registered shares with no par value, which we refer to as the Conditional Capital ESOP 2017/2019 (</w:t>
      </w:r>
      <w:r>
        <w:rPr>
          <w:rFonts w:ascii="Times New Roman" w:cs="Times New Roman" w:eastAsia="Times New Roman" w:hAnsi="Times New Roman"/>
          <w:sz w:val="18"/>
          <w:szCs w:val="18"/>
          <w:i w:val="1"/>
          <w:iCs w:val="1"/>
          <w:color w:val="auto"/>
        </w:rPr>
        <w:t>Bedingtes Kapital ESOP 2017/2019</w:t>
      </w:r>
      <w:r>
        <w:rPr>
          <w:rFonts w:ascii="Times New Roman" w:cs="Times New Roman" w:eastAsia="Times New Roman" w:hAnsi="Times New Roman"/>
          <w:sz w:val="18"/>
          <w:szCs w:val="18"/>
          <w:color w:val="auto"/>
        </w:rPr>
        <w:t>). The Conditional Capital ESOP 2017/2019 may only be used to issue shares to the holders of option rights granted under the authorization for the Conditional Capital ESOP 2017/2019, which we refer to as the Authorization 2017/2019.</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will be entitled to dividends from the beginning of the previous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 4(7)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€24,855,220 through issuance of new registered shares with no par value, which we refer to as the Conditional Capital WSV 2024 (</w:t>
      </w:r>
      <w:r>
        <w:rPr>
          <w:rFonts w:ascii="Times New Roman" w:cs="Times New Roman" w:eastAsia="Times New Roman" w:hAnsi="Times New Roman"/>
          <w:sz w:val="18"/>
          <w:szCs w:val="18"/>
          <w:i w:val="1"/>
          <w:iCs w:val="1"/>
          <w:color w:val="auto"/>
        </w:rPr>
        <w:t>Bedingtes Kapital WSV 2024</w:t>
      </w:r>
      <w:r>
        <w:rPr>
          <w:rFonts w:ascii="Times New Roman" w:cs="Times New Roman" w:eastAsia="Times New Roman" w:hAnsi="Times New Roman"/>
          <w:sz w:val="18"/>
          <w:szCs w:val="18"/>
          <w:color w:val="auto"/>
        </w:rPr>
        <w:t>). The conditional capital may only be used until May 16, 2029 to issue shares to the holders or creditors of option rights or conversion rights or those under an obligation to convert under warrant-linked or convertible bonds their option rights or conversion rights or where they are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or other forms of fulfilment are not utilized for servicing.</w:t>
      </w:r>
    </w:p>
    <w:p>
      <w:pPr>
        <w:spacing w:after="0" w:line="174"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Any new shares issued under the Conditional Capital WSV 2024 pursuant to § 4(7)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will be entitled to dividends from the beginning of the financial year in which they are created; however, as far as the law permits, the BioNTech management board, with the consent of the BioNTech supervisory board, can confer dividend rights for new shares in derogation of the foregoing and also in deviation from Section 60 para. 2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for a financial year that has already expired. The BioNTech management board is authorized, with the approval of the BioNTech supervisory board, to determine the further details of the implementation of the conditional capital increase.</w:t>
      </w:r>
    </w:p>
    <w:p>
      <w:pPr>
        <w:spacing w:after="0" w:line="18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 4(8)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€1,300,000 through issuance of new, registered shares with no par value, which we refer to as the Conditional Capital ESOP 2021 (</w:t>
      </w:r>
      <w:r>
        <w:rPr>
          <w:rFonts w:ascii="Times New Roman" w:cs="Times New Roman" w:eastAsia="Times New Roman" w:hAnsi="Times New Roman"/>
          <w:sz w:val="18"/>
          <w:szCs w:val="18"/>
          <w:i w:val="1"/>
          <w:iCs w:val="1"/>
          <w:color w:val="auto"/>
        </w:rPr>
        <w:t>Bedingtes Kapital ESOP 2021</w:t>
      </w:r>
      <w:r>
        <w:rPr>
          <w:rFonts w:ascii="Times New Roman" w:cs="Times New Roman" w:eastAsia="Times New Roman" w:hAnsi="Times New Roman"/>
          <w:sz w:val="18"/>
          <w:szCs w:val="18"/>
          <w:color w:val="auto"/>
        </w:rPr>
        <w:t>). The Conditional Capital ESOP 2021 serves exclusively to grant rights to the holders of stock options issued by us in accordance with the authorization granted by the Annual General Meeting on June 22, 2021 under agenda item 6 letter (d) also as amended by the resolution of the Annual General Meeting on May 17, 2024 under agenda items 12 and 13, which we refer to as authorization 2021.</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our ESOP are exercised by the holders of the stock options issued by us on the basis of authorization 2021 and such stock options are not settled by us with treasury shares or through cash payments. Any new shares issued under the Conditional Capital ESOP 2021 pursuant to § 4(8)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 4(9)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our share capital is conditionally increased by €6,213,805 through issuance of new, registered shares with no par value, which we refer to as the Conditional Capital ESOP 2024 (</w:t>
      </w:r>
      <w:r>
        <w:rPr>
          <w:rFonts w:ascii="Times New Roman" w:cs="Times New Roman" w:eastAsia="Times New Roman" w:hAnsi="Times New Roman"/>
          <w:sz w:val="18"/>
          <w:szCs w:val="18"/>
          <w:i w:val="1"/>
          <w:iCs w:val="1"/>
          <w:color w:val="auto"/>
        </w:rPr>
        <w:t>Bedingtes Kapital ESOP 2024</w:t>
      </w:r>
      <w:r>
        <w:rPr>
          <w:rFonts w:ascii="Times New Roman" w:cs="Times New Roman" w:eastAsia="Times New Roman" w:hAnsi="Times New Roman"/>
          <w:sz w:val="18"/>
          <w:szCs w:val="18"/>
          <w:color w:val="auto"/>
        </w:rPr>
        <w:t>). The Conditional Capital ESOP 2024 serves exclusively to grant rights to the holders of stock options issued by us in accordance with the authorization granted by the Annual General Meeting on May 17, 2024, under agenda item 13 letter (f), which we refer to as authorization 2024.</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conditional capital increase will only be implemented to the extent that stock options under our ESOP are exercised by the holders of the stock options issued by us on the basis of authorization 2024 and such stock options are not settled by us through cash payments or with treasury shares in another listed company or other forms of fulfilment. Any new shares issued under the Conditional Capital ESOP 2024 pursuant to § 4(9)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The BioNTech management board is authorized, with the approval of the BioNTech supervisory board, to determine the further details of the issue and the further conditions of the stock options; in deviation from this, the BioNTech supervisory board shall also decide in this respect for the members of the BioNTech management board.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8"/>
          <w:szCs w:val="18"/>
          <w:i w:val="1"/>
          <w:iCs w:val="1"/>
          <w:color w:val="auto"/>
        </w:rPr>
        <w:t>mittelbares Bezugsrecht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cs="Times New Roman" w:eastAsia="Times New Roman" w:hAnsi="Times New Roman"/>
          <w:sz w:val="17"/>
          <w:szCs w:val="17"/>
          <w:i w:val="1"/>
          <w:iCs w:val="1"/>
          <w:color w:val="auto"/>
        </w:rPr>
        <w:t>BGH</w:t>
      </w:r>
      <w:r>
        <w:rPr>
          <w:rFonts w:ascii="Times New Roman" w:cs="Times New Roman" w:eastAsia="Times New Roman" w:hAnsi="Times New Roman"/>
          <w:sz w:val="17"/>
          <w:szCs w:val="17"/>
          <w:color w:val="auto"/>
        </w:rPr>
        <w:t>). The German Federal Court of Justice (</w:t>
      </w:r>
      <w:r>
        <w:rPr>
          <w:rFonts w:ascii="Times New Roman" w:cs="Times New Roman" w:eastAsia="Times New Roman" w:hAnsi="Times New Roman"/>
          <w:sz w:val="17"/>
          <w:szCs w:val="17"/>
          <w:i w:val="1"/>
          <w:iCs w:val="1"/>
          <w:color w:val="auto"/>
        </w:rPr>
        <w:t>BGH</w:t>
      </w:r>
      <w:r>
        <w:rPr>
          <w:rFonts w:ascii="Times New Roman" w:cs="Times New Roman" w:eastAsia="Times New Roman" w:hAnsi="Times New Roman"/>
          <w:sz w:val="17"/>
          <w:szCs w:val="17"/>
          <w:color w:val="auto"/>
        </w:rPr>
        <w:t>) considers the exclusion of subscription rights justified if it</w:t>
      </w:r>
    </w:p>
    <w:p>
      <w:pPr>
        <w:spacing w:after="0" w:line="3" w:lineRule="exact"/>
        <w:rPr>
          <w:sz w:val="20"/>
          <w:szCs w:val="20"/>
          <w:color w:val="auto"/>
        </w:rPr>
      </w:pPr>
    </w:p>
    <w:p>
      <w:pPr>
        <w:ind w:left="120" w:right="40" w:hanging="4"/>
        <w:spacing w:after="0" w:line="290" w:lineRule="auto"/>
        <w:tabs>
          <w:tab w:leader="none" w:pos="33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Meetings and Voting Rights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cs="Times New Roman" w:eastAsia="Times New Roman" w:hAnsi="Times New Roman"/>
          <w:sz w:val="18"/>
          <w:szCs w:val="18"/>
          <w:i w:val="1"/>
          <w:iCs w:val="1"/>
          <w:color w:val="auto"/>
        </w:rPr>
        <w:t>Bundesanzeiger</w:t>
      </w:r>
      <w:r>
        <w:rPr>
          <w:rFonts w:ascii="Times New Roman" w:cs="Times New Roman" w:eastAsia="Times New Roman" w:hAnsi="Times New Roman"/>
          <w:sz w:val="18"/>
          <w:szCs w:val="18"/>
          <w:color w:val="auto"/>
        </w:rPr>
        <w:t>) or via mail or email, in each case generally at least 30 days before the meeting.</w:t>
      </w:r>
    </w:p>
    <w:p>
      <w:pPr>
        <w:spacing w:after="0" w:line="18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Shareholders may participate and vote in the shareholders’ meeting if they are registered as a shareholder with our share register. A shareholder who wishes to attend the shareholders’ meeting — either in person or by proxy, which may also be appointed by us (</w:t>
      </w:r>
      <w:r>
        <w:rPr>
          <w:rFonts w:ascii="Times New Roman" w:cs="Times New Roman" w:eastAsia="Times New Roman" w:hAnsi="Times New Roman"/>
          <w:sz w:val="18"/>
          <w:szCs w:val="18"/>
          <w:i w:val="1"/>
          <w:iCs w:val="1"/>
          <w:color w:val="auto"/>
        </w:rPr>
        <w:t>Stimmrechtsvertreter</w:t>
      </w:r>
      <w:r>
        <w:rPr>
          <w:rFonts w:ascii="Times New Roman" w:cs="Times New Roman" w:eastAsia="Times New Roman" w:hAnsi="Times New Roman"/>
          <w:sz w:val="18"/>
          <w:szCs w:val="18"/>
          <w:color w:val="auto"/>
        </w:rPr>
        <w:t>) — must register for the meeting, which registration must occur no later than six days before the meeting (or at a later date, if so determined by our management board).</w:t>
      </w:r>
    </w:p>
    <w:p>
      <w:pPr>
        <w:spacing w:after="0" w:line="178"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Each share carries one vote at a shareholders’ meeting. Resolutions are, in accordance with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Claims against Directors and Shareholders’ Derivative Actions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fulfill its third-party obligations, the company’s creditors may pursue the company’s damage claims against members of the management board for certain wrongdoings.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Authorization to Purchase and Sell Our Own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purchase our own shares unless authorized by the shareholders’ meeting or in other very limited circumstances as set out in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Our shareholders’ meeting held on May 17, 2024 authorized the management board until May 16, 2029, provided it complies with the legal requirement of equal treatment, to acquire treasury shares up to a total of 10% of our share capital at the time of the relevant resolution or at the time the authorization is exercised. These shares held by us (including shares attributable to it pursuant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must never exceed 10% of the share capital. The shares may be purchased (i) through the stock exchange, (ii) by means of a public offer directed to all shareholders of us, (iii) by means of a public invitation to the shareholders to make a sales offer, or (iv) from the Bill &amp; Melinda Gates Foundation under very limited circumstances as specified in the authorization. Such shares may not be purchased for trading purposes. Our management board is authorized to use the shares only as specified in the authorization.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Squeeze-Out of Minority Shareholders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8"/>
          <w:szCs w:val="18"/>
          <w:i w:val="1"/>
          <w:iCs w:val="1"/>
          <w:color w:val="auto"/>
        </w:rPr>
        <w:t>Ausschluss von Minderheitsaktionären</w:t>
      </w:r>
      <w:r>
        <w:rPr>
          <w:rFonts w:ascii="Times New Roman" w:cs="Times New Roman" w:eastAsia="Times New Roman" w:hAnsi="Times New Roman"/>
          <w:sz w:val="18"/>
          <w:szCs w:val="18"/>
          <w:color w:val="auto"/>
        </w:rPr>
        <w:t>). This amount must take into account the full value of the company at the time of the resolution, which is generally determined using the future earnings value method (</w:t>
      </w:r>
      <w:r>
        <w:rPr>
          <w:rFonts w:ascii="Times New Roman" w:cs="Times New Roman" w:eastAsia="Times New Roman" w:hAnsi="Times New Roman"/>
          <w:sz w:val="18"/>
          <w:szCs w:val="18"/>
          <w:i w:val="1"/>
          <w:iCs w:val="1"/>
          <w:color w:val="auto"/>
        </w:rPr>
        <w:t>Ertragswertmethode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A squeeze-out in the context of a merger (</w:t>
      </w:r>
      <w:r>
        <w:rPr>
          <w:rFonts w:ascii="Times New Roman" w:cs="Times New Roman" w:eastAsia="Times New Roman" w:hAnsi="Times New Roman"/>
          <w:sz w:val="18"/>
          <w:szCs w:val="18"/>
          <w:i w:val="1"/>
          <w:iCs w:val="1"/>
          <w:color w:val="auto"/>
        </w:rPr>
        <w:t>umwandlungsrechtlicher Squeeze-Out</w:t>
      </w:r>
      <w:r>
        <w:rPr>
          <w:rFonts w:ascii="Times New Roman" w:cs="Times New Roman" w:eastAsia="Times New Roman" w:hAnsi="Times New Roman"/>
          <w:sz w:val="18"/>
          <w:szCs w:val="18"/>
          <w:color w:val="auto"/>
        </w:rPr>
        <w:t>) only requires a majority shareholder to hold at least 90% of the share capital.</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provides certain protections for creditors, which must be observed in the event of liquidation.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applicable provisions of the SE Regulation, in conjunction with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1140"/>
          </w:cols>
          <w:pgMar w:left="320" w:top="455" w:right="439" w:bottom="1440" w:gutter="0" w:footer="0" w:header="0"/>
        </w:sect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Board System</w:t>
            </w:r>
          </w:p>
        </w:tc>
        <w:tc>
          <w:tcPr>
            <w:tcW w:w="280" w:type="dxa"/>
            <w:vAlign w:val="bottom"/>
          </w:tcPr>
          <w:p>
            <w:pPr>
              <w:spacing w:after="0"/>
              <w:rPr>
                <w:sz w:val="16"/>
                <w:szCs w:val="16"/>
                <w:color w:val="auto"/>
              </w:rPr>
            </w:pPr>
          </w:p>
        </w:tc>
        <w:tc>
          <w:tcPr>
            <w:tcW w:w="56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 European stock corporation may choose to have a two-tier board structure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composed of the Management Board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 the Supervisory Board</w:t>
            </w: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We have chosen this structure.</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Management Board is responsible for running the company’s affairs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representing the company in dealings with third parties.</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Supervisory Board of a European stock corporation under German law</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has a control and supervisory function. The Supervisory Board does not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actively manage the company but certain Management Board actions require</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approval of the Supervisory Board.</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Appointment</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Under applicable European and German law, a European stock corporation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and Number of</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governed by German law with a share capital of at least €3 million generally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must have at least two members on its Management Board and the number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members shall be determined by or in the manner provided in the company’s</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articles of association.</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Supervisory Board must consist of at least three but-depending on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 capital-no more than 21 Supervisory Board members, whereby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Supervisory Board members must be divisible by three if this is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necessary for the fulfilment of co-determination requirements. The articles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association of the company must specify if the Supervisory Board has more</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than three members.</w:t>
            </w:r>
          </w:p>
        </w:tc>
        <w:tc>
          <w:tcPr>
            <w:tcW w:w="0" w:type="dxa"/>
            <w:vAlign w:val="bottom"/>
          </w:tcPr>
          <w:p>
            <w:pPr>
              <w:spacing w:after="0"/>
              <w:rPr>
                <w:sz w:val="1"/>
                <w:szCs w:val="1"/>
                <w:color w:val="auto"/>
              </w:rPr>
            </w:pPr>
          </w:p>
        </w:tc>
      </w:tr>
      <w:tr>
        <w:trPr>
          <w:trHeight w:val="319"/>
        </w:trPr>
        <w:tc>
          <w:tcPr>
            <w:tcW w:w="1380" w:type="dxa"/>
            <w:vAlign w:val="bottom"/>
          </w:tcPr>
          <w:p>
            <w:pPr>
              <w:spacing w:after="0"/>
              <w:rPr>
                <w:sz w:val="24"/>
                <w:szCs w:val="24"/>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Supervisory Board members are either appointed by the shareholders’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meeting or delegated by one or more individual shareholders if so provided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in the company’s articles of association. If the Supervisory Board consists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 fewer members than is required to meet the quorum for resolutions (either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5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statutory or pursuant to the company’s articles of association), a</w:t>
            </w: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590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9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Management is responsible for running the corporation and overseeing its day-to-day operations.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w:t>
      </w:r>
    </w:p>
    <w:p>
      <w:pPr>
        <w:sectPr>
          <w:pgSz w:w="11900" w:h="16838" w:orient="portrait"/>
          <w:cols w:equalWidth="0" w:num="2">
            <w:col w:w="7400" w:space="100"/>
            <w:col w:w="3640"/>
          </w:cols>
          <w:pgMar w:left="320" w:top="455" w:right="4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right"/>
        <w:ind w:right="152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European Union/Federal Republic of Germany</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59404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competent court may appoint additional members as needed to meet the</w:t>
      </w:r>
    </w:p>
    <w:p>
      <w:pPr>
        <w:spacing w:after="0" w:line="1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quorum. The provisions of German law in relation to employees’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co-determination do not apply to BioNTech.</w:t>
      </w:r>
    </w:p>
    <w:p>
      <w:pPr>
        <w:sectPr>
          <w:pgSz w:w="11900" w:h="16838" w:orient="portrait"/>
          <w:cols w:equalWidth="0" w:num="1">
            <w:col w:w="11120"/>
          </w:cols>
          <w:pgMar w:left="320" w:top="455" w:right="459" w:bottom="1440" w:gutter="0" w:footer="0" w:header="0"/>
        </w:sectPr>
      </w:pPr>
    </w:p>
    <w:p>
      <w:pPr>
        <w:spacing w:after="0" w:line="99"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Removal of</w:t>
      </w:r>
      <w:r>
        <w:rPr>
          <w:sz w:val="20"/>
          <w:szCs w:val="20"/>
          <w:color w:val="auto"/>
        </w:rPr>
        <w:tab/>
      </w:r>
      <w:r>
        <w:rPr>
          <w:rFonts w:ascii="Times New Roman" w:cs="Times New Roman" w:eastAsia="Times New Roman" w:hAnsi="Times New Roman"/>
          <w:sz w:val="17"/>
          <w:szCs w:val="17"/>
          <w:color w:val="auto"/>
        </w:rPr>
        <w:t>Members of the Management Board of a European stock corporation are</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appointed by the Supervisory Board for a maximum period of six years with</w:t>
      </w:r>
    </w:p>
    <w:p>
      <w:pPr>
        <w:spacing w:after="0" w:line="9" w:lineRule="exact"/>
        <w:rPr>
          <w:sz w:val="20"/>
          <w:szCs w:val="20"/>
          <w:color w:val="auto"/>
        </w:rPr>
      </w:pPr>
    </w:p>
    <w:p>
      <w:pPr>
        <w:ind w:left="1780"/>
        <w:spacing w:after="0" w:line="268" w:lineRule="auto"/>
        <w:rPr>
          <w:sz w:val="20"/>
          <w:szCs w:val="20"/>
          <w:color w:val="auto"/>
        </w:rPr>
      </w:pPr>
      <w:r>
        <w:rPr>
          <w:rFonts w:ascii="Times New Roman" w:cs="Times New Roman" w:eastAsia="Times New Roman" w:hAnsi="Times New Roman"/>
          <w:sz w:val="17"/>
          <w:szCs w:val="17"/>
          <w:color w:val="auto"/>
        </w:rPr>
        <w:t>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their term only for cause, such as gross breach of duties (</w:t>
      </w:r>
      <w:r>
        <w:rPr>
          <w:rFonts w:ascii="Times New Roman" w:cs="Times New Roman" w:eastAsia="Times New Roman" w:hAnsi="Times New Roman"/>
          <w:sz w:val="17"/>
          <w:szCs w:val="17"/>
          <w:i w:val="1"/>
          <w:iCs w:val="1"/>
          <w:color w:val="auto"/>
        </w:rPr>
        <w:t>grobe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Pflichtverletzung</w:t>
      </w:r>
      <w:r>
        <w:rPr>
          <w:rFonts w:ascii="Times New Roman" w:cs="Times New Roman" w:eastAsia="Times New Roman" w:hAnsi="Times New Roman"/>
          <w:sz w:val="17"/>
          <w:szCs w:val="17"/>
          <w:color w:val="auto"/>
        </w:rPr>
        <w:t>), the inability to manage the business properly (</w:t>
      </w:r>
      <w:r>
        <w:rPr>
          <w:rFonts w:ascii="Times New Roman" w:cs="Times New Roman" w:eastAsia="Times New Roman" w:hAnsi="Times New Roman"/>
          <w:sz w:val="17"/>
          <w:szCs w:val="17"/>
          <w:i w:val="1"/>
          <w:iCs w:val="1"/>
          <w:color w:val="auto"/>
        </w:rPr>
        <w:t>Unfähigkeit zur ordnungsgemäßen Pflichtausübung</w:t>
      </w:r>
      <w:r>
        <w:rPr>
          <w:rFonts w:ascii="Times New Roman" w:cs="Times New Roman" w:eastAsia="Times New Roman" w:hAnsi="Times New Roman"/>
          <w:sz w:val="17"/>
          <w:szCs w:val="17"/>
          <w:color w:val="auto"/>
        </w:rPr>
        <w:t>), or a vote of no-confidence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shareholders’ meeting (</w:t>
      </w:r>
      <w:r>
        <w:rPr>
          <w:rFonts w:ascii="Times New Roman" w:cs="Times New Roman" w:eastAsia="Times New Roman" w:hAnsi="Times New Roman"/>
          <w:sz w:val="17"/>
          <w:szCs w:val="17"/>
          <w:i w:val="1"/>
          <w:iCs w:val="1"/>
          <w:color w:val="auto"/>
        </w:rPr>
        <w:t>Vertrauensentzug</w:t>
      </w:r>
      <w:r>
        <w:rPr>
          <w:rFonts w:ascii="Times New Roman" w:cs="Times New Roman" w:eastAsia="Times New Roman" w:hAnsi="Times New Roman"/>
          <w:sz w:val="17"/>
          <w:szCs w:val="17"/>
          <w:color w:val="auto"/>
        </w:rPr>
        <w:t>). The shareholders themselves are not entitled to appoint or dismiss the members of the Management Board.</w:t>
      </w:r>
    </w:p>
    <w:p>
      <w:pPr>
        <w:spacing w:after="0" w:line="83" w:lineRule="exact"/>
        <w:rPr>
          <w:sz w:val="20"/>
          <w:szCs w:val="20"/>
          <w:color w:val="auto"/>
        </w:rPr>
      </w:pPr>
    </w:p>
    <w:p>
      <w:pPr>
        <w:ind w:left="1780" w:right="40"/>
        <w:spacing w:after="0" w:line="253" w:lineRule="auto"/>
        <w:rPr>
          <w:sz w:val="20"/>
          <w:szCs w:val="20"/>
          <w:color w:val="auto"/>
        </w:rPr>
      </w:pPr>
      <w:r>
        <w:rPr>
          <w:rFonts w:ascii="Times New Roman" w:cs="Times New Roman" w:eastAsia="Times New Roman" w:hAnsi="Times New Roman"/>
          <w:sz w:val="18"/>
          <w:szCs w:val="18"/>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their removal would be sufficient to elect them if then cumulatively voted at an election of the entire board of directors, or, if there are classes of directors, at an election of the class of directors of which they is a part.</w:t>
      </w:r>
    </w:p>
    <w:p>
      <w:pPr>
        <w:spacing w:after="0" w:line="1084" w:lineRule="exact"/>
        <w:rPr>
          <w:sz w:val="20"/>
          <w:szCs w:val="20"/>
          <w:color w:val="auto"/>
        </w:rPr>
      </w:pPr>
    </w:p>
    <w:p>
      <w:pPr>
        <w:sectPr>
          <w:pgSz w:w="11900" w:h="16838" w:orient="portrait"/>
          <w:cols w:equalWidth="0" w:num="2">
            <w:col w:w="7340" w:space="16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Vacancies on the</w:t>
      </w:r>
      <w:r>
        <w:rPr>
          <w:sz w:val="20"/>
          <w:szCs w:val="20"/>
          <w:color w:val="auto"/>
        </w:rPr>
        <w:tab/>
      </w:r>
      <w:r>
        <w:rPr>
          <w:rFonts w:ascii="Times New Roman" w:cs="Times New Roman" w:eastAsia="Times New Roman" w:hAnsi="Times New Roman"/>
          <w:sz w:val="17"/>
          <w:szCs w:val="17"/>
          <w:color w:val="auto"/>
        </w:rPr>
        <w:t>Under the law, vacant positions on the Management Board are filled by the</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Board of Directors</w:t>
      </w:r>
      <w:r>
        <w:rPr>
          <w:sz w:val="20"/>
          <w:szCs w:val="20"/>
          <w:color w:val="auto"/>
        </w:rPr>
        <w:tab/>
      </w:r>
      <w:r>
        <w:rPr>
          <w:rFonts w:ascii="Times New Roman" w:cs="Times New Roman" w:eastAsia="Times New Roman" w:hAnsi="Times New Roman"/>
          <w:sz w:val="18"/>
          <w:szCs w:val="18"/>
          <w:color w:val="auto"/>
        </w:rPr>
        <w:t>Supervisory Board in accordance with the general rules of appointment,</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which provide that vacancies are filled by the simple majority of votes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Supervisory Board members present or represented by proxy at the vote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(with, under certain circumstances, the chairman having a casting vote),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unless otherwise provided by the company’s articles of association. In case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emergencies, a vacant position on the Management Board may be filled by an</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individual appointed by the court. Vacant positions on the Supervisory Board</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are filled in accordance with the general rules of appointment.</w:t>
      </w:r>
    </w:p>
    <w:p>
      <w:pPr>
        <w:spacing w:after="0" w:line="200" w:lineRule="exact"/>
        <w:rPr>
          <w:sz w:val="20"/>
          <w:szCs w:val="20"/>
          <w:color w:val="auto"/>
        </w:rPr>
      </w:pPr>
    </w:p>
    <w:p>
      <w:pPr>
        <w:spacing w:after="0" w:line="3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7"/>
          <w:szCs w:val="17"/>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right="320"/>
        <w:spacing w:after="0" w:line="265" w:lineRule="auto"/>
        <w:tabs>
          <w:tab w:leader="none" w:pos="21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provided in the certificate of incorporation or by-laws of the corporation or</w:t>
      </w:r>
    </w:p>
    <w:p>
      <w:pPr>
        <w:ind w:right="40"/>
        <w:spacing w:after="0" w:line="271" w:lineRule="auto"/>
        <w:tabs>
          <w:tab w:leader="none" w:pos="26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7380" w:space="120"/>
            <w:col w:w="3620"/>
          </w:cols>
          <w:pgMar w:left="320" w:top="455" w:right="4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right"/>
        <w:ind w:right="1540"/>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European Union/Federal Republic of Germany</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59404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15"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Annual General</w:t>
      </w:r>
      <w:r>
        <w:rPr>
          <w:sz w:val="20"/>
          <w:szCs w:val="20"/>
          <w:color w:val="auto"/>
        </w:rPr>
        <w:tab/>
      </w:r>
      <w:r>
        <w:rPr>
          <w:rFonts w:ascii="Times New Roman" w:cs="Times New Roman" w:eastAsia="Times New Roman" w:hAnsi="Times New Roman"/>
          <w:sz w:val="17"/>
          <w:szCs w:val="17"/>
          <w:color w:val="auto"/>
        </w:rPr>
        <w:t>A European stock corporation, which is governed by German law, must hold</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Meeting</w:t>
      </w:r>
      <w:r>
        <w:rPr>
          <w:sz w:val="20"/>
          <w:szCs w:val="20"/>
          <w:color w:val="auto"/>
        </w:rPr>
        <w:tab/>
      </w:r>
      <w:r>
        <w:rPr>
          <w:rFonts w:ascii="Times New Roman" w:cs="Times New Roman" w:eastAsia="Times New Roman" w:hAnsi="Times New Roman"/>
          <w:sz w:val="18"/>
          <w:szCs w:val="18"/>
          <w:color w:val="auto"/>
        </w:rPr>
        <w:t>an annual shareholders’ meeting within six months of the end of its fiscal</w:t>
      </w:r>
    </w:p>
    <w:p>
      <w:pPr>
        <w:spacing w:after="0" w:line="9" w:lineRule="exact"/>
        <w:rPr>
          <w:sz w:val="20"/>
          <w:szCs w:val="20"/>
          <w:color w:val="auto"/>
        </w:rPr>
      </w:pPr>
    </w:p>
    <w:p>
      <w:pPr>
        <w:ind w:left="1780" w:right="20"/>
        <w:spacing w:after="0" w:line="251" w:lineRule="auto"/>
        <w:rPr>
          <w:sz w:val="20"/>
          <w:szCs w:val="20"/>
          <w:color w:val="auto"/>
        </w:rPr>
      </w:pPr>
      <w:r>
        <w:rPr>
          <w:rFonts w:ascii="Times New Roman" w:cs="Times New Roman" w:eastAsia="Times New Roman" w:hAnsi="Times New Roman"/>
          <w:sz w:val="18"/>
          <w:szCs w:val="18"/>
          <w:color w:val="auto"/>
        </w:rPr>
        <w:t>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86"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General Meeting</w:t>
      </w:r>
      <w:r>
        <w:rPr>
          <w:sz w:val="20"/>
          <w:szCs w:val="20"/>
          <w:color w:val="auto"/>
        </w:rPr>
        <w:tab/>
      </w:r>
      <w:r>
        <w:rPr>
          <w:rFonts w:ascii="Times New Roman" w:cs="Times New Roman" w:eastAsia="Times New Roman" w:hAnsi="Times New Roman"/>
          <w:sz w:val="17"/>
          <w:szCs w:val="17"/>
          <w:color w:val="auto"/>
        </w:rPr>
        <w:t>Under the law, extraordinary shareholders’ meetings, in addition to the annual</w:t>
      </w:r>
    </w:p>
    <w:p>
      <w:pPr>
        <w:spacing w:after="0" w:line="27" w:lineRule="exact"/>
        <w:rPr>
          <w:sz w:val="20"/>
          <w:szCs w:val="20"/>
          <w:color w:val="auto"/>
        </w:rPr>
      </w:pPr>
    </w:p>
    <w:p>
      <w:pPr>
        <w:ind w:left="1780" w:right="140"/>
        <w:spacing w:after="0" w:line="252" w:lineRule="auto"/>
        <w:rPr>
          <w:sz w:val="20"/>
          <w:szCs w:val="20"/>
          <w:color w:val="auto"/>
        </w:rPr>
      </w:pPr>
      <w:r>
        <w:rPr>
          <w:rFonts w:ascii="Times New Roman" w:cs="Times New Roman" w:eastAsia="Times New Roman" w:hAnsi="Times New Roman"/>
          <w:sz w:val="18"/>
          <w:szCs w:val="18"/>
          <w:color w:val="auto"/>
        </w:rPr>
        <w:t>shareholders’ meetings, may be called either by the Management Board or the Supervisory Board. Shareholders holding at least five percent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80"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Notice of General</w:t>
      </w:r>
      <w:r>
        <w:rPr>
          <w:sz w:val="20"/>
          <w:szCs w:val="20"/>
          <w:color w:val="auto"/>
        </w:rPr>
        <w:tab/>
      </w:r>
      <w:r>
        <w:rPr>
          <w:rFonts w:ascii="Times New Roman" w:cs="Times New Roman" w:eastAsia="Times New Roman" w:hAnsi="Times New Roman"/>
          <w:sz w:val="17"/>
          <w:szCs w:val="17"/>
          <w:color w:val="auto"/>
        </w:rPr>
        <w:t>Under applicable European and German law, unless a longer period is</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Meetings</w:t>
      </w:r>
      <w:r>
        <w:rPr>
          <w:sz w:val="20"/>
          <w:szCs w:val="20"/>
          <w:color w:val="auto"/>
        </w:rPr>
        <w:tab/>
      </w:r>
      <w:r>
        <w:rPr>
          <w:rFonts w:ascii="Times New Roman" w:cs="Times New Roman" w:eastAsia="Times New Roman" w:hAnsi="Times New Roman"/>
          <w:sz w:val="18"/>
          <w:szCs w:val="18"/>
          <w:color w:val="auto"/>
        </w:rPr>
        <w:t>otherwise provided for in the articles of association or applies because of</w:t>
      </w:r>
    </w:p>
    <w:p>
      <w:pPr>
        <w:spacing w:after="0" w:line="9" w:lineRule="exact"/>
        <w:rPr>
          <w:sz w:val="20"/>
          <w:szCs w:val="20"/>
          <w:color w:val="auto"/>
        </w:rPr>
      </w:pPr>
    </w:p>
    <w:p>
      <w:pPr>
        <w:ind w:left="1780" w:right="180"/>
        <w:spacing w:after="0" w:line="251" w:lineRule="auto"/>
        <w:rPr>
          <w:sz w:val="20"/>
          <w:szCs w:val="20"/>
          <w:color w:val="auto"/>
        </w:rPr>
      </w:pPr>
      <w:r>
        <w:rPr>
          <w:rFonts w:ascii="Times New Roman" w:cs="Times New Roman" w:eastAsia="Times New Roman" w:hAnsi="Times New Roman"/>
          <w:sz w:val="18"/>
          <w:szCs w:val="18"/>
          <w:color w:val="auto"/>
        </w:rPr>
        <w:t>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99" w:lineRule="exact"/>
        <w:rPr>
          <w:sz w:val="20"/>
          <w:szCs w:val="20"/>
          <w:color w:val="auto"/>
        </w:rPr>
      </w:pPr>
    </w:p>
    <w:p>
      <w:pPr>
        <w:ind w:left="1780" w:right="140"/>
        <w:spacing w:after="0" w:line="266" w:lineRule="auto"/>
        <w:rPr>
          <w:sz w:val="20"/>
          <w:szCs w:val="20"/>
          <w:color w:val="auto"/>
        </w:rPr>
      </w:pPr>
      <w:r>
        <w:rPr>
          <w:rFonts w:ascii="Times New Roman" w:cs="Times New Roman" w:eastAsia="Times New Roman" w:hAnsi="Times New Roman"/>
          <w:sz w:val="18"/>
          <w:szCs w:val="18"/>
          <w:color w:val="auto"/>
        </w:rPr>
        <w:t>If all shareholders entitled to attend the shareholders’ meeting are present or represented and do not object to the meeting being held, the formalities of calling and holding of a shareholders’ meeting do not apply.</w:t>
      </w:r>
    </w:p>
    <w:p>
      <w:pPr>
        <w:spacing w:after="0" w:line="81"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A shareholder may designate another person to attend, speak, and vote at a</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shareholders’ meeting of the company on such shareholder’s behalf by proxy.</w:t>
      </w:r>
    </w:p>
    <w:p>
      <w:pPr>
        <w:spacing w:after="0" w:line="1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With respect to Management Board meetings, a Management Board member</w:t>
      </w:r>
    </w:p>
    <w:p>
      <w:pPr>
        <w:spacing w:after="0" w:line="27" w:lineRule="exact"/>
        <w:rPr>
          <w:sz w:val="20"/>
          <w:szCs w:val="20"/>
          <w:color w:val="auto"/>
        </w:rPr>
      </w:pPr>
    </w:p>
    <w:p>
      <w:pPr>
        <w:ind w:left="1780" w:right="420"/>
        <w:spacing w:after="0" w:line="260" w:lineRule="auto"/>
        <w:rPr>
          <w:sz w:val="20"/>
          <w:szCs w:val="20"/>
          <w:color w:val="auto"/>
        </w:rPr>
      </w:pPr>
      <w:r>
        <w:rPr>
          <w:rFonts w:ascii="Times New Roman" w:cs="Times New Roman" w:eastAsia="Times New Roman" w:hAnsi="Times New Roman"/>
          <w:sz w:val="18"/>
          <w:szCs w:val="18"/>
          <w:color w:val="auto"/>
        </w:rPr>
        <w:t>may transmit its (written or verbal) vote via another Management Board member.</w:t>
      </w: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w:t>
      </w:r>
    </w:p>
    <w:p>
      <w:pPr>
        <w:sectPr>
          <w:pgSz w:w="11900" w:h="16838" w:orient="portrait"/>
          <w:cols w:equalWidth="0" w:num="2">
            <w:col w:w="7400" w:space="100"/>
            <w:col w:w="3640"/>
          </w:cols>
          <w:pgMar w:left="320" w:top="455" w:right="4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2" w:lineRule="exact"/>
        <w:rPr>
          <w:sz w:val="20"/>
          <w:szCs w:val="20"/>
          <w:color w:val="auto"/>
        </w:rPr>
      </w:pPr>
    </w:p>
    <w:p>
      <w:pPr>
        <w:ind w:left="1780"/>
        <w:spacing w:after="0" w:line="261" w:lineRule="auto"/>
        <w:rPr>
          <w:sz w:val="20"/>
          <w:szCs w:val="20"/>
          <w:color w:val="auto"/>
        </w:rPr>
      </w:pPr>
      <w:r>
        <w:rPr>
          <w:rFonts w:ascii="Times New Roman" w:cs="Times New Roman" w:eastAsia="Times New Roman" w:hAnsi="Times New Roman"/>
          <w:sz w:val="18"/>
          <w:szCs w:val="18"/>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period. A director of a Delaware corporation may not issue a proxy representing the director’s voting rights as a director.</w:t>
      </w:r>
    </w:p>
    <w:p>
      <w:pPr>
        <w:spacing w:after="0" w:line="423" w:lineRule="exact"/>
        <w:rPr>
          <w:sz w:val="20"/>
          <w:szCs w:val="20"/>
          <w:color w:val="auto"/>
        </w:rPr>
      </w:pPr>
    </w:p>
    <w:p>
      <w:pPr>
        <w:sectPr>
          <w:pgSz w:w="11900" w:h="16838" w:orient="portrait"/>
          <w:cols w:equalWidth="0" w:num="2">
            <w:col w:w="7160" w:space="34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Preemptive Rights</w:t>
      </w:r>
      <w:r>
        <w:rPr>
          <w:sz w:val="20"/>
          <w:szCs w:val="20"/>
          <w:color w:val="auto"/>
        </w:rPr>
        <w:tab/>
      </w:r>
      <w:r>
        <w:rPr>
          <w:rFonts w:ascii="Times New Roman" w:cs="Times New Roman" w:eastAsia="Times New Roman" w:hAnsi="Times New Roman"/>
          <w:sz w:val="17"/>
          <w:szCs w:val="17"/>
          <w:color w:val="auto"/>
        </w:rPr>
        <w:t>Under the law applicable to European stock corporations governed by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German law, existing shareholders have a statutory subscription right for any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additional issue of shares or any security convertible into shares pro rata to</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nominal value of their respective holdings in the company, unless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 shareholders representing three-quarters of the registered share capital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present at the shareholders’ meeting have resolved upon the whole or partial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exclusion of the subscription right and (ii) there exists good and objective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cause for such exclusion. No separate resolution on the exclusion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subscription rights is required if all shareholders waive their statutory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subscription rights.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943" w:lineRule="exact"/>
        <w:rPr>
          <w:sz w:val="20"/>
          <w:szCs w:val="20"/>
          <w:color w:val="auto"/>
        </w:rPr>
      </w:pPr>
    </w:p>
    <w:p>
      <w:pPr>
        <w:sectPr>
          <w:pgSz w:w="11900" w:h="16838" w:orient="portrait"/>
          <w:cols w:equalWidth="0" w:num="2">
            <w:col w:w="7320" w:space="180"/>
            <w:col w:w="3620"/>
          </w:cols>
          <w:pgMar w:left="320" w:top="455" w:right="45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Authority to Allot</w:t>
      </w:r>
      <w:r>
        <w:rPr>
          <w:sz w:val="20"/>
          <w:szCs w:val="20"/>
          <w:color w:val="auto"/>
        </w:rPr>
        <w:tab/>
      </w:r>
      <w:r>
        <w:rPr>
          <w:rFonts w:ascii="Times New Roman" w:cs="Times New Roman" w:eastAsia="Times New Roman" w:hAnsi="Times New Roman"/>
          <w:sz w:val="17"/>
          <w:szCs w:val="17"/>
          <w:color w:val="auto"/>
        </w:rPr>
        <w:t>Under applicable European and German law, the Management Board may not</w:t>
      </w:r>
    </w:p>
    <w:p>
      <w:pPr>
        <w:spacing w:after="0" w:line="27" w:lineRule="exact"/>
        <w:rPr>
          <w:sz w:val="20"/>
          <w:szCs w:val="20"/>
          <w:color w:val="auto"/>
        </w:rPr>
      </w:pPr>
    </w:p>
    <w:p>
      <w:pPr>
        <w:ind w:left="1780" w:right="80"/>
        <w:spacing w:after="0" w:line="252" w:lineRule="auto"/>
        <w:rPr>
          <w:sz w:val="20"/>
          <w:szCs w:val="20"/>
          <w:color w:val="auto"/>
        </w:rPr>
      </w:pPr>
      <w:r>
        <w:rPr>
          <w:rFonts w:ascii="Times New Roman" w:cs="Times New Roman" w:eastAsia="Times New Roman" w:hAnsi="Times New Roman"/>
          <w:sz w:val="18"/>
          <w:szCs w:val="18"/>
          <w:color w:val="auto"/>
        </w:rPr>
        <w:t>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Liability of Directors  Under German law, any provision, whether contained in the company’s</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and Officers</w:t>
      </w:r>
      <w:r>
        <w:rPr>
          <w:sz w:val="20"/>
          <w:szCs w:val="20"/>
          <w:color w:val="auto"/>
        </w:rPr>
        <w:tab/>
      </w:r>
      <w:r>
        <w:rPr>
          <w:rFonts w:ascii="Times New Roman" w:cs="Times New Roman" w:eastAsia="Times New Roman" w:hAnsi="Times New Roman"/>
          <w:sz w:val="17"/>
          <w:szCs w:val="17"/>
          <w:color w:val="auto"/>
        </w:rPr>
        <w:t>articles of association or any contract or otherwise, that purports to exempt a</w:t>
      </w:r>
    </w:p>
    <w:p>
      <w:pPr>
        <w:spacing w:after="0" w:line="9" w:lineRule="exact"/>
        <w:rPr>
          <w:sz w:val="20"/>
          <w:szCs w:val="20"/>
          <w:color w:val="auto"/>
        </w:rPr>
      </w:pPr>
    </w:p>
    <w:p>
      <w:pPr>
        <w:ind w:left="1780" w:right="180"/>
        <w:spacing w:after="0" w:line="277" w:lineRule="auto"/>
        <w:rPr>
          <w:sz w:val="20"/>
          <w:szCs w:val="20"/>
          <w:color w:val="auto"/>
        </w:rPr>
      </w:pPr>
      <w:r>
        <w:rPr>
          <w:rFonts w:ascii="Times New Roman" w:cs="Times New Roman" w:eastAsia="Times New Roman" w:hAnsi="Times New Roman"/>
          <w:sz w:val="17"/>
          <w:szCs w:val="17"/>
          <w:color w:val="auto"/>
        </w:rPr>
        <w:t>Management or Supervisory Board member from any liability that would otherwise attach to such board member in connection with any negligence, default, breach of duty, or breach of trust in relation to the company is void.</w:t>
      </w:r>
    </w:p>
    <w:p>
      <w:pPr>
        <w:spacing w:after="0" w:line="74" w:lineRule="exact"/>
        <w:rPr>
          <w:sz w:val="20"/>
          <w:szCs w:val="20"/>
          <w:color w:val="auto"/>
        </w:rPr>
      </w:pPr>
    </w:p>
    <w:p>
      <w:pPr>
        <w:ind w:left="1780"/>
        <w:spacing w:after="0" w:line="256" w:lineRule="auto"/>
        <w:rPr>
          <w:sz w:val="20"/>
          <w:szCs w:val="20"/>
          <w:color w:val="auto"/>
        </w:rPr>
      </w:pPr>
      <w:r>
        <w:rPr>
          <w:rFonts w:ascii="Times New Roman" w:cs="Times New Roman" w:eastAsia="Times New Roman" w:hAnsi="Times New Roman"/>
          <w:sz w:val="18"/>
          <w:szCs w:val="18"/>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p>
      <w:pPr>
        <w:spacing w:after="0" w:line="1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4" w:lineRule="exact"/>
        <w:rPr>
          <w:sz w:val="20"/>
          <w:szCs w:val="20"/>
          <w:color w:val="auto"/>
        </w:rPr>
      </w:pPr>
    </w:p>
    <w:p>
      <w:pPr>
        <w:ind w:left="360" w:right="180" w:hanging="270"/>
        <w:spacing w:after="0" w:line="312" w:lineRule="auto"/>
        <w:tabs>
          <w:tab w:leader="none" w:pos="3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the corporation or its stockholders;</w:t>
      </w:r>
    </w:p>
    <w:p>
      <w:pPr>
        <w:sectPr>
          <w:pgSz w:w="11900" w:h="16838" w:orient="portrait"/>
          <w:cols w:equalWidth="0" w:num="2">
            <w:col w:w="7400" w:space="100"/>
            <w:col w:w="3620"/>
          </w:cols>
          <w:pgMar w:left="320" w:top="455" w:right="4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1780"/>
        <w:spacing w:after="0" w:line="253" w:lineRule="auto"/>
        <w:rPr>
          <w:sz w:val="20"/>
          <w:szCs w:val="20"/>
          <w:color w:val="auto"/>
        </w:rPr>
      </w:pPr>
      <w:r>
        <w:rPr>
          <w:rFonts w:ascii="Times New Roman" w:cs="Times New Roman" w:eastAsia="Times New Roman" w:hAnsi="Times New Roman"/>
          <w:sz w:val="18"/>
          <w:szCs w:val="18"/>
          <w:color w:val="auto"/>
        </w:rPr>
        <w:t>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16510</wp:posOffset>
            </wp:positionV>
            <wp:extent cx="23056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2" w:lineRule="exact"/>
        <w:rPr>
          <w:sz w:val="20"/>
          <w:szCs w:val="20"/>
          <w:color w:val="auto"/>
        </w:rPr>
      </w:pPr>
    </w:p>
    <w:p>
      <w:pPr>
        <w:ind w:left="270" w:right="40" w:hanging="270"/>
        <w:spacing w:after="0" w:line="266" w:lineRule="auto"/>
        <w:tabs>
          <w:tab w:leader="none" w:pos="27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81" w:lineRule="exact"/>
        <w:rPr>
          <w:rFonts w:ascii="Times New Roman" w:cs="Times New Roman" w:eastAsia="Times New Roman" w:hAnsi="Times New Roman"/>
          <w:sz w:val="18"/>
          <w:szCs w:val="18"/>
          <w:color w:val="auto"/>
        </w:rPr>
      </w:pPr>
    </w:p>
    <w:p>
      <w:pPr>
        <w:jc w:val="both"/>
        <w:ind w:left="270" w:right="20" w:hanging="270"/>
        <w:spacing w:after="0" w:line="266" w:lineRule="auto"/>
        <w:tabs>
          <w:tab w:leader="none" w:pos="27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payment of unlawful dividends or stock purchases or redemptions; or</w:t>
      </w:r>
    </w:p>
    <w:p>
      <w:pPr>
        <w:spacing w:after="0" w:line="81" w:lineRule="exact"/>
        <w:rPr>
          <w:rFonts w:ascii="Times New Roman" w:cs="Times New Roman" w:eastAsia="Times New Roman" w:hAnsi="Times New Roman"/>
          <w:sz w:val="18"/>
          <w:szCs w:val="18"/>
          <w:color w:val="auto"/>
        </w:rPr>
      </w:pPr>
    </w:p>
    <w:p>
      <w:pPr>
        <w:ind w:left="270" w:right="420" w:hanging="270"/>
        <w:spacing w:after="0" w:line="282" w:lineRule="auto"/>
        <w:tabs>
          <w:tab w:leader="none" w:pos="27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54" w:lineRule="exact"/>
        <w:rPr>
          <w:sz w:val="20"/>
          <w:szCs w:val="20"/>
          <w:color w:val="auto"/>
        </w:rPr>
      </w:pPr>
    </w:p>
    <w:p>
      <w:pPr>
        <w:sectPr>
          <w:pgSz w:w="11900" w:h="16838" w:orient="portrait"/>
          <w:cols w:equalWidth="0" w:num="2">
            <w:col w:w="7360" w:space="230"/>
            <w:col w:w="3550"/>
          </w:cols>
          <w:pgMar w:left="320" w:top="455" w:right="439" w:bottom="1440" w:gutter="0" w:footer="0" w:header="0"/>
          <w:type w:val="continuous"/>
        </w:sect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7"/>
          <w:szCs w:val="17"/>
          <w:color w:val="auto"/>
        </w:rPr>
        <w:t>Under the relevant European and German law, each share, except for</w:t>
      </w:r>
    </w:p>
    <w:p>
      <w:pPr>
        <w:spacing w:after="0" w:line="27"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statutory non-voting preferred shares (</w:t>
      </w:r>
      <w:r>
        <w:rPr>
          <w:rFonts w:ascii="Times New Roman" w:cs="Times New Roman" w:eastAsia="Times New Roman" w:hAnsi="Times New Roman"/>
          <w:sz w:val="18"/>
          <w:szCs w:val="18"/>
          <w:i w:val="1"/>
          <w:iCs w:val="1"/>
          <w:color w:val="auto"/>
        </w:rPr>
        <w:t>nicht stimmberechtigte Vorzugsaktien</w:t>
      </w:r>
      <w:r>
        <w:rPr>
          <w:rFonts w:ascii="Times New Roman" w:cs="Times New Roman" w:eastAsia="Times New Roman" w:hAnsi="Times New Roman"/>
          <w:sz w:val="18"/>
          <w:szCs w:val="18"/>
          <w:color w:val="auto"/>
        </w:rPr>
        <w:t>), entitles its holder to vote at 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86"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Shareholder Vote on</w:t>
      </w:r>
      <w:r>
        <w:rPr>
          <w:sz w:val="20"/>
          <w:szCs w:val="20"/>
          <w:color w:val="auto"/>
        </w:rPr>
        <w:tab/>
      </w:r>
      <w:r>
        <w:rPr>
          <w:rFonts w:ascii="Times New Roman" w:cs="Times New Roman" w:eastAsia="Times New Roman" w:hAnsi="Times New Roman"/>
          <w:sz w:val="17"/>
          <w:szCs w:val="17"/>
          <w:color w:val="auto"/>
        </w:rPr>
        <w:t>Under applicable European and German law, certain shareholders’</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Certain Transactions</w:t>
      </w:r>
      <w:r>
        <w:rPr>
          <w:sz w:val="20"/>
          <w:szCs w:val="20"/>
          <w:color w:val="auto"/>
        </w:rPr>
        <w:tab/>
      </w:r>
      <w:r>
        <w:rPr>
          <w:rFonts w:ascii="Times New Roman" w:cs="Times New Roman" w:eastAsia="Times New Roman" w:hAnsi="Times New Roman"/>
          <w:sz w:val="17"/>
          <w:szCs w:val="17"/>
          <w:color w:val="auto"/>
        </w:rPr>
        <w:t>resolutions of fundamental importance require the vote of at least three-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quarters of the share capital present or represented in the voting at the time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adoption of the resolution. Resolutions of fundamental importance include, in</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particular, capital increases with exclusion of subscription rights, capital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decreases, the creation of authorized or conditional share capital, the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dissolution of a company, a merger into or with another company, split-offs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and split-ups, the conclusion of inter-company agreements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Unternehmensverträge</w:t>
      </w:r>
      <w:r>
        <w:rPr>
          <w:rFonts w:ascii="Times New Roman" w:cs="Times New Roman" w:eastAsia="Times New Roman" w:hAnsi="Times New Roman"/>
          <w:sz w:val="18"/>
          <w:szCs w:val="18"/>
          <w:color w:val="auto"/>
        </w:rPr>
        <w:t>), in particular domination agreements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Beherrschungsverträge</w:t>
      </w:r>
      <w:r>
        <w:rPr>
          <w:rFonts w:ascii="Times New Roman" w:cs="Times New Roman" w:eastAsia="Times New Roman" w:hAnsi="Times New Roman"/>
          <w:sz w:val="18"/>
          <w:szCs w:val="18"/>
          <w:color w:val="auto"/>
        </w:rPr>
        <w:t>), and profit and loss transfer agreements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Ergebnisabführungsverträge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Standard of Conduct</w:t>
      </w:r>
      <w:r>
        <w:rPr>
          <w:sz w:val="20"/>
          <w:szCs w:val="20"/>
          <w:color w:val="auto"/>
        </w:rPr>
        <w:tab/>
      </w:r>
      <w:r>
        <w:rPr>
          <w:rFonts w:ascii="Times New Roman" w:cs="Times New Roman" w:eastAsia="Times New Roman" w:hAnsi="Times New Roman"/>
          <w:sz w:val="17"/>
          <w:szCs w:val="17"/>
          <w:color w:val="auto"/>
        </w:rPr>
        <w:t>Under applicable European and German law, both Management and</w:t>
      </w:r>
    </w:p>
    <w:p>
      <w:pPr>
        <w:spacing w:after="0" w:line="27"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8"/>
          <w:szCs w:val="18"/>
          <w:color w:val="auto"/>
        </w:rPr>
        <w:t>for Directors</w:t>
      </w:r>
      <w:r>
        <w:rPr>
          <w:sz w:val="20"/>
          <w:szCs w:val="20"/>
          <w:color w:val="auto"/>
        </w:rPr>
        <w:tab/>
      </w:r>
      <w:r>
        <w:rPr>
          <w:rFonts w:ascii="Times New Roman" w:cs="Times New Roman" w:eastAsia="Times New Roman" w:hAnsi="Times New Roman"/>
          <w:sz w:val="17"/>
          <w:szCs w:val="17"/>
          <w:color w:val="auto"/>
        </w:rPr>
        <w:t>Supervisory Board members must conduct their affairs with “the care and</w:t>
      </w:r>
    </w:p>
    <w:p>
      <w:pPr>
        <w:spacing w:after="0" w:line="9" w:lineRule="exact"/>
        <w:rPr>
          <w:sz w:val="20"/>
          <w:szCs w:val="20"/>
          <w:color w:val="auto"/>
        </w:rPr>
      </w:pPr>
    </w:p>
    <w:p>
      <w:pPr>
        <w:ind w:left="1780" w:right="100"/>
        <w:spacing w:after="0" w:line="255" w:lineRule="auto"/>
        <w:rPr>
          <w:sz w:val="20"/>
          <w:szCs w:val="20"/>
          <w:color w:val="auto"/>
        </w:rPr>
      </w:pPr>
      <w:r>
        <w:rPr>
          <w:rFonts w:ascii="Times New Roman" w:cs="Times New Roman" w:eastAsia="Times New Roman" w:hAnsi="Times New Roman"/>
          <w:sz w:val="18"/>
          <w:szCs w:val="18"/>
          <w:color w:val="auto"/>
        </w:rPr>
        <w:t>diligence of a prudent business man” and act in the best interest of the company. The scope of the fiduciary duties of Management and Supervisory Board members is</w:t>
      </w:r>
    </w:p>
    <w:p>
      <w:pPr>
        <w:spacing w:after="0" w:line="3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93" w:lineRule="exact"/>
        <w:rPr>
          <w:sz w:val="20"/>
          <w:szCs w:val="20"/>
          <w:color w:val="auto"/>
        </w:rPr>
      </w:pPr>
    </w:p>
    <w:p>
      <w:pPr>
        <w:ind w:left="360" w:hanging="270"/>
        <w:spacing w:after="0"/>
        <w:tabs>
          <w:tab w:leader="none" w:pos="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130" w:lineRule="exact"/>
        <w:rPr>
          <w:rFonts w:ascii="Times New Roman" w:cs="Times New Roman" w:eastAsia="Times New Roman" w:hAnsi="Times New Roman"/>
          <w:sz w:val="18"/>
          <w:szCs w:val="18"/>
          <w:color w:val="auto"/>
        </w:rPr>
      </w:pPr>
    </w:p>
    <w:p>
      <w:pPr>
        <w:ind w:left="360" w:hanging="270"/>
        <w:spacing w:after="0" w:line="256" w:lineRule="auto"/>
        <w:tabs>
          <w:tab w:leader="none" w:pos="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w:t>
      </w:r>
    </w:p>
    <w:p>
      <w:pPr>
        <w:sectPr>
          <w:pgSz w:w="11900" w:h="16838" w:orient="portrait"/>
          <w:cols w:equalWidth="0" w:num="2">
            <w:col w:w="7380" w:space="120"/>
            <w:col w:w="3640"/>
          </w:cols>
          <w:pgMar w:left="320" w:top="455" w:right="4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2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generally determined by European and German legislation and by the courts.</w:t>
      </w:r>
    </w:p>
    <w:p>
      <w:pPr>
        <w:spacing w:after="0" w:line="122" w:lineRule="exact"/>
        <w:rPr>
          <w:sz w:val="20"/>
          <w:szCs w:val="20"/>
          <w:color w:val="auto"/>
        </w:rPr>
      </w:pPr>
    </w:p>
    <w:p>
      <w:pPr>
        <w:ind w:left="1780" w:right="160"/>
        <w:spacing w:after="0" w:line="282" w:lineRule="auto"/>
        <w:rPr>
          <w:sz w:val="20"/>
          <w:szCs w:val="20"/>
          <w:color w:val="auto"/>
        </w:rPr>
      </w:pPr>
      <w:r>
        <w:rPr>
          <w:rFonts w:ascii="Times New Roman" w:cs="Times New Roman" w:eastAsia="Times New Roman" w:hAnsi="Times New Roman"/>
          <w:sz w:val="18"/>
          <w:szCs w:val="18"/>
          <w:color w:val="auto"/>
        </w:rPr>
        <w:t>Statutory and fiduciary duties of members of the Management Board to the company include, among others:</w:t>
      </w:r>
    </w:p>
    <w:p>
      <w:pPr>
        <w:spacing w:after="0" w:line="67" w:lineRule="exact"/>
        <w:rPr>
          <w:sz w:val="20"/>
          <w:szCs w:val="20"/>
          <w:color w:val="auto"/>
        </w:rPr>
      </w:pPr>
    </w:p>
    <w:p>
      <w:pPr>
        <w:ind w:left="2140" w:right="100" w:hanging="274"/>
        <w:spacing w:after="0" w:line="312" w:lineRule="auto"/>
        <w:tabs>
          <w:tab w:leader="none" w:pos="21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in accordance with the law, the company’s articles of association and the rules of procedure for the Management Board, if any;</w:t>
      </w:r>
    </w:p>
    <w:p>
      <w:pPr>
        <w:spacing w:after="0" w:line="45" w:lineRule="exact"/>
        <w:rPr>
          <w:rFonts w:ascii="Times New Roman" w:cs="Times New Roman" w:eastAsia="Times New Roman" w:hAnsi="Times New Roman"/>
          <w:sz w:val="17"/>
          <w:szCs w:val="17"/>
          <w:color w:val="auto"/>
        </w:rPr>
      </w:pPr>
    </w:p>
    <w:p>
      <w:pPr>
        <w:ind w:left="2140" w:right="460" w:hanging="274"/>
        <w:spacing w:after="0" w:line="282"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to the Supervisory Board on a regular basis as well as on certain important occasions;</w:t>
      </w:r>
    </w:p>
    <w:p>
      <w:pPr>
        <w:spacing w:after="0" w:line="67" w:lineRule="exact"/>
        <w:rPr>
          <w:rFonts w:ascii="Times New Roman" w:cs="Times New Roman" w:eastAsia="Times New Roman" w:hAnsi="Times New Roman"/>
          <w:sz w:val="18"/>
          <w:szCs w:val="18"/>
          <w:color w:val="auto"/>
        </w:rPr>
      </w:pPr>
    </w:p>
    <w:p>
      <w:pPr>
        <w:ind w:left="2140" w:hanging="274"/>
        <w:spacing w:after="0"/>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130" w:lineRule="exact"/>
        <w:rPr>
          <w:rFonts w:ascii="Times New Roman" w:cs="Times New Roman" w:eastAsia="Times New Roman" w:hAnsi="Times New Roman"/>
          <w:sz w:val="18"/>
          <w:szCs w:val="18"/>
          <w:color w:val="auto"/>
        </w:rPr>
      </w:pPr>
    </w:p>
    <w:p>
      <w:pPr>
        <w:ind w:left="2140" w:hanging="274"/>
        <w:spacing w:after="0"/>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proper accounting system;</w:t>
      </w:r>
    </w:p>
    <w:p>
      <w:pPr>
        <w:spacing w:after="0" w:line="130" w:lineRule="exact"/>
        <w:rPr>
          <w:rFonts w:ascii="Times New Roman" w:cs="Times New Roman" w:eastAsia="Times New Roman" w:hAnsi="Times New Roman"/>
          <w:sz w:val="18"/>
          <w:szCs w:val="18"/>
          <w:color w:val="auto"/>
        </w:rPr>
      </w:pPr>
    </w:p>
    <w:p>
      <w:pPr>
        <w:ind w:left="2140" w:right="600" w:hanging="274"/>
        <w:spacing w:after="0" w:line="282"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compete, directly or indirectly, with the company without permission by the supervisory board; and</w:t>
      </w:r>
    </w:p>
    <w:p>
      <w:pPr>
        <w:spacing w:after="0" w:line="67" w:lineRule="exact"/>
        <w:rPr>
          <w:rFonts w:ascii="Times New Roman" w:cs="Times New Roman" w:eastAsia="Times New Roman" w:hAnsi="Times New Roman"/>
          <w:sz w:val="18"/>
          <w:szCs w:val="18"/>
          <w:color w:val="auto"/>
        </w:rPr>
      </w:pPr>
    </w:p>
    <w:p>
      <w:pPr>
        <w:ind w:left="2140" w:hanging="274"/>
        <w:spacing w:after="0"/>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that no further transactions are made in case of insolvency.</w:t>
      </w:r>
    </w:p>
    <w:p>
      <w:pPr>
        <w:spacing w:after="0" w:line="130" w:lineRule="exact"/>
        <w:rPr>
          <w:rFonts w:ascii="Times New Roman" w:cs="Times New Roman" w:eastAsia="Times New Roman" w:hAnsi="Times New Roman"/>
          <w:sz w:val="18"/>
          <w:szCs w:val="18"/>
          <w:color w:val="auto"/>
        </w:rPr>
      </w:pPr>
    </w:p>
    <w:p>
      <w:pPr>
        <w:ind w:left="2140" w:right="120" w:hanging="274"/>
        <w:spacing w:after="0" w:line="282"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fiduciary duties of members of the Supervisory Board to the company include, among others:</w:t>
      </w:r>
    </w:p>
    <w:p>
      <w:pPr>
        <w:spacing w:after="0" w:line="67" w:lineRule="exact"/>
        <w:rPr>
          <w:rFonts w:ascii="Times New Roman" w:cs="Times New Roman" w:eastAsia="Times New Roman" w:hAnsi="Times New Roman"/>
          <w:sz w:val="18"/>
          <w:szCs w:val="18"/>
          <w:color w:val="auto"/>
        </w:rPr>
      </w:pPr>
    </w:p>
    <w:p>
      <w:pPr>
        <w:ind w:left="2140" w:right="540" w:hanging="274"/>
        <w:spacing w:after="0" w:line="282"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effectively supervise the Management Board’s handling of the company’s affairs;</w:t>
      </w:r>
    </w:p>
    <w:p>
      <w:pPr>
        <w:spacing w:after="0" w:line="67" w:lineRule="exact"/>
        <w:rPr>
          <w:rFonts w:ascii="Times New Roman" w:cs="Times New Roman" w:eastAsia="Times New Roman" w:hAnsi="Times New Roman"/>
          <w:sz w:val="18"/>
          <w:szCs w:val="18"/>
          <w:color w:val="auto"/>
        </w:rPr>
      </w:pPr>
    </w:p>
    <w:p>
      <w:pPr>
        <w:ind w:left="2140" w:hanging="274"/>
        <w:spacing w:after="0" w:line="266"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and issue a resolution on certain transactions which can only be conducted by the Management Board after approval of the Supervisory Board;</w:t>
      </w:r>
    </w:p>
    <w:p>
      <w:pPr>
        <w:spacing w:after="0" w:line="81" w:lineRule="exact"/>
        <w:rPr>
          <w:rFonts w:ascii="Times New Roman" w:cs="Times New Roman" w:eastAsia="Times New Roman" w:hAnsi="Times New Roman"/>
          <w:sz w:val="18"/>
          <w:szCs w:val="18"/>
          <w:color w:val="auto"/>
        </w:rPr>
      </w:pPr>
    </w:p>
    <w:p>
      <w:pPr>
        <w:ind w:left="2140" w:hanging="274"/>
        <w:spacing w:after="0"/>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financial statements;</w:t>
      </w:r>
    </w:p>
    <w:p>
      <w:pPr>
        <w:spacing w:after="0" w:line="130" w:lineRule="exact"/>
        <w:rPr>
          <w:rFonts w:ascii="Times New Roman" w:cs="Times New Roman" w:eastAsia="Times New Roman" w:hAnsi="Times New Roman"/>
          <w:sz w:val="18"/>
          <w:szCs w:val="18"/>
          <w:color w:val="auto"/>
        </w:rPr>
      </w:pPr>
    </w:p>
    <w:p>
      <w:pPr>
        <w:ind w:left="2140" w:right="360" w:hanging="274"/>
        <w:spacing w:after="0" w:line="266"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Management Board members and to represent the company in transactions between the company and members of the Management Board; and</w:t>
      </w:r>
    </w:p>
    <w:p>
      <w:pPr>
        <w:spacing w:after="0" w:line="81" w:lineRule="exact"/>
        <w:rPr>
          <w:rFonts w:ascii="Times New Roman" w:cs="Times New Roman" w:eastAsia="Times New Roman" w:hAnsi="Times New Roman"/>
          <w:sz w:val="18"/>
          <w:szCs w:val="18"/>
          <w:color w:val="auto"/>
        </w:rPr>
      </w:pPr>
    </w:p>
    <w:p>
      <w:pPr>
        <w:ind w:left="2140" w:right="600" w:hanging="274"/>
        <w:spacing w:after="0" w:line="282" w:lineRule="auto"/>
        <w:tabs>
          <w:tab w:leader="none" w:pos="2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service contracts between individual members of the Management Board and the company.</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well-informed basis, and in a manner they reasonably believe to be in the best interest of the stockholders.</w:t>
      </w:r>
    </w:p>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they reasonably believes to be in the best interests of the corporation. They must not use their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93" w:lineRule="exact"/>
        <w:rPr>
          <w:sz w:val="20"/>
          <w:szCs w:val="20"/>
          <w:color w:val="auto"/>
        </w:rPr>
      </w:pPr>
    </w:p>
    <w:p>
      <w:pPr>
        <w:sectPr>
          <w:pgSz w:w="11900" w:h="16838" w:orient="portrait"/>
          <w:cols w:equalWidth="0" w:num="2">
            <w:col w:w="7340" w:space="160"/>
            <w:col w:w="3580"/>
          </w:cols>
          <w:pgMar w:left="320" w:top="455" w:right="499" w:bottom="1440" w:gutter="0" w:footer="0" w:header="0"/>
          <w:type w:val="continuous"/>
        </w:sectPr>
      </w:pPr>
    </w:p>
    <w:p>
      <w:pPr>
        <w:ind w:left="1780" w:hanging="1659"/>
        <w:spacing w:after="0" w:line="258" w:lineRule="auto"/>
        <w:tabs>
          <w:tab w:leader="none" w:pos="1760" w:val="left"/>
        </w:tabs>
        <w:rPr>
          <w:sz w:val="20"/>
          <w:szCs w:val="20"/>
          <w:color w:val="auto"/>
        </w:rPr>
      </w:pPr>
      <w:r>
        <w:rPr>
          <w:rFonts w:ascii="Times New Roman" w:cs="Times New Roman" w:eastAsia="Times New Roman" w:hAnsi="Times New Roman"/>
          <w:sz w:val="18"/>
          <w:szCs w:val="18"/>
          <w:color w:val="auto"/>
        </w:rPr>
        <w:t>Stockholder Actions</w:t>
        <w:tab/>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w:t>
      </w:r>
    </w:p>
    <w:p>
      <w:pPr>
        <w:spacing w:after="0" w:line="1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ectPr>
          <w:pgSz w:w="11900" w:h="16838" w:orient="portrait"/>
          <w:cols w:equalWidth="0" w:num="2">
            <w:col w:w="7160" w:space="340"/>
            <w:col w:w="3580"/>
          </w:cols>
          <w:pgMar w:left="320" w:top="455" w:right="4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9"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16510</wp:posOffset>
            </wp:positionV>
            <wp:extent cx="3566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1780" w:right="20"/>
        <w:spacing w:after="0" w:line="272" w:lineRule="auto"/>
        <w:rPr>
          <w:sz w:val="20"/>
          <w:szCs w:val="20"/>
          <w:color w:val="auto"/>
        </w:rPr>
      </w:pPr>
      <w:r>
        <w:rPr>
          <w:rFonts w:ascii="Times New Roman" w:cs="Times New Roman" w:eastAsia="Times New Roman" w:hAnsi="Times New Roman"/>
          <w:sz w:val="18"/>
          <w:szCs w:val="18"/>
          <w:color w:val="auto"/>
        </w:rPr>
        <w:t>by its Management Board, or, in the case of a wrong committed by a member of the Management Board, by the Supervisory Board.</w:t>
      </w:r>
    </w:p>
    <w:p>
      <w:pPr>
        <w:spacing w:after="0" w:line="76" w:lineRule="exact"/>
        <w:rPr>
          <w:sz w:val="20"/>
          <w:szCs w:val="20"/>
          <w:color w:val="auto"/>
        </w:rPr>
      </w:pPr>
    </w:p>
    <w:p>
      <w:pPr>
        <w:ind w:left="1780" w:right="60"/>
        <w:spacing w:after="0" w:line="266" w:lineRule="auto"/>
        <w:rPr>
          <w:sz w:val="20"/>
          <w:szCs w:val="20"/>
          <w:color w:val="auto"/>
        </w:rPr>
      </w:pPr>
      <w:r>
        <w:rPr>
          <w:rFonts w:ascii="Times New Roman" w:cs="Times New Roman" w:eastAsia="Times New Roman" w:hAnsi="Times New Roman"/>
          <w:sz w:val="18"/>
          <w:szCs w:val="18"/>
          <w:color w:val="auto"/>
        </w:rPr>
        <w:t>Additionally, pursuant to German case law, the Supervisory Board is obliged to pursue the company’s claims against the Management Board, unless the interest of the company keeps them from doing so.</w:t>
      </w:r>
    </w:p>
    <w:p>
      <w:pPr>
        <w:spacing w:after="0" w:line="81" w:lineRule="exact"/>
        <w:rPr>
          <w:sz w:val="20"/>
          <w:szCs w:val="20"/>
          <w:color w:val="auto"/>
        </w:rPr>
      </w:pPr>
    </w:p>
    <w:p>
      <w:pPr>
        <w:ind w:left="1780" w:right="140"/>
        <w:spacing w:after="0" w:line="256" w:lineRule="auto"/>
        <w:rPr>
          <w:sz w:val="20"/>
          <w:szCs w:val="20"/>
          <w:color w:val="auto"/>
        </w:rPr>
      </w:pPr>
      <w:r>
        <w:rPr>
          <w:rFonts w:ascii="Times New Roman" w:cs="Times New Roman" w:eastAsia="Times New Roman" w:hAnsi="Times New Roman"/>
          <w:sz w:val="18"/>
          <w:szCs w:val="18"/>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93" w:lineRule="exact"/>
        <w:rPr>
          <w:sz w:val="20"/>
          <w:szCs w:val="20"/>
          <w:color w:val="auto"/>
        </w:rPr>
      </w:pPr>
    </w:p>
    <w:p>
      <w:pPr>
        <w:jc w:val="both"/>
        <w:ind w:left="1780" w:right="140"/>
        <w:spacing w:after="0" w:line="266" w:lineRule="auto"/>
        <w:rPr>
          <w:sz w:val="20"/>
          <w:szCs w:val="20"/>
          <w:color w:val="auto"/>
        </w:rPr>
      </w:pPr>
      <w:r>
        <w:rPr>
          <w:rFonts w:ascii="Times New Roman" w:cs="Times New Roman" w:eastAsia="Times New Roman" w:hAnsi="Times New Roman"/>
          <w:sz w:val="18"/>
          <w:szCs w:val="18"/>
          <w:color w:val="auto"/>
        </w:rPr>
        <w:t>If the company is unable to fulfill its third-party obligations, the company’s creditors may pursue the company’s damage claims against members of the Management Board for certain wrongdoings.</w:t>
      </w:r>
    </w:p>
    <w:p>
      <w:pPr>
        <w:spacing w:after="0" w:line="81" w:lineRule="exact"/>
        <w:rPr>
          <w:sz w:val="20"/>
          <w:szCs w:val="20"/>
          <w:color w:val="auto"/>
        </w:rPr>
      </w:pPr>
    </w:p>
    <w:p>
      <w:pPr>
        <w:ind w:left="1780"/>
        <w:spacing w:after="0" w:line="256" w:lineRule="auto"/>
        <w:rPr>
          <w:sz w:val="20"/>
          <w:szCs w:val="20"/>
          <w:color w:val="auto"/>
        </w:rPr>
      </w:pPr>
      <w:r>
        <w:rPr>
          <w:rFonts w:ascii="Times New Roman" w:cs="Times New Roman" w:eastAsia="Times New Roman" w:hAnsi="Times New Roman"/>
          <w:sz w:val="18"/>
          <w:szCs w:val="18"/>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3056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2" w:lineRule="exact"/>
        <w:rPr>
          <w:sz w:val="20"/>
          <w:szCs w:val="20"/>
          <w:color w:val="auto"/>
        </w:rPr>
      </w:pPr>
    </w:p>
    <w:p>
      <w:pPr>
        <w:ind w:left="360" w:hanging="270"/>
        <w:spacing w:after="0" w:line="258" w:lineRule="auto"/>
        <w:tabs>
          <w:tab w:leader="none" w:pos="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88" w:lineRule="exact"/>
        <w:rPr>
          <w:rFonts w:ascii="Times New Roman" w:cs="Times New Roman" w:eastAsia="Times New Roman" w:hAnsi="Times New Roman"/>
          <w:sz w:val="18"/>
          <w:szCs w:val="18"/>
          <w:color w:val="auto"/>
        </w:rPr>
      </w:pPr>
    </w:p>
    <w:p>
      <w:pPr>
        <w:ind w:left="360" w:right="40" w:hanging="270"/>
        <w:spacing w:after="0" w:line="256" w:lineRule="auto"/>
        <w:tabs>
          <w:tab w:leader="none" w:pos="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1506" w:lineRule="exact"/>
        <w:rPr>
          <w:sz w:val="20"/>
          <w:szCs w:val="20"/>
          <w:color w:val="auto"/>
        </w:rPr>
      </w:pPr>
    </w:p>
    <w:p>
      <w:pPr>
        <w:sectPr>
          <w:pgSz w:w="11900" w:h="16838" w:orient="portrait"/>
          <w:cols w:equalWidth="0" w:num="2">
            <w:col w:w="7360" w:space="140"/>
            <w:col w:w="3600"/>
          </w:cols>
          <w:pgMar w:left="320" w:top="455" w:right="479" w:bottom="1440" w:gutter="0" w:footer="0" w:header="0"/>
          <w:type w:val="continuous"/>
        </w:sect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the BioNTech ADSs. Each BioNTech ADS will represent one share (or a right to receive one share) deposited with The Bank of New York Mellon SA/NV as custodian for the depositary in Germany. Each BioNTech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BioNTech ADSs will be administered and its principal executive office are located at 240 Greenwich Street, New York, New York 10286.</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may hold BioNTech ADSs either (i) directly (a) by having an American Depositary Receipt, which we refer to as an ADR, which is a certificate evidencing a specific number of BioNTech ADSs registered in your name, or (b) by having uncertificated BioNTech ADSs registered in your name, or (ii) indirectly by holding a security entitlement in BioNTech ADSs through your broker or other financial institution that is a direct or indirect participant in the DTC. If you hold BioNTech ADSs directly, you are a registered BioNTech ADS holder, or a BioNTech ADS holder. This description assumes you are a BioNTech ADS holder. If you hold the BioNTech ADSs indirectly, you must rely on the procedures of your broker or other financial institution to assert the rights of BioNTech ADS holders described in this section. You should consult with your broker or financial institution to find out what those procedures 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BioNTech ADSs will receive statements from the depositary confirming their holdings.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BioNTech ADS holder, we will not treat you as one of our shareholders and you will not have shareholder rights. European and German law govern shareholder rights. The depositary will be the holder of the shares underlying your BioNTech ADSs. As a registered holder of BioNTech ADSs, you will have BioNTech ADS holder rights. A deposit agreement among us, the depositary, BioNTech ADS holders and all other persons indirectly or beneficially holding BioNTech ADSs sets out BioNTech ADS holder rights as well as the rights and obligations of the depositary. New York law governs the deposit agreement and the BioNTech ADSs.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Those documents are included as exhibits to the registration statement.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will BioNTech ADS holders receive dividends and other distributions on the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or distribute to BioNTech ADS holders the cash dividends or other distributions it or the custodian receives on shares or other deposited securities, upon payment or deduction of its fees and expenses. You will receive these distributions in proportion to the number of shares your BioNTech ADSs represent.</w:t>
      </w:r>
    </w:p>
    <w:p>
      <w:pPr>
        <w:spacing w:after="0" w:line="17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on the shares into U.S. dollars, if it can do so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BioNTech ADS holders to whom it is possible to do so. It will hold the foreign currency it cannot convert for the account of the BioNTech ADS holders who have not been paid. It will not invest the foreign currency and it will not be liable for any interest.</w:t>
      </w:r>
    </w:p>
    <w:p>
      <w:pPr>
        <w:spacing w:after="0" w:line="18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 during a time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depositary cannot convert the foreign currency, you may lose some of the value of the distribution.</w:t>
      </w:r>
    </w:p>
    <w:p>
      <w:pPr>
        <w:spacing w:after="0" w:line="17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The depositary may distribute additional BioNTech ADSs representing any shares we distribute as a dividend or free distribution.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will only distribute whole BioNTech ADSs. It will sell shares which would require it to deliver a fraction of a BioNTech ADS (or BioNTech ADSs representing those shares) and distribute the net proceeds in the same way as it does with cash. If the depositary does not distribute additional BioNTech ADSs, the outstanding BioNTech ADSs will also represent the new shares. The depositary may sell a portion of the distributed shares (or BioNTech ADSs representing those shares) sufficient to pay its fees and expenses in connection with that distribution.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securities any rights to subscribe for additional shares or any other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depositary may (i) exercise those rights on behalf of BioNTech ADS holders, (ii) distribute those rights to BioNTech ADS holders, or (iii) sell those rights and distribute the net proceeds to BioNTech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8"/>
          <w:szCs w:val="18"/>
          <w:b w:val="1"/>
          <w:bCs w:val="1"/>
          <w:color w:val="auto"/>
        </w:rPr>
        <w:t>In that case, holders of BioNTech ADSs will receive no value for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rights. </w:t>
      </w:r>
      <w:r>
        <w:rPr>
          <w:rFonts w:ascii="Times New Roman" w:cs="Times New Roman" w:eastAsia="Times New Roman" w:hAnsi="Times New Roman"/>
          <w:sz w:val="18"/>
          <w:szCs w:val="18"/>
          <w:color w:val="auto"/>
        </w:rPr>
        <w:t>The depositary will exercise or distribute rights only if we ask it to and provide satisfactory assurances to the depositary that it is legal to do so.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exercise rights, it will purchase the securities to which the rights relate and distribute those securities or, in the case of shares, new BioNTech ADSs representing the new shares, to subscribing BioNTech ADS holders, but only if BioNTech ADS holders have paid the exercise price to the depositary. U.S. securities laws may restrict the ability of the depositary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to distribute rights or BioNTech ADSs or other securities issued on exercise of rights to all or certain BioNTech ADS holders, and the securities distributed may be subject to restrictions on transfer.</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The depositary will send to BioNTech ADS holders anything else we distribute on deposited securities by any means it thinks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legal, fair, and practical. If it cannot make the distribution in that way, the depositary has a choice. It may decide to sell what we distributed and distribute the net proceeds, in the same way as it does with cash. Or, it may decide to hold what we distributed, in which case BioNTech ADSs will also represent the newly distributed property. However, the depositary is not required to distribute any securities (other than BioNTech ADSs) to BioNTech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BioNTech ADS holders, and the securities distributed may be subject to restrictions on transfer.</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is not responsible if it decides that it is unlawful or impractical to make a distribution available to any BioNTech ADS holders. We have no obligation to register BioNTech ADSs, shares, rights, or other securities under the Securities Act. We also have no obligation to take any other action to permit the distribution of BioNTech ADSs, shares, rights, or anything else to BioNTech ADS holders. </w:t>
      </w:r>
      <w:r>
        <w:rPr>
          <w:rFonts w:ascii="Times New Roman" w:cs="Times New Roman" w:eastAsia="Times New Roman" w:hAnsi="Times New Roman"/>
          <w:sz w:val="18"/>
          <w:szCs w:val="18"/>
          <w:b w:val="1"/>
          <w:bCs w:val="1"/>
          <w:color w:val="auto"/>
        </w:rPr>
        <w:t>This means that you may not receive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distributions we make on our shares or any value for them if it is illegal or impractical for us to make them available to you.</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are BioNTech ADSs issued?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deliver BioNTech ADSs if you or your broker deposits shares or evidence of rights to receive shares with the custodian. Upon payment of its fees and expenses and of any taxes or charges, such as stamp taxes or stock transfer taxes or fees, the depositary will register the appropriate number of BioNTech ADSs in the names you request and will deliver the BioNTech ADSs to or upon the order of the person or persons that made the deposit.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may surrender your BioNTech ADSs to the depositary for the purpose of withdrawal. Upon payment of its fees and expenses and of any taxes or charges, such as stamp taxes or stock transfer taxes or fees, the depositary will deliver the shares and any other deposited securities underlying the BioNTech ADSs to the BioNTech ADS holder or a person the BioNTech ADS holder designates at the office of the custodian. Or, at your request, risk, and expense, the depositary will deliver the deposited securities at its office, if feasible. However, the depositary is not required to accept surrender of BioNTech ADSs to the extent it would require delivery of a fraction of a deposited share or other security. The depositary may charge you a fee and its expenses for instructing the custodian regarding delivery of deposited securities.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 BioNTech ADS holders interchange between certificated BioNTech ADSs and uncertificated BioNTech ADSs?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BioNTech ADSs. The depositary will cancel that ADR and will send to the BioNTech ADS holder a statement confirming that the BioNTech ADS holder is the registered holder of uncertificated BioNTech ADSs. Upon receipt by the depositary of a proper instruction from a registered holder of uncertificated BioNTech ADSs requesting the exchange of uncertificated BioNTech ADSs for certificated BioNTech ADSs, the depositary will execute and deliver to the BioNTech ADS holder an ADR evidencing those BioNTech ADSs.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 BioNTech ADS holders vote?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BioNTech ADS holders may instruct the depositary how to vote the number of deposited shares their BioNTech ADSs represent. If we request the depositary to solicit your voting instructions (and we are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required to do so), the depositary will notify you of a shareholders’ meeting and send or make voting materials available to you. Those materials will describe the matters to be voted on and explain how BioNTech ADS holders may instruct the depositary how to vote. For instructions to be valid, they must reach the depositary by a date set by the depositary. The depositary will try, as far as practical, subject to the laws of the State of New York and the provisions of the BioNTech articles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or similar documents, to vote or to have its agents vote the shares or other deposited securities as instructed by BioNTech ADS holders. If we do not request the depositary to solicit your voting instructions, you can still send voting instructions, and, in that case, the depositary may try to vote as you instruct, but it is not required to do so.</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Except by instructing the depositary as described above, you won’t be able to exercise voting rights unless you surrender your BioNTech ADSs and withdraw the shares. However, you may not know about the meeting enough in advance to withdraw the shares. </w:t>
      </w:r>
      <w:r>
        <w:rPr>
          <w:rFonts w:ascii="Times New Roman" w:cs="Times New Roman" w:eastAsia="Times New Roman" w:hAnsi="Times New Roman"/>
          <w:sz w:val="18"/>
          <w:szCs w:val="18"/>
          <w:color w:val="auto"/>
        </w:rPr>
        <w:t>In any event,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89"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the depositary to vote uninstructed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reasonably do not know of any substantial shareholder opposition to a particular question;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question is not materially adverse to the interests of shareholders, the depositary will consider you to have authorized and directed it to vote the number of deposited securities represented by your BioNTech ADSs in favor of any resolution that we proposed in the invitation to the shareholders’ meeting.</w:t>
      </w:r>
    </w:p>
    <w:p>
      <w:pPr>
        <w:spacing w:after="0" w:line="176"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spacing w:after="0" w:line="1"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b w:val="1"/>
          <w:bCs w:val="1"/>
          <w:color w:val="auto"/>
        </w:rPr>
        <w:t>This means that you may not be able to exercise voting rights and there may be nothing you can do if your shares are not voted as you requested.</w:t>
      </w:r>
    </w:p>
    <w:p>
      <w:pPr>
        <w:spacing w:after="0" w:line="18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1120"/>
          </w:cols>
          <w:pgMar w:left="320" w:top="455" w:right="459" w:bottom="1440" w:gutter="0" w:footer="0" w:header="0"/>
        </w:sect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w:t>
      </w:r>
    </w:p>
    <w:p>
      <w:pPr>
        <w:spacing w:after="0" w:line="3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or BioNTech ADS holders must pay</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BioNTech ADSs (or portion of 100 BioNTech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BioNTech ADS</w:t>
      </w:r>
    </w:p>
    <w:p>
      <w:pPr>
        <w:spacing w:after="0" w:line="11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BioNTech ADSs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BioNTech ADS per calendar year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Issuance of BioNTech ADSs, including issuances resulting from a distribution of shares or rights or other property</w:t>
      </w:r>
    </w:p>
    <w:p>
      <w:pPr>
        <w:spacing w:after="0" w:line="6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Cancellation of BioNTech ADSs for the purpose of withdrawal, including if the deposit agreement terminates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BioNTech ADS holders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BioNTech ADS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ectPr>
          <w:pgSz w:w="11900" w:h="16838" w:orient="portrait"/>
          <w:cols w:equalWidth="0" w:num="2">
            <w:col w:w="5760" w:space="200"/>
            <w:col w:w="5160"/>
          </w:cols>
          <w:pgMar w:left="320" w:top="455" w:right="4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BioNTech ADSs or shares underlying BioNTech ADSs, such as stock transfer taxes, stamp duty, or withholding taxes</w:t>
      </w:r>
    </w:p>
    <w:p>
      <w:pPr>
        <w:spacing w:after="0" w:line="6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spacing w:after="0" w:line="67" w:lineRule="exact"/>
        <w:rPr>
          <w:sz w:val="20"/>
          <w:szCs w:val="20"/>
          <w:color w:val="auto"/>
        </w:rPr>
      </w:pPr>
    </w:p>
    <w:p>
      <w:pPr>
        <w:ind w:right="1960"/>
        <w:spacing w:after="0" w:line="423"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441" w:lineRule="exact"/>
        <w:rPr>
          <w:sz w:val="20"/>
          <w:szCs w:val="20"/>
          <w:color w:val="auto"/>
        </w:rPr>
      </w:pPr>
    </w:p>
    <w:p>
      <w:pPr>
        <w:sectPr>
          <w:pgSz w:w="11900" w:h="16838" w:orient="portrait"/>
          <w:cols w:equalWidth="0" w:num="2">
            <w:col w:w="5600" w:space="360"/>
            <w:col w:w="5100"/>
          </w:cols>
          <w:pgMar w:left="320" w:top="455" w:right="519" w:bottom="1440" w:gutter="0" w:footer="0" w:header="0"/>
        </w:sect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BioNTech ADSs directly from investors depositing shares or surrendering BioNTech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BioNTech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From time to time, the depositary may make payments to us to reimburse us for costs and expenses generally arising out of establishment and maintenance of the BioNTech ADS program, waive fees and expenses for services provided to us by the depositary or share revenue from the fees collected from BioNTech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BioNTech ADS holders, subject to the depositary’s obligations under the deposit agreement. The methodology used to determine exchange rates used in currency conversions is available upon request.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BioNTech ADSs or on the deposited securities represented by any of your BioNTech ADSs. The depositary may refuse to register any transfer of your BioNTech ADSs or allow you to withdraw the deposited securities represented by your BioNTech ADSs until those taxes or other charges are paid. It may apply payments owed to you or sell deposited securities represented by your BioNTech ADSs to pay any taxes owed and you will remain liable for any deficiency. If the depositary sells deposited securities, it will, if appropriate, reduce the number of BioNTech ADSs to reflect the sale and pay to BioNTech ADS holders any proceeds, or send to BioNTech ADS holders any property, remaining after it has paid the taxes.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by a BioNTech ADS holder surrendering BioNTech ADSs and subject to any conditions or procedures the depositary may establish.</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BioNTech ADSs and distribute the net redemption money to the holders of called BioNTech ADSs upon surrender of those BioNTech ADSs.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BioNTech ADS holders or for any other reason, the depositary may instead sell the replacement securities and distribute the net proceeds upon surrender of the BioNTech ADSs.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BioNTech ADSs representing the new deposited securities or ask you to surrender your outstanding ADRs in exchange for new ADRs identifying the new deposited securities.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BioNTech ADSs, including if the deposited securities are cancelled, or if the deposited securities underlying BioNTech ADSs have become apparently worthless, the depositary may call for surrender or of those BioNTech ADSs or cancel those BioNTech ADSs upon notice to the BioNTech ADS 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BioNTech ADS holders, it will not become effective for outstanding BioNTech ADSs until 30 days after the depositary notifies BioNTech ADS holders of the amendment. </w:t>
      </w:r>
      <w:r>
        <w:rPr>
          <w:rFonts w:ascii="Times New Roman" w:cs="Times New Roman" w:eastAsia="Times New Roman" w:hAnsi="Times New Roman"/>
          <w:sz w:val="18"/>
          <w:szCs w:val="18"/>
          <w:b w:val="1"/>
          <w:bCs w:val="1"/>
          <w:color w:val="auto"/>
        </w:rPr>
        <w:t>At the time an amendment becomes effective, you are considered,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continuing to hold your BioNTech ADSs, to agree to the amendment and to be bound by the ADRs and the deposit agreement as amended.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67" w:lineRule="exact"/>
        <w:rPr>
          <w:sz w:val="20"/>
          <w:szCs w:val="20"/>
          <w:color w:val="auto"/>
        </w:rPr>
      </w:pPr>
    </w:p>
    <w:p>
      <w:pPr>
        <w:ind w:left="1080" w:right="46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BioNTech ADSs from an exchange in the United States on which they were listed and do not list the BioNTech ADSs on another exchange in the United States or make arrangements for trading of BioNTech ADSs on the U.S. over-the-counter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ordinary shares from an exchange outside the United States on which they were listed and do not list the shares on another exchange outside the United States;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BioNTech ADSs have become, or will become, ineligible for registration on Form F-6 under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BioNTech ADSs or the underlying deposited securities have become apparently worthless;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BioNTech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BioNTech ADS holders that have not surrendered their BioNTech ADSs. Normally, the depositary will sell as soon as practicable after the termination date.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BioNTech ADS holders can still surrender their BioNTech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BioNTech ADSs or distribute any dividends or other distributions on deposited securities to the BioNTech ADSs holder (until they surrender their BioNTech ADSs) or give any notices or perform any other duties under the deposit agreement except as described in this paragraph.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BioNTech ADSs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67" w:lineRule="exact"/>
        <w:rPr>
          <w:sz w:val="20"/>
          <w:szCs w:val="20"/>
          <w:color w:val="auto"/>
        </w:rPr>
      </w:pPr>
    </w:p>
    <w:p>
      <w:pPr>
        <w:ind w:left="1080" w:right="4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BioNTech ADSs;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BioNTech ADSs to benefit from any distribution on deposited securities that is not made available to holders of BioNTech ADSs under the terms of the deposit agreement, or for any special, consequential, or punitive damages for any breach of the terms of the deposit agreement;</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BioNTech ADSs or the deposit agreement on your behalf or on behalf of any other person;</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0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BioNTech ADS holders as a result of owning or holding BioNTech ADSs or be liable for the inability or failure of a BioNTech ADS holder to obtain the benefit of a foreign tax credit, reduced rate of withholding, or refund of amounts withheld in respect of tax or any other tax benefit.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BioNTech ADSs, make a distribution on BioNTech ADSs, or permit withdrawal of shares, the depositary may require:</w:t>
      </w:r>
    </w:p>
    <w:p>
      <w:pPr>
        <w:spacing w:after="0" w:line="67" w:lineRule="exact"/>
        <w:rPr>
          <w:sz w:val="20"/>
          <w:szCs w:val="20"/>
          <w:color w:val="auto"/>
        </w:rPr>
      </w:pPr>
    </w:p>
    <w:p>
      <w:pPr>
        <w:ind w:left="1080" w:right="3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BioNTech ADSs or register transfers of BioNTech ADSs when the transfer books of the depositary or our transfer books are closed or at any time if the depositary or we think it advisable to do so.</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BioNTech ADSs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BioNTech ADS holders have the right to cancel their BioNTech ADSs and withdraw the underlying shares at any time except:</w:t>
      </w:r>
    </w:p>
    <w:p>
      <w:pPr>
        <w:spacing w:after="0" w:line="131" w:lineRule="exact"/>
        <w:rPr>
          <w:sz w:val="20"/>
          <w:szCs w:val="20"/>
          <w:color w:val="auto"/>
        </w:rPr>
      </w:pPr>
    </w:p>
    <w:p>
      <w:pPr>
        <w:ind w:left="1080" w:right="8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BioNTech ADSs or to the withdrawal of shares or other deposited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which we refer to as the DRS, and Profile Modification System, which we refer to as the Profile, will apply to the BioNTech ADSs. DRS is a system administered by DTC that facilitates interchange between registered holding of uncertificated ADSs and holding of security entitlements in BioNTech ADSs through DTC and a DTC participant. Profile is a feature of DRS that allows a DTC participant, claiming to act on behalf of a registered holder of uncertificated BioNTech ADSs, to direct the depositary to register a transfer of those BioNTech ADSs to DTC or its nominee and to deliver those BioNTech ADSs to the DTC account of that DTC participant without receipt by the depositary of prior authorization from the BioNTech ADS holder to register that transfer.</w:t>
      </w:r>
    </w:p>
    <w:p>
      <w:pPr>
        <w:spacing w:after="0" w:line="18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60"/>
          </w:cols>
          <w:pgMar w:left="320" w:top="455" w:right="5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that is claiming to be acting on behalf of a BioNTech ADS holder in requesting registration of transfer and delivery as described in the paragraph above has the actual authority to act on behalf of the BioNTech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BioNTech ADSs, but not for the purpose of contacting those holders about a matter unrelated to our business or the BioNTech ADSs.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BioNTech ADS holders waive the right to a jury trial of any claim they may have against us or the depositary arising out of or relating to our shares, the BioNTech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RIGHTS OF BIONTECH SHAREHOLDERS AND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CUREVAC SHAREHOLDERS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rights of CureVac shareholders are currently governed by Dutch law and the CureVac articles. The rights of BioNTech shareholders are governed by European and German law, including, but not limited to, the SE Regulation, the German Act on the Implementation of the SE Regulation, which we refer to as the SEAG,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(each as amended from time to time), and by the provisions of the BioNTech articles. The following is a summary of the material differences between the rights of CureVac shareholders and BioNTech shareholders. These differences arise from differences between Dutch law and the CureVac articles on the one hand, and European and German law and the BioNTech articles on the other hand. This summary does not include a complete description of all differences between the rights of CureVac shareholders and BioNTech shareholders, nor does it include a complete description of the specific rights of these respective holders. Furthermore, the identification of some of the differences in the rights of these holders as material is not intended to indicate that other differences do not exist.</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transactions, CureVac shareholders will become holders of BioNTech ADSs, each of which will represent one BioNTech ordinary share. You should refer to the description of the BioNTech ADSs in the section “Description of BioNTech Capital Stock” on page 123 for a description of the BioNTech ADSs and the BioNTech deposit agreement and a discussion of the ways in which the rights of holders of BioNTech ADSs may differ from those of holders of BioNTech ordinary shares.</w:t>
      </w:r>
    </w:p>
    <w:p>
      <w:pPr>
        <w:spacing w:after="0" w:line="203" w:lineRule="exact"/>
        <w:rPr>
          <w:sz w:val="20"/>
          <w:szCs w:val="20"/>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Management Board / Supervisory Board / Shareholders’ Meeting</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CureVac has a two-tier governance system with a separate management board and supervisory board.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BioNTech has a two-tier governance system with a separate management board and a supervisory board.</w:t>
      </w:r>
    </w:p>
    <w:p>
      <w:pPr>
        <w:spacing w:after="0" w:line="158" w:lineRule="exact"/>
        <w:rPr>
          <w:sz w:val="20"/>
          <w:szCs w:val="20"/>
          <w:color w:val="auto"/>
        </w:rPr>
      </w:pPr>
    </w:p>
    <w:p>
      <w:pPr>
        <w:sectPr>
          <w:pgSz w:w="11900" w:h="16838" w:orient="portrait"/>
          <w:cols w:equalWidth="0" w:num="2">
            <w:col w:w="5260" w:space="60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Authorized Capital / Outstanding Stock</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CureVac articles provide for an authorized share capital of €92,700,000, divided into (i) 386,250,000 ordinary shares with a nominal value of €0.12 each, and (ii) 386,250,000 preferred shares with a nominal value of €0.12 each.</w:t>
      </w:r>
    </w:p>
    <w:p>
      <w:pPr>
        <w:spacing w:after="0" w:line="83"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Based on the information in the Dutch trade register (</w:t>
      </w:r>
      <w:r>
        <w:rPr>
          <w:rFonts w:ascii="Times New Roman" w:cs="Times New Roman" w:eastAsia="Times New Roman" w:hAnsi="Times New Roman"/>
          <w:sz w:val="18"/>
          <w:szCs w:val="18"/>
          <w:i w:val="1"/>
          <w:iCs w:val="1"/>
          <w:color w:val="auto"/>
        </w:rPr>
        <w:t>handelregister</w:t>
      </w:r>
      <w:r>
        <w:rPr>
          <w:rFonts w:ascii="Times New Roman" w:cs="Times New Roman" w:eastAsia="Times New Roman" w:hAnsi="Times New Roman"/>
          <w:sz w:val="18"/>
          <w:szCs w:val="18"/>
          <w:color w:val="auto"/>
        </w:rPr>
        <w:t>), the issued share capital of CureVac is €27,021,797.64, divided into 225,181,647 ordinary shares with a nominal value of €0.12 each, all of which are fully paid-up.</w:t>
      </w:r>
    </w:p>
    <w:p>
      <w:pPr>
        <w:spacing w:after="0" w:line="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At the proposal of the management board of CureVac, approved by the supervisory board of CureVac, the general meeting of CureVac may designate another corporate body such as the CureVac management board as the competent body to issue shares in the capital of CureVac (or grant rights to subscribe for such shares), to limit or exclude pre-emption rights with regard to such issue or grant, and to determine the issue price and other conditions of the issue for a specified period not exceeding five years. Preferred shares cannot be issued or granted and shall not be part of CureVac’s issued share capital until the expiration of the later of (i) the</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BioNTech has share capital registered in the commercial register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in the amount of €248,552,200, which is divided into 248,552,200 registered shares (</w:t>
      </w:r>
      <w:r>
        <w:rPr>
          <w:rFonts w:ascii="Times New Roman" w:cs="Times New Roman" w:eastAsia="Times New Roman" w:hAnsi="Times New Roman"/>
          <w:sz w:val="18"/>
          <w:szCs w:val="18"/>
          <w:i w:val="1"/>
          <w:iCs w:val="1"/>
          <w:color w:val="auto"/>
        </w:rPr>
        <w:t>Namensaktien</w:t>
      </w:r>
      <w:r>
        <w:rPr>
          <w:rFonts w:ascii="Times New Roman" w:cs="Times New Roman" w:eastAsia="Times New Roman" w:hAnsi="Times New Roman"/>
          <w:sz w:val="18"/>
          <w:szCs w:val="18"/>
          <w:color w:val="auto"/>
        </w:rPr>
        <w:t>). All shares are shares with no par value (</w:t>
      </w:r>
      <w:r>
        <w:rPr>
          <w:rFonts w:ascii="Times New Roman" w:cs="Times New Roman" w:eastAsia="Times New Roman" w:hAnsi="Times New Roman"/>
          <w:sz w:val="18"/>
          <w:szCs w:val="18"/>
          <w:i w:val="1"/>
          <w:iCs w:val="1"/>
          <w:color w:val="auto"/>
        </w:rPr>
        <w:t>Stückaktien ohne Nennbetrag</w:t>
      </w:r>
      <w:r>
        <w:rPr>
          <w:rFonts w:ascii="Times New Roman" w:cs="Times New Roman" w:eastAsia="Times New Roman" w:hAnsi="Times New Roman"/>
          <w:sz w:val="18"/>
          <w:szCs w:val="18"/>
          <w:color w:val="auto"/>
        </w:rPr>
        <w:t>) with a notional amount attributable to each ordinary share of €1.00. Each issued ordinary share is fully paid.</w:t>
      </w:r>
    </w:p>
    <w:p>
      <w:pPr>
        <w:spacing w:after="0" w:line="9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Under § 4(5) of BioNTech’s articles of association (</w:t>
      </w:r>
      <w:r>
        <w:rPr>
          <w:rFonts w:ascii="Times New Roman" w:cs="Times New Roman" w:eastAsia="Times New Roman" w:hAnsi="Times New Roman"/>
          <w:sz w:val="17"/>
          <w:szCs w:val="17"/>
          <w:i w:val="1"/>
          <w:iCs w:val="1"/>
          <w:color w:val="auto"/>
        </w:rPr>
        <w:t>Satzung</w:t>
      </w:r>
      <w:r>
        <w:rPr>
          <w:rFonts w:ascii="Times New Roman" w:cs="Times New Roman" w:eastAsia="Times New Roman" w:hAnsi="Times New Roman"/>
          <w:sz w:val="17"/>
          <w:szCs w:val="17"/>
          <w:color w:val="auto"/>
        </w:rPr>
        <w:t>), the management board is authorized, with the approval of the supervisory board, to increase BioNTech’s share capital, on one or more occasions, in the period up to May 15, 2030, by a total of up to €124,276,100 by issuing up to 124,276,100 new no-par value registered shares in return for cash and/or non-cash contributions (authorized capital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BioNTech ADSs are listed on Nasdaq.</w:t>
      </w:r>
    </w:p>
    <w:p>
      <w:pPr>
        <w:sectPr>
          <w:pgSz w:w="11900" w:h="16838" w:orient="portrait"/>
          <w:cols w:equalWidth="0" w:num="2">
            <w:col w:w="5760" w:space="100"/>
            <w:col w:w="5260"/>
          </w:cols>
          <w:pgMar w:left="320" w:top="455" w:right="4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Period or (ii) the Initial Approval Period (both as defined in the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articles).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management board has been authorized for a period of five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years until August 14, 2025, to issue ordinary shares or grant rights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subscribe for ordinary shares up to CureVac’s authorized share capital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CureVac was granted renewal of this authorization at its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general meeting that was held on June 24,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Resolutions of the CureVac supervisory board to approve a resolution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management board to exclude or limit pre-emption rights (except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ordinary operation of CureVac’s equity incentive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plans), or to issue shares against non-cash contribution, require approval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Special Committee of the CureVac supervisory board.</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shares are listed on Nasdaq.</w:t>
      </w: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ectPr>
          <w:pgSz w:w="11900" w:h="16838" w:orient="portrait"/>
          <w:cols w:equalWidth="0" w:num="1">
            <w:col w:w="11080"/>
          </w:cols>
          <w:pgMar w:left="320" w:top="455" w:right="499" w:bottom="1440" w:gutter="0" w:footer="0" w:header="0"/>
        </w:sectPr>
      </w:pP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supervisory board has established the following standing committees: an Audit Committee, a Compensation Committee, a Nomination and Corporate Governance Committee, a Special Committee, and an Independent Committee. The supervisory board has drawn up (and/or included in the supervisory board rules) rules concerning the organization, decision-making, and other internal matters of these committees.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supervisory board may form committees and may refer items for resolution to these committees within the scope of what is permitted by law.</w:t>
      </w:r>
    </w:p>
    <w:p>
      <w:pPr>
        <w:spacing w:after="0" w:line="8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supervisory board has established an Audit Committee, a Compensation, Nominating, and Corporate Governance Committee, a Capital Markets Committee and a Product Committee by resolution.</w:t>
      </w:r>
    </w:p>
    <w:p>
      <w:pPr>
        <w:spacing w:after="0" w:line="167" w:lineRule="exact"/>
        <w:rPr>
          <w:sz w:val="20"/>
          <w:szCs w:val="20"/>
          <w:color w:val="auto"/>
        </w:rPr>
      </w:pPr>
    </w:p>
    <w:p>
      <w:pPr>
        <w:sectPr>
          <w:pgSz w:w="11900" w:h="16838" w:orient="portrait"/>
          <w:cols w:equalWidth="0" w:num="2">
            <w:col w:w="5460" w:space="400"/>
            <w:col w:w="522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Voting</w:t>
      </w:r>
    </w:p>
    <w:p>
      <w:pPr>
        <w:sectPr>
          <w:pgSz w:w="11900" w:h="16838" w:orient="portrait"/>
          <w:cols w:equalWidth="0" w:num="1">
            <w:col w:w="11080"/>
          </w:cols>
          <w:pgMar w:left="320" w:top="455" w:right="499" w:bottom="1440" w:gutter="0" w:footer="0" w:header="0"/>
          <w:type w:val="continuous"/>
        </w:sectPr>
      </w:pPr>
    </w:p>
    <w:p>
      <w:pPr>
        <w:spacing w:after="0" w:line="133"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Each person with a meeting right under Dutch law (generally being a shareholder, a usufructuary, or pledgee with voting or meeting rights or a holder of depository receipts for shares issued with CureVac’s cooperation) has the right to attend, address and, if applicable, vote at CureVac’s general meetings, whether in person or represented by the holder of a written proxy (also by electronic means of communication, if so decided by the CureVac management board). Each share, irrespective of which class it concerns, shall give the right to cast one vote at the CureVac general meeting.</w:t>
      </w:r>
    </w:p>
    <w:p>
      <w:pPr>
        <w:spacing w:after="0" w:line="7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Unless a greater majority is required by law or by the CureVac articles, all resolutions of the CureVac general meeting shall be passed by a simple majority of the votes cast. Under applicable Dutch law, a number of resolutions must be passed by a majority of at least two thirds of the votes cast if less than half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holders of BioNTech ordinary shares may exercise their voting rights only in the shareholders’ meeting. One vote is afforded to each BioNTech ordinary share.</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Resolutions are, in accordance with BioNTech articles, generally taken by simple majority of the votes cast. However, under applicable German and European law, a number of resolutions must be passed by either a three-quarter majority of the votes cast or a three-quarter majority of the share capital represented at the meeting. In addition, unless a larger majority is required by law, resolutions to amend the articles (</w:t>
      </w:r>
      <w:r>
        <w:rPr>
          <w:rFonts w:ascii="Times New Roman" w:cs="Times New Roman" w:eastAsia="Times New Roman" w:hAnsi="Times New Roman"/>
          <w:sz w:val="17"/>
          <w:szCs w:val="17"/>
          <w:i w:val="1"/>
          <w:iCs w:val="1"/>
          <w:color w:val="auto"/>
        </w:rPr>
        <w:t>Satzung</w:t>
      </w:r>
      <w:r>
        <w:rPr>
          <w:rFonts w:ascii="Times New Roman" w:cs="Times New Roman" w:eastAsia="Times New Roman" w:hAnsi="Times New Roman"/>
          <w:sz w:val="17"/>
          <w:szCs w:val="17"/>
          <w:color w:val="auto"/>
        </w:rPr>
        <w:t>) require a majority of at least two-thirds of the votes cast and of the share capital represented, if at least half of the share capital is not represented. The fact that in these cases the quorum is determined in relation to the share capital or shares present (as opposed to, for example, all shares eligible to vote) means that holders of a minority of BioNTech ordinary</w:t>
      </w:r>
    </w:p>
    <w:p>
      <w:pPr>
        <w:spacing w:after="0" w:line="128" w:lineRule="exact"/>
        <w:rPr>
          <w:sz w:val="20"/>
          <w:szCs w:val="20"/>
          <w:color w:val="auto"/>
        </w:rPr>
      </w:pPr>
    </w:p>
    <w:p>
      <w:pPr>
        <w:sectPr>
          <w:pgSz w:w="11900" w:h="16838" w:orient="portrait"/>
          <w:cols w:equalWidth="0" w:num="2">
            <w:col w:w="5540" w:space="320"/>
            <w:col w:w="522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5" w:right="49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CUREVAC</w:t>
            </w:r>
          </w:p>
        </w:tc>
        <w:tc>
          <w:tcPr>
            <w:tcW w:w="2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BIONTECH</w:t>
            </w:r>
          </w:p>
        </w:tc>
        <w:tc>
          <w:tcPr>
            <w:tcW w:w="1140" w:type="dxa"/>
            <w:vAlign w:val="bottom"/>
          </w:tcPr>
          <w:p>
            <w:pPr>
              <w:spacing w:after="0"/>
              <w:rPr>
                <w:sz w:val="24"/>
                <w:szCs w:val="24"/>
                <w:color w:val="auto"/>
              </w:rPr>
            </w:pPr>
          </w:p>
        </w:tc>
      </w:tr>
      <w:tr>
        <w:trPr>
          <w:trHeight w:val="228"/>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issued share capital is represented at a</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CureVac general meeting.</w:t>
            </w:r>
          </w:p>
        </w:tc>
        <w:tc>
          <w:tcPr>
            <w:tcW w:w="4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shares could potentially control the outcome of resolutions.</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Distributions / Dividends</w:t>
      </w:r>
    </w:p>
    <w:p>
      <w:pPr>
        <w:sectPr>
          <w:pgSz w:w="11900" w:h="16838" w:orient="portrait"/>
          <w:cols w:equalWidth="0" w:num="1">
            <w:col w:w="11120"/>
          </w:cols>
          <w:pgMar w:left="320" w:top="445" w:right="459" w:bottom="1440" w:gutter="0" w:footer="0" w:header="0"/>
        </w:sectPr>
      </w:pP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distribution can only be made to the extent that CureVac’s equity exceeds the amount of the paid up and called up part of its capital plus the reserves which must be maintained by law. This rule applies to both dividend distributions (out of profit) and distributions out of freely distributable reserves (such as share premium). A distribution of profits may be made only after the adoption of the annual accounts that show that such distribution is allowed.</w:t>
      </w:r>
    </w:p>
    <w:p>
      <w:pPr>
        <w:spacing w:after="0" w:line="9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In addition, the management board of CureVac, with the approval of the CureVac supervisory board, may resolve to make interim distributions, provided that it appears from interim accounts to be prepared in accordance with Dutch law that CureVac’s equity exceeds the amount of the paid up and called up part of its capital plus the reserves which must be maintained by Dutch law and, if applicable, the order of priority, as laid down in Article 37.1 paragraph a. through d. of the CureVac articles, is taken into account.</w:t>
      </w:r>
    </w:p>
    <w:p>
      <w:pPr>
        <w:spacing w:after="0" w:line="7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Taking into account the order of priority, as laid down in Article 37.1 paragraph a. through d. of the CureVac articles, more specifically in relation to the preferred shares, the Preferred Distribution (as defined in the CureVac articles) and the authorization of CureVac’s management board to reserve the profits, the remaining profits shall be at the disposal of CureVac’s general meeting for distribution on the ordinary shares.</w:t>
      </w:r>
    </w:p>
    <w:p>
      <w:pPr>
        <w:spacing w:after="0" w:line="9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CureVac general meeting may resolve, that all or part of a distribution, instead of being made in cash, shall be made in the form of shares in CureVac’s capital or in the form of CureVac’s assets. This resolution can only be passed at the proposal of CureVac’s management board, which shall require the approval of the supervisory board of CureVac.</w:t>
      </w:r>
    </w:p>
    <w:p>
      <w:pPr>
        <w:spacing w:after="0" w:line="8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Furthermore, in case of remaining profits, the management board of CureVac shall determine which part thereof shall be added to CureVac’s reserves. In case some of the distributions described in Article 37.1 paragraphs a. through c. (or any part thereof) of CureVac articles cannot be paid out of the profits shown in the annual accounts, any such deficit shall in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shareholders’ meeting decides on the use of the accumulated retained earnings for each financial year according to BioNTech’s annual financial statements as approved by the supervisory board. In particular, the shareholders’ meeting may resolve to distribute a dividend per no-par value share out of the accumulated retained earnings. The shareholders’ meeting may resolve to make distributions in kind, in lieu of or in addition to cash distributions.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4169" w:lineRule="exact"/>
        <w:rPr>
          <w:sz w:val="20"/>
          <w:szCs w:val="20"/>
          <w:color w:val="auto"/>
        </w:rPr>
      </w:pPr>
    </w:p>
    <w:p>
      <w:pPr>
        <w:sectPr>
          <w:pgSz w:w="11900" w:h="16838" w:orient="portrait"/>
          <w:cols w:equalWidth="0" w:num="2">
            <w:col w:w="5640" w:space="220"/>
            <w:col w:w="5260"/>
          </w:cols>
          <w:pgMar w:left="320" w:top="44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45" w:right="4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principle be distributed from CureVac’s reserves. See the section “</w:t>
      </w: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claim for payment of a distribution shall lapse after five years have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expired after the distribution became payable.</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 of calculating the amount or allocation of any distribution,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held by CureVac in its own capital shall not be taken into account.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 shall be made to CureVac in respect of shares held by it in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 capital.</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Purchase and Repurchase of Shares</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acquisition by CureVac of shares (including depository receipts for shares) in its own capital which have not been fully paid up shall be null and void. CureVac may only acquire fully paid up shares in its own capital either</w:t>
      </w:r>
    </w:p>
    <w:p>
      <w:pPr>
        <w:spacing w:after="0" w:line="2" w:lineRule="exact"/>
        <w:rPr>
          <w:sz w:val="20"/>
          <w:szCs w:val="20"/>
          <w:color w:val="auto"/>
        </w:rPr>
      </w:pPr>
    </w:p>
    <w:p>
      <w:pPr>
        <w:ind w:left="340" w:hanging="224"/>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 consideration or (ii) for consideration (in cash consideration</w:t>
      </w:r>
    </w:p>
    <w:p>
      <w:pPr>
        <w:spacing w:after="0" w:line="9" w:lineRule="exact"/>
        <w:rPr>
          <w:rFonts w:ascii="Times New Roman" w:cs="Times New Roman" w:eastAsia="Times New Roman" w:hAnsi="Times New Roman"/>
          <w:sz w:val="18"/>
          <w:szCs w:val="18"/>
          <w:color w:val="auto"/>
        </w:rPr>
      </w:pPr>
    </w:p>
    <w:p>
      <w:pPr>
        <w:ind w:left="120" w:right="1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satisfied in the form of assets) if and to the extent that CureVac’s general meeting has authorized CureVac’s management board for this purpose and all other relevant statutory requirements under Dutch law are observed.</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CureVac’s management board currently has no such authorization.</w:t>
      </w:r>
    </w:p>
    <w:p>
      <w:pPr>
        <w:spacing w:after="0" w:line="13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abovementioned does not apply to shares acquired by CureVac under universal title of succession.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BioNTech may not purchase its own shares unless authorized by the shareholders’ meeting or in other very limited circumstances as set out in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BioNTech’s shareholders’ meeting held on May 17, 2024 authorized the management board until May 16, 2029, provided it complies with the legal requirement of equal treatment, to acquire treasury shares up to a total of 10% of BioNTech’s share capital at the time of the relevant resolution or at the time the authorization is exercised. These shares held by BioNTech (including shares attributable to it pursuant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must never exceed 10% of the share capital. The shares may be purchased (i) through the stock exchange, (ii) by means of a public offer directed to all shareholders of BioNTech,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88"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Reserves</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Dutch corporate law, a public limited liability company</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such as CureVac must maintain certain statutory reserves out of which no distributions can be made.</w:t>
      </w:r>
    </w:p>
    <w:p>
      <w:pPr>
        <w:spacing w:after="0" w:line="8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All reserves maintained by CureVac shall be attached exclusively to the ordinary shares. Distributions from a reserve shall in principle be made exclusively on the ordinary shares.</w:t>
      </w:r>
    </w:p>
    <w:p>
      <w:pPr>
        <w:spacing w:after="0" w:line="8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management board of CureVac may resolve to charge amounts to be paid up on shares against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Section 150 of the German Stock Corporation Act</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xml:space="preserve">), BioNTech must establish statutory reserves </w:t>
      </w:r>
      <w:r>
        <w:rPr>
          <w:rFonts w:ascii="Times New Roman" w:cs="Times New Roman" w:eastAsia="Times New Roman" w:hAnsi="Times New Roman"/>
          <w:sz w:val="18"/>
          <w:szCs w:val="18"/>
          <w:i w:val="1"/>
          <w:iCs w:val="1"/>
          <w:color w:val="auto"/>
        </w:rPr>
        <w:t>(gesetzlichhe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Rücklage) </w:t>
      </w:r>
      <w:r>
        <w:rPr>
          <w:rFonts w:ascii="Times New Roman" w:cs="Times New Roman" w:eastAsia="Times New Roman" w:hAnsi="Times New Roman"/>
          <w:sz w:val="18"/>
          <w:szCs w:val="18"/>
          <w:color w:val="auto"/>
        </w:rPr>
        <w:t>in the amount of 10% of the share capital. Capital reserves</w:t>
      </w:r>
      <w:r>
        <w:rPr>
          <w:rFonts w:ascii="Times New Roman" w:cs="Times New Roman" w:eastAsia="Times New Roman" w:hAnsi="Times New Roman"/>
          <w:sz w:val="18"/>
          <w:szCs w:val="18"/>
          <w:i w:val="1"/>
          <w:iCs w:val="1"/>
          <w:color w:val="auto"/>
        </w:rPr>
        <w:t xml:space="preserve"> (Kapitalrücklagen) </w:t>
      </w:r>
      <w:r>
        <w:rPr>
          <w:rFonts w:ascii="Times New Roman" w:cs="Times New Roman" w:eastAsia="Times New Roman" w:hAnsi="Times New Roman"/>
          <w:sz w:val="18"/>
          <w:szCs w:val="18"/>
          <w:color w:val="auto"/>
        </w:rPr>
        <w:t>built up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272 para. 2 no. 1 to 3 of the German Commercial Code </w:t>
      </w:r>
      <w:r>
        <w:rPr>
          <w:rFonts w:ascii="Times New Roman" w:cs="Times New Roman" w:eastAsia="Times New Roman" w:hAnsi="Times New Roman"/>
          <w:sz w:val="18"/>
          <w:szCs w:val="18"/>
          <w:i w:val="1"/>
          <w:iCs w:val="1"/>
          <w:color w:val="auto"/>
        </w:rPr>
        <w:t>(HGB)</w:t>
      </w:r>
      <w:r>
        <w:rPr>
          <w:rFonts w:ascii="Times New Roman" w:cs="Times New Roman" w:eastAsia="Times New Roman" w:hAnsi="Times New Roman"/>
          <w:sz w:val="18"/>
          <w:szCs w:val="18"/>
          <w:color w:val="auto"/>
        </w:rPr>
        <w:t xml:space="preserve"> count towards this threshold.</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statutory reserves and the abovementioned capital reserves may only be used for restricted purposes as set out in Section 150 of the German Stock Corporation</w:t>
      </w:r>
    </w:p>
    <w:p>
      <w:pPr>
        <w:spacing w:after="0" w:line="122" w:lineRule="exact"/>
        <w:rPr>
          <w:sz w:val="20"/>
          <w:szCs w:val="20"/>
          <w:color w:val="auto"/>
        </w:rPr>
      </w:pPr>
    </w:p>
    <w:p>
      <w:pPr>
        <w:sectPr>
          <w:pgSz w:w="11900" w:h="16838" w:orient="portrait"/>
          <w:cols w:equalWidth="0" w:num="2">
            <w:col w:w="5480" w:space="38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right="40"/>
        <w:spacing w:after="0" w:line="276" w:lineRule="auto"/>
        <w:rPr>
          <w:sz w:val="20"/>
          <w:szCs w:val="20"/>
          <w:color w:val="auto"/>
        </w:rPr>
      </w:pPr>
      <w:r>
        <w:rPr>
          <w:rFonts w:ascii="Times New Roman" w:cs="Times New Roman" w:eastAsia="Times New Roman" w:hAnsi="Times New Roman"/>
          <w:sz w:val="18"/>
          <w:szCs w:val="18"/>
          <w:color w:val="auto"/>
        </w:rPr>
        <w:t>CureVac’s reserves, irrespective of whether those shares are issued to existing shareholders.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520"/>
        <w:spacing w:after="0" w:line="263" w:lineRule="auto"/>
        <w:rPr>
          <w:sz w:val="20"/>
          <w:szCs w:val="20"/>
          <w:color w:val="auto"/>
        </w:rPr>
      </w:pP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Voluntarily built up capital reserves within the meaning of Section 272 para. 2 no.4 HGB are not subject to such restrictions.</w:t>
      </w:r>
    </w:p>
    <w:p>
      <w:pPr>
        <w:spacing w:after="0" w:line="8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Other revenue reserves </w:t>
      </w:r>
      <w:r>
        <w:rPr>
          <w:rFonts w:ascii="Times New Roman" w:cs="Times New Roman" w:eastAsia="Times New Roman" w:hAnsi="Times New Roman"/>
          <w:sz w:val="18"/>
          <w:szCs w:val="18"/>
          <w:i w:val="1"/>
          <w:iCs w:val="1"/>
          <w:color w:val="auto"/>
        </w:rPr>
        <w:t>(andere Gewinnrücklagen)</w:t>
      </w:r>
      <w:r>
        <w:rPr>
          <w:rFonts w:ascii="Times New Roman" w:cs="Times New Roman" w:eastAsia="Times New Roman" w:hAnsi="Times New Roman"/>
          <w:sz w:val="18"/>
          <w:szCs w:val="18"/>
          <w:color w:val="auto"/>
        </w:rPr>
        <w:t xml:space="preserve"> to which such restrictions do not apply can be established as follows: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management board approves the annual financial statements, then it may appropriate the annual profit for the year to other revenue reserves in whole or in part. The appropriation of more than half of the annual profit for the year is not admissible, however, if the other revenue reserves exceed half of the share capital or insofar as they would exceed half of the share capital following such appropriation. Those amounts which have to be appropriated to the statutory reserve and any accumulated deficit brought forward from the prior year have to be deducted from the annual profit for the year in advance.</w:t>
      </w:r>
    </w:p>
    <w:p>
      <w:pPr>
        <w:spacing w:after="0" w:line="94"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Additionally, the shareholders’ meeting may resolve to allocate amounts out of the accumulated retained earnings to other revenue reserves when deciding on the use of the accumulated retained earnings.</w:t>
      </w:r>
    </w:p>
    <w:p>
      <w:pPr>
        <w:spacing w:after="0" w:line="167" w:lineRule="exact"/>
        <w:rPr>
          <w:sz w:val="20"/>
          <w:szCs w:val="20"/>
          <w:color w:val="auto"/>
        </w:rPr>
      </w:pPr>
    </w:p>
    <w:p>
      <w:pPr>
        <w:sectPr>
          <w:pgSz w:w="11900" w:h="16838" w:orient="portrait"/>
          <w:cols w:equalWidth="0" w:num="2">
            <w:col w:w="5140" w:space="720"/>
            <w:col w:w="52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Appraisal / Dissenters’ Rights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certain exceptions, Dutch law does not recognize the concept of appraisal or dissenters’ rights. However, Dutch law does provide for squeeze-out procedures. Also, Dutch law provides for cash exit rights in certain situations for dissenting shareholders of a company organized under Dutch law entering into certain types of mergers or cross-border conversion or demergers. In those situations, a dissenting shareholder may file a claim with the Dutch company for compensation and/or challenge a proposed cash compensation or exchange ratio by requesting a review thereof by independent experts, subject to certain exceptions.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case of certain structural measures involving BioNTech (in particular, but not limited to, certain cases of a merger or spin-off involving BioNTech as transferring entity under the German Transformation Act </w:t>
      </w:r>
      <w:r>
        <w:rPr>
          <w:rFonts w:ascii="Times New Roman" w:cs="Times New Roman" w:eastAsia="Times New Roman" w:hAnsi="Times New Roman"/>
          <w:sz w:val="18"/>
          <w:szCs w:val="18"/>
          <w:i w:val="1"/>
          <w:iCs w:val="1"/>
          <w:color w:val="auto"/>
        </w:rPr>
        <w:t xml:space="preserve">(UmwG), </w:t>
      </w:r>
      <w:r>
        <w:rPr>
          <w:rFonts w:ascii="Times New Roman" w:cs="Times New Roman" w:eastAsia="Times New Roman" w:hAnsi="Times New Roman"/>
          <w:sz w:val="18"/>
          <w:szCs w:val="18"/>
          <w:color w:val="auto"/>
        </w:rPr>
        <w:t>the conclusion of a domination and/or profit and loss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BioNTech as dependent entity or the relocation of BioNTech’s registered seat to another member state of the European Union), shareholders may be entitled to receive an adequate compensation in cash or in shares of another entity. The adequacy of the compensation may be reviewed by court upon motion of one or more shareholders in a special appraisal proceeding; the court may also determine a higher compensation.</w:t>
      </w:r>
    </w:p>
    <w:p>
      <w:pPr>
        <w:spacing w:after="0" w:line="9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Apart from that, each shareholder of BioNTech may challenge the validity of any shareholders’ meeting’s resolution provided that such resolution violates statutory provisions or the provisions of the BioNTech articles in a relevant manner.</w:t>
      </w:r>
    </w:p>
    <w:p>
      <w:pPr>
        <w:spacing w:after="0" w:line="189" w:lineRule="exact"/>
        <w:rPr>
          <w:sz w:val="20"/>
          <w:szCs w:val="20"/>
          <w:color w:val="auto"/>
        </w:rPr>
      </w:pPr>
    </w:p>
    <w:p>
      <w:pPr>
        <w:sectPr>
          <w:pgSz w:w="11900" w:h="16838" w:orient="portrait"/>
          <w:cols w:equalWidth="0" w:num="2">
            <w:col w:w="5620" w:space="24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Dutch law and the CureVac articles, each holder of ordinary shares shall have a pre-emptive right in proportion to the aggregate nominal value of their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German law generally provides shareholders with preemptive rights when new shares, convertible bonds,</w:t>
      </w:r>
    </w:p>
    <w:p>
      <w:pPr>
        <w:spacing w:after="0" w:line="309"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8"/>
          <w:szCs w:val="18"/>
          <w:color w:val="auto"/>
        </w:rPr>
        <w:t>ordinary shares upon an issue of shares. No pre-emptive rights are attached to preferred shares.</w:t>
      </w:r>
    </w:p>
    <w:p>
      <w:pPr>
        <w:spacing w:after="0" w:line="7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However, holders of ordinary shares do not have pre-emptive rights in respect of:</w:t>
      </w:r>
    </w:p>
    <w:p>
      <w:pPr>
        <w:spacing w:after="0" w:line="67" w:lineRule="exact"/>
        <w:rPr>
          <w:sz w:val="20"/>
          <w:szCs w:val="20"/>
          <w:color w:val="auto"/>
        </w:rPr>
      </w:pPr>
    </w:p>
    <w:p>
      <w:pPr>
        <w:ind w:left="840" w:hanging="274"/>
        <w:spacing w:after="0"/>
        <w:tabs>
          <w:tab w:leader="none" w:pos="8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130"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against non-cash contribution; or</w:t>
      </w:r>
    </w:p>
    <w:p>
      <w:pPr>
        <w:spacing w:after="0" w:line="130" w:lineRule="exact"/>
        <w:rPr>
          <w:rFonts w:ascii="Times New Roman" w:cs="Times New Roman" w:eastAsia="Times New Roman" w:hAnsi="Times New Roman"/>
          <w:sz w:val="18"/>
          <w:szCs w:val="18"/>
          <w:color w:val="auto"/>
        </w:rPr>
      </w:pPr>
    </w:p>
    <w:p>
      <w:pPr>
        <w:ind w:left="840" w:right="80" w:hanging="274"/>
        <w:spacing w:after="0" w:line="282" w:lineRule="auto"/>
        <w:tabs>
          <w:tab w:leader="none" w:pos="8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to employees of CureVac or of a group company of CureVac.</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CureVac shall announce an issue with pre-emptive rights and the period during which those rights can be exercised in the Dutch State Gazette and in a nationally distributed newspaper. The pre-emptive rights can be exercised for a period of at least two weeks after the date of announcement in the Dutch State Gazette.</w:t>
      </w:r>
    </w:p>
    <w:p>
      <w:pPr>
        <w:spacing w:after="0" w:line="89"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Pre-emption rights may be limited or excluded by a resolution of CureVac’s general meeting or of the body authorized to issue shares, if that body was authorized by CureVac’s general meeting for this purpose for a specified period not exceeding five years. The CureVac management board has been authorized for a period of five years until August 14, 2025, to limit or exclude pre-emption rights in respect of an issue of shares or a grant of rights to subscribe for shares under the authorization of the management board described above under “Authorized Capital/Outstanding Stock”. CureVac was granted renewal of this authorization at its 2025 annual general meeting that was held on June 24, 2025.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bonds with warrants, profit participation rights, or participating bonds are issued.</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BioNTech articles, the management board may, however, with the consent of the supervisory board, exclude such preemptive rights in a capital increase from the authorized capital 2025 in the following circumstances:</w:t>
      </w:r>
    </w:p>
    <w:p>
      <w:pPr>
        <w:spacing w:after="0" w:line="85" w:lineRule="exact"/>
        <w:rPr>
          <w:sz w:val="20"/>
          <w:szCs w:val="20"/>
          <w:color w:val="auto"/>
        </w:rPr>
      </w:pPr>
    </w:p>
    <w:p>
      <w:pPr>
        <w:ind w:left="720" w:hanging="277"/>
        <w:spacing w:after="0"/>
        <w:tabs>
          <w:tab w:leader="none" w:pos="7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fractional amounts from the subscription right;</w:t>
      </w:r>
    </w:p>
    <w:p>
      <w:pPr>
        <w:spacing w:after="0" w:line="130" w:lineRule="exact"/>
        <w:rPr>
          <w:rFonts w:ascii="Times New Roman" w:cs="Times New Roman" w:eastAsia="Times New Roman" w:hAnsi="Times New Roman"/>
          <w:sz w:val="18"/>
          <w:szCs w:val="18"/>
          <w:color w:val="auto"/>
        </w:rPr>
      </w:pPr>
    </w:p>
    <w:p>
      <w:pPr>
        <w:ind w:left="720" w:right="20" w:hanging="277"/>
        <w:spacing w:after="0" w:line="251" w:lineRule="auto"/>
        <w:tabs>
          <w:tab w:leader="none" w:pos="7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increase against cash contributions, if the issue price of the new shares is not significantly lower than the market price; the market price is also deemed to be the price of one BioNTech ADS of BioNTech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para. 3 sentence 4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with the exclusion of subscription rights. The above issue limitation applies to BioNTech ADSs, provided that the number of BioNTech ADSs is to be divided by the number of BioNTech ADSs representing one share;</w:t>
      </w:r>
    </w:p>
    <w:p>
      <w:pPr>
        <w:spacing w:after="0" w:line="110" w:lineRule="exact"/>
        <w:rPr>
          <w:sz w:val="20"/>
          <w:szCs w:val="20"/>
          <w:color w:val="auto"/>
        </w:rPr>
      </w:pPr>
    </w:p>
    <w:p>
      <w:pPr>
        <w:sectPr>
          <w:pgSz w:w="11900" w:h="16838" w:orient="portrait"/>
          <w:cols w:equalWidth="0" w:num="2">
            <w:col w:w="5600" w:space="260"/>
            <w:col w:w="5260"/>
          </w:cols>
          <w:pgMar w:left="320" w:top="455" w:right="459" w:bottom="1440" w:gutter="0" w:footer="0" w:header="0"/>
          <w:type w:val="continuous"/>
        </w:sectPr>
      </w:pPr>
    </w:p>
    <w:p>
      <w:pPr>
        <w:ind w:left="6580" w:right="80" w:hanging="277"/>
        <w:spacing w:after="0" w:line="266" w:lineRule="auto"/>
        <w:tabs>
          <w:tab w:leader="none" w:pos="6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increase against contributions in kind, in particular for the issuance of shares as part of business combinations and the acquisition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companies, parts of companies and interests in companies or other assets</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 claims to the acquisition of assets including receivables from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Company and its group companies as well as license or industrial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property rights;</w:t>
      </w:r>
    </w:p>
    <w:p>
      <w:pPr>
        <w:spacing w:after="0" w:line="112" w:lineRule="exact"/>
        <w:rPr>
          <w:sz w:val="20"/>
          <w:szCs w:val="20"/>
          <w:color w:val="auto"/>
        </w:rPr>
      </w:pPr>
    </w:p>
    <w:p>
      <w:pPr>
        <w:ind w:left="6300"/>
        <w:spacing w:after="0"/>
        <w:tabs>
          <w:tab w:leader="none" w:pos="6560" w:val="left"/>
        </w:tabs>
        <w:rPr>
          <w:sz w:val="20"/>
          <w:szCs w:val="20"/>
          <w:color w:val="auto"/>
        </w:rPr>
      </w:pPr>
      <w:r>
        <w:rPr>
          <w:rFonts w:ascii="Times New Roman" w:cs="Times New Roman" w:eastAsia="Times New Roman" w:hAnsi="Times New Roman"/>
          <w:sz w:val="18"/>
          <w:szCs w:val="18"/>
          <w:color w:val="auto"/>
        </w:rPr>
        <w:t>•</w:t>
        <w:tab/>
        <w:t>to service option or conversion rights or obligations arising</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from bonds issued or to be issued by BioNTech and/or</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companies in which BioNTech directly or indirectly holds a</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majority interest;</w:t>
      </w:r>
    </w:p>
    <w:p>
      <w:pPr>
        <w:spacing w:after="0" w:line="112" w:lineRule="exact"/>
        <w:rPr>
          <w:sz w:val="20"/>
          <w:szCs w:val="20"/>
          <w:color w:val="auto"/>
        </w:rPr>
      </w:pPr>
    </w:p>
    <w:p>
      <w:pPr>
        <w:ind w:left="6300"/>
        <w:spacing w:after="0"/>
        <w:tabs>
          <w:tab w:leader="none" w:pos="6560" w:val="left"/>
        </w:tabs>
        <w:rPr>
          <w:sz w:val="20"/>
          <w:szCs w:val="20"/>
          <w:color w:val="auto"/>
        </w:rPr>
      </w:pPr>
      <w:r>
        <w:rPr>
          <w:rFonts w:ascii="Times New Roman" w:cs="Times New Roman" w:eastAsia="Times New Roman" w:hAnsi="Times New Roman"/>
          <w:sz w:val="18"/>
          <w:szCs w:val="18"/>
          <w:color w:val="auto"/>
        </w:rPr>
        <w:t>•</w:t>
        <w:tab/>
        <w:t>to the extent necessary to grant holders or creditors of bonds</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with option or conversion rights or obligations issued or to be</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issued by BioNTech and/or companies in which BioNTech</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holds a direct or indirect majority interest a subscription right</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to new shares to the extent to which they would be entitled</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after exercising the option or conversion rights or after</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fulfilling the option or conversion obligations;</w:t>
      </w:r>
    </w:p>
    <w:p>
      <w:pPr>
        <w:spacing w:after="0" w:line="112" w:lineRule="exact"/>
        <w:rPr>
          <w:sz w:val="20"/>
          <w:szCs w:val="20"/>
          <w:color w:val="auto"/>
        </w:rPr>
      </w:pPr>
    </w:p>
    <w:p>
      <w:pPr>
        <w:ind w:left="6300"/>
        <w:spacing w:after="0"/>
        <w:tabs>
          <w:tab w:leader="none" w:pos="6560" w:val="left"/>
        </w:tabs>
        <w:rPr>
          <w:sz w:val="20"/>
          <w:szCs w:val="20"/>
          <w:color w:val="auto"/>
        </w:rPr>
      </w:pPr>
      <w:r>
        <w:rPr>
          <w:rFonts w:ascii="Times New Roman" w:cs="Times New Roman" w:eastAsia="Times New Roman" w:hAnsi="Times New Roman"/>
          <w:sz w:val="18"/>
          <w:szCs w:val="18"/>
          <w:color w:val="auto"/>
        </w:rPr>
        <w:t>•</w:t>
        <w:tab/>
        <w:t>to implement a scrip dividend, whereby shareholders are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offered the option of contributing their dividend entitlement (in</w:t>
      </w:r>
    </w:p>
    <w:p>
      <w:pPr>
        <w:spacing w:after="0" w:line="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whole or in part) to BioNTech as a contribution in kind in</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return for the issuance of new shares; and</w:t>
      </w:r>
    </w:p>
    <w:p>
      <w:pPr>
        <w:spacing w:after="0" w:line="112" w:lineRule="exact"/>
        <w:rPr>
          <w:sz w:val="20"/>
          <w:szCs w:val="20"/>
          <w:color w:val="auto"/>
        </w:rPr>
      </w:pPr>
    </w:p>
    <w:p>
      <w:pPr>
        <w:ind w:left="6300"/>
        <w:spacing w:after="0"/>
        <w:tabs>
          <w:tab w:leader="none" w:pos="6560" w:val="left"/>
        </w:tabs>
        <w:rPr>
          <w:sz w:val="20"/>
          <w:szCs w:val="20"/>
          <w:color w:val="auto"/>
        </w:rPr>
      </w:pPr>
      <w:r>
        <w:rPr>
          <w:rFonts w:ascii="Times New Roman" w:cs="Times New Roman" w:eastAsia="Times New Roman" w:hAnsi="Times New Roman"/>
          <w:sz w:val="18"/>
          <w:szCs w:val="18"/>
          <w:color w:val="auto"/>
        </w:rPr>
        <w:t>•</w:t>
        <w:tab/>
        <w:t>if the new shares are issued as part of an incentive program</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and/or as share-based compensation to members of</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BioNTech’s management board, members of the management</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of companies affiliated with the Company within the meaning</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of sections 15 et seq. German Stock Corporation Act</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or employees of the Company or of companies</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affiliated with BioNTech within the meaning of sections 15 et</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seq. German Stock Corporation Act (</w:t>
      </w:r>
      <w:r>
        <w:rPr>
          <w:rFonts w:ascii="Times New Roman" w:cs="Times New Roman" w:eastAsia="Times New Roman" w:hAnsi="Times New Roman"/>
          <w:sz w:val="17"/>
          <w:szCs w:val="17"/>
          <w:i w:val="1"/>
          <w:iCs w:val="1"/>
          <w:color w:val="auto"/>
        </w:rPr>
        <w:t>Aktiengesetz</w:t>
      </w:r>
      <w:r>
        <w:rPr>
          <w:rFonts w:ascii="Times New Roman" w:cs="Times New Roman" w:eastAsia="Times New Roman" w:hAnsi="Times New Roman"/>
          <w:sz w:val="17"/>
          <w:szCs w:val="17"/>
          <w:color w:val="auto"/>
        </w:rPr>
        <w:t>); restrictions</w:t>
      </w:r>
    </w:p>
    <w:p>
      <w:pPr>
        <w:spacing w:after="0" w:line="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relating to the shares issued may be agreed. If shares are to be</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issued to members of the management board, the supervisory</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board of BioNTech decides on the allocation in accordance</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with the allocation of responsibilities under stock corporation</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law.</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Amendments to CureVac Articles, BioNTech Articles, and BioNTech Rules of Procedure</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the CureVac articles, the resolution to amend the CureVac articles can only be passed by the CureVac general meeting at the proposal of CureVac’s management board, subject to the approval of the supervisory board of CureVac. In respect of certain provisions in the CureVac articles, dealing with a situation where no dievini Nominee or no KfW Nominee (in each case as defined in the CureVac articles) is in office during the relevant Initial Nomination Period (as defined in the CureVac articles), an amendment to such provision will require the affirmative vote of dievini or KfW, as applicable.</w:t>
      </w:r>
    </w:p>
    <w:p>
      <w:pPr>
        <w:spacing w:after="0" w:line="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case of a reduction of CureVac’s issued share capital by reducing the nominal value of shares by virtue of an amendment to the CureVac articles, the resolution shall require a majority of at least two thirds of the votes cast if less than half of the issued share capital is represented at the CureVac general meeting (and a simple majority of votes cast in other cases). In case such resolution relates to preferred shares, such resolution shall always require the prior or simultaneous approval of the class meeting of preferred shares.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rule, the BioNTech articles may only be amended by resolution of the shareholders’ meeting. Pursuant to the BioNTech articles, the resolutions require a majority of at least two-thirds of the votes cast and of the share capital represented, if at least half of the share capital is not represented.</w:t>
      </w:r>
    </w:p>
    <w:p>
      <w:pPr>
        <w:spacing w:after="0" w:line="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supervisory board may amend the BioNTech articles provided that such amendment affects the wording only but not the sense or meaning thereof.</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supervisory board may issue Rules of Procedure for itself within the framework of the statutory provisions and the provisions of BioNTech articles</w:t>
      </w:r>
    </w:p>
    <w:p>
      <w:pPr>
        <w:spacing w:after="0" w:line="1358" w:lineRule="exact"/>
        <w:rPr>
          <w:sz w:val="20"/>
          <w:szCs w:val="20"/>
          <w:color w:val="auto"/>
        </w:rPr>
      </w:pPr>
    </w:p>
    <w:p>
      <w:pPr>
        <w:sectPr>
          <w:pgSz w:w="11900" w:h="16838" w:orient="portrait"/>
          <w:cols w:equalWidth="0" w:num="2">
            <w:col w:w="5560" w:space="300"/>
            <w:col w:w="5240"/>
          </w:cols>
          <w:pgMar w:left="320" w:top="455" w:right="479" w:bottom="1440" w:gutter="0" w:footer="0" w:header="0"/>
          <w:type w:val="continuous"/>
        </w:sectPr>
      </w:pP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Number of Directors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CureVac’s management board must consist of one or more managing directors, provided that, during the Initial Period (as defined in the CureVac articles), the management board shall consist of up to seven managing directors. The management board shall be composed of individuals. The supervisory board shall determine the number of managing directors.</w:t>
      </w:r>
    </w:p>
    <w:p>
      <w:pPr>
        <w:spacing w:after="0" w:line="7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CureVac’s supervisory board must consist of three or more supervisory directors provided that, during either Initial Nomination Period (as defined in the CureVac articles), the supervisory board shall consist of up to eight supervisory directors. The supervisory board shall be composed of individuals. The supervisory board shall determine the number of supervisory directors, which shall be no less than the number of supervisory directors as are necessary in order to allow dievini and KfW, to exercise their respective nomination rights under the CureVac articles during their respective Initial Nomination Period (as defined in the CureVac articles).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supervisory board shall comprise of six members.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management board shall consist of at least two persons. The number of members of the management board is otherwise determined by the supervisory board.</w:t>
      </w:r>
    </w:p>
    <w:p>
      <w:pPr>
        <w:spacing w:after="0" w:line="2281"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All members of the CureVac boards shall be appointed by CureVac’s general meeting.</w:t>
      </w:r>
    </w:p>
    <w:p>
      <w:pPr>
        <w:spacing w:after="0" w:line="67"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Managing directors can only be appointed by the general meeting upon a nomination by the supervisory board of CureVac. CureVac’s general meeting can at any time resolve to render such nomination to be non-binding in accordance with the CureVac articles.</w:t>
      </w:r>
    </w:p>
    <w:p>
      <w:pPr>
        <w:spacing w:after="0" w:line="85"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Furthermore, supervisory directors can only be appointed upon a nomination by:</w:t>
      </w:r>
    </w:p>
    <w:p>
      <w:pPr>
        <w:spacing w:after="0" w:line="67" w:lineRule="exact"/>
        <w:rPr>
          <w:sz w:val="20"/>
          <w:szCs w:val="20"/>
          <w:color w:val="auto"/>
        </w:rPr>
      </w:pPr>
    </w:p>
    <w:p>
      <w:pPr>
        <w:ind w:left="840" w:hanging="274"/>
        <w:spacing w:after="0"/>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w:t>
      </w:r>
    </w:p>
    <w:p>
      <w:pPr>
        <w:spacing w:after="0" w:line="130" w:lineRule="exact"/>
        <w:rPr>
          <w:rFonts w:ascii="Times New Roman" w:cs="Times New Roman" w:eastAsia="Times New Roman" w:hAnsi="Times New Roman"/>
          <w:sz w:val="18"/>
          <w:szCs w:val="18"/>
          <w:color w:val="auto"/>
        </w:rPr>
      </w:pPr>
    </w:p>
    <w:p>
      <w:pPr>
        <w:ind w:left="840" w:right="180" w:hanging="274"/>
        <w:spacing w:after="0" w:line="266"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dievini in accordance with Article 22.3 paragraph a. of the CureVac articles, during the Initial Nomination Period (as defined in the CureVac articles) for dievini;</w:t>
      </w:r>
    </w:p>
    <w:p>
      <w:pPr>
        <w:spacing w:after="0" w:line="81" w:lineRule="exact"/>
        <w:rPr>
          <w:rFonts w:ascii="Times New Roman" w:cs="Times New Roman" w:eastAsia="Times New Roman" w:hAnsi="Times New Roman"/>
          <w:sz w:val="18"/>
          <w:szCs w:val="18"/>
          <w:color w:val="auto"/>
        </w:rPr>
      </w:pPr>
    </w:p>
    <w:p>
      <w:pPr>
        <w:ind w:left="840" w:right="180" w:hanging="274"/>
        <w:spacing w:after="0" w:line="266"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KfW in accordance with Article 22.3 paragraph b. of the CureVac articles during the Initial Nomination Period (as defined in the CureVac articles) for KfW; or</w:t>
      </w:r>
    </w:p>
    <w:p>
      <w:pPr>
        <w:spacing w:after="0" w:line="81" w:lineRule="exact"/>
        <w:rPr>
          <w:rFonts w:ascii="Times New Roman" w:cs="Times New Roman" w:eastAsia="Times New Roman" w:hAnsi="Times New Roman"/>
          <w:sz w:val="18"/>
          <w:szCs w:val="18"/>
          <w:color w:val="auto"/>
        </w:rPr>
      </w:pPr>
    </w:p>
    <w:p>
      <w:pPr>
        <w:ind w:left="840" w:right="380" w:hanging="274"/>
        <w:spacing w:after="0" w:line="282"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Nomination Concert (as defined in the CureVac articles) in accordance with Article 22.4 of the CureVac articles.</w:t>
      </w:r>
    </w:p>
    <w:p>
      <w:pPr>
        <w:spacing w:after="0" w:line="67" w:lineRule="exact"/>
        <w:rPr>
          <w:sz w:val="20"/>
          <w:szCs w:val="20"/>
          <w:color w:val="auto"/>
        </w:rPr>
      </w:pPr>
    </w:p>
    <w:p>
      <w:pPr>
        <w:ind w:left="120" w:right="900"/>
        <w:spacing w:after="0" w:line="261" w:lineRule="auto"/>
        <w:rPr>
          <w:sz w:val="20"/>
          <w:szCs w:val="20"/>
          <w:color w:val="auto"/>
        </w:rPr>
      </w:pPr>
      <w:r>
        <w:rPr>
          <w:rFonts w:ascii="Times New Roman" w:cs="Times New Roman" w:eastAsia="Times New Roman" w:hAnsi="Times New Roman"/>
          <w:sz w:val="18"/>
          <w:szCs w:val="18"/>
          <w:color w:val="auto"/>
        </w:rPr>
        <w:t>CureVac’s general meeting can at any time resolve to render such nomination to be non-binding by a simple majority of votes cast representing at least one-third of CureVac’s issued share capital in accordance with the CureVac articles.</w:t>
      </w:r>
    </w:p>
    <w:p>
      <w:pPr>
        <w:spacing w:after="0" w:line="8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During the respective Initial Nomination Periods for dievini (as regards paragraph (a) below) or KfW (as regards paragraph (b) below):</w:t>
      </w:r>
    </w:p>
    <w:p>
      <w:pPr>
        <w:spacing w:after="0" w:line="67" w:lineRule="exact"/>
        <w:rPr>
          <w:sz w:val="20"/>
          <w:szCs w:val="20"/>
          <w:color w:val="auto"/>
        </w:rPr>
      </w:pPr>
    </w:p>
    <w:p>
      <w:pPr>
        <w:ind w:left="840" w:right="700" w:hanging="359"/>
        <w:spacing w:after="0" w:line="282" w:lineRule="auto"/>
        <w:rPr>
          <w:sz w:val="20"/>
          <w:szCs w:val="20"/>
          <w:color w:val="auto"/>
        </w:rPr>
      </w:pPr>
      <w:r>
        <w:rPr>
          <w:rFonts w:ascii="Times New Roman" w:cs="Times New Roman" w:eastAsia="Times New Roman" w:hAnsi="Times New Roman"/>
          <w:sz w:val="18"/>
          <w:szCs w:val="18"/>
          <w:color w:val="auto"/>
        </w:rPr>
        <w:t>(a)    dievini may nominate the following number of supervisory directors:</w:t>
      </w:r>
    </w:p>
    <w:p>
      <w:pPr>
        <w:spacing w:after="0" w:line="67" w:lineRule="exact"/>
        <w:rPr>
          <w:sz w:val="20"/>
          <w:szCs w:val="20"/>
          <w:color w:val="auto"/>
        </w:rPr>
      </w:pPr>
    </w:p>
    <w:p>
      <w:pPr>
        <w:jc w:val="both"/>
        <w:ind w:left="840" w:right="220" w:hanging="274"/>
        <w:spacing w:after="0" w:line="261"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dievini and its Affiliates and Ultimate Beneficiaries (as defined in the CureVac articles) (individually or collectively) hold shares representing at least 70% of CureVac’s issued share capital: four supervisory directors;</w:t>
      </w:r>
    </w:p>
    <w:p>
      <w:pPr>
        <w:spacing w:after="0" w:line="85" w:lineRule="exact"/>
        <w:rPr>
          <w:rFonts w:ascii="Times New Roman" w:cs="Times New Roman" w:eastAsia="Times New Roman" w:hAnsi="Times New Roman"/>
          <w:sz w:val="18"/>
          <w:szCs w:val="18"/>
          <w:color w:val="auto"/>
        </w:rPr>
      </w:pPr>
    </w:p>
    <w:p>
      <w:pPr>
        <w:jc w:val="both"/>
        <w:ind w:left="840" w:right="220" w:hanging="274"/>
        <w:spacing w:after="0" w:line="261"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dievini and its Affiliates and Ultimate Beneficiaries (as defined in the CureVac articles) (individually or collectively) hold shares representing at least 50%, but less than 70%, of CureVac’s issued share capital: three supervisory directors;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members of the supervisory board are elected by the shareholders’ meeting. Unless the shareholders’ meeting determines a shorter term, the members of the supervisory board are elected for a term ending with the close of the shareholders’ meeting which resolves on the formal approval of their acts for the fourth fiscal year following the commencement of their term, not counting the year in which their term of office commences; provided that a term shall not be more than six years. Reappointments are permissible. The BioNTech management board are appointed by resolution of the supervisory board.</w:t>
      </w:r>
    </w:p>
    <w:p>
      <w:pPr>
        <w:sectPr>
          <w:pgSz w:w="11900" w:h="16838" w:orient="portrait"/>
          <w:cols w:equalWidth="0" w:num="2">
            <w:col w:w="5760" w:space="100"/>
            <w:col w:w="5260"/>
          </w:cols>
          <w:pgMar w:left="320" w:top="455" w:right="45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148" w:lineRule="exact"/>
        <w:rPr>
          <w:sz w:val="20"/>
          <w:szCs w:val="20"/>
          <w:color w:val="auto"/>
        </w:rPr>
      </w:pPr>
    </w:p>
    <w:p>
      <w:pPr>
        <w:jc w:val="both"/>
        <w:ind w:left="840" w:right="5500" w:hanging="274"/>
        <w:spacing w:after="0" w:line="261" w:lineRule="auto"/>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dievini and its Affiliates and Ultimate Beneficiaries (as defined in the CureVac articles) (individually or collectively) hold shares representing at least 30%, but less than 50%, of CureVac’s issued share capital: two supervisory directors;</w:t>
      </w:r>
    </w:p>
    <w:p>
      <w:pPr>
        <w:spacing w:after="0" w:line="85" w:lineRule="exact"/>
        <w:rPr>
          <w:rFonts w:ascii="Times New Roman" w:cs="Times New Roman" w:eastAsia="Times New Roman" w:hAnsi="Times New Roman"/>
          <w:sz w:val="18"/>
          <w:szCs w:val="18"/>
          <w:color w:val="auto"/>
        </w:rPr>
      </w:pPr>
    </w:p>
    <w:p>
      <w:pPr>
        <w:jc w:val="both"/>
        <w:ind w:left="840" w:right="5500" w:hanging="274"/>
        <w:spacing w:after="0" w:line="261" w:lineRule="auto"/>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dievini and its Affiliates and Ultimate Beneficiaries (as defined in the CureVac articles) (individually or collectively) hold shares representing at least 10%, but less than 30%, of CureVac’s issued share capital: one supervisory director; and</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    KfW may nominate one supervisory director.</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Nomination Concert (as defined in the CureVac articles) may nominate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supervisory director for each 20% of the issued share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by that respective Nomination Concert. Such nominee must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from the Nomination Concert (as defined in the CureVac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articles) and CureVac under the standards applicable to CureVac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DCGC and United States securities laws and stock exchange rules.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as set out above, members of the CureVac supervisory board can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be appointed by the general meeting upon a nomination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supervisory board of CureVac.</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general meeting can at any time resolve to render any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above-mentioned nominations to be non-binding by a simple majority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cast representing at least one-third of CureVac’s issued share capital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CureVac articles.</w:t>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Removal of Board Members</w:t>
      </w:r>
    </w:p>
    <w:p>
      <w:pPr>
        <w:sectPr>
          <w:pgSz w:w="11900" w:h="16838" w:orient="portrait"/>
          <w:cols w:equalWidth="0" w:num="1">
            <w:col w:w="11040"/>
          </w:cols>
          <w:pgMar w:left="320" w:top="455" w:right="539" w:bottom="1440" w:gutter="0" w:footer="0" w:header="0"/>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CureVac’s general meeting may at any time suspend or dismiss any managing director or supervisory director. In addition, the supervisory board may at any time suspend a managing director. A suspension by the supervisory board can at any time be lifted by CureVac’s general meeting.</w:t>
      </w:r>
    </w:p>
    <w:p>
      <w:pPr>
        <w:spacing w:after="0" w:line="8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resolution of the CureVac general meeting to suspend or dismiss a managing director or supervisory director shall require a majority of at least two thirds of the votes cast representing more than half of the issued share capital, unless the resolution is passed at the proposal of the supervisory board.</w:t>
      </w:r>
    </w:p>
    <w:p>
      <w:pPr>
        <w:spacing w:after="0" w:line="8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CureVac general meeting may at any time suspend or dismiss any supervisory director. A resolution of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supervisory board may remove a member of the management board prior to the expiration of their term only for cause, such as gross breach of duties (</w:t>
      </w:r>
      <w:r>
        <w:rPr>
          <w:rFonts w:ascii="Times New Roman" w:cs="Times New Roman" w:eastAsia="Times New Roman" w:hAnsi="Times New Roman"/>
          <w:sz w:val="17"/>
          <w:szCs w:val="17"/>
          <w:i w:val="1"/>
          <w:iCs w:val="1"/>
          <w:color w:val="auto"/>
        </w:rPr>
        <w:t>grobe Pflichtverletzung</w:t>
      </w:r>
      <w:r>
        <w:rPr>
          <w:rFonts w:ascii="Times New Roman" w:cs="Times New Roman" w:eastAsia="Times New Roman" w:hAnsi="Times New Roman"/>
          <w:sz w:val="17"/>
          <w:szCs w:val="17"/>
          <w:color w:val="auto"/>
        </w:rPr>
        <w:t>), the inability to manage the business properly (</w:t>
      </w:r>
      <w:r>
        <w:rPr>
          <w:rFonts w:ascii="Times New Roman" w:cs="Times New Roman" w:eastAsia="Times New Roman" w:hAnsi="Times New Roman"/>
          <w:sz w:val="17"/>
          <w:szCs w:val="17"/>
          <w:i w:val="1"/>
          <w:iCs w:val="1"/>
          <w:color w:val="auto"/>
        </w:rPr>
        <w:t>Unfähigkeit zur ordnungsgemäßen Pflichtausübung</w:t>
      </w:r>
      <w:r>
        <w:rPr>
          <w:rFonts w:ascii="Times New Roman" w:cs="Times New Roman" w:eastAsia="Times New Roman" w:hAnsi="Times New Roman"/>
          <w:sz w:val="17"/>
          <w:szCs w:val="17"/>
          <w:color w:val="auto"/>
        </w:rPr>
        <w:t>) or a vote of no-confidence during the shareholders’ meeting (</w:t>
      </w:r>
      <w:r>
        <w:rPr>
          <w:rFonts w:ascii="Times New Roman" w:cs="Times New Roman" w:eastAsia="Times New Roman" w:hAnsi="Times New Roman"/>
          <w:sz w:val="17"/>
          <w:szCs w:val="17"/>
          <w:i w:val="1"/>
          <w:iCs w:val="1"/>
          <w:color w:val="auto"/>
        </w:rPr>
        <w:t>Vertrauensentzug</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shareholders themselves are not entitled to appoint or dismiss the members of the management board.</w:t>
      </w:r>
    </w:p>
    <w:p>
      <w:pPr>
        <w:spacing w:after="0" w:line="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Members of the supervisory board may be removed with or without cause by way of a shareholders’ meeting resolution.</w:t>
      </w:r>
    </w:p>
    <w:p>
      <w:pPr>
        <w:spacing w:after="0" w:line="661" w:lineRule="exact"/>
        <w:rPr>
          <w:sz w:val="20"/>
          <w:szCs w:val="20"/>
          <w:color w:val="auto"/>
        </w:rPr>
      </w:pPr>
    </w:p>
    <w:p>
      <w:pPr>
        <w:sectPr>
          <w:pgSz w:w="11900" w:h="16838" w:orient="portrait"/>
          <w:cols w:equalWidth="0" w:num="2">
            <w:col w:w="5620" w:space="240"/>
            <w:col w:w="5180"/>
          </w:cols>
          <w:pgMar w:left="320" w:top="455" w:right="5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55" w:right="5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general meeting to suspend or dismiss a supervisory director shall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 a majority of at least two thirds of the votes cast representing more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half of the issued share capital, unless the resolution is passed (i) 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of the supervisory board, (ii) during the Initial Nomination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defined in the CureVac articles) for dievini, at the proposal of dievini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of a dievini Nominee (as defined in the CureVac articles)), or</w:t>
      </w:r>
    </w:p>
    <w:p>
      <w:pPr>
        <w:spacing w:after="0" w:line="9" w:lineRule="exact"/>
        <w:rPr>
          <w:sz w:val="20"/>
          <w:szCs w:val="20"/>
          <w:color w:val="auto"/>
        </w:rPr>
      </w:pPr>
    </w:p>
    <w:p>
      <w:pPr>
        <w:ind w:left="120" w:right="5420" w:hanging="4"/>
        <w:spacing w:after="0" w:line="255" w:lineRule="auto"/>
        <w:tabs>
          <w:tab w:leader="none" w:pos="4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Nomination Period (as defined in the CureVac articles) for KfW, at the proposal of KfW (in respect of the KfW Nominee (as defined in the CureVac articles)).</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managing director or supervisory director is suspended and the CureVac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meeting does not dismiss them within three months from the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suspension, the suspension shall lapse.</w:t>
      </w: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Inability of Board Members to Serve and Vacancies on the Board</w:t>
      </w:r>
    </w:p>
    <w:p>
      <w:pPr>
        <w:sectPr>
          <w:pgSz w:w="11900" w:h="16838" w:orient="portrait"/>
          <w:cols w:equalWidth="0" w:num="1">
            <w:col w:w="11060"/>
          </w:cols>
          <w:pgMar w:left="320" w:top="455" w:right="519" w:bottom="1440" w:gutter="0" w:footer="0" w:header="0"/>
        </w:sectPr>
      </w:pP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the CureVac articles, if a managing director is absent or incapacitated, they may be replaced temporarily by a person whom the management board has designated for that purpose and, until then, the other managing director(s) shall be charged with the management of CureVac. If all managing directors are absent or incapacitated, the management of CureVac shall be attributed to the supervisory board. The person(s) charged with the management of CureVac in this manner, may designate one or more persons to be charged with the management of CureVac instead of, or together with, such person(s).</w:t>
      </w:r>
    </w:p>
    <w:p>
      <w:pPr>
        <w:spacing w:after="0" w:line="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Where a supervisory director is no longer in office or is unable to act, they may be replaced temporarily by a person whom the supervisory board has designated for that purpose and, until then, the other supervisory directors(s) shall be charged with the supervision of CureVac. Where a supervisory director who has been appointed upon a nomination by dievini or KfW in accordance with the CureVac articles is no longer in office or is unable to act, they may only be temporarily replaced by a person designated for such purposes by dievini or KfW, as applicable. The replacement becomes effective and the supervisory director so designated shall immediately have all rights, responsibilities, tasks and duties of a supervisory director (including any voting rights and specific rights awarded to the supervisory director they are replacing at the supervisory board) and (in relation to dievini to the fullest extent permitted by applicable law and at all times subject to KfW’s right to designate a supervisory director in accordance with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3285" w:lineRule="exact"/>
        <w:rPr>
          <w:sz w:val="20"/>
          <w:szCs w:val="20"/>
          <w:color w:val="auto"/>
        </w:rPr>
      </w:pPr>
    </w:p>
    <w:p>
      <w:pPr>
        <w:sectPr>
          <w:pgSz w:w="11900" w:h="16838" w:orient="portrait"/>
          <w:cols w:equalWidth="0" w:num="2">
            <w:col w:w="5640" w:space="220"/>
            <w:col w:w="5200"/>
          </w:cols>
          <w:pgMar w:left="320" w:top="455" w:right="5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60"/>
          </w:cols>
          <w:pgMar w:left="320" w:top="455" w:right="5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jc w:val="both"/>
        <w:ind w:left="120" w:right="4539"/>
        <w:spacing w:after="0" w:line="256" w:lineRule="auto"/>
        <w:rPr>
          <w:sz w:val="20"/>
          <w:szCs w:val="20"/>
          <w:color w:val="auto"/>
        </w:rPr>
      </w:pPr>
      <w:r>
        <w:rPr>
          <w:rFonts w:ascii="Times New Roman" w:cs="Times New Roman" w:eastAsia="Times New Roman" w:hAnsi="Times New Roman"/>
          <w:sz w:val="18"/>
          <w:szCs w:val="18"/>
          <w:color w:val="auto"/>
        </w:rPr>
        <w:t>CureVac articles) shall become a full member of the supervisory board with the rights of a KfW Nominee (as defined in the CureVac articles) or dievini Nominee (as defined in the CureVac articles), as the case may be, as soon as a written designation to that effect has been received by the chairman or the vice-chairman of the CureVac supervisory board.</w:t>
      </w:r>
    </w:p>
    <w:p>
      <w:pPr>
        <w:spacing w:after="0" w:line="93" w:lineRule="exact"/>
        <w:rPr>
          <w:sz w:val="20"/>
          <w:szCs w:val="20"/>
          <w:color w:val="auto"/>
        </w:rPr>
      </w:pPr>
    </w:p>
    <w:p>
      <w:pPr>
        <w:ind w:left="120" w:right="4619"/>
        <w:spacing w:after="0" w:line="282" w:lineRule="auto"/>
        <w:rPr>
          <w:sz w:val="20"/>
          <w:szCs w:val="20"/>
          <w:color w:val="auto"/>
        </w:rPr>
      </w:pPr>
      <w:r>
        <w:rPr>
          <w:rFonts w:ascii="Times New Roman" w:cs="Times New Roman" w:eastAsia="Times New Roman" w:hAnsi="Times New Roman"/>
          <w:sz w:val="18"/>
          <w:szCs w:val="18"/>
          <w:color w:val="auto"/>
        </w:rPr>
        <w:t>In case all supervisory directors are no longer in office or are unable to act, the supervision of CureVac shall be attributed to:</w:t>
      </w:r>
    </w:p>
    <w:p>
      <w:pPr>
        <w:spacing w:after="0" w:line="67" w:lineRule="exact"/>
        <w:rPr>
          <w:sz w:val="20"/>
          <w:szCs w:val="20"/>
          <w:color w:val="auto"/>
        </w:rPr>
      </w:pPr>
    </w:p>
    <w:p>
      <w:pPr>
        <w:jc w:val="both"/>
        <w:ind w:left="840" w:right="4619" w:hanging="274"/>
        <w:spacing w:after="0" w:line="266" w:lineRule="auto"/>
        <w:tabs>
          <w:tab w:leader="none" w:pos="8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supervisory director who most recently ceased to hold office as the chairman, provided that they are willing and able to accept that position;</w:t>
      </w:r>
    </w:p>
    <w:p>
      <w:pPr>
        <w:spacing w:after="0" w:line="81" w:lineRule="exact"/>
        <w:rPr>
          <w:rFonts w:ascii="Times New Roman" w:cs="Times New Roman" w:eastAsia="Times New Roman" w:hAnsi="Times New Roman"/>
          <w:sz w:val="18"/>
          <w:szCs w:val="18"/>
          <w:color w:val="auto"/>
        </w:rPr>
      </w:pPr>
    </w:p>
    <w:p>
      <w:pPr>
        <w:ind w:left="840" w:right="4699" w:hanging="274"/>
        <w:spacing w:after="0" w:line="256" w:lineRule="auto"/>
        <w:tabs>
          <w:tab w:leader="none" w:pos="8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Nomination Period (as defined in the CureVac articles) for dievini, a person designated for such purpose by dievini, unless the former supervisory director referred to above was appointed upon a nomination by dievini pursuant to the CureVac articles and they are willing and able to accept the position; and</w:t>
      </w:r>
    </w:p>
    <w:p>
      <w:pPr>
        <w:spacing w:after="0" w:line="92" w:lineRule="exact"/>
        <w:rPr>
          <w:rFonts w:ascii="Times New Roman" w:cs="Times New Roman" w:eastAsia="Times New Roman" w:hAnsi="Times New Roman"/>
          <w:sz w:val="18"/>
          <w:szCs w:val="18"/>
          <w:color w:val="auto"/>
        </w:rPr>
      </w:pPr>
    </w:p>
    <w:p>
      <w:pPr>
        <w:ind w:left="840" w:right="4679" w:hanging="274"/>
        <w:spacing w:after="0" w:line="277" w:lineRule="auto"/>
        <w:tabs>
          <w:tab w:leader="none" w:pos="8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Initial Nomination Period (as defined in the CureVac articles) for KfW, a person designated for such purpose by KfW, unless the former supervisory director referred to above was appointed upon a nomination by KfW pursuant to the CureVac articles and they are willing and able to accept the position,</w:t>
      </w:r>
    </w:p>
    <w:p>
      <w:pPr>
        <w:spacing w:after="0" w:line="73" w:lineRule="exact"/>
        <w:rPr>
          <w:sz w:val="20"/>
          <w:szCs w:val="20"/>
          <w:color w:val="auto"/>
        </w:rPr>
      </w:pPr>
    </w:p>
    <w:p>
      <w:pPr>
        <w:ind w:left="120" w:right="4619"/>
        <w:spacing w:after="0" w:line="256" w:lineRule="auto"/>
        <w:rPr>
          <w:sz w:val="20"/>
          <w:szCs w:val="20"/>
          <w:color w:val="auto"/>
        </w:rPr>
      </w:pPr>
      <w:r>
        <w:rPr>
          <w:rFonts w:ascii="Times New Roman" w:cs="Times New Roman" w:eastAsia="Times New Roman" w:hAnsi="Times New Roman"/>
          <w:sz w:val="18"/>
          <w:szCs w:val="18"/>
          <w:color w:val="auto"/>
        </w:rPr>
        <w:t>which persons jointly may designate one or more other persons to be charged with the supervision of CureVac (instead of, or together with, such person). The persons charged with the supervision of CureVac pursuant to the previous sentence shall cease to hold that position when the CureVac general meeting has appointed one or more persons as supervisory director(s) with due observance of the CureVac articles.</w:t>
      </w:r>
    </w:p>
    <w:p>
      <w:pPr>
        <w:spacing w:after="0" w:line="93" w:lineRule="exact"/>
        <w:rPr>
          <w:sz w:val="20"/>
          <w:szCs w:val="20"/>
          <w:color w:val="auto"/>
        </w:rPr>
      </w:pPr>
    </w:p>
    <w:p>
      <w:pPr>
        <w:ind w:left="120" w:right="4519"/>
        <w:spacing w:after="0" w:line="273" w:lineRule="auto"/>
        <w:rPr>
          <w:sz w:val="20"/>
          <w:szCs w:val="20"/>
          <w:color w:val="auto"/>
        </w:rPr>
      </w:pPr>
      <w:r>
        <w:rPr>
          <w:rFonts w:ascii="Times New Roman" w:cs="Times New Roman" w:eastAsia="Times New Roman" w:hAnsi="Times New Roman"/>
          <w:sz w:val="17"/>
          <w:szCs w:val="17"/>
          <w:color w:val="auto"/>
        </w:rPr>
        <w:t>Furthermore, if for whatever reason, there is no dievini Nominee or no KfW Nominee (both as defined in the CureVac articles) in office during the Initial Nomination Period (as defined in the CureVac articles) for dievini or KfW, as relevant, and a decision needs to be taken with respect to any matter referred to in the applicable supervisory board rules, then the supervisory board shall not take any such decision until the replacement supervisory director of dievini or KfW, respectively, has validly become a full member</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139"/>
          </w:cols>
          <w:pgMar w:left="320" w:top="455"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supervisory board following their designation, unless dievini or KfW,</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the case may be, has failed to notify the designation to the chairman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CureVac supervisory board within four weeks after such Chairman has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notified dievini or KfW, as the case may be, in writing of the absence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nominee. Dievini or KfW, as the case may, shall notify the designation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replacement supervisory director of dievini or KfW, respectively,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chairman of the CureVac supervisory board as soon as reasonably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practicably possible, but in any event within the four-week period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referred to in the previous sentence.</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Dutch law, resolutions of CureVac’s general meeting may be adopted in writing without holding a meeting of shareholders, provided that (i) the articles of association allow such action by written consent, (ii) CureVac has not issued bearer shares or, with its cooperation, depository receipts for shares in its capital, and (iii) the resolution is adopted unanimously by all shareholders that are entitled to vote. Although the CureVac articles allow for resolutions of the general meeting to be adopted in writing, the requirement of unanimity renders the adoption of shareholder resolutions without holding a meeting not feasible for CureVac as a publicly traded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BioNTech shareholders may not act by written consent apart from the possibility of postal voting in the context of shareholders’ meetings (for details, please see below).</w:t>
      </w:r>
    </w:p>
    <w:p>
      <w:pPr>
        <w:spacing w:after="0" w:line="1683" w:lineRule="exact"/>
        <w:rPr>
          <w:sz w:val="20"/>
          <w:szCs w:val="20"/>
          <w:color w:val="auto"/>
        </w:rPr>
      </w:pPr>
    </w:p>
    <w:p>
      <w:pPr>
        <w:sectPr>
          <w:pgSz w:w="11900" w:h="16838" w:orient="portrait"/>
          <w:cols w:equalWidth="0" w:num="2">
            <w:col w:w="5620" w:space="24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Annual Shareholders Meetings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Based on Dutch law and the CureVac articles, at least one general meeting shall be held annually. This annual general meeting shall be held within six months after the end of CureVac’s financial year. General meetings must be held in the place CureVac has its corporate seat, being Amsterdam, the Netherlands, or in Arnhem, Assen, The Hague, Haarlem, ‘s-Hertogenbosch, Groningen, Leeuwarden, Lelystad, Maastricht, Middelburg, Rotterdam, Schiphol (Haarlemmermeer), Utrecht, or Zwolle, each also in the Netherlands.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European stock corporation governed by German law, BioNTech must hold an annual shareholders’ meeting within six months of the end of its fiscal year. The annual shareholders’ meeting shall be held at BioNTech’s seat or, if applicable, at the venue (in Germany) where its shares are listed. Under the BioNTech articles, the management board is authorized to provide for the Annual shareholders’ meeting to be held without the physical presence of the shareholders or their proxies at the location of the annual shareholders’ meeting (virtual annual shareholders’ meeting).</w:t>
      </w:r>
    </w:p>
    <w:p>
      <w:pPr>
        <w:spacing w:after="0" w:line="184" w:lineRule="exact"/>
        <w:rPr>
          <w:sz w:val="20"/>
          <w:szCs w:val="20"/>
          <w:color w:val="auto"/>
        </w:rPr>
      </w:pPr>
    </w:p>
    <w:p>
      <w:pPr>
        <w:sectPr>
          <w:pgSz w:w="11900" w:h="16838" w:orient="portrait"/>
          <w:cols w:equalWidth="0" w:num="2">
            <w:col w:w="5580" w:space="28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Advance Notice Requirements for Shareholder Nominations and Other Proposals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general meeting must be convened with due observance of the relevant statutory minimum convening period. All persons with meeting rights (generally being shareholders, usufructuaries, or pledgees with voting or meeting rights or holders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Shareholders representing in the aggregate at least five percent of BioNTech’s ordinary shares or owning shares with an aggregate nominal amount of at least €500,000 may request the addition of one or several items to the agenda of any shareholders’ meeting. Such</w:t>
      </w:r>
    </w:p>
    <w:p>
      <w:pPr>
        <w:spacing w:after="0" w:line="112" w:lineRule="exact"/>
        <w:rPr>
          <w:sz w:val="20"/>
          <w:szCs w:val="20"/>
          <w:color w:val="auto"/>
        </w:rPr>
      </w:pPr>
    </w:p>
    <w:p>
      <w:pPr>
        <w:sectPr>
          <w:pgSz w:w="11900" w:h="16838" w:orient="portrait"/>
          <w:cols w:equalWidth="0" w:num="2">
            <w:col w:w="5400" w:space="4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00"/>
          </w:cols>
          <w:pgMar w:left="320" w:top="455" w:right="479" w:bottom="1440" w:gutter="0" w:footer="0" w:header="0"/>
        </w:sectPr>
      </w:pPr>
    </w:p>
    <w:p>
      <w:pPr>
        <w:spacing w:after="0" w:line="3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depository receipts for shares issued with CureVac’s cooperation) must be convened for the CureVac general meeting in accordance with Dutch law. The shareholders may be convened for the CureVac general meeting by means of convening letters sent to the addresses of those shareholders. This does not prejudice the possibility of sending a convening notice by electronic means in accordance with Dutch law.</w:t>
      </w:r>
    </w:p>
    <w:p>
      <w:pPr>
        <w:spacing w:after="0" w:line="9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convocation notice of the general meeting of shareholders of CureVac shall state the items to be discussed and which items to be voted on (including for the annual CureVac general meeting, among other matters, the discussion and adoption of the annual accounts, the appropriation of profits, and proposals relating to the CureVac management board and supervisory board), the place and time of the meeting, and the procedure for participating at the meeting whether or not by written proxy-holder. The notice of the meeting shall also state the record date and the manner in which the persons entitled to attend or vote at a meeting may procure their registration and exercise their rights (including by electronic means of communication, if applicable).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requests must be submitted to the management board in writing, stating the reasons or a draft resolution, and must be received by BioNTech at least 30 days before the meeting.</w:t>
      </w:r>
    </w:p>
    <w:p>
      <w:pPr>
        <w:spacing w:after="0" w:line="3332"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Extraordinary Meeting of Shareholders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Pursuant to Dutch law, one or more shareholders and/or persons with meeting right, who solely or jointly represent at least 10% of the issued and outstanding share capital, may request the CureVac management board in writing to convene a CureVac general meeting. If the CureVac management board has not taken the steps necessary to ensure that such meeting can be held within six weeks after the request, the requesting shareholder(s) and or other persons with meeting rights may at their request be authorized by the competent Dutch court in preliminary relief proceedings to convene a CureVac general meeting. The court shall refuse the application if it does not appear that the applicant(s) has/have previously requested the CureVac management board to convene a CureVac general meeting and the CureVac management board has not taken the necessary steps so that the CureVac general meeting could be held within six weeks after the request. Such a request to CureVac’s management board is subject to certain additional requirements. Additionally, the applicant must have a reasonable interest in the meeting being held.</w:t>
      </w:r>
    </w:p>
    <w:p>
      <w:pPr>
        <w:spacing w:after="0" w:line="30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One or more shareholders, alone or together, representing at least three percent of the issued and outstanding share capital may also request to include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Extraordinary shareholders’ meetings of BioNTech may be convened if the interests of BioNTech so require. Such meetings are generally called by the management board or the supervisory board. In addition, shareholders whose shares represent at least five percent of the share capital may request that a general meeting be convened. If the management board or supervisory does not comply with such a request, the court may order the special meeting to be convened or may authorize the requesting shareholders to convene the meeting themselves.</w:t>
      </w:r>
    </w:p>
    <w:p>
      <w:pPr>
        <w:spacing w:after="0" w:line="2615" w:lineRule="exact"/>
        <w:rPr>
          <w:sz w:val="20"/>
          <w:szCs w:val="20"/>
          <w:color w:val="auto"/>
        </w:rPr>
      </w:pPr>
    </w:p>
    <w:p>
      <w:pPr>
        <w:sectPr>
          <w:pgSz w:w="11900" w:h="16838" w:orient="portrait"/>
          <w:cols w:equalWidth="0" w:num="2">
            <w:col w:w="5560" w:space="30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right="4579"/>
        <w:spacing w:after="0" w:line="251" w:lineRule="auto"/>
        <w:rPr>
          <w:sz w:val="20"/>
          <w:szCs w:val="20"/>
          <w:color w:val="auto"/>
        </w:rPr>
      </w:pPr>
      <w:r>
        <w:rPr>
          <w:rFonts w:ascii="Times New Roman" w:cs="Times New Roman" w:eastAsia="Times New Roman" w:hAnsi="Times New Roman"/>
          <w:sz w:val="18"/>
          <w:szCs w:val="18"/>
          <w:color w:val="auto"/>
        </w:rPr>
        <w:t>items in the agenda of a CureVac general meeting. Requests must be made in writing and received by the CureVac management board at least 60 days before the day of the meeting. No resolutions shall be adopted on items other than those which have been included in the agenda. In accordance with the DCGC, a shareholder may only request the inclusion of an item on the agenda after consulting the CureVac management board in that respect. If one or more shareholders intend to request that an item be put on the agenda that may result in a change in CureVac’s strategy, the CureVac management board must be given the opportunity to invoke a reasonable period to respond to such intention. Such period shall not exceed 180 days (or such other period as may be stipulated for such purpose by Dutch law and/or the DCGC from time to time). If invoked, the CureVac management board must use such response period for further deliberation and constructive consultation, in any event with the shareholders(s) concerned, and must explore the alternatives. At the end of the response time, the CureVac management board must report on this consultation and the exploration of alternatives to the CureVac general meeting. The response period may be invoked only once for any given general meeting and shall not apply: (i) in respect of a matter for which a response period or a cooling-off period (as discussed below) has been previously invoked; or</w:t>
      </w:r>
    </w:p>
    <w:p>
      <w:pPr>
        <w:spacing w:after="0" w:line="4" w:lineRule="exact"/>
        <w:rPr>
          <w:sz w:val="20"/>
          <w:szCs w:val="20"/>
          <w:color w:val="auto"/>
        </w:rPr>
      </w:pPr>
    </w:p>
    <w:p>
      <w:pPr>
        <w:ind w:left="120" w:right="4539" w:hanging="4"/>
        <w:spacing w:after="0" w:line="253" w:lineRule="auto"/>
        <w:tabs>
          <w:tab w:leader="none" w:pos="3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holds at least 75% of CureVac’s issued share capital as a consequence of a successful public bid. The response period may also be invoked in response to shareholders or others with meeting rights under Dutch law requesting that a CureVac general meeting be convened, as described above.</w:t>
      </w:r>
    </w:p>
    <w:p>
      <w:pPr>
        <w:spacing w:after="0" w:line="92" w:lineRule="exact"/>
        <w:rPr>
          <w:sz w:val="20"/>
          <w:szCs w:val="20"/>
          <w:color w:val="auto"/>
        </w:rPr>
      </w:pPr>
    </w:p>
    <w:p>
      <w:pPr>
        <w:ind w:left="120" w:right="4519"/>
        <w:spacing w:after="0" w:line="261" w:lineRule="auto"/>
        <w:rPr>
          <w:sz w:val="20"/>
          <w:szCs w:val="20"/>
          <w:color w:val="auto"/>
        </w:rPr>
      </w:pPr>
      <w:r>
        <w:rPr>
          <w:rFonts w:ascii="Times New Roman" w:cs="Times New Roman" w:eastAsia="Times New Roman" w:hAnsi="Times New Roman"/>
          <w:sz w:val="18"/>
          <w:szCs w:val="18"/>
          <w:color w:val="auto"/>
        </w:rPr>
        <w:t>In addition, a statutory cooling-off period, similar to the aforementioned response time under the DCGC, but with a maximum of 250 days, applies in the Netherlands. According to this statutory rule, the cooling-off period could be invoked by the CureVac management board in the event:</w:t>
      </w:r>
    </w:p>
    <w:p>
      <w:pPr>
        <w:spacing w:after="0" w:line="85" w:lineRule="exact"/>
        <w:rPr>
          <w:sz w:val="20"/>
          <w:szCs w:val="20"/>
          <w:color w:val="auto"/>
        </w:rPr>
      </w:pPr>
    </w:p>
    <w:p>
      <w:pPr>
        <w:ind w:left="840" w:right="4559" w:hanging="274"/>
        <w:spacing w:after="0" w:line="256" w:lineRule="auto"/>
        <w:tabs>
          <w:tab w:leader="none" w:pos="8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using either their shareholder proposal right or their right to request a CureVac general meeting, propose an agenda item for the CureVac general meeting to dismiss, suspend or appoint a CureVac managing director or supervisory director (or to amend any provision in the CureVac articles dealing with those matters); or</w:t>
      </w:r>
    </w:p>
    <w:p>
      <w:pPr>
        <w:spacing w:after="0" w:line="1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139"/>
          </w:cols>
          <w:pgMar w:left="320" w:top="455"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148" w:lineRule="exact"/>
        <w:rPr>
          <w:sz w:val="20"/>
          <w:szCs w:val="20"/>
          <w:color w:val="auto"/>
        </w:rPr>
      </w:pPr>
    </w:p>
    <w:p>
      <w:pPr>
        <w:ind w:left="840" w:right="4699" w:hanging="274"/>
        <w:spacing w:after="0" w:line="312" w:lineRule="auto"/>
        <w:tabs>
          <w:tab w:leader="none" w:pos="84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offer for CureVac has been announced or made without agreement having been reached with CureVac on such offer,</w:t>
      </w:r>
    </w:p>
    <w:p>
      <w:pPr>
        <w:spacing w:after="0" w:line="45" w:lineRule="exact"/>
        <w:rPr>
          <w:sz w:val="20"/>
          <w:szCs w:val="20"/>
          <w:color w:val="auto"/>
        </w:rPr>
      </w:pPr>
    </w:p>
    <w:p>
      <w:pPr>
        <w:ind w:left="120" w:right="4939"/>
        <w:spacing w:after="0" w:line="266" w:lineRule="auto"/>
        <w:rPr>
          <w:sz w:val="20"/>
          <w:szCs w:val="20"/>
          <w:color w:val="auto"/>
        </w:rPr>
      </w:pPr>
      <w:r>
        <w:rPr>
          <w:rFonts w:ascii="Times New Roman" w:cs="Times New Roman" w:eastAsia="Times New Roman" w:hAnsi="Times New Roman"/>
          <w:sz w:val="18"/>
          <w:szCs w:val="18"/>
          <w:color w:val="auto"/>
        </w:rPr>
        <w:t>provided, in each case, that in the opinion of the CureVac management board, such proposal or offer materially conflicts with the interests of CureVac and its business.</w:t>
      </w:r>
    </w:p>
    <w:p>
      <w:pPr>
        <w:spacing w:after="0" w:line="81" w:lineRule="exact"/>
        <w:rPr>
          <w:sz w:val="20"/>
          <w:szCs w:val="20"/>
          <w:color w:val="auto"/>
        </w:rPr>
      </w:pPr>
    </w:p>
    <w:p>
      <w:pPr>
        <w:ind w:left="120" w:right="4699"/>
        <w:spacing w:after="0" w:line="282" w:lineRule="auto"/>
        <w:rPr>
          <w:sz w:val="20"/>
          <w:szCs w:val="20"/>
          <w:color w:val="auto"/>
        </w:rPr>
      </w:pPr>
      <w:r>
        <w:rPr>
          <w:rFonts w:ascii="Times New Roman" w:cs="Times New Roman" w:eastAsia="Times New Roman" w:hAnsi="Times New Roman"/>
          <w:sz w:val="18"/>
          <w:szCs w:val="18"/>
          <w:color w:val="auto"/>
        </w:rPr>
        <w:t>The cooling-off period, if invoked, ends upon the earliest of the following events:</w:t>
      </w:r>
    </w:p>
    <w:p>
      <w:pPr>
        <w:spacing w:after="0" w:line="67" w:lineRule="exact"/>
        <w:rPr>
          <w:sz w:val="20"/>
          <w:szCs w:val="20"/>
          <w:color w:val="auto"/>
        </w:rPr>
      </w:pPr>
    </w:p>
    <w:p>
      <w:pPr>
        <w:ind w:left="840" w:hanging="274"/>
        <w:spacing w:after="0"/>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250 days from:</w:t>
      </w:r>
    </w:p>
    <w:p>
      <w:pPr>
        <w:spacing w:after="0" w:line="130" w:lineRule="exact"/>
        <w:rPr>
          <w:rFonts w:ascii="Times New Roman" w:cs="Times New Roman" w:eastAsia="Times New Roman" w:hAnsi="Times New Roman"/>
          <w:sz w:val="18"/>
          <w:szCs w:val="18"/>
          <w:color w:val="auto"/>
        </w:rPr>
      </w:pPr>
    </w:p>
    <w:p>
      <w:pPr>
        <w:ind w:left="1200" w:right="4499" w:hanging="274"/>
        <w:spacing w:after="0" w:line="266" w:lineRule="auto"/>
        <w:tabs>
          <w:tab w:leader="none" w:pos="1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shareholders using their shareholder proposal right, the day after the deadline for making such proposal for the next CureVac general meeting has expired;</w:t>
      </w:r>
    </w:p>
    <w:p>
      <w:pPr>
        <w:spacing w:after="0" w:line="81" w:lineRule="exact"/>
        <w:rPr>
          <w:rFonts w:ascii="Times New Roman" w:cs="Times New Roman" w:eastAsia="Times New Roman" w:hAnsi="Times New Roman"/>
          <w:sz w:val="18"/>
          <w:szCs w:val="18"/>
          <w:color w:val="auto"/>
        </w:rPr>
      </w:pPr>
    </w:p>
    <w:p>
      <w:pPr>
        <w:ind w:left="1200" w:right="4559" w:hanging="274"/>
        <w:spacing w:after="0" w:line="266" w:lineRule="auto"/>
        <w:tabs>
          <w:tab w:leader="none" w:pos="1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shareholders using their right to request a CureVac general meeting, the day when they obtain court authorization to do so; or</w:t>
      </w:r>
    </w:p>
    <w:p>
      <w:pPr>
        <w:spacing w:after="0" w:line="81" w:lineRule="exact"/>
        <w:rPr>
          <w:rFonts w:ascii="Times New Roman" w:cs="Times New Roman" w:eastAsia="Times New Roman" w:hAnsi="Times New Roman"/>
          <w:sz w:val="18"/>
          <w:szCs w:val="18"/>
          <w:color w:val="auto"/>
        </w:rPr>
      </w:pPr>
    </w:p>
    <w:p>
      <w:pPr>
        <w:ind w:left="1200" w:right="4819" w:hanging="274"/>
        <w:spacing w:after="0" w:line="266" w:lineRule="auto"/>
        <w:tabs>
          <w:tab w:leader="none" w:pos="1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public offer as described above being made without agreement having been reached with CureVac on such offer, the first following day;</w:t>
      </w:r>
    </w:p>
    <w:p>
      <w:pPr>
        <w:spacing w:after="0" w:line="81" w:lineRule="exact"/>
        <w:rPr>
          <w:rFonts w:ascii="Times New Roman" w:cs="Times New Roman" w:eastAsia="Times New Roman" w:hAnsi="Times New Roman"/>
          <w:sz w:val="18"/>
          <w:szCs w:val="18"/>
          <w:color w:val="auto"/>
        </w:rPr>
      </w:pPr>
    </w:p>
    <w:p>
      <w:pPr>
        <w:jc w:val="both"/>
        <w:ind w:left="840" w:right="5079" w:hanging="274"/>
        <w:spacing w:after="0" w:line="266"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after a public offer without agreement having been reached with CureVac on such offer, having been declared unconditional; or</w:t>
      </w:r>
    </w:p>
    <w:p>
      <w:pPr>
        <w:spacing w:after="0" w:line="81" w:lineRule="exact"/>
        <w:rPr>
          <w:rFonts w:ascii="Times New Roman" w:cs="Times New Roman" w:eastAsia="Times New Roman" w:hAnsi="Times New Roman"/>
          <w:sz w:val="18"/>
          <w:szCs w:val="18"/>
          <w:color w:val="auto"/>
        </w:rPr>
      </w:pPr>
    </w:p>
    <w:p>
      <w:pPr>
        <w:ind w:left="840" w:right="4999" w:hanging="274"/>
        <w:spacing w:after="0" w:line="282"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management board deciding to end the cooling-off period earlier.</w:t>
      </w:r>
    </w:p>
    <w:p>
      <w:pPr>
        <w:spacing w:after="0" w:line="67" w:lineRule="exact"/>
        <w:rPr>
          <w:sz w:val="20"/>
          <w:szCs w:val="20"/>
          <w:color w:val="auto"/>
        </w:rPr>
      </w:pPr>
    </w:p>
    <w:p>
      <w:pPr>
        <w:ind w:left="120" w:right="4579"/>
        <w:spacing w:after="0" w:line="261" w:lineRule="auto"/>
        <w:rPr>
          <w:sz w:val="20"/>
          <w:szCs w:val="20"/>
          <w:color w:val="auto"/>
        </w:rPr>
      </w:pPr>
      <w:r>
        <w:rPr>
          <w:rFonts w:ascii="Times New Roman" w:cs="Times New Roman" w:eastAsia="Times New Roman" w:hAnsi="Times New Roman"/>
          <w:sz w:val="18"/>
          <w:szCs w:val="18"/>
          <w:color w:val="auto"/>
        </w:rPr>
        <w:t>In addition, one or more shareholders representing at least 3% of CureVac’s issued share capital may request the Enterprise Chamber for early termination of the cooling-off period. The Enterprise Chamber must rule in favor of the request if the shareholders can demonstrate that:</w:t>
      </w:r>
    </w:p>
    <w:p>
      <w:pPr>
        <w:spacing w:after="0" w:line="85" w:lineRule="exact"/>
        <w:rPr>
          <w:sz w:val="20"/>
          <w:szCs w:val="20"/>
          <w:color w:val="auto"/>
        </w:rPr>
      </w:pPr>
    </w:p>
    <w:p>
      <w:pPr>
        <w:ind w:left="840" w:right="4699" w:hanging="274"/>
        <w:spacing w:after="0" w:line="258" w:lineRule="auto"/>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management board, in light of the circumstances at hand when the cooling-off period was invoked, could not reasonably have come to the conclusion that the relevant shareholder proposal or hostile offer constituted a material conflict with the interests of CureVac and its business;</w:t>
      </w:r>
    </w:p>
    <w:p>
      <w:pPr>
        <w:spacing w:after="0" w:line="88" w:lineRule="exact"/>
        <w:rPr>
          <w:rFonts w:ascii="Times New Roman" w:cs="Times New Roman" w:eastAsia="Times New Roman" w:hAnsi="Times New Roman"/>
          <w:sz w:val="18"/>
          <w:szCs w:val="18"/>
          <w:color w:val="auto"/>
        </w:rPr>
      </w:pPr>
    </w:p>
    <w:p>
      <w:pPr>
        <w:ind w:left="840" w:right="4639" w:hanging="274"/>
        <w:spacing w:after="0" w:line="282" w:lineRule="auto"/>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CureVac management board cannot reasonably believe that a continuation of the</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139"/>
          </w:cols>
          <w:pgMar w:left="320" w:top="455"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cooling-off period would contribute to careful policy-making; and</w:t>
      </w:r>
    </w:p>
    <w:p>
      <w:pPr>
        <w:spacing w:after="0" w:line="126" w:lineRule="exact"/>
        <w:rPr>
          <w:sz w:val="20"/>
          <w:szCs w:val="20"/>
          <w:color w:val="auto"/>
        </w:rPr>
      </w:pPr>
    </w:p>
    <w:p>
      <w:pPr>
        <w:ind w:left="840" w:right="5480" w:hanging="274"/>
        <w:spacing w:after="0" w:line="277" w:lineRule="auto"/>
        <w:tabs>
          <w:tab w:leader="none" w:pos="8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defensive measures, having the same purpose, nature and scope as the cooling-off period, have been activated during the cooling-off period and are not terminated or suspended at the relevant shareholders’ written request within a reasonable period following the request (i.e., no ‘stacking’ of defensive measures).</w:t>
      </w:r>
    </w:p>
    <w:p>
      <w:pPr>
        <w:spacing w:after="0" w:line="73" w:lineRule="exact"/>
        <w:rPr>
          <w:sz w:val="20"/>
          <w:szCs w:val="20"/>
          <w:color w:val="auto"/>
        </w:rPr>
      </w:pPr>
    </w:p>
    <w:p>
      <w:pPr>
        <w:ind w:left="120" w:right="5360"/>
        <w:spacing w:after="0" w:line="268" w:lineRule="auto"/>
        <w:rPr>
          <w:sz w:val="20"/>
          <w:szCs w:val="20"/>
          <w:color w:val="auto"/>
        </w:rPr>
      </w:pPr>
      <w:r>
        <w:rPr>
          <w:rFonts w:ascii="Times New Roman" w:cs="Times New Roman" w:eastAsia="Times New Roman" w:hAnsi="Times New Roman"/>
          <w:sz w:val="17"/>
          <w:szCs w:val="17"/>
          <w:color w:val="auto"/>
        </w:rPr>
        <w:t>During the cooling-off period, if invoked, the CureVac management board must gather all relevant information necessary for a careful decision-making process. In this context, the CureVac management board must at least consult with shareholders representing at least three percent of CureVac’s issued share capital at the time the cooling-off period was invoked and with CureVac’s works council (if applicable). Formal statements expressed by these stakeholders during such consultations must be published on CureVac’s website to the extent these stakeholders have approved that publication. Ultimately one week following the last day of the cooling-off period, CureVac management board must publish a report in respect of its policy and conduct of affairs during the cooling-off period on the CureVac website. This report must also remain available for inspection by CureVac’s shareholders and others with meeting rights under Dutch law at CureVac’s office and must be tabled for discussion at the next general meeting.</w:t>
      </w:r>
    </w:p>
    <w:p>
      <w:pPr>
        <w:spacing w:after="0" w:line="1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Quorum for Meetings of Shareholders</w:t>
      </w:r>
    </w:p>
    <w:p>
      <w:pPr>
        <w:sectPr>
          <w:pgSz w:w="11900" w:h="16838" w:orient="portrait"/>
          <w:cols w:equalWidth="0" w:num="1">
            <w:col w:w="10980"/>
          </w:cols>
          <w:pgMar w:left="320" w:top="455" w:right="599" w:bottom="1440" w:gutter="0" w:footer="0" w:header="0"/>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CureVac articles, no general quorum requirement applies to the CureVac general meeting. However, certain resolutions can only be adopted by the CureVac general meeting by a(n) (enhanced) majority of the votes, representing a certain part of the issued share capital.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rule, resolutions of the shareholders’ meeting do not require a quorum to be present at the shareholders’ meeting.</w:t>
      </w:r>
    </w:p>
    <w:p>
      <w:pPr>
        <w:spacing w:after="0" w:line="589" w:lineRule="exact"/>
        <w:rPr>
          <w:sz w:val="20"/>
          <w:szCs w:val="20"/>
          <w:color w:val="auto"/>
        </w:rPr>
      </w:pPr>
    </w:p>
    <w:p>
      <w:pPr>
        <w:sectPr>
          <w:pgSz w:w="11900" w:h="16838" w:orient="portrait"/>
          <w:cols w:equalWidth="0" w:num="2">
            <w:col w:w="5580" w:space="280"/>
            <w:col w:w="5120"/>
          </w:cols>
          <w:pgMar w:left="320" w:top="455" w:right="5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7"/>
          <w:szCs w:val="17"/>
          <w:b w:val="1"/>
          <w:bCs w:val="1"/>
          <w:i w:val="1"/>
          <w:iCs w:val="1"/>
          <w:color w:val="auto"/>
        </w:rPr>
        <w:t>Liability of Directors and Officers</w:t>
      </w:r>
    </w:p>
    <w:p>
      <w:pPr>
        <w:sectPr>
          <w:pgSz w:w="11900" w:h="16838" w:orient="portrait"/>
          <w:cols w:equalWidth="0" w:num="1">
            <w:col w:w="10980"/>
          </w:cols>
          <w:pgMar w:left="320" w:top="455" w:right="599" w:bottom="1440" w:gutter="0" w:footer="0" w:header="0"/>
          <w:type w:val="continuous"/>
        </w:sectPr>
      </w:pPr>
    </w:p>
    <w:p>
      <w:pPr>
        <w:spacing w:after="0" w:line="13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Dutch law, members of the management board and the supervisory board may be held liable for damages in the event of improper or negligent performance of their duties. They may be held jointly and severally liable for damages to CureVac and third parties for infringement of the articles of association or of certain provisions of the Dutch Civil Code. In certain circumstances, including in the event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120" w:lineRule="exact"/>
        <w:rPr>
          <w:sz w:val="20"/>
          <w:szCs w:val="20"/>
          <w:color w:val="auto"/>
        </w:rPr>
      </w:pPr>
    </w:p>
    <w:p>
      <w:pPr>
        <w:sectPr>
          <w:pgSz w:w="11900" w:h="16838" w:orient="portrait"/>
          <w:cols w:equalWidth="0" w:num="2">
            <w:col w:w="5520" w:space="340"/>
            <w:col w:w="5120"/>
          </w:cols>
          <w:pgMar w:left="320" w:top="455" w:right="5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980"/>
          </w:cols>
          <w:pgMar w:left="320" w:top="455" w:right="5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8"/>
          <w:szCs w:val="18"/>
          <w:color w:val="auto"/>
        </w:rPr>
        <w:t>bankruptcy of the company, directors may incur additional specific civil and criminal liabilities.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200" w:lineRule="exact"/>
        <w:rPr>
          <w:sz w:val="20"/>
          <w:szCs w:val="20"/>
          <w:color w:val="auto"/>
        </w:rPr>
      </w:pPr>
    </w:p>
    <w:p>
      <w:pPr>
        <w:sectPr>
          <w:pgSz w:w="11900" w:h="16838" w:orient="portrait"/>
          <w:cols w:equalWidth="0" w:num="2">
            <w:col w:w="5600" w:space="260"/>
            <w:col w:w="5260"/>
          </w:cols>
          <w:pgMar w:left="320" w:top="455" w:right="459" w:bottom="1440" w:gutter="0" w:footer="0" w:header="0"/>
          <w:type w:val="continuous"/>
        </w:sectPr>
      </w:pP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Officers</w:t>
      </w:r>
    </w:p>
    <w:p>
      <w:pPr>
        <w:sectPr>
          <w:pgSz w:w="11900" w:h="16838" w:orient="portrait"/>
          <w:cols w:equalWidth="0" w:num="1">
            <w:col w:w="11120"/>
          </w:cols>
          <w:pgMar w:left="320" w:top="455" w:right="459" w:bottom="1440" w:gutter="0" w:footer="0" w:header="0"/>
          <w:type w:val="continuous"/>
        </w:sectPr>
      </w:pPr>
    </w:p>
    <w:p>
      <w:pPr>
        <w:spacing w:after="0" w:line="13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Under Dutch law, indemnification provisions may be included in a company’s articles of association. Pursuant to the CureVac articles, CureVac shall indemnify and hold harmless each of its current and former managing directors and supervisory directors and such other current or former officers or employee of CureVac or its group companies as designated by the management board subject to the approval of the supervisory board, which we refer to each as an indemnified officer, against (i) any financial losses or damages incurred by such indemnified officer, and (ii) any expense reasonably paid or incurred by such indemnified officer in connection with any threatened, pending, or completed suit, claim, action, or legal proceedings of a civil, criminal, administrative, or other nature, formal, or informal, in which they becomes involved, to the extent this relates to their current or former position with CureVac and/or a CureVac group company and in each case to the extent permitted by applicable law.</w:t>
      </w:r>
    </w:p>
    <w:p>
      <w:pPr>
        <w:spacing w:after="0" w:line="29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No indemnification shall be given to an indemnified officer (i) if a competent court or arbitral tribunal has established, without having (or no longer having) the possibility for appeal, that the acts or omissions of such indemnified officer that led to the financial losses, damages, expenses, suit, claim, action, or legal proceedings are of an unlawful nature (including acts or omissions which are considered to constitute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BioNTech may not, as a general matter, indemnify its supervisory board members and management board members to the extent such indemnification is related to a breach of duty of care as a member of the supervisory board or management board, respectively. It may, however, purchase directors’ and officers’ liability insurance. The insurance may be subject to any mandatory restrictions imposed by German law, including a deductible. However, BioNTech may indemnify a member of the supervisory board or management board to the extent such indemnification is not related to a breach of the respective duty of care.</w:t>
      </w:r>
    </w:p>
    <w:p>
      <w:pPr>
        <w:spacing w:after="0" w:line="2631" w:lineRule="exact"/>
        <w:rPr>
          <w:sz w:val="20"/>
          <w:szCs w:val="20"/>
          <w:color w:val="auto"/>
        </w:rPr>
      </w:pPr>
    </w:p>
    <w:p>
      <w:pPr>
        <w:sectPr>
          <w:pgSz w:w="11900" w:h="16838" w:orient="portrait"/>
          <w:cols w:equalWidth="0" w:num="2">
            <w:col w:w="5600" w:space="26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malice), gross negligence, intentional recklessness, and/or serious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culpability attributable to such indemnified officer; (ii) to the extent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financial losses, damages, and expenses are covered under insurance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relevant insurer has settled, or has provided reimbursement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losses, damages and expenses (or has irrevocably undertaken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do so); (iii) in relation to proceedings brought by such indemnified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against CureVac, except for proceedings brought to enforce indemnification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which they is entitled pursuant to the CureVac articles, pursuant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between such indemnified officer and CureVac which has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approved by the management board or pursuant to insurance taken out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CureVac for the benefit of such Indemnified Officer; or (iv) for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losses, damages or expenses incurred in connection with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settlement of any proceedings effected without CureVac’s prior consent.</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Transactions</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According to Dutch law, a managing director or supervisory director shall not take part in the deliberation and decision-making if they have a direct or indirect personal interest therein, which is in conflict with the interests of CureVac and its business. In case all managing directors have a conflict of interest, the resolutions will be adopted by the supervisory board. In case all supervisory directors have a conflict of interest, the resolutions may nevertheless be passed by the supervisory board as if none of the supervisory directors has a conflict of interest.</w:t>
      </w:r>
    </w:p>
    <w:p>
      <w:pPr>
        <w:spacing w:after="0" w:line="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 managing director or supervisory director does not comply with the provisions on conflicts of interest, the resolution concerned is subject to nullification by the competent Dutch court and the person concerned may be held liable towards CureVac. However, even if such a resolution were nullified, the nullification would not affect any acts performed on CureVac’s behalf pursuant to the (invalid) resolution.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Members of the management board and the supervisory board are required to act in the best interests of BioNTech and to avoid conflicts of interest. In the event of a potential conflict of interest there is an obligation to promptly disclose this conflict to the relevant corporate body. Affected members are typically not permitted to participate in discussion or votes regarding the transaction in question. Breaches of the disclosure and conduct obligations in connection with conflicts of interest may result in claims for damages by BioNTech against the relevant board member.</w:t>
      </w:r>
    </w:p>
    <w:p>
      <w:pPr>
        <w:spacing w:after="0" w:line="1399" w:lineRule="exact"/>
        <w:rPr>
          <w:sz w:val="20"/>
          <w:szCs w:val="20"/>
          <w:color w:val="auto"/>
        </w:rPr>
      </w:pPr>
    </w:p>
    <w:p>
      <w:pPr>
        <w:sectPr>
          <w:pgSz w:w="11900" w:h="16838" w:orient="portrait"/>
          <w:cols w:equalWidth="0" w:num="2">
            <w:col w:w="5620" w:space="240"/>
            <w:col w:w="52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Information Rights and Rights of Inspections</w:t>
      </w:r>
    </w:p>
    <w:p>
      <w:pPr>
        <w:sectPr>
          <w:pgSz w:w="11900" w:h="16838" w:orient="portrait"/>
          <w:cols w:equalWidth="0" w:num="1">
            <w:col w:w="11100"/>
          </w:cols>
          <w:pgMar w:left="320" w:top="455" w:right="479" w:bottom="1440" w:gutter="0" w:footer="0" w:header="0"/>
          <w:type w:val="continuous"/>
        </w:sectPr>
      </w:pP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Shareholders will be provided, at the CureVac general meeting, with all information that the shareholders require, unless doing so would be contrary to an overriding interest of CureVac. Under the DCGC, CureVac is expected to give reasons to shareholders for electing not to provide such information on the basis of an overriding interest. In principle, individual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Under German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 list of participants </w:t>
      </w:r>
      <w:r>
        <w:rPr>
          <w:rFonts w:ascii="Times New Roman" w:cs="Times New Roman" w:eastAsia="Times New Roman" w:hAnsi="Times New Roman"/>
          <w:sz w:val="17"/>
          <w:szCs w:val="17"/>
          <w:i w:val="1"/>
          <w:iCs w:val="1"/>
          <w:color w:val="auto"/>
        </w:rPr>
        <w:t>(Teilnehmerverzeichnis)</w:t>
      </w:r>
      <w:r>
        <w:rPr>
          <w:rFonts w:ascii="Times New Roman" w:cs="Times New Roman" w:eastAsia="Times New Roman" w:hAnsi="Times New Roman"/>
          <w:sz w:val="17"/>
          <w:szCs w:val="17"/>
          <w:color w:val="auto"/>
        </w:rPr>
        <w:t xml:space="preserve"> has to be drawn up at any shareholders’ meeting including, in particular, the (company) name and place of residence/seat of the shareholders present or represented at the shareholders’ meeting and/or of the representatives of shareholders (if any). The list of participants has to be made</w:t>
      </w:r>
    </w:p>
    <w:p>
      <w:pPr>
        <w:spacing w:after="0" w:line="102" w:lineRule="exact"/>
        <w:rPr>
          <w:sz w:val="20"/>
          <w:szCs w:val="20"/>
          <w:color w:val="auto"/>
        </w:rPr>
      </w:pPr>
    </w:p>
    <w:p>
      <w:pPr>
        <w:sectPr>
          <w:pgSz w:w="11900" w:h="16838" w:orient="portrait"/>
          <w:cols w:equalWidth="0" w:num="2">
            <w:col w:w="5600" w:space="260"/>
            <w:col w:w="52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8"/>
          <w:szCs w:val="18"/>
          <w:color w:val="auto"/>
        </w:rPr>
        <w:t>shareholders have no right to obtain specific information they would like to receive outside a CureVac general meeting.</w:t>
      </w:r>
    </w:p>
    <w:p>
      <w:pPr>
        <w:spacing w:after="0" w:line="7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application by a shareholder or a pledgee or usufructuary of CureVac shares, the management board shall furnish an extract from the shareholders’ register, free of charge, insofar as it relates to the applicant’s right in respect of the relevant share(s).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available in the shareholders’ meeting to all participants prior to the first vote. Upon request, each shareholder may inspect such list of participants for a period of two years after the respective shareholders’ meeting.</w:t>
      </w:r>
    </w:p>
    <w:p>
      <w:pPr>
        <w:spacing w:after="0" w:line="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German law does not permit BioNTech’s shareholders to inspect corporate books and records. However, Section 131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provides each shareholder with a right to information at the shareholders’ meeting, to the extent that such information is necessary to permit a proper evaluation of the relevant item on the agenda or the respective information has been given to a shareholder prior to the shareholders’ meeting in its capacity as shareholder. The right to information is a right only to oral information. Information may be given in writing to shareholders, but under Section 131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they are neither entitled to receive written information nor to inspect documents.</w:t>
      </w:r>
    </w:p>
    <w:p>
      <w:pPr>
        <w:spacing w:after="0" w:line="3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Apart from that, BioNTech is obliged to publish and make available information and documents as stipulated by European and German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publication of its annual financial statements or in preparation of resolutions of the shareholders’ meeting).</w:t>
      </w:r>
    </w:p>
    <w:p>
      <w:pPr>
        <w:spacing w:after="0" w:line="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notices of BioNTech are published in the Federal Gazette </w:t>
      </w:r>
      <w:r>
        <w:rPr>
          <w:rFonts w:ascii="Times New Roman" w:cs="Times New Roman" w:eastAsia="Times New Roman" w:hAnsi="Times New Roman"/>
          <w:sz w:val="18"/>
          <w:szCs w:val="18"/>
          <w:i w:val="1"/>
          <w:iCs w:val="1"/>
          <w:color w:val="auto"/>
        </w:rPr>
        <w:t xml:space="preserve">(Bundesanzeiger), </w:t>
      </w:r>
      <w:r>
        <w:rPr>
          <w:rFonts w:ascii="Times New Roman" w:cs="Times New Roman" w:eastAsia="Times New Roman" w:hAnsi="Times New Roman"/>
          <w:sz w:val="18"/>
          <w:szCs w:val="18"/>
          <w:color w:val="auto"/>
        </w:rPr>
        <w:t>unless specified otherwise by law. Information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can also be conveyed by electronic means. The shareholders’ right pursuant to Sections 125 paragraph 2 and 128 paragraph 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to receive notifications pursuant to Section 125 paragraph 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is limited to transmission of the notifications via electronic communication. Irrespective of that, the supervisory board remains entitled, but is not obliged, to use other forms of transmission, if and insofar this does not conflict with any statutory provisions.</w:t>
      </w:r>
    </w:p>
    <w:p>
      <w:pPr>
        <w:spacing w:after="0" w:line="200" w:lineRule="exact"/>
        <w:rPr>
          <w:sz w:val="20"/>
          <w:szCs w:val="20"/>
          <w:color w:val="auto"/>
        </w:rPr>
      </w:pPr>
    </w:p>
    <w:p>
      <w:pPr>
        <w:sectPr>
          <w:pgSz w:w="11900" w:h="16838" w:orient="portrait"/>
          <w:cols w:equalWidth="0" w:num="2">
            <w:col w:w="5540" w:space="320"/>
            <w:col w:w="5260"/>
          </w:cols>
          <w:pgMar w:left="320" w:top="455" w:right="459" w:bottom="1440" w:gutter="0" w:footer="0" w:header="0"/>
          <w:type w:val="continuous"/>
        </w:sectPr>
      </w:pP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Shareholder Suits</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a third-party is liable to CureVac, only CureVac itself can bring a civil action against that party. The individual shareholders do not have the right to bring an action on behalf of CureVac. Only in the event that the cause for the liability of a third-party to CureVac also constitutes a tortious act directly against a shareholder does that shareholder have 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German stock corporation law, any shareholder of a (European) stock corporation may file an action against the corporation challenging the validity of resolutions of the shareholders’ meeting of shareholders based on a violation by the respective resolution of statutory law or the articles of association of the corporation. Generally, there is no quorum for</w:t>
      </w:r>
    </w:p>
    <w:p>
      <w:pPr>
        <w:spacing w:after="0" w:line="120" w:lineRule="exact"/>
        <w:rPr>
          <w:sz w:val="20"/>
          <w:szCs w:val="20"/>
          <w:color w:val="auto"/>
        </w:rPr>
      </w:pPr>
    </w:p>
    <w:p>
      <w:pPr>
        <w:sectPr>
          <w:pgSz w:w="11900" w:h="16838" w:orient="portrait"/>
          <w:cols w:equalWidth="0" w:num="2">
            <w:col w:w="5560" w:space="300"/>
            <w:col w:w="52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2460"/>
        <w:spacing w:after="0"/>
        <w:tabs>
          <w:tab w:leader="none" w:pos="80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CUREVAC</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BIONTECH</w:t>
      </w:r>
    </w:p>
    <w:p>
      <w:pPr>
        <w:sectPr>
          <w:pgSz w:w="11900" w:h="16838" w:orient="portrait"/>
          <w:cols w:equalWidth="0" w:num="1">
            <w:col w:w="11120"/>
          </w:cols>
          <w:pgMar w:left="320" w:top="455" w:right="459" w:bottom="1440" w:gutter="0" w:footer="0" w:header="0"/>
        </w:sectPr>
      </w:pP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managing, directors, supervisory directors, and officers can still be subject to liability under U.S. securities laws.</w:t>
      </w:r>
    </w:p>
    <w:p>
      <w:pPr>
        <w:spacing w:after="0" w:line="10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corporate disputes in the Netherlands are typically brought before the Enterprise Chamber, a specialized business court with exclusive jurisdiction over certain statutory proceedings related to corporate disputes. In so-called inquiry proceedings, the Enterprise Chamber may, at the request of one or more parties that have standing to initiate such proceedings, order an inquiry into the policy and course of affairs of a company and provide injunctive relief by ordering a wide range of immediate measures (provided certain admissibility criteria are met).</w:t>
      </w:r>
    </w:p>
    <w:p>
      <w:pPr>
        <w:spacing w:after="0" w:line="9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addition, general court proceedings existing under Dutch law are available to (minority) shareholders. This includes regular and preliminary relief proceedings, tort claims, and requests for a declaration of right. Generally, Dutch law allows claims for both specific performance and damages. Also, court proceedings in other jurisdictions may be available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claims against a non-Dutch co-shareholder).</w:t>
      </w:r>
    </w:p>
    <w:p>
      <w:pPr>
        <w:spacing w:after="0" w:line="9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 shareholder may, for example, challenge a resolution adopted by a corporate body of the company.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action and the action does not need to be based on a violation of individual rights of the claimant. However, subject to certain exceptions, only shareholders are entitled to such action who were shareholders already at the time of the convocation of the respective shareholders’ meeting of shareholders and requested at the meeting that an objection to the respective shareholders’ resolution be included in the minutes of the meeting.</w:t>
      </w:r>
    </w:p>
    <w:p>
      <w:pPr>
        <w:spacing w:after="0" w:line="9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Claims of the corporation against the members of its supervisory board and management board may generally only be pursued by the corporation itself. The corporation is obliged to pursue such claims upon demand of the shareholders’ meeting of shareholders by resolution requiring a simple majority of the votes cast. Upon the motion of shareholders whose aggregate shareholdings amount to at least 10% of the share capital or one million Euro, a special representative will be appointed by court and authorized to represent the corporation for purposes of the pursuit of such claims. Furthermore, shareholders’ derivative suits for such claims may also be filed by shareholders whose aggregate shareholdings amount to at least one percent of the share capital or 100,000 Euro upon authorization by court. However, certain additional requirements for such authorization by a court apply: (i) the shareholders must provide evidence that they acquired the shares before they should have learned from a publication about the alleged breaches of duty or alleged damages, (ii) the shareholders must demonstrate that they requested in vain that the corporation file a law suit within an appropriate period of time, (iii) facts must exist that give reason to suspect that the corporation has suffered a loss as a result of improprieties or gross breaches of statutory provisions or articles of association, and (iv) no predominate interest of the corporation exists which would prevent the assertion of the claim for damages.</w:t>
      </w:r>
    </w:p>
    <w:p>
      <w:pPr>
        <w:spacing w:after="0" w:line="2402" w:lineRule="exact"/>
        <w:rPr>
          <w:sz w:val="20"/>
          <w:szCs w:val="20"/>
          <w:color w:val="auto"/>
        </w:rPr>
      </w:pPr>
    </w:p>
    <w:p>
      <w:pPr>
        <w:sectPr>
          <w:pgSz w:w="11900" w:h="16838" w:orient="portrait"/>
          <w:cols w:equalWidth="0" w:num="2">
            <w:col w:w="5640" w:space="220"/>
            <w:col w:w="5260"/>
          </w:cols>
          <w:pgMar w:left="320" w:top="455" w:right="45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Plans</w:t>
      </w:r>
    </w:p>
    <w:p>
      <w:pPr>
        <w:spacing w:after="0" w:line="121"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BioNTech by Covington &amp; Burling LLP. The validity of the BioNTech ordinary shares to be issued in connection with the offer will be passed upon for BioNTech by Hengeler Mueller Partnerschaft von Rechtsanwälten mbB.</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BioNTech appearing in BioNTech’s Annual Report (Form 20-F) for the year ended December 31, 2024, and the effectiveness of BioNTech’s internal control over financial reporting as of December 31, 2024, have been audited by EY GmbH &amp; Co. KG Wirtschaftsprüfungsgesellschaft, independent registered public accounting firm, as set forth in their reports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CureVac as of December 31, 2024 and 2023, and for each of the years in the two-year period ended December 31, 2024, and management’s assessment of the effectiveness of internal control over financial reporting as of December 31, 2024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report on the effectiveness of internal control over financial reporting as of December 31, 2024, expresses an opinion that CureVac did not maintain effective internal control over financial reporting as of December 31, 2024 because of the effect of material weaknesses on the achievement of the objectives of the control criteria and contains an explanatory paragraph that states material weaknesses were identified related to (i) inadequate maintenance of general information technology controls related to segregation of duties over user access to our accounting system that is critical to CureVac’s financial reporting process; and (ii) lack of sufficiently trained personnel within the organization with expertise, responsibility, and accountability for the design, effective operation, and documentation of internal control over financial reporting. This resulted in (a) the inadequate design and documentation of management review controls to sufficiently address the appropriate level of precision used in the design, performance and documentation of such controls; (b) the failure to design and maintain effective controls over the review, approval, and documentation of manual journal entries; and (c) a lack of consistent performance of controls over financial reporting.</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CureVac for the year ended December 31, 2022 appearing in CureVac’s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BioNTech is incorporated and currently existing under European laws and the laws of the Federal Republic of Germany. In addition, all members of BioNTech’s supervisory board and management board reside outside of the United States and BioNTech’s assets and those of its non-U.S. subsidiaries are located outside of the United States. As a result, it may not be possible for investors to effect service of process on BioNTech or those persons in the United States or to enforce in the United States judgments obtained in U.S. courts against us or those persons based on the civil liability or other provisions of the U.S. securities laws or other laws.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Awards of punitive damages in actions brought in the United States or elsewhere may be unenforceable in Germany. In addition, actions brought in a German court against BioNTech or the members of BioNTech’s supervisory board or management board, BioNTech’s other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BioNTech, certain members of BioNTech’s supervisory board or management board, other senior managers, or the experts named in this offer to exchange/prospectus.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BioNTech, the members of BioNTech’s supervisory board or management board, other senior managers, or the experts named in this offer to exchange/prospectus based on the civil liability provisions of the U.S. federal securities laws is obtained, a U.S. investor may not be able to enforce it in U.S. or German courts.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BioNTech has filed with the SEC a registration statement on Form F-4, of which this offer to exchange/prospectus forms a part. The registration statement registers the BioNTech ADSs to be issued, and paid by BioNTech to CureVac shareholders, in the offer. The registration statement, including the exhibits and schedules thereto, contains additional relevant information about the BioNTech ADSs. The rules and regulations of the SEC allow BioNTech to omit certain information included in the registration statement from this offer to exchange/prospectus.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SEC allows BioNTech to disclose important information to you by referring you to other documents filed separately with the SEC. This information is considered to be a part of this offer to exchange/prospectus, except for any information that is superseded by information included directly in this offer to exchange/prospectus or later filed. This offer to exchange/prospectus contains summaries of certain provisions contained in some of the BioNTech documents described herein, but reference is made to the actual documents for complete information. All of the summaries are qualified in their entirety by reference to the actual documents.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This offer to exchange/prospectus incorporates by reference the documents listed below that BioNTech has previously filed with or furnished to the SEC. The documents listed below contain important information about BioNTech, its financial condition or other matters.</w:t>
      </w:r>
    </w:p>
    <w:p>
      <w:pPr>
        <w:spacing w:after="0" w:line="67" w:lineRule="exact"/>
        <w:rPr>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as filed with the SEC on March 10, 2025.</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6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Reports on Form 6-K furnished to the SEC on </w:t>
      </w:r>
      <w:hyperlink r:id="rId223">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u w:val="single" w:color="auto"/>
            <w:color w:val="0000EE"/>
          </w:rPr>
          <w:t>April 4, 2025</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(Film </w:t>
      </w:r>
      <w:hyperlink r:id="rId227">
        <w:r>
          <w:rPr>
            <w:rFonts w:ascii="Times New Roman" w:cs="Times New Roman" w:eastAsia="Times New Roman" w:hAnsi="Times New Roman"/>
            <w:sz w:val="18"/>
            <w:szCs w:val="18"/>
            <w:u w:val="single" w:color="auto"/>
            <w:color w:val="0000EE"/>
          </w:rPr>
          <w:t>No. 25910931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28">
        <w:r>
          <w:rPr>
            <w:rFonts w:ascii="Times New Roman" w:cs="Times New Roman" w:eastAsia="Times New Roman" w:hAnsi="Times New Roman"/>
            <w:sz w:val="18"/>
            <w:szCs w:val="18"/>
            <w:u w:val="single" w:color="auto"/>
            <w:color w:val="0000EE"/>
          </w:rPr>
          <w:t xml:space="preserve">May 16, 2025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Exhibit 99.2 only),</w:t>
      </w:r>
      <w:r>
        <w:rPr>
          <w:rFonts w:ascii="Times New Roman" w:cs="Times New Roman" w:eastAsia="Times New Roman" w:hAnsi="Times New Roman"/>
          <w:sz w:val="18"/>
          <w:szCs w:val="18"/>
          <w:color w:val="0000EE"/>
        </w:rPr>
        <w:t xml:space="preserve"> </w:t>
      </w:r>
      <w:hyperlink r:id="rId229">
        <w:r>
          <w:rPr>
            <w:rFonts w:ascii="Times New Roman" w:cs="Times New Roman" w:eastAsia="Times New Roman" w:hAnsi="Times New Roman"/>
            <w:sz w:val="18"/>
            <w:szCs w:val="18"/>
            <w:u w:val="single" w:color="auto"/>
            <w:color w:val="0000EE"/>
          </w:rPr>
          <w:t>May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0">
        <w:r>
          <w:rPr>
            <w:rFonts w:ascii="Times New Roman" w:cs="Times New Roman" w:eastAsia="Times New Roman" w:hAnsi="Times New Roman"/>
            <w:sz w:val="18"/>
            <w:szCs w:val="18"/>
            <w:u w:val="single" w:color="auto"/>
            <w:color w:val="0000EE"/>
          </w:rPr>
          <w:t>June 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1">
        <w:r>
          <w:rPr>
            <w:rFonts w:ascii="Times New Roman" w:cs="Times New Roman" w:eastAsia="Times New Roman" w:hAnsi="Times New Roman"/>
            <w:sz w:val="18"/>
            <w:szCs w:val="18"/>
            <w:u w:val="single" w:color="auto"/>
            <w:color w:val="0000EE"/>
          </w:rPr>
          <w:t>June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June 17, 2025 (Film Nos.</w:t>
      </w:r>
      <w:r>
        <w:rPr>
          <w:rFonts w:ascii="Times New Roman" w:cs="Times New Roman" w:eastAsia="Times New Roman" w:hAnsi="Times New Roman"/>
          <w:sz w:val="18"/>
          <w:szCs w:val="18"/>
          <w:color w:val="0000EE"/>
        </w:rPr>
        <w:t xml:space="preserve"> </w:t>
      </w:r>
      <w:hyperlink r:id="rId232">
        <w:r>
          <w:rPr>
            <w:rFonts w:ascii="Times New Roman" w:cs="Times New Roman" w:eastAsia="Times New Roman" w:hAnsi="Times New Roman"/>
            <w:sz w:val="18"/>
            <w:szCs w:val="18"/>
            <w:u w:val="single" w:color="auto"/>
            <w:color w:val="0000EE"/>
          </w:rPr>
          <w:t>251053519</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33">
        <w:r>
          <w:rPr>
            <w:rFonts w:ascii="Times New Roman" w:cs="Times New Roman" w:eastAsia="Times New Roman" w:hAnsi="Times New Roman"/>
            <w:sz w:val="18"/>
            <w:szCs w:val="18"/>
            <w:u w:val="single" w:color="auto"/>
            <w:color w:val="0000EE"/>
          </w:rPr>
          <w:t>251053885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4">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5">
        <w:r>
          <w:rPr>
            <w:rFonts w:ascii="Times New Roman" w:cs="Times New Roman" w:eastAsia="Times New Roman" w:hAnsi="Times New Roman"/>
            <w:sz w:val="18"/>
            <w:szCs w:val="18"/>
            <w:u w:val="single" w:color="auto"/>
            <w:color w:val="0000EE"/>
          </w:rPr>
          <w:t>July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6">
        <w:r>
          <w:rPr>
            <w:rFonts w:ascii="Times New Roman" w:cs="Times New Roman" w:eastAsia="Times New Roman" w:hAnsi="Times New Roman"/>
            <w:sz w:val="18"/>
            <w:szCs w:val="18"/>
            <w:u w:val="single" w:color="auto"/>
            <w:color w:val="0000EE"/>
          </w:rPr>
          <w:t xml:space="preserve">August 4, 2025 </w:t>
        </w:r>
      </w:hyperlink>
      <w:r>
        <w:rPr>
          <w:rFonts w:ascii="Times New Roman" w:cs="Times New Roman" w:eastAsia="Times New Roman" w:hAnsi="Times New Roman"/>
          <w:sz w:val="18"/>
          <w:szCs w:val="18"/>
          <w:color w:val="000000"/>
        </w:rPr>
        <w:t>(Film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251178061),</w:t>
      </w:r>
      <w:r>
        <w:rPr>
          <w:rFonts w:ascii="Times New Roman" w:cs="Times New Roman" w:eastAsia="Times New Roman" w:hAnsi="Times New Roman"/>
          <w:sz w:val="18"/>
          <w:szCs w:val="18"/>
          <w:color w:val="0000EE"/>
        </w:rPr>
        <w:t xml:space="preserve"> </w:t>
      </w:r>
      <w:hyperlink r:id="rId237">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8">
        <w:r>
          <w:rPr>
            <w:rFonts w:ascii="Times New Roman" w:cs="Times New Roman" w:eastAsia="Times New Roman" w:hAnsi="Times New Roman"/>
            <w:sz w:val="18"/>
            <w:szCs w:val="18"/>
            <w:u w:val="single" w:color="auto"/>
            <w:color w:val="0000EE"/>
          </w:rPr>
          <w:t>August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9">
        <w:r>
          <w:rPr>
            <w:rFonts w:ascii="Times New Roman" w:cs="Times New Roman" w:eastAsia="Times New Roman" w:hAnsi="Times New Roman"/>
            <w:sz w:val="18"/>
            <w:szCs w:val="18"/>
            <w:u w:val="single" w:color="auto"/>
            <w:color w:val="0000EE"/>
          </w:rPr>
          <w:t>September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September 8, 2025 (Film Nos.</w:t>
      </w:r>
      <w:r>
        <w:rPr>
          <w:rFonts w:ascii="Times New Roman" w:cs="Times New Roman" w:eastAsia="Times New Roman" w:hAnsi="Times New Roman"/>
          <w:sz w:val="18"/>
          <w:szCs w:val="18"/>
          <w:color w:val="0000EE"/>
        </w:rPr>
        <w:t xml:space="preserve"> </w:t>
      </w:r>
      <w:hyperlink r:id="rId240">
        <w:r>
          <w:rPr>
            <w:rFonts w:ascii="Times New Roman" w:cs="Times New Roman" w:eastAsia="Times New Roman" w:hAnsi="Times New Roman"/>
            <w:sz w:val="18"/>
            <w:szCs w:val="18"/>
            <w:u w:val="single" w:color="auto"/>
            <w:color w:val="0000EE"/>
          </w:rPr>
          <w:t xml:space="preserve">251298528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41">
        <w:r>
          <w:rPr>
            <w:rFonts w:ascii="Times New Roman" w:cs="Times New Roman" w:eastAsia="Times New Roman" w:hAnsi="Times New Roman"/>
            <w:sz w:val="18"/>
            <w:szCs w:val="18"/>
            <w:u w:val="single" w:color="auto"/>
            <w:color w:val="0000EE"/>
          </w:rPr>
          <w:t>251300550</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EE"/>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Notwithstanding any reference in BioNTech’s reports on Form 6-K previously furnished to the SEC to any such reports being incorporated by reference into any registration statement, no previously furnished BioNTech report on Form 6-K, other than as specifically mentioned above, shall be incorporated by reference herein. In addition, all subsequent reports on Form 20-F or Form 6-K filed or furnished by BioNTech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68" w:lineRule="exact"/>
        <w:rPr>
          <w:rFonts w:ascii="Times New Roman" w:cs="Times New Roman" w:eastAsia="Times New Roman" w:hAnsi="Times New Roman"/>
          <w:sz w:val="18"/>
          <w:szCs w:val="18"/>
          <w:color w:val="0000EE"/>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83" w:lineRule="exact"/>
        <w:rPr>
          <w:rFonts w:ascii="Times New Roman" w:cs="Times New Roman" w:eastAsia="Times New Roman" w:hAnsi="Times New Roman"/>
          <w:sz w:val="18"/>
          <w:szCs w:val="18"/>
          <w:color w:val="0000EE"/>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can obtain any of the documents listed above from the SEC, through the SEC’s website at the address described below or from BioNTech by requesting them in writing or by telephone at the following address:</w:t>
      </w:r>
    </w:p>
    <w:p>
      <w:pPr>
        <w:spacing w:after="0" w:line="16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D-55131 Mainz</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+49 6131-9084-0</w:t>
      </w:r>
    </w:p>
    <w:p>
      <w:pPr>
        <w:spacing w:after="0" w:line="13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documents are available from BioNTech without charge, excluding any exhibits to them unless the exhibit is specifically listed as an exhibit to the registration statement of which this offer to exchange/prospectus forms a part.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 also maintains an Internet website that contains filings of issuers, including BioNTech, who file electronically with the SEC. The address of that site is www.sec.gov. You may also consult BioNTech’s website for more information about BioNTech. BioNTech’s website is www.biontech.com. Except as expressly set forth herein, information included on these websites is not incorporated by reference into this offer to exchange/prospectus.</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During the offer, an indicative exchange ratio (calculated in the manner described in this offer to exchange/prospectus) will be available at www.envisionreports.com/CureVacOffer, beginning on October 22, 2025.</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offer to exchange/prospectus also incorporates by reference the documents listed below that CureVac has previously filed with or furnished to the SEC. The documents listed below contain important information about CureVac, its financial condition or other matters.</w:t>
      </w:r>
    </w:p>
    <w:p>
      <w:pPr>
        <w:spacing w:after="0" w:line="67"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fiscal year ended December 31, 2024, as filed with the SEC on </w:t>
      </w:r>
      <w:hyperlink r:id="rId243">
        <w:r>
          <w:rPr>
            <w:rFonts w:ascii="Times New Roman" w:cs="Times New Roman" w:eastAsia="Times New Roman" w:hAnsi="Times New Roman"/>
            <w:sz w:val="18"/>
            <w:szCs w:val="18"/>
            <w:u w:val="single" w:color="auto"/>
            <w:color w:val="0000EE"/>
          </w:rPr>
          <w:t>April 11,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6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Reports on Form 6-K furnished to the SEC on </w:t>
      </w:r>
      <w:hyperlink r:id="rId244">
        <w:r>
          <w:rPr>
            <w:rFonts w:ascii="Times New Roman" w:cs="Times New Roman" w:eastAsia="Times New Roman" w:hAnsi="Times New Roman"/>
            <w:sz w:val="18"/>
            <w:szCs w:val="18"/>
            <w:u w:val="single" w:color="auto"/>
            <w:color w:val="0000EE"/>
          </w:rPr>
          <w:t>March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the statements of CureVac’s Chief Executive Officer contained in Exhibit 99.1 thereto), </w:t>
      </w:r>
      <w:hyperlink r:id="rId245">
        <w:r>
          <w:rPr>
            <w:rFonts w:ascii="Times New Roman" w:cs="Times New Roman" w:eastAsia="Times New Roman" w:hAnsi="Times New Roman"/>
            <w:sz w:val="18"/>
            <w:szCs w:val="18"/>
            <w:u w:val="single" w:color="auto"/>
            <w:color w:val="0000EE"/>
          </w:rPr>
          <w:t>April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the statements of CureVac’s Chief Scientific Officer and Chief Executive Officer contained in Exhibit 99.1 thereto), </w:t>
      </w:r>
      <w:hyperlink r:id="rId246">
        <w:r>
          <w:rPr>
            <w:rFonts w:ascii="Times New Roman" w:cs="Times New Roman" w:eastAsia="Times New Roman" w:hAnsi="Times New Roman"/>
            <w:sz w:val="18"/>
            <w:szCs w:val="18"/>
            <w:u w:val="single" w:color="auto"/>
            <w:color w:val="0000EE"/>
          </w:rPr>
          <w:t>May 15, 2025</w:t>
        </w:r>
      </w:hyperlink>
      <w:r>
        <w:rPr>
          <w:rFonts w:ascii="Times New Roman" w:cs="Times New Roman" w:eastAsia="Times New Roman" w:hAnsi="Times New Roman"/>
          <w:sz w:val="18"/>
          <w:szCs w:val="18"/>
          <w:color w:val="auto"/>
        </w:rPr>
        <w:t xml:space="preserve">, </w:t>
      </w:r>
      <w:hyperlink r:id="rId247">
        <w:r>
          <w:rPr>
            <w:rFonts w:ascii="Times New Roman" w:cs="Times New Roman" w:eastAsia="Times New Roman" w:hAnsi="Times New Roman"/>
            <w:sz w:val="18"/>
            <w:szCs w:val="18"/>
            <w:u w:val="single" w:color="auto"/>
            <w:color w:val="0000EE"/>
          </w:rPr>
          <w:t>May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(Film No. 25969105), </w:t>
      </w:r>
      <w:hyperlink r:id="rId248">
        <w:r>
          <w:rPr>
            <w:rFonts w:ascii="Times New Roman" w:cs="Times New Roman" w:eastAsia="Times New Roman" w:hAnsi="Times New Roman"/>
            <w:sz w:val="18"/>
            <w:szCs w:val="18"/>
            <w:u w:val="single" w:color="auto"/>
            <w:color w:val="0000EE"/>
          </w:rPr>
          <w:t>May 23, 2025</w:t>
        </w:r>
      </w:hyperlink>
      <w:r>
        <w:rPr>
          <w:rFonts w:ascii="Times New Roman" w:cs="Times New Roman" w:eastAsia="Times New Roman" w:hAnsi="Times New Roman"/>
          <w:sz w:val="18"/>
          <w:szCs w:val="18"/>
          <w:color w:val="auto"/>
        </w:rPr>
        <w:t xml:space="preserve">, </w:t>
      </w:r>
      <w:hyperlink r:id="rId249">
        <w:r>
          <w:rPr>
            <w:rFonts w:ascii="Times New Roman" w:cs="Times New Roman" w:eastAsia="Times New Roman" w:hAnsi="Times New Roman"/>
            <w:sz w:val="18"/>
            <w:szCs w:val="18"/>
            <w:u w:val="single" w:color="auto"/>
            <w:color w:val="0000EE"/>
          </w:rPr>
          <w:t>June 12, 2025</w:t>
        </w:r>
      </w:hyperlink>
      <w:r>
        <w:rPr>
          <w:rFonts w:ascii="Times New Roman" w:cs="Times New Roman" w:eastAsia="Times New Roman" w:hAnsi="Times New Roman"/>
          <w:sz w:val="18"/>
          <w:szCs w:val="18"/>
          <w:color w:val="auto"/>
        </w:rPr>
        <w:t xml:space="preserve">, </w:t>
      </w:r>
      <w:hyperlink r:id="rId250">
        <w:r>
          <w:rPr>
            <w:rFonts w:ascii="Times New Roman" w:cs="Times New Roman" w:eastAsia="Times New Roman" w:hAnsi="Times New Roman"/>
            <w:sz w:val="18"/>
            <w:szCs w:val="18"/>
            <w:u w:val="single" w:color="auto"/>
            <w:color w:val="0000EE"/>
          </w:rPr>
          <w:t>June 16, 2025</w:t>
        </w:r>
      </w:hyperlink>
      <w:r>
        <w:rPr>
          <w:rFonts w:ascii="Times New Roman" w:cs="Times New Roman" w:eastAsia="Times New Roman" w:hAnsi="Times New Roman"/>
          <w:sz w:val="18"/>
          <w:szCs w:val="18"/>
          <w:color w:val="auto"/>
        </w:rPr>
        <w:t xml:space="preserve">, </w:t>
      </w:r>
      <w:hyperlink r:id="rId251">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2">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3">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54">
        <w:r>
          <w:rPr>
            <w:rFonts w:ascii="Times New Roman" w:cs="Times New Roman" w:eastAsia="Times New Roman" w:hAnsi="Times New Roman"/>
            <w:sz w:val="18"/>
            <w:szCs w:val="18"/>
            <w:u w:val="single" w:color="auto"/>
            <w:color w:val="0000EE"/>
          </w:rPr>
          <w:t>August 15, 2025</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EE"/>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Notwithstanding any reference in CureVac’s reports on Form 6-K previously furnished to the SEC to any such reports being incorporated by reference into any registration statement, no previously furnished CureVac report on Form 6-K, other than as specifically mentioned above, shall be incorporated by reference herein. In addition, all subsequent reports on Form 20-F or Form 6-K filed or furnished by CureVac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68" w:lineRule="exact"/>
        <w:rPr>
          <w:rFonts w:ascii="Times New Roman" w:cs="Times New Roman" w:eastAsia="Times New Roman" w:hAnsi="Times New Roman"/>
          <w:sz w:val="18"/>
          <w:szCs w:val="18"/>
          <w:color w:val="0000EE"/>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83" w:lineRule="exact"/>
        <w:rPr>
          <w:rFonts w:ascii="Times New Roman" w:cs="Times New Roman" w:eastAsia="Times New Roman" w:hAnsi="Times New Roman"/>
          <w:sz w:val="18"/>
          <w:szCs w:val="18"/>
          <w:color w:val="0000EE"/>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can obtain any of the documents listed above from the SEC, through the SEC’s website at the address described above or from CureVac by requesting them in writing or by telephone at the following address:</w:t>
      </w:r>
    </w:p>
    <w:p>
      <w:pPr>
        <w:spacing w:after="0" w:line="162"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+49 7071 9883 0</w:t>
      </w:r>
    </w:p>
    <w:p>
      <w:pPr>
        <w:spacing w:after="0" w:line="207" w:lineRule="exact"/>
        <w:rPr>
          <w:rFonts w:ascii="Times New Roman" w:cs="Times New Roman" w:eastAsia="Times New Roman" w:hAnsi="Times New Roman"/>
          <w:sz w:val="18"/>
          <w:szCs w:val="18"/>
          <w:color w:val="0000EE"/>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These documents are available from CureVac without charge, excluding any exhibits to them unless the exhibit is specifically listed as an exhibit to the registration statement of which this offer to exchange/prospectus forms a part.</w:t>
      </w:r>
    </w:p>
    <w:p>
      <w:pPr>
        <w:spacing w:after="0" w:line="9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may consult CureVac’s website for more information about CureVac. CureVac’s website is www.curevac.com. Information included on this website is not incorporated by reference into this offer to exchange/prospectus.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offer, or you need additional copies of this offer to exchange/prospectus, you can also contact Georgeson LLC, BioNTech’s information agent, at the following addresses and telephone numbers: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Georgeson LLC</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an offer to exchange/prospectus of BioNTech. BioNTech has not authorized anyone to give any information or make any representation about the offer or BioNTech that is different from, or in addition to, that contained in this offer to exchange/prospectus or in any of the materials that BioNTech has incorporated by reference into this offer to exchange/prospectus. Therefore, if anyone does give you different, additional, or inconsistent information, you should not rely on it. The information contained in this offer to exchange/prospectus speaks only as of the date of this offer to exchange/prospectus unless the information specifically indicates that another date applies.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after the registration statement is declared effective by the SEC, BioNTech intends to file the Schedule TO with the SEC and, soon thereafter, CureVac intends to file the Schedule 14D-9 with respect to the exchange offer. Before making any decision with respect to the exchange offer, CureVac shareholders are encouraged to read the Schedule TO (including the offer to exchange/prospectus, related letter of transmittal, and other offer documents)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opinions of CureVac’s financial advisor. Investors will be able to obtain free copies of the Schedule TO and Schedule 14D-9, as each may be amended from time to time, and other relevant documents filed by BioNTech and CureVac with the SEC (when they become available) at the SEC’s website or BioNTech’s website or by contacting BioNTech at the address and phone number set out above. These documents will also be available free of charge from CureVac’s website or by contacting CureVac at the address and phone number set out above. The information found on, or otherwise accessible through, these websites is not incorporated into, and does not form a part of, this offer to exchange/prospectus.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12, 2025</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1614170</wp:posOffset>
            </wp:positionV>
            <wp:extent cx="6995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300" w:type="dxa"/>
            <w:vAlign w:val="bottom"/>
            <w:vMerge w:val="restart"/>
          </w:tcPr>
          <w:p>
            <w:pPr>
              <w:jc w:val="center"/>
              <w:ind w:left="1050"/>
              <w:spacing w:after="0"/>
              <w:rPr>
                <w:sz w:val="20"/>
                <w:szCs w:val="20"/>
                <w:color w:val="auto"/>
              </w:rPr>
            </w:pPr>
            <w:r>
              <w:rPr>
                <w:rFonts w:ascii="Times New Roman" w:cs="Times New Roman" w:eastAsia="Times New Roman" w:hAnsi="Times New Roman"/>
                <w:sz w:val="18"/>
                <w:szCs w:val="18"/>
                <w:color w:val="auto"/>
              </w:rPr>
              <w:t>Article 1</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3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DEFINITIONS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Article 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THE OFFER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Offer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Post-Offer Reorganization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Company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Article 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3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Regulatory Matters; Healthcare Laws; Subsidies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Protection.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Company Financial Advisor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1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7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3.29</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 14d-10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3.30</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4</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REPRESENTATIONS AND WARRANTIES OF BUYER</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Shares; Investment</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Tax-Free Reorganization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5</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Company</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Solicitation; Adverse Recommendation Change</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A-67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Arrangements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Delisting; Deregistration</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 Remediation Actions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6</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COVENANTS OF BUYER</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Buyer</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A-73</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A-74</w:t>
            </w: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Article 7</w:t>
            </w:r>
          </w:p>
        </w:tc>
        <w:tc>
          <w:tcPr>
            <w:tcW w:w="17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COVENANTS OF THE PARTIES</w:t>
            </w:r>
          </w:p>
        </w:tc>
        <w:tc>
          <w:tcPr>
            <w:tcW w:w="170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Filings</w:t>
            </w:r>
          </w:p>
        </w:tc>
        <w:tc>
          <w:tcPr>
            <w:tcW w:w="17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1"/>
              </w:rPr>
              <w:t>A-76</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2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Continuity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A-78</w:t>
            </w: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Article 8</w:t>
            </w:r>
          </w:p>
        </w:tc>
        <w:tc>
          <w:tcPr>
            <w:tcW w:w="15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TERMINATION</w:t>
            </w:r>
          </w:p>
        </w:tc>
        <w:tc>
          <w:tcPr>
            <w:tcW w:w="15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A-79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Termination Compensation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Buyer Termination Compensation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A-81</w:t>
            </w: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Article 9</w:t>
            </w:r>
          </w:p>
        </w:tc>
        <w:tc>
          <w:tcPr>
            <w:tcW w:w="156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56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and Warranties; Survival of Certain Covenants and Agreements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 Resolution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Delivery; Effectiveness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A-87</w:t>
            </w:r>
          </w:p>
        </w:tc>
      </w:tr>
    </w:tbl>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Annex I </w:t>
      </w:r>
      <w:r>
        <w:rPr>
          <w:rFonts w:ascii="Times New Roman" w:cs="Times New Roman" w:eastAsia="Times New Roman" w:hAnsi="Times New Roman"/>
          <w:sz w:val="18"/>
          <w:szCs w:val="18"/>
          <w:color w:val="auto"/>
        </w:rPr>
        <w:t>— Offer Conditions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 Form of Legal Downstream Merger Deed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Exhibits B-1 and B-2 </w:t>
      </w:r>
      <w:r>
        <w:rPr>
          <w:rFonts w:ascii="Times New Roman" w:cs="Times New Roman" w:eastAsia="Times New Roman" w:hAnsi="Times New Roman"/>
          <w:sz w:val="18"/>
          <w:szCs w:val="18"/>
          <w:color w:val="auto"/>
        </w:rPr>
        <w:t>— Form of Legal Downstream Merger Proposal and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Form of Post-Downstream Merger Share Sale Agreement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registered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Buyer desires to acquire the Company on the terms and subject to the conditions set forth in this Agreement;</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management board of the Company (the “</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and the supervisory board of the Company (the “</w:t>
      </w:r>
      <w:r>
        <w:rPr>
          <w:rFonts w:ascii="Times New Roman" w:cs="Times New Roman" w:eastAsia="Times New Roman" w:hAnsi="Times New Roman"/>
          <w:sz w:val="18"/>
          <w:szCs w:val="18"/>
          <w:u w:val="single" w:color="auto"/>
          <w:color w:val="auto"/>
        </w:rPr>
        <w:t>Supervisory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together with the Management Board, the “</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Buyer shall commence an exchange offer (as it may be amended from time to time as permitted by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consideration and upon the terms and subject to the conditions set forth herein;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8"/>
          <w:szCs w:val="18"/>
          <w:u w:val="single" w:color="auto"/>
          <w:color w:val="auto"/>
        </w:rPr>
        <w:t>Tender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WHEREAS, Buyer and the Company desire to make certain representations, warranties, covenants and agreements in connection with this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following meanings: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BaFin</w:t>
      </w:r>
      <w:r>
        <w:rPr>
          <w:rFonts w:ascii="Times New Roman" w:cs="Times New Roman" w:eastAsia="Times New Roman" w:hAnsi="Times New Roman"/>
          <w:sz w:val="18"/>
          <w:szCs w:val="18"/>
          <w:color w:val="auto"/>
        </w:rPr>
        <w:t>” 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means the volume-weighted average share price per Buyer ADS taken to four decimal places over the period of ten</w:t>
      </w:r>
    </w:p>
    <w:p>
      <w:pPr>
        <w:spacing w:after="0" w:line="27" w:lineRule="exact"/>
        <w:rPr>
          <w:sz w:val="20"/>
          <w:szCs w:val="20"/>
          <w:color w:val="auto"/>
        </w:rPr>
      </w:pPr>
    </w:p>
    <w:p>
      <w:pPr>
        <w:ind w:left="120" w:hanging="4"/>
        <w:spacing w:after="0" w:line="218" w:lineRule="auto"/>
        <w:tabs>
          <w:tab w:leader="none" w:pos="46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concluding with the market closing trade on Nasdaq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preceding the Expiration Time, as calculated by Bloomberg Financial LP under the function “VWAP” (or, if not available, in another authoritative source mutually selected by the Company and Buyer).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means the consolidated balance sheet of Buyer as of December 31, 2024, and the notes thereto set forth in the Form 20-F of Buyer filed with the SEC on March 10, 2025.</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Equity Plan</w:t>
      </w:r>
      <w:r>
        <w:rPr>
          <w:rFonts w:ascii="Times New Roman" w:cs="Times New Roman" w:eastAsia="Times New Roman" w:hAnsi="Times New Roman"/>
          <w:sz w:val="18"/>
          <w:szCs w:val="18"/>
          <w:color w:val="auto"/>
        </w:rPr>
        <w:t>” means each of the Buyer’s 2024 Non-North America Employee Participation Plan, 2024 North America Employee Participation Plan, 2020 Employee Equity Plan and 2020 Restricted Stock Unit Plan for North America Employees.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Letter</w:t>
      </w:r>
      <w:r>
        <w:rPr>
          <w:rFonts w:ascii="Times New Roman" w:cs="Times New Roman" w:eastAsia="Times New Roman" w:hAnsi="Times New Roman"/>
          <w:sz w:val="18"/>
          <w:szCs w:val="18"/>
          <w:color w:val="auto"/>
        </w:rPr>
        <w:t>” means the letter, dated the date of this Agreement, regarding this Agreement that has been provided by the Buyer to the Company concurrently with the execution of this Agreement.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fact, change, event, development, occurrence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Germany, the United States, The Netherlands or any other country or region in the world in which Buyer or any of its Subsidiaries conduct business;</w:t>
      </w:r>
    </w:p>
    <w:p>
      <w:pPr>
        <w:spacing w:after="0" w:line="27" w:lineRule="exact"/>
        <w:rPr>
          <w:sz w:val="20"/>
          <w:szCs w:val="20"/>
          <w:color w:val="auto"/>
        </w:rPr>
      </w:pPr>
    </w:p>
    <w:p>
      <w:pPr>
        <w:ind w:left="400" w:hanging="284"/>
        <w:spacing w:after="0"/>
        <w:tabs>
          <w:tab w:leader="none" w:pos="4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Buyer or any of its Subsidiaries conduct business;</w:t>
      </w:r>
    </w:p>
    <w:p>
      <w:pPr>
        <w:spacing w:after="0" w:line="9" w:lineRule="exact"/>
        <w:rPr>
          <w:rFonts w:ascii="Times New Roman" w:cs="Times New Roman" w:eastAsia="Times New Roman" w:hAnsi="Times New Roman"/>
          <w:sz w:val="18"/>
          <w:szCs w:val="18"/>
          <w:color w:val="auto"/>
        </w:rPr>
      </w:pPr>
    </w:p>
    <w:p>
      <w:pPr>
        <w:ind w:left="120" w:hanging="4"/>
        <w:spacing w:after="0" w:line="250" w:lineRule="auto"/>
        <w:tabs>
          <w:tab w:leader="none" w:pos="4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-430530</wp:posOffset>
            </wp:positionV>
            <wp:extent cx="1809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Option</w:t>
      </w:r>
      <w:r>
        <w:rPr>
          <w:rFonts w:ascii="Times New Roman" w:cs="Times New Roman" w:eastAsia="Times New Roman" w:hAnsi="Times New Roman"/>
          <w:sz w:val="18"/>
          <w:szCs w:val="18"/>
          <w:color w:val="auto"/>
        </w:rPr>
        <w:t>” means an option to acquire Buyer ADSs granted by the Buyer.</w:t>
      </w:r>
    </w:p>
    <w:p>
      <w:pPr>
        <w:spacing w:after="0" w:line="22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Geschäftsordnungen</w:t>
      </w:r>
      <w:r>
        <w:rPr>
          <w:rFonts w:ascii="Times New Roman" w:cs="Times New Roman" w:eastAsia="Times New Roman" w:hAnsi="Times New Roman"/>
          <w:sz w:val="18"/>
          <w:szCs w:val="18"/>
          <w:color w:val="auto"/>
        </w:rPr>
        <w:t>), or equivalent organizational documents, of the Buyer and its Subsidiaries as amended and in effect on the date of this Agreement.</w:t>
      </w:r>
    </w:p>
    <w:p>
      <w:pPr>
        <w:spacing w:after="0" w:line="160"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PSU</w:t>
      </w:r>
      <w:r>
        <w:rPr>
          <w:rFonts w:ascii="Times New Roman" w:cs="Times New Roman" w:eastAsia="Times New Roman" w:hAnsi="Times New Roman"/>
          <w:sz w:val="18"/>
          <w:szCs w:val="18"/>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RSU</w:t>
      </w:r>
      <w:r>
        <w:rPr>
          <w:rFonts w:ascii="Times New Roman" w:cs="Times New Roman" w:eastAsia="Times New Roman" w:hAnsi="Times New Roman"/>
          <w:sz w:val="18"/>
          <w:szCs w:val="18"/>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 means an amount in cash equal to $62,500,000.</w:t>
      </w:r>
    </w:p>
    <w:p>
      <w:pPr>
        <w:spacing w:after="0" w:line="22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means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 xml:space="preserve"> (without interest and subject to withholding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 Effective Time</w:t>
      </w:r>
      <w:r>
        <w:rPr>
          <w:rFonts w:ascii="Times New Roman" w:cs="Times New Roman" w:eastAsia="Times New Roman" w:hAnsi="Times New Roman"/>
          <w:sz w:val="18"/>
          <w:szCs w:val="18"/>
          <w:color w:val="auto"/>
        </w:rPr>
        <w:t>” means 00:30 CET on the Merger Effective Date.</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CET</w:t>
      </w:r>
      <w:r>
        <w:rPr>
          <w:rFonts w:ascii="Times New Roman" w:cs="Times New Roman" w:eastAsia="Times New Roman" w:hAnsi="Times New Roman"/>
          <w:sz w:val="18"/>
          <w:szCs w:val="18"/>
          <w:color w:val="auto"/>
        </w:rPr>
        <w:t>” means Central European Time (or Central European Summer Time, if the Legal Downstream Merger Deed is executed on a date when daylight savings time is in effect in The Netherlands) on the Merger Effective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consolidated balance sheet of the Company as of December 31, 2024, and the notes thereto set forth in the Form 20-F of the Company filed with the SEC on April 11, 2025.</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Options, Company PSUs, Company RSUs and Company Prior VSOP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Long-Term Incentive Plan (amended and restated as of March 14,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Letter</w:t>
      </w:r>
      <w:r>
        <w:rPr>
          <w:rFonts w:ascii="Times New Roman" w:cs="Times New Roman" w:eastAsia="Times New Roman" w:hAnsi="Times New Roman"/>
          <w:sz w:val="18"/>
          <w:szCs w:val="18"/>
          <w:color w:val="auto"/>
        </w:rPr>
        <w:t>” means the letter, dated the date of this Agreement, regarding this Agreement that has been provided by the Company to Buyer concurrently with the execution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Effect that, individually or in the aggregate, (i) materially adversely affects, or would reasonably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expected to materially adversely affect, the business, assets, results of operations or condition (financial or otherwise) of the Company and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next occurring proviso in this definition, no Effect relating to or arising after the date of this Agreement from any of the following shall be taken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account in determining whether there has been, or would reasonably be expected to be, a Company Material Adverse Effect pursuant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subsection (i) of this definition: (A) general economic conditions (or changes in such conditions) in Germany, the United States, The Netherlands 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country or region in the world in which the Company or any of its Subsidiaries conduct business; (B) changes in any financial, debt, credit,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banking or securities markets or conditions in which the Company or any of its Subsidiaries conduct business; (C) changes in interest, currency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rates or in the price of any commodity, security or market index; (D) changes after the date of this Agreement in applicable Law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enforcement or interpretation thereof), tariffs issued by any Governmental Authority after the date of this Agreement, changes after the date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in IFRS or other applicable accounting standards (or the interpretation thereof), and changes after the date of this Agreement in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rules or listing standards (or the enforcement or interpretation thereof); (E) changes in the industries in which the Company or its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operate; (F) any change in the market price, trading volume or ratings of any securities or indebtedness of the Company or any of its Subsidiaries,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or prospective change of the ratings or the ratings outlook for the Company or any of its Subsidiaries by any applicable rating agency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consequences of such ratings or outlook decrease, or the change in, or failure of the Company to meet, or the publication of any report regarding,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or public projections, forecasts, guidance, budgets, predictions or estimates of or relating to the Company or any of its Subsidiaries (it being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understood that the underlying facts and circumstances giving rise to any such change or failure may, if they are not otherwise excluded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definition of Company Material Adverse Effect, be deemed to constitute and may be taken into account in determining whether a Company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Adverse Effect has occurred or will occur); (G) the continuation, occurrence, escalation, outbreak or worsening of any civil unrest, protests and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demonstrations, cyberattacks, hostilities, war, police action, acts of terrorism, sabotage or military conflicts, whether or not pursuant to the declaration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emergency or war; (H) the execution and delivery of this Agreement or the announcement or pendency of the Transactions (including by reason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identity of Buyer), including any disruption in supplier, distributor, customer, partner, licensing or similar relationships or any loss of employees,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 the existence,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occurrence or continuation of any force majeure events, including any earthquakes, floods, hurricanes, tropical storms, fires or other natural or manmade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disasters, any epidemic, pandemic or other similar outbreak (including any non-human epidemic, pandemic or other similar outbreak) or any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national, international or regional calamity; (J) any Action brought or threatened by shareholders of the Company (whether on behalf of the Company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otherwise) asserting allegations of breach of fiduciary duty relating to this Agreement or violations of securities Laws in connection with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Disclosure Documents; (K) any action expressly required to be taken pursuant to this Agreement, or any action taken at the express written direction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the Company and its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taken as a whole, compared to other companies operating in the same industry and market as the Company and its Subsidiaries, then, only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incremental disproportionate impact or impacts shall be taken into account in determining whether there has been, or would reasonably be expected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a Company Material Adverse Effect.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Company Shares granted by the Company pursuant to the Company Equity Plan.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or equivalent organizational documents, of the Company and its Subsidiaries as amended and in effect on the date of this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8"/>
          <w:szCs w:val="18"/>
          <w:i w:val="1"/>
          <w:iCs w:val="1"/>
          <w:color w:val="auto"/>
        </w:rPr>
        <w:t>betriebliche Übungen</w:t>
      </w:r>
      <w:r>
        <w:rPr>
          <w:rFonts w:ascii="Times New Roman" w:cs="Times New Roman" w:eastAsia="Times New Roman" w:hAnsi="Times New Roman"/>
          <w:sz w:val="18"/>
          <w:szCs w:val="18"/>
          <w:color w:val="auto"/>
        </w:rPr>
        <w:t>) and general commitments (</w:t>
      </w:r>
      <w:r>
        <w:rPr>
          <w:rFonts w:ascii="Times New Roman" w:cs="Times New Roman" w:eastAsia="Times New Roman" w:hAnsi="Times New Roman"/>
          <w:sz w:val="18"/>
          <w:szCs w:val="18"/>
          <w:i w:val="1"/>
          <w:iCs w:val="1"/>
          <w:color w:val="auto"/>
        </w:rPr>
        <w:t>Gesamtzusagen</w:t>
      </w:r>
      <w:r>
        <w:rPr>
          <w:rFonts w:ascii="Times New Roman" w:cs="Times New Roman" w:eastAsia="Times New Roman" w:hAnsi="Times New Roman"/>
          <w:sz w:val="18"/>
          <w:szCs w:val="18"/>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 List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Prior VSOP Awards</w:t>
      </w:r>
      <w:r>
        <w:rPr>
          <w:rFonts w:ascii="Times New Roman" w:cs="Times New Roman" w:eastAsia="Times New Roman" w:hAnsi="Times New Roman"/>
          <w:sz w:val="18"/>
          <w:szCs w:val="18"/>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have agreed to transfer the requisite number of Company Shares to the Company, thereby enabling the Company to satisfy any claims of the beneficiaries arising under the Company Prior VSOP Awards.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means the Company Owned Real Property and the Company Leased Real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an employee, individual consultant, individual independent contractor, individual self-employed contractor, leased or temporary employee or director of the Company or any of its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means an amount in cash equal to $43,750,000.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shall have the meaning set forth in the definition of “Alternative Acquisition Proposal.”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means Buyer ADS VWAP multiplied by the Exchange Ratio.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established by the Supervisory Board.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shall have the meaning set forth in the definition of “Company Prior VSOP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Securityholders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maintained by Brainloop Dataroom System in connection with the transactions contemplated by this Agreement.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DCC</w:t>
      </w:r>
      <w:r>
        <w:rPr>
          <w:rFonts w:ascii="Times New Roman" w:cs="Times New Roman" w:eastAsia="Times New Roman" w:hAnsi="Times New Roman"/>
          <w:sz w:val="18"/>
          <w:szCs w:val="18"/>
          <w:color w:val="auto"/>
        </w:rPr>
        <w:t>” means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Agent</w:t>
      </w:r>
      <w:r>
        <w:rPr>
          <w:rFonts w:ascii="Times New Roman" w:cs="Times New Roman" w:eastAsia="Times New Roman" w:hAnsi="Times New Roman"/>
          <w:sz w:val="18"/>
          <w:szCs w:val="18"/>
          <w:color w:val="auto"/>
        </w:rPr>
        <w:t>” means The Bank of New York Mellon.</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dievini</w:t>
      </w:r>
      <w:r>
        <w:rPr>
          <w:rFonts w:ascii="Times New Roman" w:cs="Times New Roman" w:eastAsia="Times New Roman" w:hAnsi="Times New Roman"/>
          <w:sz w:val="18"/>
          <w:szCs w:val="18"/>
          <w:color w:val="auto"/>
        </w:rPr>
        <w:t>” means dievini Hopp BioTech holding GmbH &amp; Co. KG, (ii) DH-LT-Investments GmbH, (iii) Zweite DH Verwaltungs GmbH and (iv) DH-Assets GmbH &amp; Co. KG.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Sanctions/Trade Laws</w:t>
      </w:r>
      <w:r>
        <w:rPr>
          <w:rFonts w:ascii="Times New Roman" w:cs="Times New Roman" w:eastAsia="Times New Roman" w:hAnsi="Times New Roman"/>
          <w:sz w:val="18"/>
          <w:szCs w:val="18"/>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employer (whether or not incorporated) that would be treated together with any Party or any of its Subsidiaries as a single employer within the meaning of Section 414 of the Code.</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w:t>
      </w:r>
      <w:r>
        <w:rPr>
          <w:rFonts w:ascii="Times New Roman" w:cs="Times New Roman" w:eastAsia="Times New Roman" w:hAnsi="Times New Roman"/>
          <w:sz w:val="18"/>
          <w:szCs w:val="18"/>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 Regulation</w:t>
      </w:r>
      <w:r>
        <w:rPr>
          <w:rFonts w:ascii="Times New Roman" w:cs="Times New Roman" w:eastAsia="Times New Roman" w:hAnsi="Times New Roman"/>
          <w:sz w:val="18"/>
          <w:szCs w:val="18"/>
          <w:color w:val="auto"/>
        </w:rPr>
        <w:t>” means Council Regulation 2017/1129 of the European Union,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(rounded to five decimal places) obtained by dividing (i) $5.4641 by (ii) the Buyer ADS VWAP,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other than Euros.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any set of locally generally accepted accounting principles.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62"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spacing w:after="0" w:line="2" w:lineRule="exact"/>
        <w:rPr>
          <w:sz w:val="20"/>
          <w:szCs w:val="20"/>
          <w:color w:val="auto"/>
        </w:rPr>
      </w:pPr>
    </w:p>
    <w:p>
      <w:pPr>
        <w:ind w:left="120" w:hanging="4"/>
        <w:spacing w:after="0" w:line="260" w:lineRule="auto"/>
        <w:tabs>
          <w:tab w:leader="none" w:pos="3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product or by-product, petroleum-derived substances, wastes or breakdown products, friable asbestos, lead-based paint, per- and poly-fluoroalkyl substances, or polychlorinated biphenyls.</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w:t>
      </w:r>
      <w:r>
        <w:rPr>
          <w:rFonts w:ascii="Times New Roman" w:cs="Times New Roman" w:eastAsia="Times New Roman" w:hAnsi="Times New Roman"/>
          <w:sz w:val="18"/>
          <w:szCs w:val="18"/>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and proprietary rights of any kind or nature, whether protected, created or arising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any Law, with respect to any and all of the following, as they exist anywhere in the world: (i) all issued granted patents and pending patent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applications (including all applications and filings made pursuant to the Patent Cooperation Treaty), including all reissues, re-examinations, divisionals,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renewals, extensions (including any supplementary protection certificates (SPCs) and the like), provisionals, continuations and continuations-in-part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other forms of government issued rights substantially similar to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copyrights (whether registered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unregistered), mask works, moral rights and rights in works of authorship, all copyrightable works (including in software, databases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compilations of information), and all registrations, applications, extensions, restorations, and renewals of any of the foregoing (collectively,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(iii) trademarks, service marks, trade dress and trade names, product configurations, product shapes, logos and other identifiers of source,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origin or quality (whether registered 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unregistered) and applications, registrations, and renewals for the foregoing, in each case, together with all goodwill associated therewith</w:t>
      </w:r>
    </w:p>
    <w:p>
      <w:pPr>
        <w:spacing w:after="0" w:line="27"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 rights in internet domain names, URLs and IP addresses and social media identifiers and (vi) any other type of intellectual property rights of any kind or nature.</w:t>
      </w:r>
    </w:p>
    <w:p>
      <w:pPr>
        <w:spacing w:after="0" w:line="1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76"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83"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w:t>
      </w:r>
      <w:r>
        <w:rPr>
          <w:rFonts w:ascii="Times New Roman" w:cs="Times New Roman" w:eastAsia="Times New Roman" w:hAnsi="Times New Roman"/>
          <w:sz w:val="18"/>
          <w:szCs w:val="18"/>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Deed</w:t>
      </w:r>
      <w:r>
        <w:rPr>
          <w:rFonts w:ascii="Times New Roman" w:cs="Times New Roman" w:eastAsia="Times New Roman" w:hAnsi="Times New Roman"/>
          <w:sz w:val="18"/>
          <w:szCs w:val="18"/>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Proposal and Notes</w:t>
      </w:r>
      <w:r>
        <w:rPr>
          <w:rFonts w:ascii="Times New Roman" w:cs="Times New Roman" w:eastAsia="Times New Roman" w:hAnsi="Times New Roman"/>
          <w:sz w:val="18"/>
          <w:szCs w:val="18"/>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Shareholders</w:t>
      </w:r>
      <w:r>
        <w:rPr>
          <w:rFonts w:ascii="Times New Roman" w:cs="Times New Roman" w:eastAsia="Times New Roman" w:hAnsi="Times New Roman"/>
          <w:sz w:val="18"/>
          <w:szCs w:val="18"/>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Date</w:t>
      </w:r>
      <w:r>
        <w:rPr>
          <w:rFonts w:ascii="Times New Roman" w:cs="Times New Roman" w:eastAsia="Times New Roman" w:hAnsi="Times New Roman"/>
          <w:sz w:val="18"/>
          <w:szCs w:val="18"/>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means 00:00 CET on the Merger Effective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Shareholders</w:t>
      </w:r>
      <w:r>
        <w:rPr>
          <w:rFonts w:ascii="Times New Roman" w:cs="Times New Roman" w:eastAsia="Times New Roman" w:hAnsi="Times New Roman"/>
          <w:sz w:val="18"/>
          <w:szCs w:val="18"/>
          <w:color w:val="auto"/>
        </w:rPr>
        <w:t>” means holders of Company Shares that were not tendered pursuant to the Offer or in the Subsequent Offering Period or, following the Merger Effective Time, holders of New Topco A Shares, as applicable.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in relation to the Company Shares, and the NASDAQ Global Market Select in relation to the Buyer ADSs.</w:t>
      </w:r>
    </w:p>
    <w:p>
      <w:pPr>
        <w:spacing w:after="0" w:line="16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means Chameleon B.V. (or any other name as selected by the Company), a private limited liability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to be incorporated following the date of this Agreement under the Laws of The Netherlands as a 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A Shares</w:t>
      </w:r>
      <w:r>
        <w:rPr>
          <w:rFonts w:ascii="Times New Roman" w:cs="Times New Roman" w:eastAsia="Times New Roman" w:hAnsi="Times New Roman"/>
          <w:sz w:val="18"/>
          <w:szCs w:val="18"/>
          <w:color w:val="auto"/>
        </w:rPr>
        <w:t>” means the class A shares in the capital of New Topco.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B Shares</w:t>
      </w:r>
      <w:r>
        <w:rPr>
          <w:rFonts w:ascii="Times New Roman" w:cs="Times New Roman" w:eastAsia="Times New Roman" w:hAnsi="Times New Roman"/>
          <w:sz w:val="18"/>
          <w:szCs w:val="18"/>
          <w:color w:val="auto"/>
        </w:rPr>
        <w:t>” means the class B shares in the capital of New Topco.</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U.S. Tax Election</w:t>
      </w:r>
      <w:r>
        <w:rPr>
          <w:rFonts w:ascii="Times New Roman" w:cs="Times New Roman" w:eastAsia="Times New Roman" w:hAnsi="Times New Roman"/>
          <w:sz w:val="18"/>
          <w:szCs w:val="18"/>
          <w:color w:val="auto"/>
        </w:rPr>
        <w:t>” means an election by New Topco to be disregarded as an entity separate from Buyer for U.S. federal income tax purposes, effective one (1) day after the Cancellation.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Non-Owned Company Intellectual Property</w:t>
      </w:r>
      <w:r>
        <w:rPr>
          <w:rFonts w:ascii="Times New Roman" w:cs="Times New Roman" w:eastAsia="Times New Roman" w:hAnsi="Times New Roman"/>
          <w:sz w:val="18"/>
          <w:szCs w:val="18"/>
          <w:color w:val="auto"/>
        </w:rPr>
        <w:t>” shall mean all Company Intellectual Property Rights that is not Owned Company Intellectual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Antitrust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Regulatory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Company Intellectual Property</w:t>
      </w:r>
      <w:r>
        <w:rPr>
          <w:rFonts w:ascii="Times New Roman" w:cs="Times New Roman" w:eastAsia="Times New Roman" w:hAnsi="Times New Roman"/>
          <w:sz w:val="18"/>
          <w:szCs w:val="18"/>
          <w:color w:val="auto"/>
        </w:rPr>
        <w:t>” shall mean all Company Intellectual Property Rights owned or purported to be owned, whether wholly or jointly with others, by an of the Company, its Subsidiaries, or its Affiliates, including the Company Registered IP.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Buyer and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5" w:lineRule="exact"/>
        <w:rPr>
          <w:sz w:val="20"/>
          <w:szCs w:val="20"/>
          <w:color w:val="auto"/>
        </w:rPr>
      </w:pPr>
    </w:p>
    <w:p>
      <w:pPr>
        <w:ind w:left="120" w:right="20" w:hanging="4"/>
        <w:spacing w:after="0" w:line="251" w:lineRule="auto"/>
        <w:tabs>
          <w:tab w:leader="none" w:pos="4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Post-Downstream Merger Share Sale</w:t>
      </w:r>
      <w:r>
        <w:rPr>
          <w:rFonts w:ascii="Times New Roman" w:cs="Times New Roman" w:eastAsia="Times New Roman" w:hAnsi="Times New Roman"/>
          <w:sz w:val="18"/>
          <w:szCs w:val="18"/>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Threshold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Protection Requirements</w:t>
      </w:r>
      <w:r>
        <w:rPr>
          <w:rFonts w:ascii="Times New Roman" w:cs="Times New Roman" w:eastAsia="Times New Roman" w:hAnsi="Times New Roman"/>
          <w:sz w:val="18"/>
          <w:szCs w:val="18"/>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(and any European Union member states’ laws and regulations implementing it, including the </w:t>
      </w:r>
      <w:r>
        <w:rPr>
          <w:rFonts w:ascii="Times New Roman" w:cs="Times New Roman" w:eastAsia="Times New Roman" w:hAnsi="Times New Roman"/>
          <w:sz w:val="18"/>
          <w:szCs w:val="18"/>
          <w:i w:val="1"/>
          <w:iCs w:val="1"/>
          <w:color w:val="auto"/>
        </w:rPr>
        <w:t>Uitvoeringswet Algemene verordening gegevensbescherming</w:t>
      </w:r>
      <w:r>
        <w:rPr>
          <w:rFonts w:ascii="Times New Roman" w:cs="Times New Roman" w:eastAsia="Times New Roman" w:hAnsi="Times New Roman"/>
          <w:sz w:val="18"/>
          <w:szCs w:val="18"/>
          <w:color w:val="auto"/>
        </w:rPr>
        <w:t>), the Health Insurance Portability and Accountability Act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any other comprehensive state privacy law, or sector- or data-specific Laws in the United States (collectively, “</w:t>
      </w:r>
      <w:r>
        <w:rPr>
          <w:rFonts w:ascii="Times New Roman" w:cs="Times New Roman" w:eastAsia="Times New Roman" w:hAnsi="Times New Roman"/>
          <w:sz w:val="18"/>
          <w:szCs w:val="18"/>
          <w:u w:val="single" w:color="auto"/>
          <w:color w:val="auto"/>
        </w:rPr>
        <w:t>U.S. Privacy Laws</w:t>
      </w:r>
      <w:r>
        <w:rPr>
          <w:rFonts w:ascii="Times New Roman" w:cs="Times New Roman" w:eastAsia="Times New Roman" w:hAnsi="Times New Roman"/>
          <w:sz w:val="18"/>
          <w:szCs w:val="18"/>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8"/>
          <w:szCs w:val="18"/>
          <w:u w:val="single" w:color="auto"/>
          <w:color w:val="auto"/>
        </w:rPr>
        <w:t>clauses (i) or (ii)</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Transactions</w:t>
      </w:r>
      <w:r>
        <w:rPr>
          <w:rFonts w:ascii="Times New Roman" w:cs="Times New Roman" w:eastAsia="Times New Roman" w:hAnsi="Times New Roman"/>
          <w:sz w:val="18"/>
          <w:szCs w:val="18"/>
          <w:color w:val="auto"/>
        </w:rPr>
        <w:t>” means the Transactions, excluding the Excluded Transactions.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Supervisory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8"/>
          <w:szCs w:val="18"/>
          <w:i w:val="1"/>
          <w:iCs w:val="1"/>
          <w:color w:val="auto"/>
        </w:rPr>
        <w:t>Abgabenordnung - AO</w:t>
      </w:r>
      <w:r>
        <w:rPr>
          <w:rFonts w:ascii="Times New Roman" w:cs="Times New Roman" w:eastAsia="Times New Roman" w:hAnsi="Times New Roman"/>
          <w:sz w:val="18"/>
          <w:szCs w:val="18"/>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under a tax sharing agreement, a contractual guarantee or an indemnity).</w:t>
      </w:r>
    </w:p>
    <w:p>
      <w:pPr>
        <w:spacing w:after="0" w:line="188"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80"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primarily responsible for the assessment or collection of Taxes, or the administration or enforcement of Tax 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including as defined in Section 13(d) of the 1934 Act, other than Buyer or any of its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excluding, with respect to the Company and its Subsidiaries, the New Topco U.S. Tax Election.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Document</w:t>
      </w:r>
      <w:r>
        <w:rPr>
          <w:rFonts w:ascii="Times New Roman" w:cs="Times New Roman" w:eastAsia="Times New Roman" w:hAnsi="Times New Roman"/>
          <w:sz w:val="18"/>
          <w:szCs w:val="18"/>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Regulation</w:t>
      </w:r>
      <w:r>
        <w:rPr>
          <w:rFonts w:ascii="Times New Roman" w:cs="Times New Roman" w:eastAsia="Times New Roman" w:hAnsi="Times New Roman"/>
          <w:sz w:val="18"/>
          <w:szCs w:val="18"/>
          <w:color w:val="auto"/>
        </w:rPr>
        <w:t>” means Regulation 2017/1129 of the European Parliament and of the Council of 14 June 2017 and its implementing legislation, as it forms part of U.K. law by virtue of the European Union (Withdrawal) Act 2018, as amended.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320" w:top="455" w:right="5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THE OFFER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41" w:lineRule="auto"/>
        <w:tabs>
          <w:tab w:leader="none" w:pos="135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equal to the Exchange Ratio,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date on which Buyer commences the Offer is referred to as the “</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this Agreement and subject to the satisfaction or waiver (to the extent such waiver is not prohibited by applicable Law) of the Offer Conditions, Buyer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promptly following the Expiration Time (but in any event within two (2) Business Days thereafter), accept for exchange (the time of acceptance for exchange,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89" w:lineRule="exact"/>
        <w:rPr>
          <w:sz w:val="20"/>
          <w:szCs w:val="20"/>
          <w:color w:val="auto"/>
        </w:rPr>
      </w:pPr>
    </w:p>
    <w:p>
      <w:pPr>
        <w:ind w:left="120" w:right="280" w:firstLine="987"/>
        <w:spacing w:after="0" w:line="282" w:lineRule="auto"/>
        <w:tabs>
          <w:tab w:leader="none" w:pos="135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the prior written consent of the Company, Buyer shall not:</w:t>
      </w:r>
    </w:p>
    <w:p>
      <w:pPr>
        <w:spacing w:after="0" w:line="5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change the Minimum Condition (except to the extent contemplated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Consideration;</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to be paid in the Offer;</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Company Shares sought in the Offer;</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Time, except as otherwise expressly provided in this Agreement; or</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Offer Conditions or otherwise amend, modify or supplement any of the Offer Conditions or terms of the Offer in a manner adverse to the holders of Company Shares.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47" w:lineRule="auto"/>
        <w:tabs>
          <w:tab w:leader="none" w:pos="1366"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7"/>
          <w:szCs w:val="17"/>
          <w:u w:val="single" w:color="auto"/>
          <w:color w:val="auto"/>
        </w:rPr>
        <w:t>Initial Expiration Time</w:t>
      </w:r>
      <w:r>
        <w:rPr>
          <w:rFonts w:ascii="Times New Roman" w:cs="Times New Roman" w:eastAsia="Times New Roman" w:hAnsi="Times New Roman"/>
          <w:sz w:val="17"/>
          <w:szCs w:val="17"/>
          <w:color w:val="auto"/>
        </w:rPr>
        <w:t xml:space="preserve">”) or, if the Offer has been extended pursuant to and in accordance with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w:t>
      </w:r>
    </w:p>
    <w:p>
      <w:pPr>
        <w:spacing w:after="0" w:line="195"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may or shall, as applicable, extend the Offer from time to time as follows: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27"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extend the Offer for the minimum period as required by any rule, regulation, interpretation or position of the SEC, the staff thereof or Nasdaq, in any such case, which is applicable to the Offer;</w:t>
      </w:r>
    </w:p>
    <w:p>
      <w:pPr>
        <w:spacing w:after="0" w:line="53" w:lineRule="exact"/>
        <w:rPr>
          <w:rFonts w:ascii="Times New Roman" w:cs="Times New Roman" w:eastAsia="Times New Roman" w:hAnsi="Times New Roman"/>
          <w:sz w:val="18"/>
          <w:szCs w:val="18"/>
          <w:color w:val="auto"/>
        </w:rPr>
      </w:pPr>
    </w:p>
    <w:p>
      <w:pPr>
        <w:ind w:left="560" w:firstLine="948"/>
        <w:spacing w:after="0" w:line="253" w:lineRule="auto"/>
        <w:tabs>
          <w:tab w:leader="none" w:pos="1777"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reasonably likely to be satisfied within such ten</w:t>
      </w:r>
    </w:p>
    <w:p>
      <w:pPr>
        <w:spacing w:after="0" w:line="5" w:lineRule="exact"/>
        <w:rPr>
          <w:rFonts w:ascii="Times New Roman" w:cs="Times New Roman" w:eastAsia="Times New Roman" w:hAnsi="Times New Roman"/>
          <w:sz w:val="18"/>
          <w:szCs w:val="18"/>
          <w:color w:val="auto"/>
        </w:rPr>
      </w:pPr>
    </w:p>
    <w:p>
      <w:pPr>
        <w:ind w:left="560" w:right="80" w:hanging="4"/>
        <w:spacing w:after="0" w:line="255" w:lineRule="auto"/>
        <w:tabs>
          <w:tab w:leader="none" w:pos="90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and (y) if the sole then-unsatisfied Offer Condition is the Minimum Condition, Buyer shall not be required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extend the Offer on more than four (4) occasions in consecutive periods of up to ten (10) Business Days each (with each such period to end at</w:t>
      </w:r>
    </w:p>
    <w:p>
      <w:pPr>
        <w:spacing w:after="0" w:line="27" w:lineRule="exact"/>
        <w:rPr>
          <w:sz w:val="20"/>
          <w:szCs w:val="20"/>
          <w:color w:val="auto"/>
        </w:rPr>
      </w:pPr>
    </w:p>
    <w:p>
      <w:pPr>
        <w:ind w:left="560" w:right="20"/>
        <w:spacing w:after="0" w:line="260" w:lineRule="auto"/>
        <w:rPr>
          <w:sz w:val="20"/>
          <w:szCs w:val="20"/>
          <w:color w:val="auto"/>
        </w:rPr>
      </w:pPr>
      <w:r>
        <w:rPr>
          <w:rFonts w:ascii="Times New Roman" w:cs="Times New Roman" w:eastAsia="Times New Roman" w:hAnsi="Times New Roman"/>
          <w:sz w:val="18"/>
          <w:szCs w:val="18"/>
          <w:color w:val="auto"/>
        </w:rPr>
        <w:t>5:00 p.m. (New York City time) on the last Business Day of such period) (or such other duration as may be agreed to by Buyer and the Company); or</w:t>
      </w:r>
    </w:p>
    <w:p>
      <w:pPr>
        <w:spacing w:after="0" w:line="73" w:lineRule="exact"/>
        <w:rPr>
          <w:sz w:val="20"/>
          <w:szCs w:val="20"/>
          <w:color w:val="auto"/>
        </w:rPr>
      </w:pPr>
    </w:p>
    <w:p>
      <w:pPr>
        <w:ind w:left="560" w:right="80" w:firstLine="948"/>
        <w:spacing w:after="0" w:line="258" w:lineRule="auto"/>
        <w:tabs>
          <w:tab w:leader="none" w:pos="182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75"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extend the Offer to such other date and time as may be mutually agreed by Buyer and the Company in writing.</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Buyer shall (and the Offer Documents shall so indicate) provide a subsequent offering period</w:t>
      </w:r>
    </w:p>
    <w:p>
      <w:pPr>
        <w:spacing w:after="0" w:line="27"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90" w:lineRule="exact"/>
        <w:rPr>
          <w:sz w:val="20"/>
          <w:szCs w:val="20"/>
          <w:color w:val="auto"/>
        </w:rPr>
      </w:pPr>
    </w:p>
    <w:p>
      <w:pPr>
        <w:ind w:left="120" w:right="40" w:firstLine="987"/>
        <w:spacing w:after="0" w:line="255"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unless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shall affect any termination rights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in the event that a UK Prospectus Document is required.</w:t>
      </w:r>
    </w:p>
    <w:p>
      <w:pPr>
        <w:spacing w:after="0" w:line="194" w:lineRule="exact"/>
        <w:rPr>
          <w:sz w:val="20"/>
          <w:szCs w:val="20"/>
          <w:color w:val="auto"/>
        </w:rPr>
      </w:pPr>
    </w:p>
    <w:p>
      <w:pPr>
        <w:ind w:left="120" w:firstLine="987"/>
        <w:spacing w:after="0" w:line="269" w:lineRule="auto"/>
        <w:tabs>
          <w:tab w:leader="none" w:pos="1326"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20" w:right="60" w:hanging="4"/>
        <w:spacing w:after="0" w:line="251" w:lineRule="auto"/>
        <w:tabs>
          <w:tab w:leader="none" w:pos="4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92"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Company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5" w:lineRule="exact"/>
        <w:rPr>
          <w:rFonts w:ascii="Times New Roman" w:cs="Times New Roman" w:eastAsia="Times New Roman" w:hAnsi="Times New Roman"/>
          <w:sz w:val="17"/>
          <w:szCs w:val="17"/>
          <w:color w:val="auto"/>
        </w:rPr>
      </w:pPr>
    </w:p>
    <w:p>
      <w:pPr>
        <w:ind w:left="120" w:right="40" w:hanging="4"/>
        <w:spacing w:after="0" w:line="269" w:lineRule="auto"/>
        <w:tabs>
          <w:tab w:leader="none" w:pos="37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75" w:lineRule="exact"/>
        <w:rPr>
          <w:rFonts w:ascii="Times New Roman" w:cs="Times New Roman" w:eastAsia="Times New Roman" w:hAnsi="Times New Roman"/>
          <w:sz w:val="17"/>
          <w:szCs w:val="17"/>
          <w:color w:val="auto"/>
        </w:rPr>
      </w:pPr>
    </w:p>
    <w:p>
      <w:pPr>
        <w:ind w:left="120" w:right="20" w:firstLine="987"/>
        <w:spacing w:after="0" w:line="254" w:lineRule="auto"/>
        <w:tabs>
          <w:tab w:leader="none" w:pos="136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9" w:lineRule="auto"/>
        <w:tabs>
          <w:tab w:leader="none" w:pos="1356"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Prior VSOP Awards</w:t>
      </w:r>
      <w:r>
        <w:rPr>
          <w:rFonts w:ascii="Times New Roman" w:cs="Times New Roman" w:eastAsia="Times New Roman" w:hAnsi="Times New Roman"/>
          <w:sz w:val="17"/>
          <w:szCs w:val="17"/>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claims under the Company Prior VSOP Awards would be settled.</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 Grants</w:t>
      </w:r>
      <w:r>
        <w:rPr>
          <w:rFonts w:ascii="Times New Roman" w:cs="Times New Roman" w:eastAsia="Times New Roman" w:hAnsi="Times New Roman"/>
          <w:sz w:val="18"/>
          <w:szCs w:val="18"/>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8"/>
          <w:szCs w:val="18"/>
          <w:u w:val="single" w:color="auto"/>
          <w:color w:val="auto"/>
        </w:rPr>
        <w:t>Section 5.01(ii)(C)</w:t>
      </w:r>
      <w:r>
        <w:rPr>
          <w:rFonts w:ascii="Times New Roman" w:cs="Times New Roman" w:eastAsia="Times New Roman" w:hAnsi="Times New Roman"/>
          <w:sz w:val="18"/>
          <w:szCs w:val="18"/>
          <w:color w:val="auto"/>
        </w:rPr>
        <w:t xml:space="preserve"> of the Company Letter.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89" w:lineRule="auto"/>
        <w:tabs>
          <w:tab w:leader="none" w:pos="1336"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an extraordinary general meeting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as promptly as practicable, but in any event within five</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following the Offer Commencement Date, to:</w:t>
      </w:r>
    </w:p>
    <w:p>
      <w:pPr>
        <w:spacing w:after="0" w:line="98"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3"/>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regarding the Offer;</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3"/>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resolutions to, subject to (A) the Acceptance Time having occurred and the Subsequent Offering Period having expired and</w:t>
      </w:r>
    </w:p>
    <w:p>
      <w:pPr>
        <w:spacing w:after="0" w:line="27" w:lineRule="exact"/>
        <w:rPr>
          <w:rFonts w:ascii="Times New Roman" w:cs="Times New Roman" w:eastAsia="Times New Roman" w:hAnsi="Times New Roman"/>
          <w:sz w:val="18"/>
          <w:szCs w:val="18"/>
          <w:color w:val="auto"/>
        </w:rPr>
      </w:pPr>
    </w:p>
    <w:p>
      <w:pPr>
        <w:ind w:left="560" w:hanging="4"/>
        <w:spacing w:after="0" w:line="251" w:lineRule="auto"/>
        <w:tabs>
          <w:tab w:leader="none" w:pos="84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xml:space="preserve">) immediately prior to the Expiration Time, or, if Buyer has amended the Minimum Condition pursuant to paragraph (A)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then at least seventy-five percent (75%)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Post-Offer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 Threshold</w:t>
      </w:r>
      <w:r>
        <w:rPr>
          <w:rFonts w:ascii="Times New Roman" w:cs="Times New Roman" w:eastAsia="Times New Roman" w:hAnsi="Times New Roman"/>
          <w:sz w:val="18"/>
          <w:szCs w:val="18"/>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60" w:right="360" w:firstLine="948"/>
        <w:spacing w:after="0" w:line="266" w:lineRule="auto"/>
        <w:tabs>
          <w:tab w:leader="none" w:pos="1827" w:val="left"/>
        </w:tabs>
        <w:numPr>
          <w:ilvl w:val="3"/>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40" w:firstLine="948"/>
        <w:spacing w:after="0" w:line="256" w:lineRule="auto"/>
        <w:tabs>
          <w:tab w:leader="none" w:pos="1817" w:val="left"/>
        </w:tabs>
        <w:numPr>
          <w:ilvl w:val="3"/>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replace the resigning members of the Company Boards as contemplated by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prior to the convocation of the EGM, dismissing each such member of the Company Boards as of the Closing (the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3"/>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meeting.</w:t>
      </w:r>
    </w:p>
    <w:p>
      <w:pPr>
        <w:spacing w:after="0" w:line="225" w:lineRule="exact"/>
        <w:rPr>
          <w:rFonts w:ascii="Times New Roman" w:cs="Times New Roman" w:eastAsia="Times New Roman" w:hAnsi="Times New Roman"/>
          <w:sz w:val="18"/>
          <w:szCs w:val="18"/>
          <w:color w:val="auto"/>
        </w:rPr>
      </w:pPr>
    </w:p>
    <w:p>
      <w:pPr>
        <w:ind w:left="120" w:right="220" w:firstLine="987"/>
        <w:spacing w:after="0" w:line="253" w:lineRule="auto"/>
        <w:tabs>
          <w:tab w:leader="none" w:pos="1366"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relating to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 promptly after receipt of those comments or other communications and (ii) a reasonable opportunity to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80" w:lineRule="exact"/>
        <w:rPr>
          <w:sz w:val="20"/>
          <w:szCs w:val="20"/>
          <w:color w:val="auto"/>
        </w:rPr>
      </w:pPr>
    </w:p>
    <w:p>
      <w:pPr>
        <w:ind w:left="120" w:right="40" w:firstLine="987"/>
        <w:spacing w:after="0" w:line="253" w:lineRule="auto"/>
        <w:tabs>
          <w:tab w:leader="none" w:pos="135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not adjourn, postpone or cancel the EGM (or any Subsequent EGM)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91"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8"/>
          <w:szCs w:val="18"/>
          <w:u w:val="single" w:color="auto"/>
          <w:color w:val="auto"/>
        </w:rPr>
        <w:t>Section 2.04(a)(i)-(iv)</w:t>
      </w:r>
      <w:r>
        <w:rPr>
          <w:rFonts w:ascii="Times New Roman" w:cs="Times New Roman" w:eastAsia="Times New Roman" w:hAnsi="Times New Roman"/>
          <w:sz w:val="18"/>
          <w:szCs w:val="18"/>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agrees that it shall not submit to the vote of the shareholders of the Company any Alternative Acquisition Proposal (whether or not a Superior Proposal) or any matters relating thereto.</w:t>
      </w:r>
    </w:p>
    <w:p>
      <w:pPr>
        <w:spacing w:after="0" w:line="188"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6" w:lineRule="auto"/>
        <w:tabs>
          <w:tab w:leader="none" w:pos="135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82" w:lineRule="auto"/>
        <w:tabs>
          <w:tab w:leader="none" w:pos="1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Supervisory Board will, as of the Closing, be comprised of the following individuals:</w:t>
      </w:r>
    </w:p>
    <w:p>
      <w:pPr>
        <w:spacing w:after="0" w:line="53"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72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67" w:lineRule="exact"/>
        <w:rPr>
          <w:rFonts w:ascii="Times New Roman" w:cs="Times New Roman" w:eastAsia="Times New Roman" w:hAnsi="Times New Roman"/>
          <w:sz w:val="18"/>
          <w:szCs w:val="18"/>
          <w:color w:val="auto"/>
        </w:rPr>
      </w:pPr>
    </w:p>
    <w:p>
      <w:pPr>
        <w:ind w:left="560" w:firstLine="948"/>
        <w:spacing w:after="0" w:line="258" w:lineRule="auto"/>
        <w:tabs>
          <w:tab w:leader="none" w:pos="1777"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54" w:lineRule="auto"/>
        <w:tabs>
          <w:tab w:leader="none" w:pos="135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88"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1" w:lineRule="auto"/>
        <w:tabs>
          <w:tab w:leader="none" w:pos="1356"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64" w:lineRule="exact"/>
        <w:rPr>
          <w:rFonts w:ascii="Times New Roman" w:cs="Times New Roman" w:eastAsia="Times New Roman" w:hAnsi="Times New Roman"/>
          <w:sz w:val="17"/>
          <w:szCs w:val="17"/>
          <w:color w:val="auto"/>
        </w:rPr>
      </w:pPr>
    </w:p>
    <w:p>
      <w:pPr>
        <w:ind w:left="120" w:right="260" w:firstLine="987"/>
        <w:spacing w:after="0" w:line="266" w:lineRule="auto"/>
        <w:tabs>
          <w:tab w:leader="none" w:pos="13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(b)(i)</w:t>
      </w:r>
      <w:r>
        <w:rPr>
          <w:rFonts w:ascii="Times New Roman" w:cs="Times New Roman" w:eastAsia="Times New Roman" w:hAnsi="Times New Roman"/>
          <w:sz w:val="18"/>
          <w:szCs w:val="18"/>
          <w:color w:val="auto"/>
        </w:rPr>
        <w:t>, as is required by applicable Laws in connection with the appointment of those individuals the respective Company Boards, and Buyer shall be solely responsible for any such information.</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discharge contemplated by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after the resignation of an Independent Director, cause such Independent Director to be fully and finally discharged for his or her acts of supervision to the fullest extent permitted by applicable Law.</w:t>
      </w:r>
    </w:p>
    <w:p>
      <w:pPr>
        <w:spacing w:after="0" w:line="162" w:lineRule="exact"/>
        <w:rPr>
          <w:sz w:val="20"/>
          <w:szCs w:val="20"/>
          <w:color w:val="auto"/>
        </w:rPr>
      </w:pPr>
    </w:p>
    <w:p>
      <w:pPr>
        <w:ind w:left="1360" w:hanging="253"/>
        <w:spacing w:after="0"/>
        <w:tabs>
          <w:tab w:leader="none" w:pos="13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required vote, the affirmative vote of the Independent Directors shall also be required for approving:</w:t>
      </w:r>
    </w:p>
    <w:p>
      <w:pPr>
        <w:spacing w:after="0" w:line="117" w:lineRule="exact"/>
        <w:rPr>
          <w:rFonts w:ascii="Times New Roman" w:cs="Times New Roman" w:eastAsia="Times New Roman" w:hAnsi="Times New Roman"/>
          <w:sz w:val="18"/>
          <w:szCs w:val="18"/>
          <w:color w:val="auto"/>
        </w:rPr>
      </w:pPr>
    </w:p>
    <w:p>
      <w:pPr>
        <w:jc w:val="both"/>
        <w:ind w:left="560" w:firstLine="948"/>
        <w:spacing w:after="0" w:line="289" w:lineRule="auto"/>
        <w:tabs>
          <w:tab w:leader="none" w:pos="1727"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their then existing shareholding in the Company (</w:t>
      </w:r>
      <w:r>
        <w:rPr>
          <w:rFonts w:ascii="Times New Roman" w:cs="Times New Roman" w:eastAsia="Times New Roman" w:hAnsi="Times New Roman"/>
          <w:sz w:val="17"/>
          <w:szCs w:val="17"/>
          <w:i w:val="1"/>
          <w:iCs w:val="1"/>
          <w:color w:val="auto"/>
        </w:rPr>
        <w:t>voorkeursrecht</w:t>
      </w:r>
      <w:r>
        <w:rPr>
          <w:rFonts w:ascii="Times New Roman" w:cs="Times New Roman" w:eastAsia="Times New Roman" w:hAnsi="Times New Roman"/>
          <w:sz w:val="17"/>
          <w:szCs w:val="17"/>
          <w:color w:val="auto"/>
        </w:rPr>
        <w:t>), or (B) the Post-Offer Reorganization; and</w:t>
      </w:r>
    </w:p>
    <w:p>
      <w:pPr>
        <w:spacing w:after="0" w:line="49" w:lineRule="exact"/>
        <w:rPr>
          <w:rFonts w:ascii="Times New Roman" w:cs="Times New Roman" w:eastAsia="Times New Roman" w:hAnsi="Times New Roman"/>
          <w:sz w:val="17"/>
          <w:szCs w:val="17"/>
          <w:color w:val="auto"/>
        </w:rPr>
      </w:pPr>
    </w:p>
    <w:p>
      <w:pPr>
        <w:ind w:left="560" w:right="20" w:firstLine="948"/>
        <w:spacing w:after="0" w:line="266" w:lineRule="auto"/>
        <w:tabs>
          <w:tab w:leader="none" w:pos="177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80" w:lineRule="exact"/>
        <w:rPr>
          <w:sz w:val="20"/>
          <w:szCs w:val="20"/>
          <w:color w:val="auto"/>
        </w:rPr>
      </w:pPr>
    </w:p>
    <w:p>
      <w:pPr>
        <w:ind w:left="120" w:right="20" w:firstLine="987"/>
        <w:spacing w:after="0" w:line="258" w:lineRule="auto"/>
        <w:tabs>
          <w:tab w:leader="none" w:pos="135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as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and the Company,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312" w:lineRule="auto"/>
        <w:tabs>
          <w:tab w:leader="none" w:pos="1366"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31" w:lineRule="exact"/>
        <w:rPr>
          <w:rFonts w:ascii="Times New Roman" w:cs="Times New Roman" w:eastAsia="Times New Roman" w:hAnsi="Times New Roman"/>
          <w:sz w:val="17"/>
          <w:szCs w:val="17"/>
          <w:color w:val="auto"/>
        </w:rPr>
      </w:pPr>
    </w:p>
    <w:p>
      <w:pPr>
        <w:jc w:val="both"/>
        <w:ind w:left="560" w:right="120" w:firstLine="948"/>
        <w:spacing w:after="0" w:line="266" w:lineRule="auto"/>
        <w:tabs>
          <w:tab w:leader="none" w:pos="172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firstLine="948"/>
        <w:spacing w:after="0" w:line="266" w:lineRule="auto"/>
        <w:tabs>
          <w:tab w:leader="none" w:pos="177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New Topco and Buyer shall consummate the Post-Downstream Merger Share Sale;</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81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71"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shall effect the Cancellation at the Cancellation Effective Time; and</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cause the New Topco U.S. Tax Election to be effective as of the day following the completion of the Cancellation.</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87" w:lineRule="exact"/>
        <w:rPr>
          <w:sz w:val="20"/>
          <w:szCs w:val="20"/>
          <w:color w:val="auto"/>
        </w:rPr>
      </w:pPr>
    </w:p>
    <w:p>
      <w:pPr>
        <w:ind w:left="120" w:firstLine="987"/>
        <w:spacing w:after="0" w:line="266" w:lineRule="auto"/>
        <w:tabs>
          <w:tab w:leader="none" w:pos="13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6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Exchange of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delivery of the Offer Consideration and shall enter into an agreement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41" w:lineRule="auto"/>
        <w:tabs>
          <w:tab w:leader="none" w:pos="136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Acceptance Time,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First Company Shares.</w:t>
      </w:r>
    </w:p>
    <w:p>
      <w:pPr>
        <w:spacing w:after="0" w:line="197" w:lineRule="exact"/>
        <w:rPr>
          <w:rFonts w:ascii="Times New Roman" w:cs="Times New Roman" w:eastAsia="Times New Roman" w:hAnsi="Times New Roman"/>
          <w:sz w:val="18"/>
          <w:szCs w:val="18"/>
          <w:color w:val="auto"/>
        </w:rPr>
      </w:pPr>
    </w:p>
    <w:p>
      <w:pPr>
        <w:ind w:left="120" w:right="20" w:firstLine="987"/>
        <w:spacing w:after="0" w:line="239" w:lineRule="auto"/>
        <w:tabs>
          <w:tab w:leader="none" w:pos="135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of the Subsequent Offering Period,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Second Company Shares.</w:t>
      </w:r>
    </w:p>
    <w:p>
      <w:pPr>
        <w:spacing w:after="0" w:line="203"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3" w:lineRule="exact"/>
        <w:rPr>
          <w:rFonts w:ascii="Times New Roman" w:cs="Times New Roman" w:eastAsia="Times New Roman" w:hAnsi="Times New Roman"/>
          <w:sz w:val="18"/>
          <w:szCs w:val="18"/>
          <w:color w:val="auto"/>
        </w:rPr>
      </w:pPr>
    </w:p>
    <w:p>
      <w:pPr>
        <w:ind w:left="120" w:hanging="4"/>
        <w:spacing w:after="0" w:line="253" w:lineRule="auto"/>
        <w:tabs>
          <w:tab w:leader="none" w:pos="43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6" w:lineRule="auto"/>
        <w:tabs>
          <w:tab w:leader="none" w:pos="135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shall not be entitled to vote or exercise any rights of ownership with respect to Buyer Shares or Buyer ADSs held by the Exchange Agent from time to time hereunder.</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2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shall be entitled to any surplus if the amount thereof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Fractional ADS Cash Amount in lieu of fractional Buyer ADSs, if any. As a result the Exchange Agent shall, pursuant to the Cancellation,</w:t>
      </w:r>
    </w:p>
    <w:p>
      <w:pPr>
        <w:spacing w:after="0" w:line="27" w:lineRule="exact"/>
        <w:rPr>
          <w:sz w:val="20"/>
          <w:szCs w:val="20"/>
          <w:color w:val="auto"/>
        </w:rPr>
      </w:pPr>
    </w:p>
    <w:p>
      <w:pPr>
        <w:ind w:left="120" w:hanging="4"/>
        <w:spacing w:after="0" w:line="251" w:lineRule="auto"/>
        <w:tabs>
          <w:tab w:leader="none" w:pos="37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9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nothing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(a) set forth in any Company SEC Documents publicly available on or after January 1, 2022 and at least two (2) Business Days prior to the date of this Agreement (but excluding any forward-looking disclosures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w:t>
      </w:r>
    </w:p>
    <w:p>
      <w:pPr>
        <w:spacing w:after="0" w:line="9" w:lineRule="exact"/>
        <w:rPr>
          <w:rFonts w:ascii="Times New Roman" w:cs="Times New Roman" w:eastAsia="Times New Roman" w:hAnsi="Times New Roman"/>
          <w:sz w:val="18"/>
          <w:szCs w:val="18"/>
          <w:color w:val="auto"/>
        </w:rPr>
      </w:pPr>
    </w:p>
    <w:p>
      <w:pPr>
        <w:ind w:left="120" w:right="80" w:hanging="4"/>
        <w:spacing w:after="0" w:line="255" w:lineRule="auto"/>
        <w:tabs>
          <w:tab w:leader="none" w:pos="43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8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(such recommendation,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3.05(a) of the Company Letter</w:t>
      </w:r>
      <w:r>
        <w:rPr>
          <w:rFonts w:ascii="Times New Roman" w:cs="Times New Roman" w:eastAsia="Times New Roman" w:hAnsi="Times New Roman"/>
          <w:sz w:val="18"/>
          <w:szCs w:val="18"/>
          <w:color w:val="auto"/>
        </w:rPr>
        <w:t>, there are no issued or obligations to issue (i) shares in the share capital of the Company or other voting securities of or ownership interests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193" w:lineRule="exact"/>
        <w:rPr>
          <w:sz w:val="20"/>
          <w:szCs w:val="20"/>
          <w:color w:val="auto"/>
        </w:rPr>
      </w:pPr>
    </w:p>
    <w:p>
      <w:pPr>
        <w:ind w:left="120" w:right="20" w:firstLine="987"/>
        <w:spacing w:after="0" w:line="272" w:lineRule="auto"/>
        <w:tabs>
          <w:tab w:leader="none" w:pos="1366"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spacing w:after="0" w:line="1" w:lineRule="exact"/>
        <w:rPr>
          <w:rFonts w:ascii="Times New Roman" w:cs="Times New Roman" w:eastAsia="Times New Roman" w:hAnsi="Times New Roman"/>
          <w:sz w:val="17"/>
          <w:szCs w:val="17"/>
          <w:color w:val="auto"/>
        </w:rPr>
      </w:pPr>
    </w:p>
    <w:p>
      <w:pPr>
        <w:ind w:left="120" w:right="60" w:hanging="4"/>
        <w:spacing w:after="0" w:line="251" w:lineRule="auto"/>
        <w:tabs>
          <w:tab w:leader="none" w:pos="42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92"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82" w:lineRule="auto"/>
        <w:tabs>
          <w:tab w:leader="none" w:pos="13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of the Company Letter and the Company Subsidiary Securities issued and outstanding and Company Subsidiary Securities held by the Company.</w:t>
      </w:r>
    </w:p>
    <w:p>
      <w:pPr>
        <w:spacing w:after="0" w:line="194"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8"/>
          <w:szCs w:val="18"/>
          <w:u w:val="single" w:color="auto"/>
          <w:color w:val="auto"/>
        </w:rPr>
        <w:t>clauses (i)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55" w:lineRule="auto"/>
        <w:tabs>
          <w:tab w:leader="none" w:pos="136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5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987"/>
        <w:spacing w:after="0" w:line="282" w:lineRule="auto"/>
        <w:tabs>
          <w:tab w:leader="none" w:pos="135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53" w:lineRule="exact"/>
        <w:rPr>
          <w:rFonts w:ascii="Times New Roman" w:cs="Times New Roman" w:eastAsia="Times New Roman" w:hAnsi="Times New Roman"/>
          <w:sz w:val="18"/>
          <w:szCs w:val="18"/>
          <w:color w:val="auto"/>
        </w:rPr>
      </w:pPr>
    </w:p>
    <w:p>
      <w:pPr>
        <w:ind w:left="560" w:firstLine="948"/>
        <w:spacing w:after="0" w:line="261" w:lineRule="auto"/>
        <w:tabs>
          <w:tab w:leader="none" w:pos="172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120" w:right="440" w:firstLine="987"/>
        <w:spacing w:after="0" w:line="282" w:lineRule="auto"/>
        <w:tabs>
          <w:tab w:leader="none" w:pos="136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66" w:lineRule="auto"/>
        <w:tabs>
          <w:tab w:leader="none" w:pos="136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72" w:lineRule="auto"/>
        <w:tabs>
          <w:tab w:leader="none" w:pos="1356"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120" w:right="460" w:hanging="4"/>
        <w:spacing w:after="0" w:line="252" w:lineRule="auto"/>
        <w:tabs>
          <w:tab w:leader="none" w:pos="33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89" w:lineRule="exact"/>
        <w:rPr>
          <w:rFonts w:ascii="Times New Roman" w:cs="Times New Roman" w:eastAsia="Times New Roman" w:hAnsi="Times New Roman"/>
          <w:sz w:val="18"/>
          <w:szCs w:val="18"/>
          <w:color w:val="auto"/>
        </w:rPr>
      </w:pPr>
    </w:p>
    <w:p>
      <w:pPr>
        <w:ind w:left="120" w:firstLine="987"/>
        <w:spacing w:after="0" w:line="272" w:lineRule="auto"/>
        <w:tabs>
          <w:tab w:leader="none" w:pos="1366"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71" w:lineRule="exact"/>
        <w:rPr>
          <w:rFonts w:ascii="Times New Roman" w:cs="Times New Roman" w:eastAsia="Times New Roman" w:hAnsi="Times New Roman"/>
          <w:sz w:val="17"/>
          <w:szCs w:val="17"/>
          <w:color w:val="auto"/>
        </w:rPr>
      </w:pPr>
    </w:p>
    <w:p>
      <w:pPr>
        <w:jc w:val="both"/>
        <w:ind w:left="120" w:right="40" w:firstLine="987"/>
        <w:spacing w:after="0" w:line="266" w:lineRule="auto"/>
        <w:tabs>
          <w:tab w:leader="none" w:pos="135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3.09(b)(ii)</w:t>
      </w:r>
      <w:r>
        <w:rPr>
          <w:rFonts w:ascii="Times New Roman" w:cs="Times New Roman" w:eastAsia="Times New Roman" w:hAnsi="Times New Roman"/>
          <w:sz w:val="18"/>
          <w:szCs w:val="18"/>
          <w:color w:val="auto"/>
        </w:rPr>
        <w:t xml:space="preserve"> made by management to the Company’s independent auditors and to the audit committee of the Supervisory Board since January 1, 2022.</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82" w:lineRule="auto"/>
        <w:tabs>
          <w:tab w:leader="none" w:pos="135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7" w:lineRule="auto"/>
        <w:tabs>
          <w:tab w:leader="none" w:pos="136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5.01(p)</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Company Balance Sheet or the notes thereto set forth in the Company SEC Documents;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560" w:firstLine="948"/>
        <w:spacing w:after="0" w:line="282" w:lineRule="auto"/>
        <w:tabs>
          <w:tab w:leader="none" w:pos="181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Company and its wholly-owned Subsidiaries or among wholly-owned Subsidiaries of the Company; and</w:t>
      </w:r>
    </w:p>
    <w:p>
      <w:pPr>
        <w:spacing w:after="0" w:line="53" w:lineRule="exact"/>
        <w:rPr>
          <w:rFonts w:ascii="Times New Roman" w:cs="Times New Roman" w:eastAsia="Times New Roman" w:hAnsi="Times New Roman"/>
          <w:sz w:val="18"/>
          <w:szCs w:val="18"/>
          <w:color w:val="auto"/>
        </w:rPr>
      </w:pPr>
    </w:p>
    <w:p>
      <w:pPr>
        <w:ind w:left="560" w:right="220" w:firstLine="948"/>
        <w:spacing w:after="0" w:line="282" w:lineRule="auto"/>
        <w:tabs>
          <w:tab w:leader="none" w:pos="176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reasonably be expected to be, individually or in the aggregate, material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Compliance with Laws; Regulatory Matters; Healthcare Laws; Subsidies</w:t>
      </w:r>
    </w:p>
    <w:p>
      <w:pPr>
        <w:spacing w:after="0" w:line="225" w:lineRule="exact"/>
        <w:rPr>
          <w:sz w:val="20"/>
          <w:szCs w:val="20"/>
          <w:color w:val="auto"/>
        </w:rPr>
      </w:pPr>
    </w:p>
    <w:p>
      <w:pPr>
        <w:ind w:left="120" w:firstLine="987"/>
        <w:spacing w:after="0" w:line="255" w:lineRule="auto"/>
        <w:tabs>
          <w:tab w:leader="none" w:pos="135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55" w:lineRule="auto"/>
        <w:tabs>
          <w:tab w:leader="none" w:pos="136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120" w:right="20" w:hanging="4"/>
        <w:spacing w:after="0" w:line="268" w:lineRule="auto"/>
        <w:tabs>
          <w:tab w:leader="none" w:pos="38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76" w:lineRule="exact"/>
        <w:rPr>
          <w:sz w:val="20"/>
          <w:szCs w:val="20"/>
          <w:color w:val="auto"/>
        </w:rPr>
      </w:pPr>
    </w:p>
    <w:p>
      <w:pPr>
        <w:ind w:left="120" w:right="60" w:firstLine="987"/>
        <w:spacing w:after="0" w:line="281" w:lineRule="auto"/>
        <w:tabs>
          <w:tab w:leader="none" w:pos="1356"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64" w:lineRule="exact"/>
        <w:rPr>
          <w:rFonts w:ascii="Times New Roman" w:cs="Times New Roman" w:eastAsia="Times New Roman" w:hAnsi="Times New Roman"/>
          <w:sz w:val="17"/>
          <w:szCs w:val="17"/>
          <w:color w:val="auto"/>
        </w:rPr>
      </w:pPr>
    </w:p>
    <w:p>
      <w:pPr>
        <w:ind w:left="120" w:right="20" w:firstLine="987"/>
        <w:spacing w:after="0" w:line="255" w:lineRule="auto"/>
        <w:tabs>
          <w:tab w:leader="none" w:pos="13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subject to any Actions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66"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39" w:lineRule="exact"/>
        <w:rPr>
          <w:rFonts w:ascii="Times New Roman" w:cs="Times New Roman" w:eastAsia="Times New Roman" w:hAnsi="Times New Roman"/>
          <w:sz w:val="17"/>
          <w:szCs w:val="17"/>
          <w:color w:val="auto"/>
        </w:rPr>
      </w:pPr>
    </w:p>
    <w:p>
      <w:pPr>
        <w:ind w:left="120" w:right="280" w:firstLine="987"/>
        <w:spacing w:after="0" w:line="282" w:lineRule="auto"/>
        <w:tabs>
          <w:tab w:leader="none" w:pos="132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Contracts or subcontracts to supply goods or services directly to the United States federal government.</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6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an assessment and determined that none of the Company, any Company Subsidiary, or any of its Affiliates (a) produce, design, test, manufacture, fabricate, or develop “critical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real property owned by the Company or any of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such leases, subleases and other agreements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Real Property. Each of the Company Owned Real Property and the Company Leased Real Property is in good condition 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83" w:lineRule="exact"/>
        <w:rPr>
          <w:sz w:val="20"/>
          <w:szCs w:val="20"/>
          <w:color w:val="auto"/>
        </w:rPr>
      </w:pPr>
    </w:p>
    <w:p>
      <w:pPr>
        <w:ind w:left="120" w:right="80" w:firstLine="987"/>
        <w:spacing w:after="0" w:line="258" w:lineRule="auto"/>
        <w:tabs>
          <w:tab w:leader="none" w:pos="135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Intellectual Property; Privacy and Data Protection.</w:t>
      </w:r>
    </w:p>
    <w:p>
      <w:pPr>
        <w:spacing w:after="0" w:line="225" w:lineRule="exact"/>
        <w:rPr>
          <w:sz w:val="20"/>
          <w:szCs w:val="20"/>
          <w:color w:val="auto"/>
        </w:rPr>
      </w:pPr>
    </w:p>
    <w:p>
      <w:pPr>
        <w:ind w:left="1360" w:hanging="253"/>
        <w:spacing w:after="0"/>
        <w:tabs>
          <w:tab w:leader="none" w:pos="13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9" w:lineRule="auto"/>
        <w:tabs>
          <w:tab w:leader="none" w:pos="1727" w:val="left"/>
        </w:tabs>
        <w:numPr>
          <w:ilvl w:val="2"/>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7"/>
          <w:szCs w:val="17"/>
          <w:color w:val="auto"/>
        </w:rPr>
      </w:pPr>
    </w:p>
    <w:p>
      <w:pPr>
        <w:ind w:left="560" w:right="120" w:hanging="4"/>
        <w:spacing w:after="0" w:line="251" w:lineRule="auto"/>
        <w:tabs>
          <w:tab w:leader="none" w:pos="81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84" w:lineRule="exact"/>
        <w:rPr>
          <w:rFonts w:ascii="Times New Roman" w:cs="Times New Roman" w:eastAsia="Times New Roman" w:hAnsi="Times New Roman"/>
          <w:sz w:val="18"/>
          <w:szCs w:val="18"/>
          <w:color w:val="auto"/>
        </w:rPr>
      </w:pPr>
    </w:p>
    <w:p>
      <w:pPr>
        <w:ind w:left="560" w:firstLine="948"/>
        <w:spacing w:after="0" w:line="254" w:lineRule="auto"/>
        <w:tabs>
          <w:tab w:leader="none" w:pos="1777"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948"/>
        <w:spacing w:after="0" w:line="269" w:lineRule="auto"/>
        <w:tabs>
          <w:tab w:leader="none" w:pos="1827"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7"/>
          <w:szCs w:val="17"/>
          <w:color w:val="auto"/>
        </w:rPr>
      </w:pPr>
    </w:p>
    <w:p>
      <w:pPr>
        <w:ind w:left="560" w:right="80" w:hanging="4"/>
        <w:spacing w:after="0" w:line="251" w:lineRule="auto"/>
        <w:tabs>
          <w:tab w:leader="none" w:pos="8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85" w:lineRule="exact"/>
        <w:rPr>
          <w:rFonts w:ascii="Times New Roman" w:cs="Times New Roman" w:eastAsia="Times New Roman" w:hAnsi="Times New Roman"/>
          <w:sz w:val="18"/>
          <w:szCs w:val="18"/>
          <w:color w:val="auto"/>
        </w:rPr>
      </w:pPr>
    </w:p>
    <w:p>
      <w:pPr>
        <w:ind w:left="560" w:firstLine="948"/>
        <w:spacing w:after="0" w:line="253" w:lineRule="auto"/>
        <w:tabs>
          <w:tab w:leader="none" w:pos="181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86" w:lineRule="exact"/>
        <w:rPr>
          <w:rFonts w:ascii="Times New Roman" w:cs="Times New Roman" w:eastAsia="Times New Roman" w:hAnsi="Times New Roman"/>
          <w:sz w:val="18"/>
          <w:szCs w:val="18"/>
          <w:color w:val="auto"/>
        </w:rPr>
      </w:pPr>
    </w:p>
    <w:p>
      <w:pPr>
        <w:ind w:left="560" w:right="120" w:firstLine="948"/>
        <w:spacing w:after="0" w:line="258" w:lineRule="auto"/>
        <w:tabs>
          <w:tab w:leader="none" w:pos="176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75" w:lineRule="exact"/>
        <w:rPr>
          <w:rFonts w:ascii="Times New Roman" w:cs="Times New Roman" w:eastAsia="Times New Roman" w:hAnsi="Times New Roman"/>
          <w:sz w:val="18"/>
          <w:szCs w:val="18"/>
          <w:color w:val="auto"/>
        </w:rPr>
      </w:pPr>
    </w:p>
    <w:p>
      <w:pPr>
        <w:ind w:left="560" w:right="40" w:firstLine="948"/>
        <w:spacing w:after="0" w:line="254" w:lineRule="auto"/>
        <w:tabs>
          <w:tab w:leader="none" w:pos="181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3" w:lineRule="auto"/>
        <w:tabs>
          <w:tab w:leader="none" w:pos="186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81" w:lineRule="exact"/>
        <w:rPr>
          <w:rFonts w:ascii="Times New Roman" w:cs="Times New Roman" w:eastAsia="Times New Roman" w:hAnsi="Times New Roman"/>
          <w:sz w:val="18"/>
          <w:szCs w:val="18"/>
          <w:color w:val="auto"/>
        </w:rPr>
      </w:pPr>
    </w:p>
    <w:p>
      <w:pPr>
        <w:ind w:left="560" w:right="80" w:firstLine="948"/>
        <w:spacing w:after="0" w:line="253" w:lineRule="auto"/>
        <w:tabs>
          <w:tab w:leader="none" w:pos="191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86"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takes commercially reasonable measures to protect, preserve and maintain the value and confidentiality of the confidential Know-How of the Company and its Subsidiaries.</w:t>
      </w:r>
    </w:p>
    <w:p>
      <w:pPr>
        <w:spacing w:after="0" w:line="53" w:lineRule="exact"/>
        <w:rPr>
          <w:rFonts w:ascii="Times New Roman" w:cs="Times New Roman" w:eastAsia="Times New Roman" w:hAnsi="Times New Roman"/>
          <w:sz w:val="18"/>
          <w:szCs w:val="18"/>
          <w:color w:val="auto"/>
        </w:rPr>
      </w:pPr>
    </w:p>
    <w:p>
      <w:pPr>
        <w:ind w:left="560" w:firstLine="948"/>
        <w:spacing w:after="0" w:line="253" w:lineRule="auto"/>
        <w:tabs>
          <w:tab w:leader="none" w:pos="176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 xml:space="preserve">jurisdiction or (ii) such employment agreements as set forth in </w:t>
      </w:r>
      <w:r>
        <w:rPr>
          <w:rFonts w:ascii="Times New Roman" w:cs="Times New Roman" w:eastAsia="Times New Roman" w:hAnsi="Times New Roman"/>
          <w:sz w:val="18"/>
          <w:szCs w:val="18"/>
          <w:u w:val="single" w:color="auto"/>
          <w:color w:val="auto"/>
        </w:rPr>
        <w:t>Section 3.16(a)(x)(C)</w:t>
      </w:r>
      <w:r>
        <w:rPr>
          <w:rFonts w:ascii="Times New Roman" w:cs="Times New Roman" w:eastAsia="Times New Roman" w:hAnsi="Times New Roman"/>
          <w:sz w:val="18"/>
          <w:szCs w:val="18"/>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80" w:lineRule="exact"/>
        <w:rPr>
          <w:sz w:val="20"/>
          <w:szCs w:val="20"/>
          <w:color w:val="auto"/>
        </w:rPr>
      </w:pPr>
    </w:p>
    <w:p>
      <w:pPr>
        <w:ind w:left="560" w:right="20" w:firstLine="948"/>
        <w:spacing w:after="0" w:line="258" w:lineRule="auto"/>
        <w:tabs>
          <w:tab w:leader="none" w:pos="181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no payment by any of the Company or any of its Subsidiaries of any kind is required to be made to any Person with respect to the use or practice of any Intellectual Property.</w:t>
      </w:r>
    </w:p>
    <w:p>
      <w:pPr>
        <w:spacing w:after="0" w:line="75" w:lineRule="exact"/>
        <w:rPr>
          <w:rFonts w:ascii="Times New Roman" w:cs="Times New Roman" w:eastAsia="Times New Roman" w:hAnsi="Times New Roman"/>
          <w:sz w:val="18"/>
          <w:szCs w:val="18"/>
          <w:color w:val="auto"/>
        </w:rPr>
      </w:pPr>
    </w:p>
    <w:p>
      <w:pPr>
        <w:ind w:left="560" w:firstLine="948"/>
        <w:spacing w:after="0" w:line="258" w:lineRule="auto"/>
        <w:tabs>
          <w:tab w:leader="none" w:pos="18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75"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91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3.16(a)(xiii)</w:t>
      </w:r>
      <w:r>
        <w:rPr>
          <w:rFonts w:ascii="Times New Roman" w:cs="Times New Roman" w:eastAsia="Times New Roman" w:hAnsi="Times New Roman"/>
          <w:sz w:val="18"/>
          <w:szCs w:val="18"/>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80" w:lineRule="exact"/>
        <w:rPr>
          <w:rFonts w:ascii="Times New Roman" w:cs="Times New Roman" w:eastAsia="Times New Roman" w:hAnsi="Times New Roman"/>
          <w:sz w:val="18"/>
          <w:szCs w:val="18"/>
          <w:color w:val="auto"/>
        </w:rPr>
      </w:pPr>
    </w:p>
    <w:p>
      <w:pPr>
        <w:ind w:left="560" w:firstLine="948"/>
        <w:spacing w:after="0" w:line="255" w:lineRule="auto"/>
        <w:tabs>
          <w:tab w:leader="none" w:pos="190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3.16(a)(xiv)</w:t>
      </w:r>
      <w:r>
        <w:rPr>
          <w:rFonts w:ascii="Times New Roman" w:cs="Times New Roman" w:eastAsia="Times New Roman" w:hAnsi="Times New Roman"/>
          <w:sz w:val="18"/>
          <w:szCs w:val="18"/>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w:t>
      </w:r>
    </w:p>
    <w:p>
      <w:pPr>
        <w:spacing w:after="0" w:line="11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86"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7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67" w:lineRule="exact"/>
        <w:rPr>
          <w:rFonts w:ascii="Times New Roman" w:cs="Times New Roman" w:eastAsia="Times New Roman" w:hAnsi="Times New Roman"/>
          <w:sz w:val="18"/>
          <w:szCs w:val="18"/>
          <w:color w:val="auto"/>
        </w:rPr>
      </w:pPr>
    </w:p>
    <w:p>
      <w:pPr>
        <w:ind w:left="560" w:firstLine="948"/>
        <w:spacing w:after="0" w:line="256" w:lineRule="auto"/>
        <w:tabs>
          <w:tab w:leader="none" w:pos="182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79"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81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71" w:lineRule="exact"/>
        <w:rPr>
          <w:rFonts w:ascii="Times New Roman" w:cs="Times New Roman" w:eastAsia="Times New Roman" w:hAnsi="Times New Roman"/>
          <w:sz w:val="18"/>
          <w:szCs w:val="18"/>
          <w:color w:val="auto"/>
        </w:rPr>
      </w:pPr>
    </w:p>
    <w:p>
      <w:pPr>
        <w:ind w:left="560" w:right="700" w:firstLine="948"/>
        <w:spacing w:after="0" w:line="266" w:lineRule="auto"/>
        <w:tabs>
          <w:tab w:leader="none" w:pos="176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 each of the Company and its Subsidiaries as of the date hereof (separately and any grouping thereof for any Tax purposes, the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timely filed all Tax Returns required to be filed by any of them (taking into account applicable extensions obtained in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course of business or automatically granted by the applicable Taxing Authority);</w:t>
      </w:r>
    </w:p>
    <w:p>
      <w:pPr>
        <w:spacing w:after="0" w:line="99" w:lineRule="exact"/>
        <w:rPr>
          <w:sz w:val="20"/>
          <w:szCs w:val="20"/>
          <w:color w:val="auto"/>
        </w:rPr>
      </w:pPr>
    </w:p>
    <w:p>
      <w:pPr>
        <w:ind w:left="1780" w:hanging="272"/>
        <w:spacing w:after="0"/>
        <w:tabs>
          <w:tab w:leader="none" w:pos="17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by the Company Group are true, complete and correct in all respects;</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2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67" w:lineRule="exact"/>
        <w:rPr>
          <w:rFonts w:ascii="Times New Roman" w:cs="Times New Roman" w:eastAsia="Times New Roman" w:hAnsi="Times New Roman"/>
          <w:sz w:val="18"/>
          <w:szCs w:val="18"/>
          <w:color w:val="auto"/>
        </w:rPr>
      </w:pPr>
    </w:p>
    <w:p>
      <w:pPr>
        <w:ind w:left="560" w:right="180" w:firstLine="948"/>
        <w:spacing w:after="0" w:line="282" w:lineRule="auto"/>
        <w:tabs>
          <w:tab w:leader="none" w:pos="181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of any statute of limitations with respect to Taxes or any Tax Return of the Company has been given by or requested from the Company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760" w:hanging="252"/>
        <w:spacing w:after="0"/>
        <w:tabs>
          <w:tab w:leader="none" w:pos="1760"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U.S. federal, state, local or non-U.S. audits of any Tax Return of the Company Group;</w:t>
      </w:r>
    </w:p>
    <w:p>
      <w:pPr>
        <w:spacing w:after="0" w:line="117" w:lineRule="exact"/>
        <w:rPr>
          <w:rFonts w:ascii="Times New Roman" w:cs="Times New Roman" w:eastAsia="Times New Roman" w:hAnsi="Times New Roman"/>
          <w:sz w:val="18"/>
          <w:szCs w:val="18"/>
          <w:color w:val="auto"/>
        </w:rPr>
      </w:pPr>
    </w:p>
    <w:p>
      <w:pPr>
        <w:ind w:left="560" w:right="100" w:firstLine="948"/>
        <w:spacing w:after="0" w:line="282" w:lineRule="auto"/>
        <w:tabs>
          <w:tab w:leader="none" w:pos="1817"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any such U.S. federal, state, local or non-U.S. audit of any Tax Return of the Company Group;</w:t>
      </w:r>
    </w:p>
    <w:p>
      <w:pPr>
        <w:spacing w:after="0" w:line="53" w:lineRule="exact"/>
        <w:rPr>
          <w:rFonts w:ascii="Times New Roman" w:cs="Times New Roman" w:eastAsia="Times New Roman" w:hAnsi="Times New Roman"/>
          <w:sz w:val="18"/>
          <w:szCs w:val="18"/>
          <w:color w:val="auto"/>
        </w:rPr>
      </w:pPr>
    </w:p>
    <w:p>
      <w:pPr>
        <w:ind w:left="560" w:firstLine="948"/>
        <w:spacing w:after="0" w:line="282" w:lineRule="auto"/>
        <w:tabs>
          <w:tab w:leader="none" w:pos="1867"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unpaid Taxes has been asserted in writing against the Company Group by a Governmental Authority, other than any claim that has been resolved and fully paid (if applicable) by the Company Group;</w:t>
      </w:r>
    </w:p>
    <w:p>
      <w:pPr>
        <w:spacing w:after="0" w:line="53"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17"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jc w:val="both"/>
        <w:ind w:left="560" w:right="340" w:firstLine="948"/>
        <w:spacing w:after="0" w:line="276" w:lineRule="auto"/>
        <w:tabs>
          <w:tab w:leader="none" w:pos="1817" w:val="left"/>
        </w:tabs>
        <w:numPr>
          <w:ilvl w:val="3"/>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560" w:right="420" w:hanging="4"/>
        <w:spacing w:after="0" w:line="260" w:lineRule="auto"/>
        <w:tabs>
          <w:tab w:leader="none" w:pos="87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73"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3.17(a)(x)</w:t>
      </w:r>
      <w:r>
        <w:rPr>
          <w:rFonts w:ascii="Times New Roman" w:cs="Times New Roman" w:eastAsia="Times New Roman" w:hAnsi="Times New Roman"/>
          <w:sz w:val="18"/>
          <w:szCs w:val="18"/>
          <w:color w:val="auto"/>
        </w:rPr>
        <w:t xml:space="preserve"> of the Company Letter, neither the Company nor any of its Subsidiaries has participated</w:t>
      </w:r>
    </w:p>
    <w:p>
      <w:pPr>
        <w:spacing w:after="0" w:line="27" w:lineRule="exact"/>
        <w:rPr>
          <w:rFonts w:ascii="Times New Roman" w:cs="Times New Roman" w:eastAsia="Times New Roman" w:hAnsi="Times New Roman"/>
          <w:sz w:val="18"/>
          <w:szCs w:val="18"/>
          <w:color w:val="auto"/>
        </w:rPr>
      </w:pPr>
    </w:p>
    <w:p>
      <w:pPr>
        <w:ind w:left="5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77"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817"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67"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867"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any Governmental Authority in writing in a jurisdiction where the Company or any of its Subsidiaries does not file a Tax Return that it is or may be subject to Tax by that jurisdiction.</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the Company Group, except for Liens for Taxes not yet due and payable that arise by operation of Law.</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56" w:val="left"/>
        </w:tabs>
        <w:numPr>
          <w:ilvl w:val="2"/>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120" w:right="360" w:hanging="4"/>
        <w:spacing w:after="0" w:line="260" w:lineRule="auto"/>
        <w:tabs>
          <w:tab w:leader="none" w:pos="3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8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66"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56"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61" w:lineRule="auto"/>
        <w:tabs>
          <w:tab w:leader="none" w:pos="13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representations and warranties in this Agreement, the representations and warranties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3.19(h)</w:t>
      </w:r>
      <w:r>
        <w:rPr>
          <w:rFonts w:ascii="Times New Roman" w:cs="Times New Roman" w:eastAsia="Times New Roman" w:hAnsi="Times New Roman"/>
          <w:sz w:val="18"/>
          <w:szCs w:val="18"/>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82" w:lineRule="auto"/>
        <w:tabs>
          <w:tab w:leader="none" w:pos="135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immediately prior to the Closing will be, an “investment company” within the meaning of Section 368(a)(2)</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75" w:lineRule="exact"/>
        <w:rPr>
          <w:rFonts w:ascii="Times New Roman" w:cs="Times New Roman" w:eastAsia="Times New Roman" w:hAnsi="Times New Roman"/>
          <w:sz w:val="18"/>
          <w:szCs w:val="18"/>
          <w:color w:val="auto"/>
        </w:rPr>
      </w:pPr>
    </w:p>
    <w:p>
      <w:pPr>
        <w:jc w:val="both"/>
        <w:ind w:left="120" w:right="140" w:firstLine="987"/>
        <w:spacing w:after="0" w:line="261" w:lineRule="auto"/>
        <w:tabs>
          <w:tab w:leader="none" w:pos="135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87"/>
        <w:spacing w:after="0" w:line="282" w:lineRule="auto"/>
        <w:tabs>
          <w:tab w:leader="none" w:pos="135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(a) of the Company Letter contains a true, complete and correct list identifying each Company Plan (the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and the country(ies) in which such Company Plan is offered.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Company Plan, the Company has made available to Buyer true, complete and correct copies of, to the extent applicable,</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Plan (or, if such Company Plan is not written, a written summary of its material terms) and all amendments thereto, (ii) all current</w:t>
      </w:r>
    </w:p>
    <w:p>
      <w:pPr>
        <w:spacing w:after="0" w:line="9" w:lineRule="exact"/>
        <w:rPr>
          <w:rFonts w:ascii="Times New Roman" w:cs="Times New Roman" w:eastAsia="Times New Roman" w:hAnsi="Times New Roman"/>
          <w:sz w:val="18"/>
          <w:szCs w:val="18"/>
          <w:color w:val="auto"/>
        </w:rPr>
      </w:pPr>
    </w:p>
    <w:p>
      <w:pPr>
        <w:ind w:left="12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 Section 401(a)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62" w:lineRule="exact"/>
        <w:rPr>
          <w:sz w:val="20"/>
          <w:szCs w:val="20"/>
          <w:color w:val="auto"/>
        </w:rPr>
      </w:pPr>
    </w:p>
    <w:p>
      <w:pPr>
        <w:ind w:left="1360" w:hanging="253"/>
        <w:spacing w:after="0"/>
        <w:tabs>
          <w:tab w:leader="none" w:pos="136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ERISA Affiliate maintains, contributes to, is obligated to contribute to, or sponsors (or has in the past six</w:t>
      </w:r>
    </w:p>
    <w:p>
      <w:pPr>
        <w:spacing w:after="0" w:line="38"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Company Letter, all health benefits provided in the U.S. under the Company Plans (other than flexible spending accounts, if any) are fully insured by a third party insurance company.</w:t>
      </w:r>
    </w:p>
    <w:p>
      <w:pPr>
        <w:spacing w:after="0" w:line="192"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(other than routine claims for benefits) is pending against or involves or, to the knowledge of the Company, is threatened against or threatened to involve, any Company Plan.</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3.19(g)</w:t>
      </w:r>
      <w:r>
        <w:rPr>
          <w:rFonts w:ascii="Times New Roman" w:cs="Times New Roman" w:eastAsia="Times New Roman" w:hAnsi="Times New Roman"/>
          <w:sz w:val="18"/>
          <w:szCs w:val="18"/>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86" w:lineRule="exact"/>
        <w:rPr>
          <w:rFonts w:ascii="Times New Roman" w:cs="Times New Roman" w:eastAsia="Times New Roman" w:hAnsi="Times New Roman"/>
          <w:sz w:val="18"/>
          <w:szCs w:val="18"/>
          <w:color w:val="auto"/>
        </w:rPr>
      </w:pPr>
    </w:p>
    <w:p>
      <w:pPr>
        <w:ind w:left="120" w:right="580" w:firstLine="987"/>
        <w:spacing w:after="0" w:line="284" w:lineRule="auto"/>
        <w:tabs>
          <w:tab w:leader="none" w:pos="132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fund (</w:t>
      </w:r>
      <w:r>
        <w:rPr>
          <w:rFonts w:ascii="Times New Roman" w:cs="Times New Roman" w:eastAsia="Times New Roman" w:hAnsi="Times New Roman"/>
          <w:sz w:val="18"/>
          <w:szCs w:val="18"/>
          <w:i w:val="1"/>
          <w:iCs w:val="1"/>
          <w:color w:val="auto"/>
        </w:rPr>
        <w:t>Unterstützungskasse</w:t>
      </w:r>
      <w:r>
        <w:rPr>
          <w:rFonts w:ascii="Times New Roman" w:cs="Times New Roman" w:eastAsia="Times New Roman" w:hAnsi="Times New Roman"/>
          <w:sz w:val="18"/>
          <w:szCs w:val="18"/>
          <w:color w:val="auto"/>
        </w:rPr>
        <w:t>) Allianz-Pensions-Management e.V. has not reduced or announced to reduce its pension payments, or requested or announced to request additional contributions to avoid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91"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89"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9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 Company and its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83" w:lineRule="exact"/>
        <w:rPr>
          <w:sz w:val="20"/>
          <w:szCs w:val="20"/>
          <w:color w:val="auto"/>
        </w:rPr>
      </w:pPr>
    </w:p>
    <w:p>
      <w:pPr>
        <w:ind w:left="120" w:right="80" w:firstLine="987"/>
        <w:spacing w:after="0" w:line="266" w:lineRule="auto"/>
        <w:tabs>
          <w:tab w:leader="none" w:pos="135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3.20(e)</w:t>
      </w:r>
      <w:r>
        <w:rPr>
          <w:rFonts w:ascii="Times New Roman" w:cs="Times New Roman" w:eastAsia="Times New Roman" w:hAnsi="Times New Roman"/>
          <w:sz w:val="18"/>
          <w:szCs w:val="18"/>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8"/>
          <w:szCs w:val="18"/>
          <w:i w:val="1"/>
          <w:iCs w:val="1"/>
          <w:color w:val="auto"/>
        </w:rPr>
        <w:t>Interessenausgleiche</w:t>
      </w:r>
      <w:r>
        <w:rPr>
          <w:rFonts w:ascii="Times New Roman" w:cs="Times New Roman" w:eastAsia="Times New Roman" w:hAnsi="Times New Roman"/>
          <w:sz w:val="18"/>
          <w:szCs w:val="18"/>
          <w:color w:val="auto"/>
        </w:rPr>
        <w:t>), pursuant to which the Company or any of its Subsidiaries are subject to any material outstanding or ongoing obligations or liabilities as of the date hereof.</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9" w:lineRule="auto"/>
        <w:tabs>
          <w:tab w:leader="none" w:pos="1336"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55" w:lineRule="exact"/>
        <w:rPr>
          <w:rFonts w:ascii="Times New Roman" w:cs="Times New Roman" w:eastAsia="Times New Roman" w:hAnsi="Times New Roman"/>
          <w:sz w:val="17"/>
          <w:szCs w:val="17"/>
          <w:color w:val="auto"/>
        </w:rPr>
      </w:pPr>
    </w:p>
    <w:p>
      <w:pPr>
        <w:ind w:left="120" w:right="100" w:firstLine="987"/>
        <w:spacing w:after="0" w:line="284" w:lineRule="auto"/>
        <w:tabs>
          <w:tab w:leader="none" w:pos="136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date of this Agreement no short-time work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or zero-hours agreement (</w:t>
      </w:r>
      <w:r>
        <w:rPr>
          <w:rFonts w:ascii="Times New Roman" w:cs="Times New Roman" w:eastAsia="Times New Roman" w:hAnsi="Times New Roman"/>
          <w:sz w:val="18"/>
          <w:szCs w:val="18"/>
          <w:i w:val="1"/>
          <w:iCs w:val="1"/>
          <w:color w:val="auto"/>
        </w:rPr>
        <w:t>nul-urencontract)</w:t>
      </w:r>
      <w:r>
        <w:rPr>
          <w:rFonts w:ascii="Times New Roman" w:cs="Times New Roman" w:eastAsia="Times New Roman" w:hAnsi="Times New Roman"/>
          <w:sz w:val="18"/>
          <w:szCs w:val="18"/>
          <w:color w:val="auto"/>
        </w:rPr>
        <w:t xml:space="preserve"> has been established at the Company or any of its Subsidiaries.</w:t>
      </w:r>
    </w:p>
    <w:p>
      <w:pPr>
        <w:spacing w:after="0" w:line="160"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8"/>
          <w:szCs w:val="18"/>
          <w:i w:val="1"/>
          <w:iCs w:val="1"/>
          <w:color w:val="auto"/>
        </w:rPr>
        <w:t>verplichtstellingsbeschikking</w:t>
      </w:r>
      <w:r>
        <w:rPr>
          <w:rFonts w:ascii="Times New Roman" w:cs="Times New Roman" w:eastAsia="Times New Roman" w:hAnsi="Times New Roman"/>
          <w:sz w:val="18"/>
          <w:szCs w:val="18"/>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75"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has any previous or current, actual or contingent liability in relation to any defined contribution pension scheme or defined benefit pension scheme.</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6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3.20(k)</w:t>
      </w:r>
      <w:r>
        <w:rPr>
          <w:rFonts w:ascii="Times New Roman" w:cs="Times New Roman" w:eastAsia="Times New Roman" w:hAnsi="Times New Roman"/>
          <w:sz w:val="18"/>
          <w:szCs w:val="18"/>
          <w:color w:val="auto"/>
        </w:rPr>
        <w:t xml:space="preserve"> of the Company Letter, there has been no transfer of undertaking (by receiving employees or transferring employees to another entity) within the Company or any of its Subsidiaries in the last 5 years.</w:t>
      </w:r>
    </w:p>
    <w:p>
      <w:pPr>
        <w:spacing w:after="0" w:line="159" w:lineRule="exact"/>
        <w:rPr>
          <w:rFonts w:ascii="Times New Roman" w:cs="Times New Roman" w:eastAsia="Times New Roman" w:hAnsi="Times New Roman"/>
          <w:sz w:val="18"/>
          <w:szCs w:val="18"/>
          <w:color w:val="auto"/>
        </w:rPr>
      </w:pPr>
    </w:p>
    <w:p>
      <w:pPr>
        <w:ind w:left="120" w:right="440" w:firstLine="987"/>
        <w:spacing w:after="0" w:line="261" w:lineRule="auto"/>
        <w:tabs>
          <w:tab w:leader="none" w:pos="132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is a self-insurer (</w:t>
      </w:r>
      <w:r>
        <w:rPr>
          <w:rFonts w:ascii="Times New Roman" w:cs="Times New Roman" w:eastAsia="Times New Roman" w:hAnsi="Times New Roman"/>
          <w:sz w:val="18"/>
          <w:szCs w:val="18"/>
          <w:i w:val="1"/>
          <w:iCs w:val="1"/>
          <w:color w:val="auto"/>
        </w:rPr>
        <w:t>eigenrisicodrager</w:t>
      </w:r>
      <w:r>
        <w:rPr>
          <w:rFonts w:ascii="Times New Roman" w:cs="Times New Roman" w:eastAsia="Times New Roman" w:hAnsi="Times New Roman"/>
          <w:sz w:val="18"/>
          <w:szCs w:val="18"/>
          <w:color w:val="auto"/>
        </w:rPr>
        <w:t>) under the Partially Disabled Persons Scheme (WGA) and/or the Sickness Benefits Act (</w:t>
      </w:r>
      <w:r>
        <w:rPr>
          <w:rFonts w:ascii="Times New Roman" w:cs="Times New Roman" w:eastAsia="Times New Roman" w:hAnsi="Times New Roman"/>
          <w:sz w:val="18"/>
          <w:szCs w:val="18"/>
          <w:i w:val="1"/>
          <w:iCs w:val="1"/>
          <w:color w:val="auto"/>
        </w:rPr>
        <w:t>Ziektewet</w:t>
      </w:r>
      <w:r>
        <w:rPr>
          <w:rFonts w:ascii="Times New Roman" w:cs="Times New Roman" w:eastAsia="Times New Roman" w:hAnsi="Times New Roman"/>
          <w:sz w:val="18"/>
          <w:szCs w:val="18"/>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8"/>
          <w:szCs w:val="18"/>
          <w:i w:val="1"/>
          <w:iCs w:val="1"/>
          <w:color w:val="auto"/>
        </w:rPr>
        <w:t>Tijdelijke Noodmaatregel Overbrugging voor Werkgelegenheid, the NOW</w:t>
      </w:r>
      <w:r>
        <w:rPr>
          <w:rFonts w:ascii="Times New Roman" w:cs="Times New Roman" w:eastAsia="Times New Roman" w:hAnsi="Times New Roman"/>
          <w:sz w:val="18"/>
          <w:szCs w:val="18"/>
          <w:color w:val="auto"/>
        </w:rPr>
        <w:t>) and no repayment obligations are due.</w:t>
      </w:r>
    </w:p>
    <w:p>
      <w:pPr>
        <w:spacing w:after="0" w:line="18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41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8"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2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67" w:lineRule="exact"/>
        <w:rPr>
          <w:rFonts w:ascii="Times New Roman" w:cs="Times New Roman" w:eastAsia="Times New Roman" w:hAnsi="Times New Roman"/>
          <w:sz w:val="18"/>
          <w:szCs w:val="18"/>
          <w:color w:val="auto"/>
        </w:rPr>
      </w:pPr>
    </w:p>
    <w:p>
      <w:pPr>
        <w:jc w:val="both"/>
        <w:ind w:left="560" w:right="40" w:firstLine="948"/>
        <w:spacing w:after="0" w:line="266" w:lineRule="auto"/>
        <w:tabs>
          <w:tab w:leader="none" w:pos="177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82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 Contract or Order assuming or retaining any Environmental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w:t>
      </w:r>
    </w:p>
    <w:p>
      <w:pPr>
        <w:spacing w:after="0" w:line="98" w:lineRule="exact"/>
        <w:rPr>
          <w:rFonts w:ascii="Times New Roman" w:cs="Times New Roman" w:eastAsia="Times New Roman" w:hAnsi="Times New Roman"/>
          <w:sz w:val="18"/>
          <w:szCs w:val="18"/>
          <w:color w:val="auto"/>
        </w:rPr>
      </w:pPr>
    </w:p>
    <w:p>
      <w:pPr>
        <w:jc w:val="both"/>
        <w:ind w:left="560" w:right="20" w:firstLine="948"/>
        <w:spacing w:after="0" w:line="261" w:lineRule="auto"/>
        <w:tabs>
          <w:tab w:leader="none" w:pos="176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71"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61" w:lineRule="auto"/>
        <w:tabs>
          <w:tab w:leader="none" w:pos="135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 Letter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75"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Authority;</w:t>
      </w:r>
    </w:p>
    <w:p>
      <w:pPr>
        <w:spacing w:after="0" w:line="117" w:lineRule="exact"/>
        <w:rPr>
          <w:rFonts w:ascii="Times New Roman" w:cs="Times New Roman" w:eastAsia="Times New Roman" w:hAnsi="Times New Roman"/>
          <w:sz w:val="18"/>
          <w:szCs w:val="18"/>
          <w:color w:val="auto"/>
        </w:rPr>
      </w:pPr>
    </w:p>
    <w:p>
      <w:pPr>
        <w:jc w:val="both"/>
        <w:ind w:left="560" w:right="540" w:firstLine="948"/>
        <w:spacing w:after="0" w:line="266" w:lineRule="auto"/>
        <w:tabs>
          <w:tab w:leader="none" w:pos="182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560" w:firstLine="948"/>
        <w:spacing w:after="0" w:line="282" w:lineRule="auto"/>
        <w:tabs>
          <w:tab w:leader="none" w:pos="18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stockholders’, investor rights, registration rights, tax receivables or similar or related Contract or arrangement, or any Contract or arrangement relating to the exercise of any voting rights in respect of any Company Securities;</w:t>
      </w:r>
    </w:p>
    <w:p>
      <w:pPr>
        <w:spacing w:after="0" w:line="53"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75" w:lineRule="exact"/>
        <w:rPr>
          <w:rFonts w:ascii="Times New Roman" w:cs="Times New Roman" w:eastAsia="Times New Roman" w:hAnsi="Times New Roman"/>
          <w:sz w:val="18"/>
          <w:szCs w:val="18"/>
          <w:color w:val="auto"/>
        </w:rPr>
      </w:pPr>
    </w:p>
    <w:p>
      <w:pPr>
        <w:jc w:val="both"/>
        <w:ind w:left="560" w:firstLine="948"/>
        <w:spacing w:after="0" w:line="261" w:lineRule="auto"/>
        <w:tabs>
          <w:tab w:leader="none" w:pos="18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71"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67"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9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75" w:lineRule="exact"/>
        <w:rPr>
          <w:rFonts w:ascii="Times New Roman" w:cs="Times New Roman" w:eastAsia="Times New Roman" w:hAnsi="Times New Roman"/>
          <w:sz w:val="18"/>
          <w:szCs w:val="18"/>
          <w:color w:val="auto"/>
        </w:rPr>
      </w:pPr>
    </w:p>
    <w:p>
      <w:pPr>
        <w:ind w:left="560" w:right="180" w:firstLine="948"/>
        <w:spacing w:after="0" w:line="254" w:lineRule="auto"/>
        <w:tabs>
          <w:tab w:leader="none" w:pos="18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83"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7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560" w:firstLine="948"/>
        <w:spacing w:after="0" w:line="266" w:lineRule="auto"/>
        <w:tabs>
          <w:tab w:leader="none" w:pos="181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8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0"/>
        <w:spacing w:after="0" w:line="282" w:lineRule="auto"/>
        <w:rPr>
          <w:sz w:val="20"/>
          <w:szCs w:val="20"/>
          <w:color w:val="auto"/>
        </w:rPr>
      </w:pPr>
      <w:r>
        <w:rPr>
          <w:rFonts w:ascii="Times New Roman" w:cs="Times New Roman" w:eastAsia="Times New Roman" w:hAnsi="Times New Roman"/>
          <w:sz w:val="18"/>
          <w:szCs w:val="18"/>
          <w:color w:val="auto"/>
        </w:rPr>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54" w:lineRule="exact"/>
        <w:rPr>
          <w:sz w:val="20"/>
          <w:szCs w:val="20"/>
          <w:color w:val="auto"/>
        </w:rPr>
      </w:pPr>
    </w:p>
    <w:p>
      <w:pPr>
        <w:ind w:left="560" w:firstLine="948"/>
        <w:spacing w:after="0" w:line="254" w:lineRule="auto"/>
        <w:tabs>
          <w:tab w:leader="none" w:pos="191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1" w:lineRule="auto"/>
        <w:tabs>
          <w:tab w:leader="none" w:pos="185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90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5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the current calendar year or $5,000,000 in the aggregate; and</w:t>
      </w:r>
    </w:p>
    <w:p>
      <w:pPr>
        <w:spacing w:after="0" w:line="53" w:lineRule="exact"/>
        <w:rPr>
          <w:rFonts w:ascii="Times New Roman" w:cs="Times New Roman" w:eastAsia="Times New Roman" w:hAnsi="Times New Roman"/>
          <w:sz w:val="18"/>
          <w:szCs w:val="18"/>
          <w:color w:val="auto"/>
        </w:rPr>
      </w:pPr>
    </w:p>
    <w:p>
      <w:pPr>
        <w:ind w:left="560" w:right="620" w:firstLine="948"/>
        <w:spacing w:after="0" w:line="312" w:lineRule="auto"/>
        <w:tabs>
          <w:tab w:leader="none" w:pos="2007"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Contract not otherwise described in any other subsection of this </w:t>
      </w:r>
      <w:r>
        <w:rPr>
          <w:rFonts w:ascii="Times New Roman" w:cs="Times New Roman" w:eastAsia="Times New Roman" w:hAnsi="Times New Roman"/>
          <w:sz w:val="17"/>
          <w:szCs w:val="17"/>
          <w:u w:val="single" w:color="auto"/>
          <w:color w:val="auto"/>
        </w:rPr>
        <w:t>Section 3.21(a)</w:t>
      </w:r>
      <w:r>
        <w:rPr>
          <w:rFonts w:ascii="Times New Roman" w:cs="Times New Roman" w:eastAsia="Times New Roman" w:hAnsi="Times New Roman"/>
          <w:sz w:val="17"/>
          <w:szCs w:val="17"/>
          <w:color w:val="auto"/>
        </w:rPr>
        <w:t xml:space="preserve"> that would constitute a “material contract” (as such term is defined in Item 601(b)(10) of Regulation S-K as promulgated by the SEC) with respect to the Company.</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52" w:lineRule="auto"/>
        <w:tabs>
          <w:tab w:leader="none" w:pos="136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Financial Advisor Fees</w:t>
      </w:r>
      <w:r>
        <w:rPr>
          <w:rFonts w:ascii="Times New Roman" w:cs="Times New Roman" w:eastAsia="Times New Roman" w:hAnsi="Times New Roman"/>
          <w:sz w:val="18"/>
          <w:szCs w:val="18"/>
          <w:color w:val="auto"/>
        </w:rPr>
        <w:t>. Except for Goldman Sachs Bank Europe SE (the “</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Opinion of Company Financial Advisor</w:t>
      </w:r>
      <w:r>
        <w:rPr>
          <w:rFonts w:ascii="Times New Roman" w:cs="Times New Roman" w:eastAsia="Times New Roman" w:hAnsi="Times New Roman"/>
          <w:sz w:val="18"/>
          <w:szCs w:val="18"/>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83"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spacing w:after="0" w:line="3" w:lineRule="exact"/>
        <w:rPr>
          <w:sz w:val="20"/>
          <w:szCs w:val="20"/>
          <w:color w:val="auto"/>
        </w:rPr>
      </w:pPr>
    </w:p>
    <w:p>
      <w:pPr>
        <w:ind w:left="120" w:right="80" w:hanging="4"/>
        <w:spacing w:after="0" w:line="253" w:lineRule="auto"/>
        <w:tabs>
          <w:tab w:leader="none" w:pos="37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No anti-takeover measure (such as any measure which would qualify as a “</w:t>
      </w:r>
      <w:r>
        <w:rPr>
          <w:rFonts w:ascii="Times New Roman" w:cs="Times New Roman" w:eastAsia="Times New Roman" w:hAnsi="Times New Roman"/>
          <w:sz w:val="18"/>
          <w:szCs w:val="18"/>
          <w:i w:val="1"/>
          <w:iCs w:val="1"/>
          <w:color w:val="auto"/>
        </w:rPr>
        <w:t>beschermingsmaatregel</w:t>
      </w:r>
      <w:r>
        <w:rPr>
          <w:rFonts w:ascii="Times New Roman" w:cs="Times New Roman" w:eastAsia="Times New Roman" w:hAnsi="Times New Roman"/>
          <w:sz w:val="18"/>
          <w:szCs w:val="18"/>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no representation 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3.29 </w:t>
      </w:r>
      <w:r>
        <w:rPr>
          <w:rFonts w:ascii="Times New Roman" w:cs="Times New Roman" w:eastAsia="Times New Roman" w:hAnsi="Times New Roman"/>
          <w:sz w:val="17"/>
          <w:szCs w:val="17"/>
          <w:u w:val="single" w:color="auto"/>
          <w:color w:val="auto"/>
        </w:rPr>
        <w:t>Rule 14d-10 Matters</w:t>
      </w:r>
      <w:r>
        <w:rPr>
          <w:rFonts w:ascii="Times New Roman" w:cs="Times New Roman" w:eastAsia="Times New Roman" w:hAnsi="Times New Roman"/>
          <w:sz w:val="17"/>
          <w:szCs w:val="17"/>
          <w:color w:val="auto"/>
        </w:rPr>
        <w:t>. All amounts payable to holders of Company Shares and other equity interests of the Company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Securityholders</w:t>
      </w:r>
      <w:r>
        <w:rPr>
          <w:rFonts w:ascii="Times New Roman" w:cs="Times New Roman" w:eastAsia="Times New Roman" w:hAnsi="Times New Roman"/>
          <w:sz w:val="17"/>
          <w:szCs w:val="17"/>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5"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Rule 14d-10(d)(1) under the 1934 Act (an “</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spacing w:after="0" w:line="2" w:lineRule="exact"/>
        <w:rPr>
          <w:sz w:val="20"/>
          <w:szCs w:val="20"/>
          <w:color w:val="auto"/>
        </w:rPr>
      </w:pPr>
    </w:p>
    <w:p>
      <w:pPr>
        <w:ind w:left="380" w:hanging="264"/>
        <w:spacing w:after="0"/>
        <w:tabs>
          <w:tab w:leader="none" w:pos="3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other actions necessary to satisfy the requirements of the non-exclusive safe harbor under Rule 14d-10(d) under the 1934 Act with</w:t>
      </w:r>
    </w:p>
    <w:p>
      <w:pPr>
        <w:spacing w:after="0" w:line="9" w:lineRule="exact"/>
        <w:rPr>
          <w:rFonts w:ascii="Times New Roman" w:cs="Times New Roman" w:eastAsia="Times New Roman" w:hAnsi="Times New Roman"/>
          <w:sz w:val="18"/>
          <w:szCs w:val="18"/>
          <w:color w:val="auto"/>
        </w:rPr>
      </w:pPr>
    </w:p>
    <w:p>
      <w:pPr>
        <w:ind w:left="1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7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violate or conflict with any Law or Order applicable to Buyer or any of its Subsidiaries or by which Buyer or its Subsidiaries, or any of their respective properties or assets may be bound,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with only such exceptions, in the case of each of clauses (b) and (c), as would not have or reasonably be expected to have, individually or in the aggregate, a Buyer Material Adverse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20" w:firstLine="987"/>
        <w:spacing w:after="0" w:line="277" w:lineRule="auto"/>
        <w:tabs>
          <w:tab w:leader="none" w:pos="1356"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Buyer consists of 248,552,200 registered shares (</w:t>
      </w:r>
      <w:r>
        <w:rPr>
          <w:rFonts w:ascii="Times New Roman" w:cs="Times New Roman" w:eastAsia="Times New Roman" w:hAnsi="Times New Roman"/>
          <w:sz w:val="17"/>
          <w:szCs w:val="17"/>
          <w:i w:val="1"/>
          <w:iCs w:val="1"/>
          <w:color w:val="auto"/>
        </w:rPr>
        <w:t>Namensaktien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Buyer Shares</w:t>
      </w:r>
      <w:r>
        <w:rPr>
          <w:rFonts w:ascii="Times New Roman" w:cs="Times New Roman" w:eastAsia="Times New Roman" w:hAnsi="Times New Roman"/>
          <w:sz w:val="17"/>
          <w:szCs w:val="17"/>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7"/>
          <w:szCs w:val="17"/>
          <w:color w:val="auto"/>
        </w:rPr>
      </w:pPr>
    </w:p>
    <w:p>
      <w:pPr>
        <w:ind w:left="120" w:right="40" w:hanging="4"/>
        <w:spacing w:after="0" w:line="251" w:lineRule="auto"/>
        <w:tabs>
          <w:tab w:leader="none" w:pos="40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8"/>
          <w:szCs w:val="18"/>
          <w:i w:val="1"/>
          <w:iCs w:val="1"/>
          <w:color w:val="auto"/>
        </w:rPr>
        <w:t>Genehmigtes Kapital 2025</w:t>
      </w:r>
      <w:r>
        <w:rPr>
          <w:rFonts w:ascii="Times New Roman" w:cs="Times New Roman" w:eastAsia="Times New Roman" w:hAnsi="Times New Roman"/>
          <w:sz w:val="18"/>
          <w:szCs w:val="18"/>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93"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Buyer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firstLine="987"/>
        <w:spacing w:after="0" w:line="282" w:lineRule="auto"/>
        <w:tabs>
          <w:tab w:leader="none" w:pos="136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Buyer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2" w:lineRule="auto"/>
        <w:tabs>
          <w:tab w:leader="none" w:pos="135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German statutory accounts) of the Buyer (including any related notes thereto) included or incorporated by reference in the Buyer SEC Documents: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61" w:lineRule="auto"/>
        <w:tabs>
          <w:tab w:leader="none" w:pos="172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120" w:firstLine="987"/>
        <w:spacing w:after="0" w:line="282" w:lineRule="auto"/>
        <w:tabs>
          <w:tab w:leader="none" w:pos="136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5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72" w:lineRule="auto"/>
        <w:tabs>
          <w:tab w:leader="none" w:pos="1356"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120" w:right="80" w:hanging="4"/>
        <w:spacing w:after="0" w:line="271" w:lineRule="auto"/>
        <w:tabs>
          <w:tab w:leader="none" w:pos="33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73" w:lineRule="exact"/>
        <w:rPr>
          <w:rFonts w:ascii="Times New Roman" w:cs="Times New Roman" w:eastAsia="Times New Roman" w:hAnsi="Times New Roman"/>
          <w:sz w:val="17"/>
          <w:szCs w:val="17"/>
          <w:color w:val="auto"/>
        </w:rPr>
      </w:pPr>
    </w:p>
    <w:p>
      <w:pPr>
        <w:ind w:left="120" w:right="180" w:firstLine="987"/>
        <w:spacing w:after="0" w:line="258" w:lineRule="auto"/>
        <w:tabs>
          <w:tab w:leader="none" w:pos="136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80" w:lineRule="exact"/>
        <w:rPr>
          <w:sz w:val="20"/>
          <w:szCs w:val="20"/>
          <w:color w:val="auto"/>
        </w:rPr>
      </w:pPr>
    </w:p>
    <w:p>
      <w:pPr>
        <w:ind w:left="560" w:right="480" w:firstLine="547"/>
        <w:spacing w:after="0" w:line="500" w:lineRule="auto"/>
        <w:tabs>
          <w:tab w:leader="none" w:pos="135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20" w:right="40" w:firstLine="987"/>
        <w:spacing w:after="0" w:line="261" w:lineRule="auto"/>
        <w:tabs>
          <w:tab w:leader="none" w:pos="13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79" w:lineRule="exact"/>
        <w:rPr>
          <w:rFonts w:ascii="Times New Roman" w:cs="Times New Roman" w:eastAsia="Times New Roman" w:hAnsi="Times New Roman"/>
          <w:sz w:val="18"/>
          <w:szCs w:val="18"/>
          <w:color w:val="auto"/>
        </w:rPr>
      </w:pPr>
    </w:p>
    <w:p>
      <w:pPr>
        <w:ind w:left="120" w:firstLine="987"/>
        <w:spacing w:after="0" w:line="271" w:lineRule="auto"/>
        <w:tabs>
          <w:tab w:leader="none" w:pos="1366"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2" w:lineRule="auto"/>
        <w:tabs>
          <w:tab w:leader="none" w:pos="135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Buyer Material Adverse Effect.</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66" w:lineRule="auto"/>
        <w:tabs>
          <w:tab w:leader="none" w:pos="135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6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Buyer Balance Sheet set forth in the Buyer SEC Documents;</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20" w:hanging="312"/>
        <w:spacing w:after="0"/>
        <w:tabs>
          <w:tab w:leader="none" w:pos="18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Buyer and its wholly-owned Subsidiaries or among wholly-owned Subsidiaries of</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w:t>
      </w:r>
    </w:p>
    <w:p>
      <w:pPr>
        <w:spacing w:after="0" w:line="98"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have or reasonably be expected to have, individually or in the aggregate, a Buyer Material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Ownership of Company Shares; Investment</w:t>
      </w:r>
      <w:r>
        <w:rPr>
          <w:rFonts w:ascii="Times New Roman" w:cs="Times New Roman" w:eastAsia="Times New Roman" w:hAnsi="Times New Roman"/>
          <w:sz w:val="18"/>
          <w:szCs w:val="18"/>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Tax-Free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Buyer is not, and will not be, immediately prior to the Closing, an “investment company” within the meaning of Section 368(a)(2)(F)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jc w:val="both"/>
        <w:ind w:left="120" w:right="100" w:firstLine="987"/>
        <w:spacing w:after="0" w:line="289" w:lineRule="auto"/>
        <w:tabs>
          <w:tab w:leader="none" w:pos="1366"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8" w:lineRule="auto"/>
        <w:tabs>
          <w:tab w:leader="none" w:pos="13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8" w:lineRule="auto"/>
        <w:tabs>
          <w:tab w:leader="none" w:pos="136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COMPANY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agrees that:</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Conduct of the Company</w:t>
      </w:r>
      <w:r>
        <w:rPr>
          <w:rFonts w:ascii="Times New Roman" w:cs="Times New Roman" w:eastAsia="Times New Roman" w:hAnsi="Times New Roman"/>
          <w:sz w:val="17"/>
          <w:szCs w:val="17"/>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except as (i) expressly required or expressly contemplated by this Agreement, (ii) set forth on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action expressly permitted to be taken by the Company or any of its Subsidiaries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ind w:left="120" w:hanging="4"/>
        <w:spacing w:after="0" w:line="252" w:lineRule="auto"/>
        <w:tabs>
          <w:tab w:leader="none" w:pos="375" w:val="left"/>
        </w:tabs>
        <w:numPr>
          <w:ilvl w:val="0"/>
          <w:numId w:val="2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a breach of this sentence unless such action would constitute a breach of such specific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81" w:lineRule="exact"/>
        <w:rPr>
          <w:rFonts w:ascii="Times New Roman" w:cs="Times New Roman" w:eastAsia="Times New Roman" w:hAnsi="Times New Roman"/>
          <w:sz w:val="18"/>
          <w:szCs w:val="18"/>
          <w:u w:val="single" w:color="auto"/>
          <w:color w:val="auto"/>
        </w:rPr>
      </w:pPr>
    </w:p>
    <w:p>
      <w:pPr>
        <w:ind w:left="120" w:right="1060" w:firstLine="987"/>
        <w:spacing w:after="0" w:line="282" w:lineRule="auto"/>
        <w:tabs>
          <w:tab w:leader="none" w:pos="135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Company Organizational Documents;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spacing w:after="0" w:line="2" w:lineRule="exact"/>
        <w:rPr>
          <w:rFonts w:ascii="Times New Roman" w:cs="Times New Roman" w:eastAsia="Times New Roman" w:hAnsi="Times New Roman"/>
          <w:sz w:val="18"/>
          <w:szCs w:val="18"/>
          <w:color w:val="auto"/>
        </w:rPr>
      </w:pPr>
    </w:p>
    <w:p>
      <w:pPr>
        <w:ind w:left="120" w:right="120" w:hanging="4"/>
        <w:spacing w:after="0" w:line="253" w:lineRule="auto"/>
        <w:tabs>
          <w:tab w:leader="none" w:pos="43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86"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by </w:t>
      </w:r>
      <w:r>
        <w:rPr>
          <w:rFonts w:ascii="Times New Roman" w:cs="Times New Roman" w:eastAsia="Times New Roman" w:hAnsi="Times New Roman"/>
          <w:sz w:val="18"/>
          <w:szCs w:val="18"/>
          <w:u w:val="single" w:color="auto"/>
          <w:color w:val="auto"/>
        </w:rPr>
        <w:t>Section 5.01(k)</w:t>
      </w:r>
      <w:r>
        <w:rPr>
          <w:rFonts w:ascii="Times New Roman" w:cs="Times New Roman" w:eastAsia="Times New Roman" w:hAnsi="Times New Roman"/>
          <w:sz w:val="18"/>
          <w:szCs w:val="18"/>
          <w:color w:val="auto"/>
        </w:rPr>
        <w:t>, (i) issue, pledge, dispose, grant, transfer, encumber (or otherwise cause to be subject to any Lien), deliver or sell, or authorize the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89" w:lineRule="exact"/>
        <w:rPr>
          <w:sz w:val="20"/>
          <w:szCs w:val="20"/>
          <w:color w:val="auto"/>
        </w:rPr>
      </w:pPr>
    </w:p>
    <w:p>
      <w:pPr>
        <w:ind w:left="120" w:firstLine="987"/>
        <w:spacing w:after="0" w:line="255" w:lineRule="auto"/>
        <w:tabs>
          <w:tab w:leader="none" w:pos="136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94" w:lineRule="exact"/>
        <w:rPr>
          <w:rFonts w:ascii="Times New Roman" w:cs="Times New Roman" w:eastAsia="Times New Roman" w:hAnsi="Times New Roman"/>
          <w:sz w:val="18"/>
          <w:szCs w:val="18"/>
          <w:color w:val="auto"/>
        </w:rPr>
      </w:pPr>
    </w:p>
    <w:p>
      <w:pPr>
        <w:ind w:left="120" w:right="460" w:firstLine="987"/>
        <w:spacing w:after="0" w:line="312" w:lineRule="auto"/>
        <w:tabs>
          <w:tab w:leader="none" w:pos="136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39" w:lineRule="exact"/>
        <w:rPr>
          <w:rFonts w:ascii="Times New Roman" w:cs="Times New Roman" w:eastAsia="Times New Roman" w:hAnsi="Times New Roman"/>
          <w:sz w:val="17"/>
          <w:szCs w:val="17"/>
          <w:color w:val="auto"/>
        </w:rPr>
      </w:pPr>
    </w:p>
    <w:p>
      <w:pPr>
        <w:ind w:left="120" w:firstLine="987"/>
        <w:spacing w:after="0" w:line="282" w:lineRule="auto"/>
        <w:tabs>
          <w:tab w:leader="none" w:pos="136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 xml:space="preserve">Letter or Material Contract required to be listed in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firstLine="987"/>
        <w:spacing w:after="0" w:line="261" w:lineRule="auto"/>
        <w:tabs>
          <w:tab w:leader="none" w:pos="132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2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Plan or Collective Bargaining Agreement, in each case, in effect as of the date hereof,</w:t>
      </w:r>
    </w:p>
    <w:p>
      <w:pPr>
        <w:spacing w:after="0" w:line="27" w:lineRule="exact"/>
        <w:rPr>
          <w:rFonts w:ascii="Times New Roman" w:cs="Times New Roman" w:eastAsia="Times New Roman" w:hAnsi="Times New Roman"/>
          <w:sz w:val="18"/>
          <w:szCs w:val="18"/>
          <w:color w:val="auto"/>
        </w:rPr>
      </w:pPr>
    </w:p>
    <w:p>
      <w:pPr>
        <w:ind w:left="120" w:right="40" w:hanging="4"/>
        <w:spacing w:after="0" w:line="265" w:lineRule="auto"/>
        <w:tabs>
          <w:tab w:leader="none" w:pos="335"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spacing w:after="0" w:line="1" w:lineRule="exact"/>
        <w:rPr>
          <w:rFonts w:ascii="Times New Roman" w:cs="Times New Roman" w:eastAsia="Times New Roman" w:hAnsi="Times New Roman"/>
          <w:sz w:val="17"/>
          <w:szCs w:val="17"/>
          <w:color w:val="auto"/>
        </w:rPr>
      </w:pPr>
    </w:p>
    <w:p>
      <w:pPr>
        <w:ind w:left="12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81" w:lineRule="exact"/>
        <w:rPr>
          <w:rFonts w:ascii="Times New Roman" w:cs="Times New Roman" w:eastAsia="Times New Roman" w:hAnsi="Times New Roman"/>
          <w:sz w:val="17"/>
          <w:szCs w:val="17"/>
          <w:color w:val="auto"/>
        </w:rPr>
      </w:pPr>
    </w:p>
    <w:p>
      <w:pPr>
        <w:ind w:left="120" w:right="140" w:firstLine="987"/>
        <w:spacing w:after="0" w:line="281" w:lineRule="auto"/>
        <w:tabs>
          <w:tab w:leader="none" w:pos="1326"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7"/>
          <w:szCs w:val="17"/>
          <w:u w:val="single" w:color="auto"/>
          <w:color w:val="auto"/>
        </w:rPr>
        <w:t>Section 5.01(l)</w:t>
      </w:r>
      <w:r>
        <w:rPr>
          <w:rFonts w:ascii="Times New Roman" w:cs="Times New Roman" w:eastAsia="Times New Roman" w:hAnsi="Times New Roman"/>
          <w:sz w:val="17"/>
          <w:szCs w:val="17"/>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64" w:lineRule="exact"/>
        <w:rPr>
          <w:rFonts w:ascii="Times New Roman" w:cs="Times New Roman" w:eastAsia="Times New Roman" w:hAnsi="Times New Roman"/>
          <w:sz w:val="17"/>
          <w:szCs w:val="17"/>
          <w:color w:val="auto"/>
        </w:rPr>
      </w:pPr>
    </w:p>
    <w:p>
      <w:pPr>
        <w:ind w:left="120" w:right="360" w:firstLine="987"/>
        <w:spacing w:after="0" w:line="276" w:lineRule="auto"/>
        <w:tabs>
          <w:tab w:leader="none" w:pos="1416"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20" w:right="160" w:hanging="4"/>
        <w:spacing w:after="0" w:line="260" w:lineRule="auto"/>
        <w:tabs>
          <w:tab w:leader="none" w:pos="43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this Agreement or any other agreements contemplated hereby or otherwise related to the Transactions;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76" w:lineRule="auto"/>
        <w:tabs>
          <w:tab w:leader="none" w:pos="1366"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120" w:hanging="4"/>
        <w:spacing w:after="0" w:line="251" w:lineRule="auto"/>
        <w:tabs>
          <w:tab w:leader="none" w:pos="3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or Actions relating to Taxes (which, for the avoidance of doubt, shall be governed by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8"/>
          <w:szCs w:val="18"/>
          <w:u w:val="single" w:color="auto"/>
          <w:color w:val="auto"/>
        </w:rPr>
        <w:t>Section 5.01(n)</w:t>
      </w:r>
      <w:r>
        <w:rPr>
          <w:rFonts w:ascii="Times New Roman" w:cs="Times New Roman" w:eastAsia="Times New Roman" w:hAnsi="Times New Roman"/>
          <w:sz w:val="18"/>
          <w:szCs w:val="18"/>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92"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pursuant to Buyer’s request as set forth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the Company and its Subsidiaries conducted as of the date hereof;</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not being satisfied, or (iv) impair its ability to perform its obligations under this Agreement or to consummate the Transactions on a timely basis;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180" w:firstLine="547"/>
        <w:spacing w:after="0" w:line="500" w:lineRule="auto"/>
        <w:tabs>
          <w:tab w:leader="none" w:pos="136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propose, authorize, agree, resolve or commit to do any of the foregoing. Section 5.02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right="60" w:firstLine="987"/>
        <w:spacing w:after="0" w:line="266" w:lineRule="auto"/>
        <w:tabs>
          <w:tab w:leader="none" w:pos="1356"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use its reasonable best efforts</w:t>
      </w:r>
    </w:p>
    <w:p>
      <w:pPr>
        <w:spacing w:after="0" w:line="6" w:lineRule="exact"/>
        <w:rPr>
          <w:rFonts w:ascii="Times New Roman" w:cs="Times New Roman" w:eastAsia="Times New Roman" w:hAnsi="Times New Roman"/>
          <w:sz w:val="17"/>
          <w:szCs w:val="17"/>
          <w:color w:val="auto"/>
        </w:rPr>
      </w:pPr>
    </w:p>
    <w:p>
      <w:pPr>
        <w:ind w:left="120" w:hanging="4"/>
        <w:spacing w:after="0" w:line="251" w:lineRule="auto"/>
        <w:tabs>
          <w:tab w:leader="none" w:pos="41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No notice, access, review or investigation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information provided, made available or delivered to Buyer or its Representatives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93"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Notwithstanding anything to the contrary in this Agreement or the Confidentiality Agreements, the Confidentiality Agreements shall be deemed terminated as of the Closing.</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Buyer, directly or indirectly, rights to control the Company or any of its Subsidiaries before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Solicitation; Adverse Recommendation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5" w:lineRule="auto"/>
        <w:tabs>
          <w:tab w:leader="none" w:pos="135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2" w:lineRule="exact"/>
        <w:rPr>
          <w:rFonts w:ascii="Times New Roman" w:cs="Times New Roman" w:eastAsia="Times New Roman" w:hAnsi="Times New Roman"/>
          <w:sz w:val="18"/>
          <w:szCs w:val="18"/>
          <w:color w:val="auto"/>
        </w:rPr>
      </w:pPr>
    </w:p>
    <w:p>
      <w:pPr>
        <w:ind w:left="120" w:right="20" w:hanging="4"/>
        <w:spacing w:after="0" w:line="250" w:lineRule="auto"/>
        <w:tabs>
          <w:tab w:leader="none" w:pos="3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informing Persons of the provisions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subject to and in accordance with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shall promptly (and in any event within two</w:t>
      </w:r>
    </w:p>
    <w:p>
      <w:pPr>
        <w:spacing w:after="0" w:line="5"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prior to the Expiration Time, in the event that the Company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120" w:firstLine="948"/>
        <w:spacing w:after="0" w:line="254" w:lineRule="auto"/>
        <w:tabs>
          <w:tab w:leader="none" w:pos="1727"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780" w:hanging="272"/>
        <w:spacing w:after="0"/>
        <w:tabs>
          <w:tab w:leader="none" w:pos="178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discussions or negotiations with such Person or group with respect to such Alternative Acquisition Proposal.</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Company set forth in </w:t>
      </w:r>
      <w:r>
        <w:rPr>
          <w:rFonts w:ascii="Times New Roman" w:cs="Times New Roman" w:eastAsia="Times New Roman" w:hAnsi="Times New Roman"/>
          <w:sz w:val="18"/>
          <w:szCs w:val="18"/>
          <w:u w:val="single" w:color="auto"/>
          <w:color w:val="auto"/>
        </w:rPr>
        <w:t>Sections 5.03(a), (b), and (d)</w:t>
      </w:r>
      <w:r>
        <w:rPr>
          <w:rFonts w:ascii="Times New Roman" w:cs="Times New Roman" w:eastAsia="Times New Roman" w:hAnsi="Times New Roman"/>
          <w:sz w:val="18"/>
          <w:szCs w:val="18"/>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neither the Company Boards nor any committee thereof shall, directly or indirectly:</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3" w:lineRule="auto"/>
        <w:tabs>
          <w:tab w:leader="none" w:pos="1727"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 being referred to as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w:t>
      </w:r>
    </w:p>
    <w:p>
      <w:pPr>
        <w:spacing w:after="0" w:line="84" w:lineRule="exact"/>
        <w:rPr>
          <w:sz w:val="20"/>
          <w:szCs w:val="20"/>
          <w:color w:val="auto"/>
        </w:rPr>
      </w:pPr>
    </w:p>
    <w:p>
      <w:pPr>
        <w:ind w:left="560" w:firstLine="948"/>
        <w:spacing w:after="0" w:line="256" w:lineRule="auto"/>
        <w:tabs>
          <w:tab w:leader="none" w:pos="177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260" w:firstLine="987"/>
        <w:spacing w:after="0" w:line="261" w:lineRule="auto"/>
        <w:tabs>
          <w:tab w:leader="none" w:pos="135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or authorize, resolve, agree or propose publicly to take any such action, only if all of the following conditions are met:</w:t>
      </w:r>
    </w:p>
    <w:p>
      <w:pPr>
        <w:spacing w:after="0" w:line="117" w:lineRule="exact"/>
        <w:rPr>
          <w:sz w:val="20"/>
          <w:szCs w:val="20"/>
          <w:color w:val="auto"/>
        </w:rPr>
      </w:pPr>
    </w:p>
    <w:p>
      <w:pPr>
        <w:ind w:left="1720" w:hanging="212"/>
        <w:spacing w:after="0"/>
        <w:tabs>
          <w:tab w:leader="none" w:pos="1720"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any of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77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3" w:lineRule="exact"/>
        <w:rPr>
          <w:rFonts w:ascii="Times New Roman" w:cs="Times New Roman" w:eastAsia="Times New Roman" w:hAnsi="Times New Roman"/>
          <w:sz w:val="18"/>
          <w:szCs w:val="18"/>
          <w:color w:val="auto"/>
        </w:rPr>
      </w:pPr>
    </w:p>
    <w:p>
      <w:pPr>
        <w:ind w:left="560" w:hanging="4"/>
        <w:spacing w:after="0" w:line="251" w:lineRule="auto"/>
        <w:tabs>
          <w:tab w:leader="none" w:pos="81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period) and (3)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85" w:lineRule="exact"/>
        <w:rPr>
          <w:rFonts w:ascii="Times New Roman" w:cs="Times New Roman" w:eastAsia="Times New Roman" w:hAnsi="Times New Roman"/>
          <w:sz w:val="18"/>
          <w:szCs w:val="18"/>
          <w:color w:val="auto"/>
        </w:rPr>
      </w:pPr>
    </w:p>
    <w:p>
      <w:pPr>
        <w:ind w:left="560" w:firstLine="948"/>
        <w:spacing w:after="0" w:line="258" w:lineRule="auto"/>
        <w:tabs>
          <w:tab w:leader="none" w:pos="182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would continue to be inconsistent with the fiduciary duties of the members of the Company Boards under the Laws of The Netherlands.</w:t>
      </w:r>
    </w:p>
    <w:p>
      <w:pPr>
        <w:spacing w:after="0" w:line="183"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3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would no longer be inconsistent with the fiduciary duties of the members of the Company Boards under the Laws of The Netherlands; and</w:t>
      </w:r>
    </w:p>
    <w:p>
      <w:pPr>
        <w:spacing w:after="0" w:line="86" w:lineRule="exact"/>
        <w:rPr>
          <w:rFonts w:ascii="Times New Roman" w:cs="Times New Roman" w:eastAsia="Times New Roman" w:hAnsi="Times New Roman"/>
          <w:sz w:val="18"/>
          <w:szCs w:val="18"/>
          <w:color w:val="auto"/>
        </w:rPr>
      </w:pPr>
    </w:p>
    <w:p>
      <w:pPr>
        <w:ind w:left="560" w:right="240" w:firstLine="948"/>
        <w:spacing w:after="0" w:line="261" w:lineRule="auto"/>
        <w:tabs>
          <w:tab w:leader="none" w:pos="1777"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76" w:lineRule="auto"/>
        <w:rPr>
          <w:sz w:val="20"/>
          <w:szCs w:val="20"/>
          <w:color w:val="auto"/>
        </w:rPr>
      </w:pPr>
      <w:r>
        <w:rPr>
          <w:rFonts w:ascii="Times New Roman" w:cs="Times New Roman" w:eastAsia="Times New Roman" w:hAnsi="Times New Roman"/>
          <w:sz w:val="17"/>
          <w:szCs w:val="17"/>
          <w:color w:val="auto"/>
        </w:rPr>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each such material change, each reference in the preceding clauses (i) and</w:t>
      </w:r>
    </w:p>
    <w:p>
      <w:pPr>
        <w:spacing w:after="0" w:line="1" w:lineRule="exact"/>
        <w:rPr>
          <w:sz w:val="20"/>
          <w:szCs w:val="20"/>
          <w:color w:val="auto"/>
        </w:rPr>
      </w:pPr>
    </w:p>
    <w:p>
      <w:pPr>
        <w:ind w:left="820" w:hanging="264"/>
        <w:spacing w:after="0"/>
        <w:tabs>
          <w:tab w:leader="none" w:pos="8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“four (4) Business Day” period shall be changed to refer to a “three (3) Business Day” period).</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disclosures with respect to any of the foregoing shall be deemed an Adverse Recommendation Change unless the Company Boards expressly publicly reaffirm the Company Recommendation.</w:t>
      </w:r>
    </w:p>
    <w:p>
      <w:pPr>
        <w:spacing w:after="0" w:line="18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Compensation Arrangements</w:t>
      </w:r>
      <w:r>
        <w:rPr>
          <w:rFonts w:ascii="Times New Roman" w:cs="Times New Roman" w:eastAsia="Times New Roman" w:hAnsi="Times New Roman"/>
          <w:sz w:val="17"/>
          <w:szCs w:val="17"/>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spacing w:after="0" w:line="2" w:lineRule="exact"/>
        <w:rPr>
          <w:sz w:val="20"/>
          <w:szCs w:val="20"/>
          <w:color w:val="auto"/>
        </w:rPr>
      </w:pPr>
    </w:p>
    <w:p>
      <w:pPr>
        <w:ind w:left="120" w:right="40" w:hanging="4"/>
        <w:spacing w:after="0" w:line="253" w:lineRule="auto"/>
        <w:tabs>
          <w:tab w:leader="none" w:pos="3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Delisting; Deregistration</w:t>
      </w:r>
      <w:r>
        <w:rPr>
          <w:rFonts w:ascii="Times New Roman" w:cs="Times New Roman" w:eastAsia="Times New Roman" w:hAnsi="Times New Roman"/>
          <w:sz w:val="18"/>
          <w:szCs w:val="18"/>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Internal Controls Remediation Actions</w:t>
      </w:r>
      <w:r>
        <w:rPr>
          <w:rFonts w:ascii="Times New Roman" w:cs="Times New Roman" w:eastAsia="Times New Roman" w:hAnsi="Times New Roman"/>
          <w:sz w:val="18"/>
          <w:szCs w:val="18"/>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The Company Group shall maintain its books and records in accordance with applicable Tax Law in all material respects through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Date.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87"/>
        <w:spacing w:after="0" w:line="261" w:lineRule="auto"/>
        <w:tabs>
          <w:tab w:leader="none" w:pos="1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BUYER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Buyer agrees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Director and Officer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987"/>
        <w:spacing w:after="0" w:line="276" w:lineRule="auto"/>
        <w:tabs>
          <w:tab w:leader="none" w:pos="1356"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120" w:right="160" w:hanging="4"/>
        <w:spacing w:after="0" w:line="260" w:lineRule="auto"/>
        <w:tabs>
          <w:tab w:leader="none" w:pos="3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Indemnified Persons is intended to be third-party beneficiaries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55" w:lineRule="auto"/>
        <w:tabs>
          <w:tab w:leader="none" w:pos="135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5" w:lineRule="auto"/>
        <w:tabs>
          <w:tab w:leader="none" w:pos="136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generality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Prior to the Expiration Time, Buyer shall cause the Buyer ADSs to be issued in the Offer to be approved for listing on Nasdaq, subject to official notice of issuance.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Conduct of Buyer</w:t>
      </w:r>
      <w:r>
        <w:rPr>
          <w:rFonts w:ascii="Times New Roman" w:cs="Times New Roman" w:eastAsia="Times New Roman" w:hAnsi="Times New Roman"/>
          <w:sz w:val="18"/>
          <w:szCs w:val="18"/>
          <w:color w:val="auto"/>
        </w:rPr>
        <w:t>. During the Pre-Closing Period, except as (i) expressly required or expressly contemplated by this Agreement,</w:t>
      </w:r>
    </w:p>
    <w:p>
      <w:pPr>
        <w:spacing w:after="0" w:line="27" w:lineRule="exact"/>
        <w:rPr>
          <w:sz w:val="20"/>
          <w:szCs w:val="20"/>
          <w:color w:val="auto"/>
        </w:rPr>
      </w:pPr>
    </w:p>
    <w:p>
      <w:pPr>
        <w:ind w:left="120" w:hanging="4"/>
        <w:spacing w:after="0" w:line="251" w:lineRule="auto"/>
        <w:tabs>
          <w:tab w:leader="none" w:pos="3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84"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5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Buyer Shares or Buyer ADSs including pursuant to any recapitalization, merger, issuer tender or exchange offer or other similar transaction, unless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62" w:lineRule="exact"/>
        <w:rPr>
          <w:sz w:val="20"/>
          <w:szCs w:val="20"/>
          <w:color w:val="auto"/>
        </w:rPr>
      </w:pPr>
    </w:p>
    <w:p>
      <w:pPr>
        <w:ind w:left="560" w:right="6000" w:firstLine="547"/>
        <w:spacing w:after="0" w:line="500" w:lineRule="auto"/>
        <w:tabs>
          <w:tab w:leader="none" w:pos="136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resolve or commit to do any of the foregoing. Section 6.05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right="380" w:firstLine="987"/>
        <w:spacing w:after="0" w:line="282" w:lineRule="auto"/>
        <w:tabs>
          <w:tab w:leader="none" w:pos="135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75" w:lineRule="exact"/>
        <w:rPr>
          <w:rFonts w:ascii="Times New Roman" w:cs="Times New Roman" w:eastAsia="Times New Roman" w:hAnsi="Times New Roman"/>
          <w:sz w:val="18"/>
          <w:szCs w:val="18"/>
          <w:color w:val="auto"/>
        </w:rPr>
      </w:pPr>
    </w:p>
    <w:p>
      <w:pPr>
        <w:jc w:val="both"/>
        <w:ind w:left="120" w:right="120" w:firstLine="987"/>
        <w:spacing w:after="0" w:line="289" w:lineRule="auto"/>
        <w:tabs>
          <w:tab w:leader="none" w:pos="1356"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7" w:lineRule="exact"/>
        <w:rPr>
          <w:rFonts w:ascii="Times New Roman" w:cs="Times New Roman" w:eastAsia="Times New Roman" w:hAnsi="Times New Roman"/>
          <w:sz w:val="17"/>
          <w:szCs w:val="17"/>
          <w:color w:val="auto"/>
        </w:rPr>
      </w:pPr>
    </w:p>
    <w:p>
      <w:pPr>
        <w:ind w:left="120" w:right="160" w:firstLine="987"/>
        <w:spacing w:after="0" w:line="258" w:lineRule="auto"/>
        <w:tabs>
          <w:tab w:leader="none" w:pos="136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PARTIES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agree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00" w:firstLine="987"/>
        <w:spacing w:after="0" w:line="272" w:lineRule="auto"/>
        <w:tabs>
          <w:tab w:leader="none" w:pos="1356"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7"/>
          <w:szCs w:val="17"/>
          <w:u w:val="single" w:color="auto"/>
          <w:color w:val="auto"/>
        </w:rPr>
        <w:t>Section 7.01(g)</w:t>
      </w:r>
      <w:r>
        <w:rPr>
          <w:rFonts w:ascii="Times New Roman" w:cs="Times New Roman" w:eastAsia="Times New Roman" w:hAnsi="Times New Roman"/>
          <w:sz w:val="17"/>
          <w:szCs w:val="17"/>
          <w:color w:val="auto"/>
        </w:rPr>
        <w:t>. Without limiting the foregoing, during the Pre-Closing Period, the Parties shall use their respective reasonable best efforts to (i) promptly satisfy the Offer Condition set forth in paragraphs (B) and (L) of Annex I and</w:t>
      </w:r>
    </w:p>
    <w:p>
      <w:pPr>
        <w:spacing w:after="0" w:line="1" w:lineRule="exact"/>
        <w:rPr>
          <w:rFonts w:ascii="Times New Roman" w:cs="Times New Roman" w:eastAsia="Times New Roman" w:hAnsi="Times New Roman"/>
          <w:sz w:val="17"/>
          <w:szCs w:val="17"/>
          <w:color w:val="auto"/>
        </w:rPr>
      </w:pPr>
    </w:p>
    <w:p>
      <w:pPr>
        <w:ind w:left="120" w:hanging="4"/>
        <w:spacing w:after="0" w:line="252" w:lineRule="auto"/>
        <w:tabs>
          <w:tab w:leader="none" w:pos="3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89" w:lineRule="exact"/>
        <w:rPr>
          <w:rFonts w:ascii="Times New Roman" w:cs="Times New Roman" w:eastAsia="Times New Roman" w:hAnsi="Times New Roman"/>
          <w:sz w:val="18"/>
          <w:szCs w:val="18"/>
          <w:color w:val="auto"/>
        </w:rPr>
      </w:pPr>
    </w:p>
    <w:p>
      <w:pPr>
        <w:ind w:left="120" w:right="480" w:firstLine="987"/>
        <w:spacing w:after="0" w:line="266" w:lineRule="auto"/>
        <w:tabs>
          <w:tab w:leader="none" w:pos="136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Party may limit disclosure of commercially sensitive portions of such materials to the outside legal counsel and consultants of the other Parties.</w:t>
      </w:r>
    </w:p>
    <w:p>
      <w:pPr>
        <w:spacing w:after="0" w:line="176" w:lineRule="exact"/>
        <w:rPr>
          <w:sz w:val="20"/>
          <w:szCs w:val="20"/>
          <w:color w:val="auto"/>
        </w:rPr>
      </w:pPr>
    </w:p>
    <w:p>
      <w:pPr>
        <w:ind w:left="120" w:right="100" w:firstLine="987"/>
        <w:spacing w:after="0" w:line="254" w:lineRule="auto"/>
        <w:tabs>
          <w:tab w:leader="none" w:pos="13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to cooperate with the other and use its reasonable best efforts in order to resolve any investigation or other inquiry concerning the Transactions initiated by the United States Federal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83" w:lineRule="exact"/>
        <w:rPr>
          <w:sz w:val="20"/>
          <w:szCs w:val="20"/>
          <w:color w:val="auto"/>
        </w:rPr>
      </w:pPr>
    </w:p>
    <w:p>
      <w:pPr>
        <w:ind w:left="120" w:firstLine="987"/>
        <w:spacing w:after="0" w:line="252" w:lineRule="auto"/>
        <w:tabs>
          <w:tab w:leader="none" w:pos="136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95" w:lineRule="exact"/>
        <w:rPr>
          <w:rFonts w:ascii="Times New Roman" w:cs="Times New Roman" w:eastAsia="Times New Roman" w:hAnsi="Times New Roman"/>
          <w:sz w:val="18"/>
          <w:szCs w:val="18"/>
          <w:color w:val="auto"/>
        </w:rPr>
      </w:pPr>
    </w:p>
    <w:p>
      <w:pPr>
        <w:ind w:left="120" w:right="220" w:firstLine="987"/>
        <w:spacing w:after="0" w:line="256" w:lineRule="auto"/>
        <w:tabs>
          <w:tab w:leader="none" w:pos="136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87"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2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Filings</w:t>
      </w:r>
      <w:r>
        <w:rPr>
          <w:rFonts w:ascii="Times New Roman" w:cs="Times New Roman" w:eastAsia="Times New Roman" w:hAnsi="Times New Roman"/>
          <w:sz w:val="18"/>
          <w:szCs w:val="18"/>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such proper deeds, assignments, instruments and assurances and do all other things reasonably necessary or desirable to consummate the Transactions and to carry out the purposes and intent of this Agreement.</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The Company and Buyer agree to issue (or cause to be issued) the previously agreed upon form of joint press release announcing the execution of this Agreement promptly following the execution of this Agreement.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notice pursuant to this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120" w:right="40" w:hanging="4"/>
        <w:spacing w:after="0" w:line="252" w:lineRule="auto"/>
        <w:tabs>
          <w:tab w:leader="none" w:pos="40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further agree to the matters set forth on </w:t>
      </w:r>
      <w:r>
        <w:rPr>
          <w:rFonts w:ascii="Times New Roman" w:cs="Times New Roman" w:eastAsia="Times New Roman" w:hAnsi="Times New Roman"/>
          <w:sz w:val="18"/>
          <w:szCs w:val="18"/>
          <w:u w:val="single" w:color="auto"/>
          <w:color w:val="auto"/>
        </w:rPr>
        <w:t>Schedule 7.06(b)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Business Continuity</w:t>
      </w:r>
      <w:r>
        <w:rPr>
          <w:rFonts w:ascii="Times New Roman" w:cs="Times New Roman" w:eastAsia="Times New Roman" w:hAnsi="Times New Roman"/>
          <w:sz w:val="18"/>
          <w:szCs w:val="18"/>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55" w:lineRule="auto"/>
        <w:tabs>
          <w:tab w:leader="none" w:pos="1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spacing w:after="0" w:line="2" w:lineRule="exact"/>
        <w:rPr>
          <w:rFonts w:ascii="Times New Roman" w:cs="Times New Roman" w:eastAsia="Times New Roman" w:hAnsi="Times New Roman"/>
          <w:sz w:val="18"/>
          <w:szCs w:val="18"/>
          <w:color w:val="auto"/>
        </w:rPr>
      </w:pPr>
    </w:p>
    <w:p>
      <w:pPr>
        <w:ind w:left="1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8"/>
          <w:szCs w:val="18"/>
          <w:u w:val="single" w:color="auto"/>
          <w:color w:val="auto"/>
        </w:rPr>
        <w:t>Buyer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8"/>
          <w:szCs w:val="18"/>
          <w:u w:val="single" w:color="auto"/>
          <w:color w:val="auto"/>
        </w:rPr>
        <w:t>Company Tax Counsel</w:t>
      </w:r>
      <w:r>
        <w:rPr>
          <w:rFonts w:ascii="Times New Roman" w:cs="Times New Roman" w:eastAsia="Times New Roman" w:hAnsi="Times New Roman"/>
          <w:sz w:val="18"/>
          <w:szCs w:val="18"/>
          <w:color w:val="auto"/>
        </w:rPr>
        <w:t>”) (each such opinion,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solely to the extent one or both of such Tax</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Acceptance Time:</w:t>
      </w:r>
    </w:p>
    <w:p>
      <w:pPr>
        <w:spacing w:after="0" w:line="117" w:lineRule="exact"/>
        <w:rPr>
          <w:sz w:val="20"/>
          <w:szCs w:val="20"/>
          <w:color w:val="auto"/>
        </w:rPr>
      </w:pPr>
    </w:p>
    <w:p>
      <w:pPr>
        <w:ind w:left="1360" w:hanging="253"/>
        <w:spacing w:after="0"/>
        <w:tabs>
          <w:tab w:leader="none" w:pos="13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Buyer;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Buyer:</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4" w:lineRule="auto"/>
        <w:tabs>
          <w:tab w:leader="none" w:pos="172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80"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satisfied and the Legal Restraint giving rise to such</w:t>
      </w:r>
    </w:p>
    <w:p>
      <w:pPr>
        <w:spacing w:after="0" w:line="27" w:lineRule="exact"/>
        <w:rPr>
          <w:sz w:val="20"/>
          <w:szCs w:val="20"/>
          <w:color w:val="auto"/>
        </w:rPr>
      </w:pPr>
    </w:p>
    <w:p>
      <w:pPr>
        <w:ind w:left="560" w:right="60"/>
        <w:spacing w:after="0" w:line="260" w:lineRule="auto"/>
        <w:rPr>
          <w:sz w:val="20"/>
          <w:szCs w:val="20"/>
          <w:color w:val="auto"/>
        </w:rPr>
      </w:pPr>
      <w:r>
        <w:rPr>
          <w:rFonts w:ascii="Times New Roman" w:cs="Times New Roman" w:eastAsia="Times New Roman" w:hAnsi="Times New Roman"/>
          <w:sz w:val="18"/>
          <w:szCs w:val="18"/>
          <w:color w:val="auto"/>
        </w:rPr>
        <w:t xml:space="preserve">non-satisfaction shall have become final, permanent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have complied in all material respects with its obligations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60" w:firstLine="948"/>
        <w:spacing w:after="0" w:line="258" w:lineRule="auto"/>
        <w:tabs>
          <w:tab w:leader="none" w:pos="182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Buyer if Buyer does not extend the Offer in circumstances where Buyer is required to extend the Offer under this Agreement; or</w:t>
      </w: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2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82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(A) the Governance Resolutions have not been adopted or (B) the Post-Offer Reorganization Resolutions have not been adopted;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 Willful Breach of any of the Company’s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 any material respect; or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72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8"/>
          <w:szCs w:val="18"/>
          <w:u w:val="single" w:color="auto"/>
          <w:color w:val="auto"/>
        </w:rPr>
        <w:t>Section 8.03(b)(i)</w:t>
      </w:r>
      <w:r>
        <w:rPr>
          <w:rFonts w:ascii="Times New Roman" w:cs="Times New Roman" w:eastAsia="Times New Roman" w:hAnsi="Times New Roman"/>
          <w:sz w:val="18"/>
          <w:szCs w:val="18"/>
          <w:color w:val="auto"/>
        </w:rPr>
        <w:t xml:space="preserve"> and (B) the Company shall not have breached in any material respect any of its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firstLine="948"/>
        <w:spacing w:after="0" w:line="256" w:lineRule="auto"/>
        <w:tabs>
          <w:tab w:leader="none" w:pos="177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560" w:right="120" w:firstLine="948"/>
        <w:spacing w:after="0" w:line="282" w:lineRule="auto"/>
        <w:tabs>
          <w:tab w:leader="none" w:pos="182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and (B) the First Capital Increase has not become effective within ninety (90) calendar days after the Acceptance Time; or</w:t>
      </w:r>
    </w:p>
    <w:p>
      <w:pPr>
        <w:spacing w:after="0" w:line="53"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81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8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the valid termination of this Agreement as provided in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in all respects to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(including, in each case, the limitations set forth therein), (a) the Confidentiality Agreements,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(in each case, subject to the limitations set forth therein) shall survive the valid termination hereof and</w:t>
      </w:r>
    </w:p>
    <w:p>
      <w:pPr>
        <w:spacing w:after="0" w:line="5" w:lineRule="exact"/>
        <w:rPr>
          <w:sz w:val="20"/>
          <w:szCs w:val="20"/>
          <w:color w:val="auto"/>
        </w:rPr>
      </w:pPr>
    </w:p>
    <w:p>
      <w:pPr>
        <w:jc w:val="both"/>
        <w:ind w:left="120" w:right="700" w:hanging="4"/>
        <w:spacing w:after="0" w:line="290" w:lineRule="auto"/>
        <w:tabs>
          <w:tab w:leader="none" w:pos="375"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Expenses;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987"/>
        <w:spacing w:after="0" w:line="282" w:lineRule="auto"/>
        <w:tabs>
          <w:tab w:leader="none" w:pos="135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all fees, costs and expenses incurred in connection with this Agreement and the Transactions shall be paid by the Party incurring such fees, costs and expenses, whether or not the Transactions are consummated.</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The Company shall pay, or cause to be paid, to Buyer by wire transfer of immediately available funds an amount equal to the Company Termination Compensation (without interest and less any applicable withholding Taxes):</w:t>
      </w:r>
    </w:p>
    <w:p>
      <w:pPr>
        <w:spacing w:after="0" w:line="53" w:lineRule="exact"/>
        <w:rPr>
          <w:rFonts w:ascii="Times New Roman" w:cs="Times New Roman" w:eastAsia="Times New Roman" w:hAnsi="Times New Roman"/>
          <w:sz w:val="18"/>
          <w:szCs w:val="18"/>
          <w:color w:val="auto"/>
        </w:rPr>
      </w:pPr>
    </w:p>
    <w:p>
      <w:pPr>
        <w:ind w:left="560" w:right="440" w:firstLine="948"/>
        <w:spacing w:after="0" w:line="282" w:lineRule="auto"/>
        <w:tabs>
          <w:tab w:leader="none" w:pos="172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the Company pursuant to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in which case payment shall be made concurrently with such termination;</w:t>
      </w:r>
    </w:p>
    <w:p>
      <w:pPr>
        <w:spacing w:after="0" w:line="53"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77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Buyer pursuant to </w:t>
      </w:r>
      <w:r>
        <w:rPr>
          <w:rFonts w:ascii="Times New Roman" w:cs="Times New Roman" w:eastAsia="Times New Roman" w:hAnsi="Times New Roman"/>
          <w:sz w:val="18"/>
          <w:szCs w:val="18"/>
          <w:u w:val="single" w:color="auto"/>
          <w:color w:val="auto"/>
        </w:rPr>
        <w:t>Section 8.01(c)(ii)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8.01(c)(iv)</w:t>
      </w:r>
      <w:r>
        <w:rPr>
          <w:rFonts w:ascii="Times New Roman" w:cs="Times New Roman" w:eastAsia="Times New Roman" w:hAnsi="Times New Roman"/>
          <w:sz w:val="18"/>
          <w:szCs w:val="18"/>
          <w:color w:val="auto"/>
        </w:rPr>
        <w:t>, in which case payment shall be made within five (5) Business Days following any such termination; or</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57" w:lineRule="auto"/>
        <w:tabs>
          <w:tab w:leader="none" w:pos="182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60" w:right="20" w:hanging="4"/>
        <w:spacing w:after="0" w:line="250" w:lineRule="auto"/>
        <w:tabs>
          <w:tab w:leader="none" w:pos="8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Buyer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(if by Buyer, only if at such time Buyer would not be prohibited from terminating this Agreement by either proviso in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and the Minimum Condition has not been satisfied as of the final Expiration Time of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Offer Conditions set forth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have been satisfied as of such date) or (3) by Buyer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(A), in which case payment shall be made to Buyer concurrently with the earlier of the date on which such transaction is consummated and the date on which the Company enters into such Contract. For purposes of the foregoing</w:t>
      </w:r>
    </w:p>
    <w:p>
      <w:pPr>
        <w:spacing w:after="0" w:line="3" w:lineRule="exact"/>
        <w:rPr>
          <w:rFonts w:ascii="Times New Roman" w:cs="Times New Roman" w:eastAsia="Times New Roman" w:hAnsi="Times New Roman"/>
          <w:sz w:val="18"/>
          <w:szCs w:val="18"/>
          <w:color w:val="auto"/>
        </w:rPr>
      </w:pPr>
    </w:p>
    <w:p>
      <w:pPr>
        <w:ind w:left="56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(C), references in the definition of the term “Alternative Acquisition Proposal” to the figure “twenty percent (20%)” shall be deemed to be replaced by “fifty percent (50%).”</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w:t>
      </w:r>
    </w:p>
    <w:p>
      <w:pPr>
        <w:spacing w:after="0" w:line="117" w:lineRule="exact"/>
        <w:rPr>
          <w:rFonts w:ascii="Times New Roman" w:cs="Times New Roman" w:eastAsia="Times New Roman" w:hAnsi="Times New Roman"/>
          <w:sz w:val="18"/>
          <w:szCs w:val="18"/>
          <w:color w:val="auto"/>
        </w:rPr>
      </w:pPr>
    </w:p>
    <w:p>
      <w:pPr>
        <w:ind w:left="560" w:firstLine="948"/>
        <w:spacing w:after="0" w:line="256" w:lineRule="auto"/>
        <w:tabs>
          <w:tab w:leader="none" w:pos="1727" w:val="left"/>
        </w:tabs>
        <w:numPr>
          <w:ilvl w:val="2"/>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9" w:lineRule="exact"/>
        <w:rPr>
          <w:rFonts w:ascii="Times New Roman" w:cs="Times New Roman" w:eastAsia="Times New Roman" w:hAnsi="Times New Roman"/>
          <w:sz w:val="18"/>
          <w:szCs w:val="18"/>
          <w:color w:val="auto"/>
        </w:rPr>
      </w:pPr>
    </w:p>
    <w:p>
      <w:pPr>
        <w:ind w:left="560" w:right="20" w:firstLine="419"/>
        <w:spacing w:after="0" w:line="261" w:lineRule="auto"/>
        <w:tabs>
          <w:tab w:leader="none" w:pos="12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71"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9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if, as of the time of such termination, the only Offer Conditions that have not been satisfied or waived (to the extent such waiver is not prohibited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5"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987"/>
        <w:spacing w:after="0" w:line="268" w:lineRule="auto"/>
        <w:tabs>
          <w:tab w:leader="none" w:pos="1366"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that the agreements contained in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Buyer,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James Ryan, Chief Legal Officer &amp; Chief Business Officer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Paul Claydon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Jack S. Bodner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540" w:right="8160" w:firstLine="8"/>
        <w:spacing w:after="0" w:line="265" w:lineRule="auto"/>
        <w:tabs>
          <w:tab w:leader="none" w:pos="1720"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w:t>
      </w:r>
    </w:p>
    <w:p>
      <w:pPr>
        <w:ind w:left="154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Hengeler Mueller Partnerschaft von Rechtsanwälten mbB Bockenheimer Landstraße 24</w:t>
      </w:r>
    </w:p>
    <w:p>
      <w:pPr>
        <w:jc w:val="both"/>
        <w:ind w:left="1540" w:right="7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60323 Frankfurt am Main Attention: Lucina Berger Email:     [****]</w:t>
      </w:r>
    </w:p>
    <w:p>
      <w:pPr>
        <w:spacing w:after="0" w:line="1"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7"/>
          <w:szCs w:val="17"/>
          <w:color w:val="auto"/>
        </w:rPr>
      </w:pPr>
    </w:p>
    <w:p>
      <w:pPr>
        <w:ind w:left="1540" w:right="80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Loyens &amp; Loeff N.V. Parnassusweg 300</w:t>
      </w:r>
    </w:p>
    <w:p>
      <w:pPr>
        <w:ind w:left="1540" w:right="7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1081 LC Amsterdam The Netherlands Attention:   Michel van Agt Email:     [****]</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Thaminda Ramanayake, Chief Business Officer</w:t>
      </w:r>
    </w:p>
    <w:tbl>
      <w:tblPr>
        <w:tblLayout w:type="fixed"/>
        <w:tblInd w:w="154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Marco Rau, General Counsel</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540" w:right="7500" w:firstLine="8"/>
        <w:spacing w:after="0" w:line="250" w:lineRule="auto"/>
        <w:tabs>
          <w:tab w:leader="none" w:pos="185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9th Avenue, New York, NY 10001 Attention:   Howard L. Ellin</w:t>
      </w:r>
    </w:p>
    <w:tbl>
      <w:tblPr>
        <w:tblLayout w:type="fixed"/>
        <w:tblInd w:w="154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June S. Dipchand</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Stephan Hutter</w:t>
            </w:r>
          </w:p>
        </w:tc>
      </w:tr>
      <w:tr>
        <w:trPr>
          <w:trHeight w:val="216"/>
        </w:trPr>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Holger Hofmeister</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ind w:left="1540" w:right="7460" w:firstLine="8"/>
        <w:spacing w:after="0" w:line="315" w:lineRule="auto"/>
        <w:tabs>
          <w:tab w:leader="none" w:pos="1720"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 NautaDutilh N.V. Beethovenstraat 400 1082 PR Amsterdam The Netherlands Attention:   Paul van der Bijl Email:     [****]</w:t>
      </w:r>
    </w:p>
    <w:p>
      <w:pPr>
        <w:spacing w:after="0" w:line="3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Non-Survival of Representations and Warranties; Survival of Certain Covenants and Agreements</w:t>
      </w:r>
      <w:r>
        <w:rPr>
          <w:rFonts w:ascii="Times New Roman" w:cs="Times New Roman" w:eastAsia="Times New Roman" w:hAnsi="Times New Roman"/>
          <w:sz w:val="18"/>
          <w:szCs w:val="18"/>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660" w:firstLine="987"/>
        <w:spacing w:after="0" w:line="266"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for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61"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without the consent of the Company, (a) Buyer may assign, in its sole discretion, any or all of its rights, interests and obligations under this Agreement to any one or</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080"/>
          </w:cols>
          <w:pgMar w:left="320" w:top="455"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each of clauses (a) and (b), such transfer or assignment shall not</w:t>
      </w:r>
    </w:p>
    <w:p>
      <w:pPr>
        <w:spacing w:after="0" w:line="1" w:lineRule="exact"/>
        <w:rPr>
          <w:sz w:val="20"/>
          <w:szCs w:val="20"/>
          <w:color w:val="auto"/>
        </w:rPr>
      </w:pPr>
    </w:p>
    <w:p>
      <w:pPr>
        <w:ind w:left="120" w:right="60" w:hanging="4"/>
        <w:spacing w:after="0" w:line="255" w:lineRule="auto"/>
        <w:tabs>
          <w:tab w:leader="none" w:pos="33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987"/>
        <w:spacing w:after="0" w:line="253"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that a Chosen Court of first instance declines jurisdiction over an action brought in accordance with</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73" w:lineRule="exact"/>
        <w:rPr>
          <w:sz w:val="20"/>
          <w:szCs w:val="20"/>
          <w:color w:val="auto"/>
        </w:rPr>
      </w:pPr>
    </w:p>
    <w:p>
      <w:pPr>
        <w:ind w:left="1720" w:hanging="212"/>
        <w:spacing w:after="0"/>
        <w:tabs>
          <w:tab w:leader="none" w:pos="17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6" w:lineRule="auto"/>
        <w:tabs>
          <w:tab w:leader="none" w:pos="177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ind w:left="560" w:right="160" w:firstLine="948"/>
        <w:spacing w:after="0" w:line="282" w:lineRule="auto"/>
        <w:tabs>
          <w:tab w:leader="none" w:pos="182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68" w:lineRule="exact"/>
        <w:rPr>
          <w:sz w:val="20"/>
          <w:szCs w:val="20"/>
          <w:color w:val="auto"/>
        </w:rPr>
      </w:pPr>
    </w:p>
    <w:p>
      <w:pPr>
        <w:ind w:left="560" w:right="140" w:firstLine="948"/>
        <w:spacing w:after="0" w:line="266" w:lineRule="auto"/>
        <w:tabs>
          <w:tab w:leader="none" w:pos="181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9.07(c)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 Electronic Delivery;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9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all members of the Supervisory Board resigning at the Acceptance Time.</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this Agreement so as to effect the original intent of the Parties as closely as possible in an acceptable manner in order that the Transactions be consummated as originally contemplated to the fullest extent possible.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080"/>
          </w:cols>
          <w:pgMar w:left="320" w:top="455"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authorized officers as of the date set forth on the cover page of this Agreement.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Uğur Şahin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Management Board</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Sierk Poetting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Operating Officer and Management Board</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CureVac N.V.</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Alexander Zehnder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Thaminda Ramanayake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ectPr>
          <w:pgSz w:w="11900" w:h="16838" w:orient="portrait"/>
          <w:cols w:equalWidth="0" w:num="1">
            <w:col w:w="11020"/>
          </w:cols>
          <w:pgMar w:left="320" w:top="455" w:right="5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OFFER CONDITIONS</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8"/>
          <w:szCs w:val="18"/>
          <w:u w:val="single" w:color="auto"/>
          <w:color w:val="auto"/>
        </w:rPr>
        <w:t>Section 2.01(e)(ii)</w:t>
      </w:r>
      <w:r>
        <w:rPr>
          <w:rFonts w:ascii="Times New Roman" w:cs="Times New Roman" w:eastAsia="Times New Roman" w:hAnsi="Times New Roman"/>
          <w:sz w:val="18"/>
          <w:szCs w:val="18"/>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the representations and warranties of the Company (i)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(c)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of the Agreement shall be true and correct in all respects (except for any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at and as of the date of this Agreement and at and as of the Expiration Time with the same effect as though made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spacing w:after="0" w:line="1" w:lineRule="exact"/>
        <w:rPr>
          <w:sz w:val="20"/>
          <w:szCs w:val="20"/>
          <w:color w:val="auto"/>
        </w:rPr>
      </w:pPr>
    </w:p>
    <w:p>
      <w:pPr>
        <w:jc w:val="both"/>
        <w:ind w:left="120" w:right="20" w:hanging="4"/>
        <w:spacing w:after="0" w:line="253" w:lineRule="auto"/>
        <w:tabs>
          <w:tab w:leader="none" w:pos="43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(iv), where the failure to be true and correct would not have or reasonably be expected to have, individually or in the aggregate, a Company Material Adverse Effect;</w:t>
      </w:r>
    </w:p>
    <w:p>
      <w:pPr>
        <w:spacing w:after="0" w:line="186"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7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since the date of the Agreement, there shall not have occurred any Company Material Adverse Effect that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of the definition of Company Material Adverse Effect shall be excluded from such definition for the purposes of determining the satisfaction of this paragraph (F);</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 the Governance Resolutions shall have been adopted at the EGM;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the Post-Offer Reorganization Resolutions shall have been adopted at the EGM;</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K. a stop order suspending the effectiveness of the Form F-4 shall have not been issued, or, if issued, not withdrawn, by the SEC or proceedings for that purpose shall have not been initiated or threatened by the SEC;</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 the Agreement shall not have been terminated in accordance with its terms.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88"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not defined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the meanings set forth in the Purchase Agreement, dated as of June 12, 2025, by and between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TENDER AND SUPPORT AGREEMENT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Tender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is entered into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the stockholder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with its corporate seat in Amsterdam, the Netherlands, and registered with the trade register of the Dutch Chamber of Commerce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Capitalized terms used but not defined herein shall have the meanings given to them in the Purchase Agreement (as defined below).</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and Buyer are entering into a Purchase Agreement (as may be amended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providing, among other things, for (a) Buyer to commence an exchange offer to acquire (subject to the Minimum Condition (as defined in the Purchase Agreement)) any and all of the outstanding ordinary shares, par value €0.12 per share, of the Company (collectively,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for the consideration and upon the terms and subject to the conditions set forth in the Purchase Agreement (as it may be extended, amended and supplemented from time to time as permitted by the Purchase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(b) following the consummation of the Offer, the Post-Offer Reorganization (as defined in the Purchase Agreement) of the Company;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owner or “beneficial owner” (within the meaning of Rule 13d-3 under the United States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xml:space="preserve">”)) of the number of Company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“Owned Shares,” being all of the Company Shares owned of record or beneficially by the Stockholder or any of its controlled Affiliates, or in relation to which any such Person is able to control the exercise of all rights, including voting rights, as of the date hereof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Buyer to enter into the Purchase Agreement and in consideration therefor, Buyer has required that the Stockholder, and the Stockholder has agreed to, enter into and perform this Agreement and tender and vote the Stockholder’s Owned Shares and Additional Owned Shares (as defined below) as described herein.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in this Agreement, and intending to be legally bound hereby, the Stockholder and Buyer hereby agree as follows:</w:t>
      </w:r>
    </w:p>
    <w:p>
      <w:pPr>
        <w:spacing w:after="0" w:line="162" w:lineRule="exact"/>
        <w:rPr>
          <w:sz w:val="20"/>
          <w:szCs w:val="20"/>
          <w:color w:val="auto"/>
        </w:rPr>
      </w:pPr>
    </w:p>
    <w:p>
      <w:pPr>
        <w:ind w:left="740" w:hanging="184"/>
        <w:spacing w:after="0"/>
        <w:tabs>
          <w:tab w:leader="none" w:pos="7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Tender the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 On the terms and subject to the conditions of this Agreement, the Stockholder hereby irrevocably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agrees that he or she (a) shall tender the Stockholder’s Owned Shares and any additional Company Shares that are beneficially owned by the Stockholder or any of its controlled Affiliates, or for which any such Person is the record owner or in relation to which any such Person is able to control the exercise of all rights, including voting rights, which are acquired after the date hereof and prior to the Termination Date (including through the exercise of stock options, warrants or similar rights, including Company Equity Awards, or the vesting, conversion or exchange of securities, including Company Equity Awards, or the acquisition of the power to vote or direct the voting of such Company Shares) (the “</w:t>
      </w:r>
      <w:r>
        <w:rPr>
          <w:rFonts w:ascii="Times New Roman" w:cs="Times New Roman" w:eastAsia="Times New Roman" w:hAnsi="Times New Roman"/>
          <w:sz w:val="18"/>
          <w:szCs w:val="18"/>
          <w:u w:val="single" w:color="auto"/>
          <w:color w:val="auto"/>
        </w:rPr>
        <w:t>Additional Owned Shares</w:t>
      </w:r>
      <w:r>
        <w:rPr>
          <w:rFonts w:ascii="Times New Roman" w:cs="Times New Roman" w:eastAsia="Times New Roman" w:hAnsi="Times New Roman"/>
          <w:sz w:val="18"/>
          <w:szCs w:val="18"/>
          <w:color w:val="auto"/>
        </w:rPr>
        <w:t>” and, together with the Owned Shares,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or cause such Covered Shares to be tendered, into the Offer, free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55" w:lineRule="auto"/>
        <w:rPr>
          <w:sz w:val="20"/>
          <w:szCs w:val="20"/>
          <w:color w:val="auto"/>
        </w:rPr>
      </w:pPr>
      <w:r>
        <w:rPr>
          <w:rFonts w:ascii="Times New Roman" w:cs="Times New Roman" w:eastAsia="Times New Roman" w:hAnsi="Times New Roman"/>
          <w:sz w:val="18"/>
          <w:szCs w:val="18"/>
          <w:color w:val="auto"/>
        </w:rPr>
        <w:t>clear of all Liens other than restrictions on Transfer (as defined below) or voting as created by this Agreement or under applicable securities Laws, promptly, and in any event no later than the latest of (but in any event prior to the Expiration Time): (i) ten (10) Business Days following the commencement of the Offer; (ii) within five (5) Business Days following receipt of the Offer Documents by the Stockholder; and (iii) in the case of Additional Owned Shares acquired following the commencement of the Offer, within three (3) Business Days following acquisition thereof; and</w:t>
      </w:r>
    </w:p>
    <w:p>
      <w:pPr>
        <w:spacing w:after="0" w:line="3" w:lineRule="exact"/>
        <w:rPr>
          <w:sz w:val="20"/>
          <w:szCs w:val="20"/>
          <w:color w:val="auto"/>
        </w:rPr>
      </w:pPr>
    </w:p>
    <w:p>
      <w:pPr>
        <w:jc w:val="both"/>
        <w:ind w:left="120" w:right="340" w:hanging="4"/>
        <w:spacing w:after="0" w:line="290" w:lineRule="auto"/>
        <w:tabs>
          <w:tab w:leader="none" w:pos="375"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tender any Covered Shares in connection with any Alternative Acquisition Proposal. The Stockholder shall not withdraw any Company Shares, or cause such Company Shares to be withdrawn, from the Offer unless and until this Agreement is terminated in accordance with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 If (a) the Offer is terminated or withdrawn by Buyer, (b) the Purchase Agreement is terminated in accordance with Section 8.01 thereof prior to the acceptance for payment of the Covered Shares in the Offer or (c) this Agreement is terminated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then in each case Buyer shall promptly return, and shall cause any depositary acting on behalf of Buyer to return to the Stockholder all the Covered Shares tendered by the Stockholder in the Offer.</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 Subject to the terms of this Agreement, Stockholder hereby irrevocably undertakes and agrees to confirm, upon Buyer’s reasonable written request, in relevant public statements and at the EGM and any Subsequent EGM (if any), that Stockholder will tender its Covered Shares into the Offer and will vote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40" w:hanging="184"/>
        <w:spacing w:after="0"/>
        <w:tabs>
          <w:tab w:leader="none" w:pos="7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Agreement to Vote and Support</w:t>
      </w:r>
      <w:r>
        <w:rPr>
          <w:rFonts w:ascii="Times New Roman" w:cs="Times New Roman" w:eastAsia="Times New Roman" w:hAnsi="Times New Roman"/>
          <w:sz w:val="18"/>
          <w:szCs w:val="18"/>
          <w:color w:val="auto"/>
        </w:rPr>
        <w:t>. Beginning on the date hereof until the Termination Date, at every meeting of the stockholders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(including the EGM and, if necessary, any Subsequent EGM), including any postponement or adjournment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however called, or in any other circumstance in which the vote, consent or other approval of the Company Stockholders is sought (each,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the Stockholder agrees to, and if applicable, to cause its controlled Affiliates or the holder of record of any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Covered Shares to, appear (in person or by proxy) at each Company Stockholders Meeting or otherwise cause all Covered Shares beneficially owned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as of the record date to be counted as present thereat for purposes of calculating a quorum (if applicable), and unconditionally and irrevocably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affirmatively vote (including via proxy) or execute consents with respect to (or cause to be voted (including via proxy) or consents to be executed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and not to withdraw any such vote or consent with respect to, all of the Stockholder’s Covered Shares, as follows (with the matters described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being referred to collectively as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800" w:hanging="252"/>
        <w:spacing w:after="0"/>
        <w:tabs>
          <w:tab w:leader="none" w:pos="18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each resolution described in Section 2.04 of the Purchase Agreement;</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58" w:lineRule="auto"/>
        <w:tabs>
          <w:tab w:leader="none" w:pos="180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favor of any other matter related to the Transactions that is (i) submitted by the Company for approval by the Company Stockholders at the EGM or any Subsequent EGM, and (ii) recommended by the Company Boards, prior to the Closing Date, for approval by the Company Stockholders, in each case, intended to facilitate the consummation of the Offer in accordance with the Purchase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in this Agreement shall be interpreted as creating an obligation of the Company to submit any matter requested by Buyer to be submitted for such Company Stockholder approval or to recommend that the Company Stockholders vote to approve any such matter; and</w:t>
      </w:r>
    </w:p>
    <w:p>
      <w:pPr>
        <w:spacing w:after="0" w:line="183" w:lineRule="exact"/>
        <w:rPr>
          <w:rFonts w:ascii="Times New Roman" w:cs="Times New Roman" w:eastAsia="Times New Roman" w:hAnsi="Times New Roman"/>
          <w:sz w:val="18"/>
          <w:szCs w:val="18"/>
          <w:color w:val="auto"/>
        </w:rPr>
      </w:pPr>
    </w:p>
    <w:p>
      <w:pPr>
        <w:ind w:left="120" w:right="160" w:firstLine="1428"/>
        <w:spacing w:after="0" w:line="258" w:lineRule="auto"/>
        <w:tabs>
          <w:tab w:leader="none" w:pos="179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proposal, action or agreement that would reasonably be expected to (A) prevent or nullify any provision of this Agreement, (B) result in a breach of any covenant, representation or warranty or other obligation or agreement of the Stockholder contained in this Agreement or the Company contained in the Purchase Agreement, or (C) result in any of the Offer Conditions as set forth in the Purchase Agreement not being satisfied or not being fulfilled, (ii) any Alternative Acquisition Proposal, any proposal relating to an Alternative Acquisition Proposal, or any other proposal made in opposition to, in competition with,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inconsistent with, the Purchase Agreement, the Offer, the Post-Offer Reorganization or the other Transactions, (iii) any (A) Alternative Acquisition Agreement (or any transactions contemplated thereby), (B) merger, consolidation, business combination, share exchange, reorganization, recapitalization, dissolution, liquidation, winding up or similar extraordinary transaction involving the Company or its Subsidiaries (other than the Purchase Agreement, the Post-Offer Reorganization documentation, and the other Transactions), or (C) sale, lease, license or transfer involving any Company Product or a material amount of assets (including, for the avoidance of doubt, any Intellectual Property Rights or capital stock of any Subsidiary) of the Company or its Subsidiaries, taken as a whole, or agreement relating to the foregoing (other than the Purchase Agreement, the Post-Offer Reorganization and the other Transactions, or as contemplated by the Purchase Agreement), (iv) any change in or to (A) the Company Boards that is not recommended or approved by the Company Boards, (B) the present capitalization or corporate structure of the Company or (C) the Company Organizational Documents, in each case not consented to by Buyer under the Purchase Agreement unless expressly contemplated by the Purchase Agreement and (v) any other action, agreement or proposal which would reasonably be expected to prevent, impede or delay the consummation of the Offer, the Post-Offer Reorganization or any of the other Transactions.</w:t>
      </w:r>
    </w:p>
    <w:p>
      <w:pPr>
        <w:spacing w:after="0" w:line="192"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Other Voting Commitments</w:t>
      </w:r>
      <w:r>
        <w:rPr>
          <w:rFonts w:ascii="Times New Roman" w:cs="Times New Roman" w:eastAsia="Times New Roman" w:hAnsi="Times New Roman"/>
          <w:sz w:val="18"/>
          <w:szCs w:val="18"/>
          <w:color w:val="auto"/>
        </w:rPr>
        <w:t>. The Stockholder shall not propose, commit, publicly affirmatively support, or agree to take any action inconsistent with the Supported Matters. For the avoidance of doubt, other than with respect to the Supported Matters or as otherwise set forth in this Agreement, the Stockholder shall not have any obligation to vote the Covered Shares in any particular manner.</w:t>
      </w:r>
    </w:p>
    <w:p>
      <w:pPr>
        <w:spacing w:after="0" w:line="176" w:lineRule="exact"/>
        <w:rPr>
          <w:sz w:val="20"/>
          <w:szCs w:val="20"/>
          <w:color w:val="auto"/>
        </w:rPr>
      </w:pPr>
    </w:p>
    <w:p>
      <w:pPr>
        <w:ind w:left="120" w:right="100" w:firstLine="436"/>
        <w:spacing w:after="0" w:line="254" w:lineRule="auto"/>
        <w:tabs>
          <w:tab w:leader="none" w:pos="7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automatically and without further action upon the earliest to occur of: (a) the mutual written agreement of Buyer and the Stockholder; (b) the valid termination of the Purchase Agreement in accordance with its terms; (c) any modification to the Purchase Agreement or the Offer that (i) is effected without the Stockholder’s prior written consent and (ii) decreases the Offer Consideration or changes the form of consideration payable to the Stockholder pursuant to the terms of the Purchase Agreement in a manner that is inconsistent with the Purchase Agreement; and (d) after the Closing Date (such earlier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termination of this Agreement shall not prevent any party hereto from seeking any remedies (at law or in equity) against any other party hereto for that party’s breach that may have occurred at or before such termination.</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xml:space="preserve">. Beginning on the date hereof until the Termination Date, the Stockholder hereby covenants and agrees that (a) except as expressly contemplated by this Agreement, the Purchase Agreement or the Offer Documents, the Stockholder shall not, and shall direct his or her Affiliates and their respective Representatives not to, directly or indirectly, Transfer, offer or consent to Transfer, or enter into any Contract, option, understanding or other arrangement with respect to the Transfer of, any Covered Shares or beneficial ownership, voting power or any other interest thereof or therein (including by operation of Law) or commit, permit or agree to take any of the foregoing actions, and (b) the Stockholder shall not, and shall direct his or her Affiliates and their respective Representatives not to, directly or indirectly, take any action that would reasonably be expected to prevent, impede or delay the consummation of the Transactions or the transactions contemplated by this Agreement or cause any representation or warranty of the Stockholder in this Agreement to be untrue or incorrect. Without limiting the foregoing, the Stockholder agrees that he or she shall not, and shall cause each of the Stockholder’s Affiliates not to, become a member of a “group” (as defined under Section 13(d) of the 1934 Act) with respect to any securities of the Company for the purpose of opposing or competing with or taking any actions inconsistent with the Transactions. The Stockholder shall not and shall not permit any Person under the Stockholder’s control to, and shall direct and use its reasonable best efforts to cause the Stockholder’s and their respective Representatives not to, seek or solicit any of the actions referred to in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the Stockholder shall promptly notify Buyer, and shall provide all details requested by Buyer, if the Stockholder, any Person under the Stockholder’s control or any of the Stockholder’s or such Person’s respective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76" w:lineRule="auto"/>
        <w:rPr>
          <w:sz w:val="20"/>
          <w:szCs w:val="20"/>
          <w:color w:val="auto"/>
        </w:rPr>
      </w:pPr>
      <w:r>
        <w:rPr>
          <w:rFonts w:ascii="Times New Roman" w:cs="Times New Roman" w:eastAsia="Times New Roman" w:hAnsi="Times New Roman"/>
          <w:sz w:val="17"/>
          <w:szCs w:val="17"/>
          <w:color w:val="auto"/>
        </w:rPr>
        <w:t xml:space="preserve">Representatives shall be approached or solicited, directly or indirectly, by any Person with respect to any of the foregoing. To the extent permissible under applicable Law, any Transfer in violation of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w:t>
      </w:r>
    </w:p>
    <w:p>
      <w:pPr>
        <w:spacing w:after="0" w:line="1" w:lineRule="exact"/>
        <w:rPr>
          <w:sz w:val="20"/>
          <w:szCs w:val="20"/>
          <w:color w:val="auto"/>
        </w:rPr>
      </w:pPr>
    </w:p>
    <w:p>
      <w:pPr>
        <w:ind w:left="120" w:right="80" w:hanging="4"/>
        <w:spacing w:after="0" w:line="251" w:lineRule="auto"/>
        <w:tabs>
          <w:tab w:leader="none" w:pos="33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offer, sale, assignment, Lien, gift, hedge, hypothecation, disposition, loan or other transfer, or entry into any option or other Contract, arrangement or understanding with respect to any offer, sale, assignment, Lien,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consent, power of attorney, rights of first offer or refusal, or other authorization with respect to any Covered Shares, (iii)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option, arrangement or commitment (whether or not in writing) to take any of the actions referred to in the foregoing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In furtherance of this Agreement, the Stockholder hereby authorizes and instructs the Company (including through the Company’s transfer agent) to enter a stop transfer order with respect to all of the Covered Shares to prevent any Transfer thereof on the books of the Company in violation of this Agreement, and authorizes the Company to legend the certificates or book-entry records evidencing the Covered Shares to reflect that such Covered Shares are subject to this Agreement.</w:t>
      </w:r>
    </w:p>
    <w:p>
      <w:pPr>
        <w:spacing w:after="0" w:line="19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xml:space="preserve">. Except as required by applicable Law, the Stockholder shall not, and shall direct the Stockholder’s Representatives not to, make any public announcement regarding this Agreement, the Purchase Agreement, the Offer or the Transactions without the prior written consent of Buyer. If any such public announcement is required by applicable Law, the Stockholder shall provide a draft of such announcement to Buyer and consider any reasonable comments of Buyer or its Representatives in good faith prior to such filing. The Stockholder consents to and hereby authorizes Buyer, the Company or their respective Affiliates to publish and disclose in all documents and schedules filed with the SEC or any other Governmental Authority, and any press release or other disclosure or document that Buyer reasonably determines to be necessary in connection with the Offer, the Post-Offer Reorganization and any of the other Transactions, the Stockholder’s identity and ownership of the Covered Shares, the existence of this Agreement and the nature of the Stockholder’s commitments and obligations under this Agreement, and the Stockholder acknowledges that Buyer or the Company may file this Agreement or a form hereof with the SEC or any other Governmental Authority. The Stockholder may make any filings with respect to this Agreement to the extent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legally permissible, the Stockholder shall provide Buyer with a reasonable opportunity to review such filings prior to making any such filings and shall incorporate into such filings all such reasonable comments made by Buyer. The Stockholder shall promptly (a) give Buyer or the Company any information it may reasonably require for the preparation of any such disclosure documents, including in connection with the Offer Documents, and will otherwise reasonably assist and cooperate with Buyer and the Company in the preparation, filing and distribution of the Offer Documents and the resolution of any comments thereto received from the SEC, and (b) notify Buyer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or to correct any material omissions therefrom.</w:t>
      </w:r>
    </w:p>
    <w:p>
      <w:pPr>
        <w:spacing w:after="0" w:line="193"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The Stockholder shall not take any action that the Company would be prohibited from taking under Section 5.03 of the Purchase Agreement as if such Section of the Purchase Agreement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Stockholder. The Stockholder (solely in the Stockholder’s capacity as a shareholder of the Company) shall, and shall cause its controlled Affiliates and shall cause its and their respective Representatives to, immediately cease and cause to be terminated any and all existing discussions or negotiations with any Person conducted prior to the date of this Agreement with respect to any Alternative Acquisition Proposal. The Stockholder agrees to promptly inform its controlled Affiliates and its and their Representatives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the obligations undertaken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prohibit the Stockholder and its Representatives from informing any Person of the existence of the provisions contained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36"/>
        <w:spacing w:after="0" w:line="266" w:lineRule="auto"/>
        <w:tabs>
          <w:tab w:leader="none" w:pos="7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xml:space="preserve">. The Stockholder hereby represents and warrants to Buyer as follows (it being understood that, except where expressly stated to be given or made as of the date hereof only, the representations and warranties contained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made as of the date hereof, as of the date of the EGM or any Subsequent EGM, and as of the Closing):</w:t>
      </w:r>
    </w:p>
    <w:p>
      <w:pPr>
        <w:spacing w:after="0" w:line="68"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This Agreement has been duly executed and delivered by the Stockholder and, assuming the due execution and delivery of this Agreement by Buyer, constitutes a legal, valid and binding agreement of the Stockholder enforceable against the Stockholder in accordance with its terms, except as such enforceability may be subject to bankruptcy, insolvency, fraudulent transfer, reorganization, moratorium and other similar Laws of general applicability relating to or affecting creditors’ rights, and by general equitable principles.</w:t>
      </w:r>
    </w:p>
    <w:p>
      <w:pPr>
        <w:spacing w:after="0" w:line="180"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the Stockholder’s properties, rights or other assets are subject, (c) result in the creation of any Lien on any of the properties or assets (including intangible assets) of the Stockholder, (d) result in a violation or breach of, or constitute (with or without notice or lapse of time or both) a default (or give rise to any third party right of termination, cancellation, modification or acceleration) under, any of the terms, conditions or provisions of any note, bond, mortgage, indenture, lease, license, permit, contract, commitment, arrangement, understanding, agreement or other instrument or obligation of any kind, including any voting agreement, proxy arrangement, pledge agreement, stockholders agreement or voting trust, to which the Stockholder is a party or by which the Stockholder or any of the Stockholder’s properties or assets may be bound, or (e) violate any judgment, Order, writ, injunction, decree or award of any court, administrative agency or other Governmental Authority that is applicable to the Stockholder or any of the Stockholder’s properties or assets.</w:t>
      </w:r>
    </w:p>
    <w:p>
      <w:pPr>
        <w:spacing w:after="0" w:line="190"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consummation by the Stockholder of the transactions contemplated hereby, except (a) as required by the rules and regulations promulgated under the 1933 Act, the</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1934 Act, or state securities, takeover and “blue sky” Laws, and (b) the applicable rules and regulations of the SEC or any applicable stock exchange.</w:t>
      </w:r>
    </w:p>
    <w:p>
      <w:pPr>
        <w:spacing w:after="0" w:line="20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Ownership of the Owned Shares</w:t>
      </w:r>
      <w:r>
        <w:rPr>
          <w:rFonts w:ascii="Times New Roman" w:cs="Times New Roman" w:eastAsia="Times New Roman" w:hAnsi="Times New Roman"/>
          <w:sz w:val="18"/>
          <w:szCs w:val="18"/>
          <w:color w:val="auto"/>
        </w:rPr>
        <w:t xml:space="preserve">. The Stockholder is, as of the date hereof, the sole record or beneficial owner of (a) the Owned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 the securities of the Company convertible into, exchangeable or exercisable for Company Shares or other securities of the Company, in each case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Disclosed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all of which are fully paid up, free and clear of any Lien, other than those created by this Agreement or arising under applicable securities Laws. The Stockholder does not own, of record or beneficially, any shares of capital stock of the Company, or other rights to acquire, or that are exercisable for, or convertible or exchangeable into, shares of capital stock of the Company, in each case other than the Disclosed Owned Securities. The Stockholder (i) has the sole right to vote and Transfer the Owned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none of such Owned Shares is subject to any pledge, disposition, voting, transfer or other Contract, arrangement or restriction, including any proxy, consent or power of attorney, except as contemplated by this Agreement, and (ii) has sole power of disposition and sole power to issue instructions with respect to the matters set forth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all other matters set forth in this Agreement, in each case with respect to all of the Covered Shares with no limitations, qualifications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restrictions on such rights, subject to applicable securities Laws and the terms of this Agreement. Any proxies heretofore given in respect of any Owned Shares of the Stockholder, if any, are revocable. As of the date hereof, the Stockholder has not entered into any agreement (other than this Agreement) to Transfer any Owned Shares and no Person has a right to acquire any of such Owned Shares held by the Stockholder. Except as permitted by this Agreement, the Covered Shares are now, and at all times during the term hereof will be, held by Stockholder, or by a nominee or custodian for the benefit of Stockholder, free and clear of any Liens, subject to applicable securities Laws and the terms of this Agreement.</w:t>
      </w:r>
    </w:p>
    <w:p>
      <w:pPr>
        <w:spacing w:after="0" w:line="183"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Action or Order pending or threatened in writing against, or, to the knowledge of the Stockholder, threatened orally against the Stockholder that would reasonably be expected to restrict, prohibit, impair or delay the consummation of the transactions contemplated herein or the performance by the Stockholder of its obligations under this Agreement.</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or reimbursement of expenses in connection with this Agreement based upon arrangements made by or on behalf of the Stockholder in its capacity as a stockholder of the Company.</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Ownership of Buyer ADS</w:t>
      </w:r>
      <w:r>
        <w:rPr>
          <w:rFonts w:ascii="Times New Roman" w:cs="Times New Roman" w:eastAsia="Times New Roman" w:hAnsi="Times New Roman"/>
          <w:sz w:val="18"/>
          <w:szCs w:val="18"/>
          <w:color w:val="auto"/>
        </w:rPr>
        <w:t xml:space="preserve">. The Stockholder is, as of the date hereof, the record owner or “beneficial owner” (within the meaning of Rule 13d-3 under the 1934 Act) of (a) the number of Buyer ADS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under the heading “Owned Buyer ADS”, being all of the Buyer ADS owned of record or beneficially by the Stockholder or any of its controlled Affiliates, or in relation to which any such Person is able to control the exercise of all rights, including voting rights, and (b) the securities of Buyer convertible into, exchangeable or exercisable for Buyer ADS or other securities of Buyer, in each case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Representations and Warranties of Buyer</w:t>
      </w:r>
      <w:r>
        <w:rPr>
          <w:rFonts w:ascii="Times New Roman" w:cs="Times New Roman" w:eastAsia="Times New Roman" w:hAnsi="Times New Roman"/>
          <w:sz w:val="18"/>
          <w:szCs w:val="18"/>
          <w:color w:val="auto"/>
        </w:rPr>
        <w:t>. Buyer hereby represents and warrants to the Stockholders as follows:</w:t>
      </w:r>
    </w:p>
    <w:p>
      <w:pPr>
        <w:spacing w:after="0" w:line="117"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Buyer is an entity duly organized, validly existing and in good standing under the Laws of its jurisdiction of formation. Buyer has all requisite organizational power and authority and has taken all organizational action necessary (including approval by its board of directors or applicable organizational bodies) to execute, deliver and perform its obligations under this Agreement in accordance with the terms hereof and no other organizational action by Buyer or vote of holders of any class of the capital stock of Buyer is necessary to authorize the execution and delivery of, compliance with and performance by Buyer of, this Agreement. This Agreement has been duly executed and delivered by Buyer and, assuming the due execution and delivery of this Agreement by the Stockholder, constitutes a valid and binding agreement of Buyer enforceable against Buyer in accordance with its terms, subject to the Enforceability Exceptions.</w:t>
      </w:r>
    </w:p>
    <w:p>
      <w:pPr>
        <w:spacing w:after="0" w:line="189"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Buyer of this Agreement do not and will not, other than as provided in the Purchase Agreement with respect to the Offer, the Post-Offer Reorganization and the other Transactions, (a) conflict with or result in any violation or breach of any provision of the certificate of incorporation or bylaws or similar organizational documents of Buyer,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Buyer is entitled, under any Contract binding upon Buyer, or to which any of its properties, rights or other assets are subject or (d) result in the creation of any Lien (other than a Permitted Lien) on any of the properties or assets (including intangible assets) of Buyer,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for any such violation, breach, conflict, default, termination, acceleration, cancellation or loss that would not reasonably be expected to restrict, prohibit or impair the performance by Buyer of its obligations under this Agreement.</w:t>
      </w:r>
    </w:p>
    <w:p>
      <w:pPr>
        <w:spacing w:after="0" w:line="188" w:lineRule="exact"/>
        <w:rPr>
          <w:sz w:val="20"/>
          <w:szCs w:val="20"/>
          <w:color w:val="auto"/>
        </w:rPr>
      </w:pPr>
    </w:p>
    <w:p>
      <w:pPr>
        <w:ind w:left="120" w:right="160" w:firstLine="436"/>
        <w:spacing w:after="0" w:line="282" w:lineRule="auto"/>
        <w:tabs>
          <w:tab w:leader="none" w:pos="7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 of Representations, Warranties and Covenants</w:t>
      </w:r>
      <w:r>
        <w:rPr>
          <w:rFonts w:ascii="Times New Roman" w:cs="Times New Roman" w:eastAsia="Times New Roman" w:hAnsi="Times New Roman"/>
          <w:sz w:val="18"/>
          <w:szCs w:val="18"/>
          <w:color w:val="auto"/>
        </w:rPr>
        <w:t>. The representations, warranties and covenants contained herein shall not survive the Termination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740" w:hanging="184"/>
        <w:spacing w:after="0"/>
        <w:tabs>
          <w:tab w:leader="none" w:pos="7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and Dissenter Rights and Certain Other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8.1 The Stockholder hereby irrevocably and unconditionally waives, to the fullest extent of the Law, and agrees to cause to be waived and not to assert (a) any appraisal rights, any dissenter’s rights, any rights of first refusal, any tag-along rights, any drag-along rights and any other rights under any existing shareholders agreement and applicable Law with respect to any of the Company Shares in connection with the Offer, the Post-Offer Reorganization, and the other Transactions, and (b) any rights to object to or challenge the consummation of the Offer, the Post-Offer Reorganization or any of the other Transactions.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8.2 The Stockholder hereby agrees (a) not to commence or affirmatively participate in or receive any economic or other benefit from any claim or other Action, whether derivative or otherwise, against Buyer, the Company or any of their respective Affiliates or successors, or their respective boards of directors (or similar governing bodies), relating to the negotiation, execution or delivery of this Agreement or the consummation of the Transactions or the transactions contemplated hereby or the consummation of the Offer, the Post-Offer Reorganization or the other Transactions, including any such claim or other Action (i) challenging the validity of, or seeking to enjoin the operation of, any provision of this Agreement or the Purchase Agreement, the Post-Offer Reorganization or the other Transactions, (ii) alleging a breach of any fiduciary duty of the Company Boards in connection with the Purchase Agreement the Post-Offer Reorganization or the other Transactions, or (iii) with respect to SEC disclosure or other disclosure to the Company Stockholders in connection with this Agreement, the Purchase Agreement, the Post-Offer Reorganization or the other Transactions or the transactions contemplated hereby, and (b) to take all actions necessary to opt out of any class in any class action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limit, restrict or prohibit the Stockholder from claiming or asserting any defenses or counterclaims in connection with any Action arising out of or in connection with the Purchase Agreement, the Post-Offer Reorganization, this Agreement or the other Transactions.</w:t>
      </w:r>
    </w:p>
    <w:p>
      <w:pPr>
        <w:spacing w:after="0" w:line="190" w:lineRule="exact"/>
        <w:rPr>
          <w:sz w:val="20"/>
          <w:szCs w:val="20"/>
          <w:color w:val="auto"/>
        </w:rPr>
      </w:pPr>
    </w:p>
    <w:p>
      <w:pPr>
        <w:ind w:left="120" w:right="20" w:firstLine="436"/>
        <w:spacing w:after="0" w:line="253" w:lineRule="auto"/>
        <w:tabs>
          <w:tab w:leader="none" w:pos="7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 Additional Owned Shares</w:t>
      </w:r>
      <w:r>
        <w:rPr>
          <w:rFonts w:ascii="Times New Roman" w:cs="Times New Roman" w:eastAsia="Times New Roman" w:hAnsi="Times New Roman"/>
          <w:sz w:val="18"/>
          <w:szCs w:val="18"/>
          <w:color w:val="auto"/>
        </w:rPr>
        <w:t xml:space="preserve">. In the event of a stock split, stock dividend or distribution, or any change in the Company Shares by reason of any split-up, reverse stock split, recapitalization, combination, reclassification, exchange of shares or the like, the terms “Company Shares,” “Covered Shares,” “Disclosed Owned Securities,” “Owned Shares,” “Additional Owned Shares” and similar terms shall be deemed to refer to and include such shares as well as all such stock dividends and distributions and any securities into which or for which any or all of such shares may be changed or exchanged or which are received in such transaction. In the event that the Stockholder acquires record or beneficial ownership of, or the power to vote or direct the voting of, any Additional Owned Shares, such Additional Owned Shares shall, without further action of the parties, be subject to the provisions of this Agreement, the representations and warranties of the Stockholder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as of the date that beneficial ownership of Additional Owned Shares is acquired, and the number of Owned Shares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opposite the name of the Stockholder will be deemed amended accordingly. The Stockholder shall promptly notify Buyer in writing of any such event and of the number of Additional Owned Shares acquired.</w:t>
      </w:r>
    </w:p>
    <w:p>
      <w:pPr>
        <w:spacing w:after="0" w:line="194" w:lineRule="exact"/>
        <w:rPr>
          <w:rFonts w:ascii="Times New Roman" w:cs="Times New Roman" w:eastAsia="Times New Roman" w:hAnsi="Times New Roman"/>
          <w:sz w:val="18"/>
          <w:szCs w:val="18"/>
          <w:color w:val="auto"/>
        </w:rPr>
      </w:pPr>
    </w:p>
    <w:p>
      <w:pPr>
        <w:ind w:left="120" w:right="940" w:firstLine="436"/>
        <w:spacing w:after="0" w:line="282" w:lineRule="auto"/>
        <w:tabs>
          <w:tab w:leader="none" w:pos="83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delivery and performance of this Agreement.</w:t>
      </w:r>
    </w:p>
    <w:p>
      <w:pPr>
        <w:spacing w:after="0" w:line="161" w:lineRule="exact"/>
        <w:rPr>
          <w:rFonts w:ascii="Times New Roman" w:cs="Times New Roman" w:eastAsia="Times New Roman" w:hAnsi="Times New Roman"/>
          <w:sz w:val="18"/>
          <w:szCs w:val="18"/>
          <w:color w:val="auto"/>
        </w:rPr>
      </w:pPr>
    </w:p>
    <w:p>
      <w:pPr>
        <w:ind w:left="120" w:right="260" w:firstLine="436"/>
        <w:spacing w:after="0" w:line="266" w:lineRule="auto"/>
        <w:tabs>
          <w:tab w:leader="none" w:pos="82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shall, from time to time, promptly execute and deliver, or cause to be executed and delivered, such additional or further consents, documents and other instruments or take such other actions as Buyer may reasonably request to the extent necessary to effect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120" w:right="400" w:firstLine="436"/>
        <w:spacing w:after="0" w:line="266" w:lineRule="auto"/>
        <w:tabs>
          <w:tab w:leader="none" w:pos="83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date of mailing if delivered by registered or certified mail, return receipt requested, postage prepaid, in each case to the parties at the following addresses (or at such other address for a party as shall be specified by like notice):</w:t>
      </w:r>
    </w:p>
    <w:p>
      <w:pPr>
        <w:spacing w:after="0" w:line="54" w:lineRule="exact"/>
        <w:rPr>
          <w:sz w:val="20"/>
          <w:szCs w:val="20"/>
          <w:color w:val="auto"/>
        </w:rPr>
      </w:pPr>
    </w:p>
    <w:p>
      <w:pPr>
        <w:ind w:left="560" w:right="4220"/>
        <w:spacing w:after="0" w:line="375" w:lineRule="auto"/>
        <w:rPr>
          <w:sz w:val="20"/>
          <w:szCs w:val="20"/>
          <w:color w:val="auto"/>
        </w:rPr>
      </w:pPr>
      <w:r>
        <w:rPr>
          <w:rFonts w:ascii="Times New Roman" w:cs="Times New Roman" w:eastAsia="Times New Roman" w:hAnsi="Times New Roman"/>
          <w:sz w:val="18"/>
          <w:szCs w:val="18"/>
          <w:color w:val="auto"/>
        </w:rPr>
        <w:t>if to the Stockholder, to the address set forth on the Stockholder’s signature page hereto; if to Buyer, to:</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James Ryan, Chief Legal Officer &amp; Chief Business Officer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Paul Claydon; Jack S. Bodner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Hengeler Mueller Partnerschaft von Rechtsanwälten mbB</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Bockenheimer Landstraße 24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60323 Frankfurt am Main</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Lucina Berger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Loyens &amp; Loeff N.V.</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Parnassusweg 300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1081 LC Amsterdam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1100"/>
        <w:spacing w:after="0"/>
        <w:tabs>
          <w:tab w:leader="none" w:pos="2040" w:val="left"/>
        </w:tabs>
        <w:rPr>
          <w:sz w:val="20"/>
          <w:szCs w:val="20"/>
          <w:color w:val="auto"/>
        </w:rPr>
      </w:pPr>
      <w:r>
        <w:rPr>
          <w:rFonts w:ascii="Times New Roman" w:cs="Times New Roman" w:eastAsia="Times New Roman" w:hAnsi="Times New Roman"/>
          <w:sz w:val="18"/>
          <w:szCs w:val="18"/>
          <w:color w:val="auto"/>
        </w:rPr>
        <w:t>Attention: </w:t>
        <w:tab/>
        <w:t>Michel van Agt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20" w:right="20" w:firstLine="436"/>
        <w:spacing w:after="0" w:line="253" w:lineRule="auto"/>
        <w:tabs>
          <w:tab w:leader="none" w:pos="83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wherever the word “include”, “includes” or “including” is used in this Agreement, it shall be deemed to be followed by the words “without limitation”; (f) whenever conversion of values from any Foreign Currency for a particular date or period shall be required, such conversion shall be made using Exchange Rate, on the applicable date or dates;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thereto) in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183" w:lineRule="exact"/>
        <w:rPr>
          <w:sz w:val="20"/>
          <w:szCs w:val="20"/>
          <w:color w:val="auto"/>
        </w:rPr>
      </w:pPr>
    </w:p>
    <w:p>
      <w:pPr>
        <w:ind w:left="120" w:right="20" w:firstLine="436"/>
        <w:spacing w:after="0" w:line="253" w:lineRule="auto"/>
        <w:tabs>
          <w:tab w:leader="none" w:pos="83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Electronic Delivery</w:t>
      </w:r>
      <w:r>
        <w:rPr>
          <w:rFonts w:ascii="Times New Roman" w:cs="Times New Roman" w:eastAsia="Times New Roman" w:hAnsi="Times New Roman"/>
          <w:sz w:val="18"/>
          <w:szCs w:val="18"/>
          <w:color w:val="auto"/>
        </w:rPr>
        <w:t>. This Agreement, including the Exhibits hereto, and the other documents delivered in connection with this Agreement, constitutes the entire agreement, and supersedes all prior agreements and understandings, both written and oral, among the parties with respect to the transactions contemplated herein.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89"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3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contemplated herein,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herein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3" w:lineRule="auto"/>
        <w:tabs>
          <w:tab w:leader="none" w:pos="1797"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(b) agrees that it shall not attempt to deny or defeat such personal jurisdiction by motion or other request for leave from any such Chosen Court, (c) waives any claim of improper venue or any claim that the Chosen Court is an inconvenient forum, and (d) agrees that, subject to Section 16(b) below, it shall not bring any action relating to a Dispute in any court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firstLine="1428"/>
        <w:spacing w:after="0" w:line="266" w:lineRule="auto"/>
        <w:tabs>
          <w:tab w:leader="none" w:pos="1807"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In the event that a Chosen Court of first instance declines jurisdiction over an action brought in accordance with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6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7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jc w:val="both"/>
        <w:ind w:left="560" w:right="200" w:firstLine="948"/>
        <w:spacing w:after="0" w:line="261" w:lineRule="auto"/>
        <w:tabs>
          <w:tab w:leader="none" w:pos="182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 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71" w:lineRule="exact"/>
        <w:rPr>
          <w:rFonts w:ascii="Times New Roman" w:cs="Times New Roman" w:eastAsia="Times New Roman" w:hAnsi="Times New Roman"/>
          <w:sz w:val="18"/>
          <w:szCs w:val="18"/>
          <w:color w:val="auto"/>
        </w:rPr>
      </w:pPr>
    </w:p>
    <w:p>
      <w:pPr>
        <w:ind w:left="560" w:firstLine="948"/>
        <w:spacing w:after="0" w:line="255" w:lineRule="auto"/>
        <w:tabs>
          <w:tab w:leader="none" w:pos="181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consent and submit to the non-exclusive jurisdiction of the Chosen Court for the enforcement of any arbitral award rendered hereunder and to compel arbitration or for interim or provisional remedies in aid of arbitration. In any such action: (i) each party irrevocably waives, to the fullest extent it may effectively do so, any objection, including any objection to the laying of venue or based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any right of objection to jurisdiction on account of its place of incorporation or domicile, which it may now or hereafter have to the bringing of any such action or proceeding in any Chosen Court; and (ii) each of the parties irrevocably consents to service of process sent by a national courier service (with written confirmation of receipt) to its address identified in Section 13 of this Agreement or in any other manner permitted by applicable law.</w:t>
      </w:r>
    </w:p>
    <w:p>
      <w:pPr>
        <w:spacing w:after="0" w:line="80"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76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797"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 without proof of damages or otherwise, this being in addition to any other remedy to which they are entitled under this Agreement and (b) the right of specific performance is an integral part of the transactions contemplated herein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8"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807"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firstLine="436"/>
        <w:spacing w:after="0" w:line="255" w:lineRule="auto"/>
        <w:tabs>
          <w:tab w:leader="none" w:pos="83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shall be binding upon, and shall be enforceable by and inure solely to the benefit of, the parties hereto and their respective successors and permitted assigns; provided, however, that neither this Agreement nor any of the rights hereunder may be assigned by a party hereto without the express written consent of the other parties, and any attempted assignment of this Agreement or any of such rights without such consent shall be null and void, except that (a) Buyer may transfer or assign its rights and obligations under this Agreement to any Affiliate of Buyer without the written consent of the Stockholder, and (b) after the Acceptance Time, Buyer may transfer or assign its rights and obligations under this Agreement to any Person, provided that in each case Buyer shall remain jointly and severally liable with such assignee for any and all obligations of Buyer under this Agreement and the Purchase Agreement.</w:t>
      </w:r>
    </w:p>
    <w:p>
      <w:pPr>
        <w:spacing w:after="0" w:line="18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is not intended to, and shall not, confer upon any Person other than the parties any rights or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w:t>
      </w:r>
    </w:p>
    <w:p>
      <w:pPr>
        <w:spacing w:after="0" w:line="206" w:lineRule="exact"/>
        <w:rPr>
          <w:rFonts w:ascii="Times New Roman" w:cs="Times New Roman" w:eastAsia="Times New Roman" w:hAnsi="Times New Roman"/>
          <w:sz w:val="18"/>
          <w:szCs w:val="18"/>
          <w:color w:val="auto"/>
        </w:rPr>
      </w:pPr>
    </w:p>
    <w:p>
      <w:pPr>
        <w:jc w:val="both"/>
        <w:ind w:left="120" w:right="80" w:firstLine="436"/>
        <w:spacing w:after="0" w:line="266" w:lineRule="auto"/>
        <w:tabs>
          <w:tab w:leader="none" w:pos="83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Stockholder has agreed to enter into this Agreement and act in the manner specified in this Agreement for</w:t>
      </w:r>
    </w:p>
    <w:p>
      <w:pPr>
        <w:spacing w:after="0" w:line="27" w:lineRule="exact"/>
        <w:rPr>
          <w:rFonts w:ascii="Times New Roman" w:cs="Times New Roman" w:eastAsia="Times New Roman" w:hAnsi="Times New Roman"/>
          <w:sz w:val="18"/>
          <w:szCs w:val="18"/>
          <w:color w:val="auto"/>
        </w:rPr>
      </w:pPr>
    </w:p>
    <w:p>
      <w:pPr>
        <w:ind w:left="1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Except as expressly set forth in this Agreement, nothing contained in this Agreement shall be deemed, upon execution, to vest in Buyer any direct or indirect ownership or incidence of ownership of or with respect to any Covered Shares. All rights, ownership and economic benefits of and relating to the Covered Shares shall remain vested in and belong to Stockholder, and Buyer shall not have any authority to manage, direct, superintend, restrict, regulate, govern or administer any of the policies or operations of the Company or exercise any power or authority to direct Stockholder in the voting of any of the Covered Shares, except as otherwise provided in this Agreement. Nothing in this Agreement shall be interpreted as creating or forming a “group” with any other Person, including Buyer, for purposes of Rule 13d-5(b)(1) of the 1934 Act or any other similar provision of applicable Law or of conferring upon Buyer beneficial ownership of any Covered Shares at any time prior to the Acceptance Time.</w:t>
      </w:r>
    </w:p>
    <w:p>
      <w:pPr>
        <w:spacing w:after="0" w:line="188"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herein is not affected in any material way. Upon such a determination, the parties shall negotiate in good faith to modify this Agreement so as to effect the original intent of the parties as closely as possible in an acceptable manner in order that the transactions contemplated herein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3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No provision of this Agreement may be waived or extended except by a written instrument signed by the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76" w:lineRule="exact"/>
        <w:rPr>
          <w:sz w:val="20"/>
          <w:szCs w:val="20"/>
          <w:color w:val="auto"/>
        </w:rPr>
      </w:pPr>
    </w:p>
    <w:p>
      <w:pPr>
        <w:ind w:left="120" w:right="120" w:firstLine="436"/>
        <w:spacing w:after="0" w:line="266" w:lineRule="auto"/>
        <w:tabs>
          <w:tab w:leader="none" w:pos="83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If the Stockholder is married and any of the Covered Shares may constitute community property or otherwise need spousal or other approval for this Agreement to be legal, valid and binding, the Stockholder shall deliver to Buyer, concurrently herewith, a duly executed consent of the Stockholder’s spouse,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Notwithstanding any provision of this Agreement to the contrary, nothing in this Agreement shall limit or restrict the Stockholder, or a designee of the Stockholder, who is a director or officer of the Company from acting in such capacity or fulfilling the obligations of such office, including by voting, in his or her capacity as a director of the Company, in the Stockholder’s, or its designee’s, sole discretion on any matter (it being understood that this Agreement shall apply to the Stockholder solely in the Stockholder’s capacity as a stockholder of the Company). In this regard, the Stockholder shall not be deemed to make any agreement or understanding in this Agreement in the Stockholder’s capacity as a director or officer of the Company.</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80"/>
          </w:cols>
          <w:pgMar w:left="320" w:top="455"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40"/>
          </w:cols>
          <w:pgMar w:left="320" w:top="45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10740"/>
          </w:cols>
          <w:pgMar w:left="320" w:top="455" w:right="839"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1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[Stockholder]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288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222885</wp:posOffset>
            </wp:positionV>
            <wp:extent cx="27946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10740"/>
          </w:cols>
          <w:pgMar w:left="320" w:top="45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10740"/>
          </w:cols>
          <w:pgMar w:left="320" w:top="455" w:right="839" w:bottom="1440" w:gutter="0" w:footer="0" w:header="0"/>
          <w:type w:val="continuous"/>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exchange agent for the offer is: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Computershare Trust Company, N.A.</w:t>
      </w:r>
    </w:p>
    <w:p>
      <w:pPr>
        <w:sectPr>
          <w:pgSz w:w="11900" w:h="16838" w:orient="portrait"/>
          <w:cols w:equalWidth="0" w:num="1">
            <w:col w:w="11100"/>
          </w:cols>
          <w:pgMar w:left="320" w:top="455" w:right="479" w:bottom="1440" w:gutter="0" w:footer="0" w:header="0"/>
        </w:sectPr>
      </w:pP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i w:val="1"/>
          <w:iCs w:val="1"/>
          <w:color w:val="auto"/>
        </w:rPr>
        <w:t>If delivering by trackable mail, including overnight delivery or any other</w:t>
      </w:r>
    </w:p>
    <w:p>
      <w:pPr>
        <w:spacing w:after="0" w:line="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expedited service:</w:t>
      </w: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 Voluntary Corporate Actions; COY: BNSB</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150 Royall Street, Suite V</w:t>
      </w:r>
    </w:p>
    <w:p>
      <w:pPr>
        <w:spacing w:after="0" w:line="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Canton, MA 02021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p>
      <w:pPr>
        <w:spacing w:after="0" w:line="200" w:lineRule="exact"/>
        <w:rPr>
          <w:sz w:val="20"/>
          <w:szCs w:val="20"/>
          <w:color w:val="auto"/>
        </w:rPr>
      </w:pPr>
    </w:p>
    <w:p>
      <w:pPr>
        <w:spacing w:after="0" w:line="29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 Voluntary Corporate Actions: COY BNSB</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P.O. Box 43011</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Providence, RI 02940</w:t>
      </w:r>
    </w:p>
    <w:p>
      <w:pPr>
        <w:spacing w:after="0" w:line="200" w:lineRule="exact"/>
        <w:rPr>
          <w:sz w:val="20"/>
          <w:szCs w:val="20"/>
          <w:color w:val="auto"/>
        </w:rPr>
      </w:pPr>
    </w:p>
    <w:p>
      <w:pPr>
        <w:sectPr>
          <w:pgSz w:w="11900" w:h="16838" w:orient="portrait"/>
          <w:cols w:equalWidth="0" w:num="2">
            <w:col w:w="6080" w:space="720"/>
            <w:col w:w="4300"/>
          </w:cols>
          <w:pgMar w:left="320" w:top="455" w:right="479" w:bottom="1440" w:gutter="0" w:footer="0" w:header="0"/>
          <w:type w:val="continuous"/>
        </w:sectPr>
      </w:pPr>
    </w:p>
    <w:p>
      <w:pPr>
        <w:spacing w:after="0" w:line="2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questions or requests for assistance or additional copies of this offer and related offer materials may be directed to the information agent at its telephone numbers and locations listed below. Stockholders may also contact their local broker, commercial bank, trust company, or nominee for assistance concerning the offer.</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Georgeson LLC</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Email: Curevacoffer@georgeson.com</w:t>
      </w:r>
    </w:p>
    <w:p>
      <w:pPr>
        <w:sectPr>
          <w:pgSz w:w="11900" w:h="16838" w:orient="portrait"/>
          <w:cols w:equalWidth="0" w:num="1">
            <w:col w:w="11100"/>
          </w:cols>
          <w:pgMar w:left="320" w:top="455" w:right="47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Item 20. Indemnification of Directors and Officers. </w:t>
      </w:r>
      <w:r>
        <w:rPr>
          <w:rFonts w:ascii="Times New Roman" w:cs="Times New Roman" w:eastAsia="Times New Roman" w:hAnsi="Times New Roman"/>
          <w:sz w:val="18"/>
          <w:szCs w:val="18"/>
          <w:color w:val="auto"/>
        </w:rPr>
        <w:t>As a German European public company with limited liability, BioNTech SE (“BioNTech”) is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insofar as applicable pursuant to the SE Regulation and the German law on the implementation of the SE (SEAG) — subject to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as amended. Under German law, BioNTech may not indemnify members of its management board or supervisory board to the extent the relevant claim or loss has arisen as a result of the breach by the member of his or her duties owed to BioNTech. Otherwise, BioNTech is required under the law to indemnify its management board and supervisory board members from and against any liabilities arising out of or in connection with their services to BioNTech. BioNTech provides directors’ and officers’ liability insurance for the members of its management board and supervisory board against civil liabilities, which they may incur in connection with their activities on behalf of BioNTech.</w:t>
      </w:r>
    </w:p>
    <w:p>
      <w:pPr>
        <w:spacing w:after="0" w:line="187"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Insofar as indemnification of liabilities arising under the Securities Act of 1933, as amended (the “Securities Act”), may be permitted to BioNTech’s board, executive officers, or persons controlling BioNTech pursuant to the foregoing provisions, BioNTech has been informed that, in the opinion of the Securities and Exchange Commission, such indemnification is against public policy as expressed in the Securities Act and is therefore unenforceable.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21. Exhibits. </w:t>
      </w:r>
      <w:r>
        <w:rPr>
          <w:rFonts w:ascii="Times New Roman" w:cs="Times New Roman" w:eastAsia="Times New Roman" w:hAnsi="Times New Roman"/>
          <w:sz w:val="18"/>
          <w:szCs w:val="18"/>
          <w:color w:val="auto"/>
        </w:rPr>
        <w:t>(a) The following is a list of exhibits filed as part of this Registration Statement, including those incorporated herein by reference.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46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Purchase Agreement, dated June 12, 2025, between the Registrant and CureVac N.V. (included as Annex A to the offer to</w:t>
              </w:r>
            </w:hyperlink>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exchange/prospectus included in this Registration Statement).</w:t>
              </w:r>
            </w:hyperlink>
          </w:p>
        </w:tc>
        <w:tc>
          <w:tcPr>
            <w:tcW w:w="860" w:type="dxa"/>
            <w:vAlign w:val="bottom"/>
            <w:gridSpan w:val="5"/>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46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Articles of Association of the Registrant (incorporated herein by reference to Exhibit 99.1 to the Registrant’s Report on Form 6-K</w:t>
              </w:r>
            </w:hyperlink>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(File No. 001-39081), filed with the SEC on June 17, 2025).</w:t>
              </w:r>
            </w:hyperlink>
          </w:p>
        </w:tc>
        <w:tc>
          <w:tcPr>
            <w:tcW w:w="5000" w:type="dxa"/>
            <w:vAlign w:val="bottom"/>
            <w:tcBorders>
              <w:top w:val="single" w:sz="8" w:color="0000EE"/>
            </w:tcBorders>
            <w:gridSpan w:val="13"/>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46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Form of Deposit Agreement among the Registrant, the depositary and holders and beneficial owners of the American Depositary</w:t>
              </w:r>
            </w:hyperlink>
          </w:p>
        </w:tc>
        <w:tc>
          <w:tcPr>
            <w:tcW w:w="360" w:type="dxa"/>
            <w:vAlign w:val="bottom"/>
            <w:gridSpan w:val="3"/>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Shares (incorporated herein by reference to Exhibit 1 to the Registration Statement on Form F-6 (File No. 333-233898), filed with the</w:t>
              </w:r>
            </w:hyperlink>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SEC on September 23, 2019).</w:t>
              </w:r>
            </w:hyperlink>
          </w:p>
        </w:tc>
      </w:tr>
      <w:tr>
        <w:trPr>
          <w:trHeight w:val="20"/>
        </w:trPr>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46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Form of Specimen American Depositary Receipt (included in Exhibit 4.1).</w:t>
              </w:r>
            </w:hyperlink>
          </w:p>
        </w:tc>
      </w:tr>
      <w:tr>
        <w:trPr>
          <w:trHeight w:val="20"/>
        </w:trPr>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46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Opinion of Hengeler Mueller Partnerschaft von Rechtsanwälten mbB as to the validity of the Registrant’s ordinary shares.</w:t>
              </w:r>
            </w:hyperlink>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8.1*</w:t>
            </w:r>
          </w:p>
        </w:tc>
        <w:tc>
          <w:tcPr>
            <w:tcW w:w="460" w:type="dxa"/>
            <w:vAlign w:val="bottom"/>
          </w:tcPr>
          <w:p>
            <w:pPr>
              <w:spacing w:after="0"/>
              <w:rPr>
                <w:sz w:val="24"/>
                <w:szCs w:val="24"/>
                <w:color w:val="auto"/>
              </w:rPr>
            </w:pPr>
          </w:p>
        </w:tc>
        <w:tc>
          <w:tcPr>
            <w:tcW w:w="78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Opinion of Covington and Burling LLP with respect to the material U.S. tax consequences of the transaction.</w:t>
              </w:r>
            </w:hyperlink>
          </w:p>
        </w:tc>
        <w:tc>
          <w:tcPr>
            <w:tcW w:w="920" w:type="dxa"/>
            <w:vAlign w:val="bottom"/>
            <w:tcBorders>
              <w:top w:val="single" w:sz="8" w:color="0000EE"/>
            </w:tcBorders>
          </w:tcPr>
          <w:p>
            <w:pPr>
              <w:spacing w:after="0"/>
              <w:rPr>
                <w:sz w:val="24"/>
                <w:szCs w:val="24"/>
                <w:color w:val="auto"/>
              </w:rPr>
            </w:pPr>
          </w:p>
        </w:tc>
        <w:tc>
          <w:tcPr>
            <w:tcW w:w="860" w:type="dxa"/>
            <w:vAlign w:val="bottom"/>
            <w:gridSpan w:val="5"/>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w:t>
            </w:r>
          </w:p>
        </w:tc>
        <w:tc>
          <w:tcPr>
            <w:tcW w:w="46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Form of Tender and Support Agreement (included as Annex B to the offer to exchange/prospectus included in this Registration</w:t>
              </w:r>
            </w:hyperlink>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Statement).</w:t>
              </w:r>
            </w:hyperlink>
          </w:p>
        </w:tc>
        <w:tc>
          <w:tcPr>
            <w:tcW w:w="500" w:type="dxa"/>
            <w:vAlign w:val="bottom"/>
            <w:gridSpan w:val="4"/>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21.1*</w:t>
            </w:r>
          </w:p>
        </w:tc>
        <w:tc>
          <w:tcPr>
            <w:tcW w:w="46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List of subsidiaries of the Registrant (incorporated herein by reference to Exhibit 8 to the Annual Report on Form 20-F for the fiscal</w:t>
              </w:r>
            </w:hyperlink>
          </w:p>
        </w:tc>
        <w:tc>
          <w:tcPr>
            <w:tcW w:w="1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year ended December 31, 2024 (File No. 001-39801), as filed with the SEC on March 10, 2025).</w:t>
              </w:r>
            </w:hyperlink>
          </w:p>
        </w:tc>
        <w:tc>
          <w:tcPr>
            <w:tcW w:w="2680" w:type="dxa"/>
            <w:vAlign w:val="bottom"/>
            <w:gridSpan w:val="7"/>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460" w:type="dxa"/>
            <w:vAlign w:val="bottom"/>
          </w:tcPr>
          <w:p>
            <w:pPr>
              <w:spacing w:after="0"/>
              <w:rPr>
                <w:sz w:val="24"/>
                <w:szCs w:val="24"/>
                <w:color w:val="auto"/>
              </w:rPr>
            </w:pPr>
          </w:p>
        </w:tc>
        <w:tc>
          <w:tcPr>
            <w:tcW w:w="67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EY GmbH &amp; Co. KG Wirtschaftsprüfungsgesellschaft, auditors of BioNTech SE.</w:t>
            </w:r>
          </w:p>
        </w:tc>
        <w:tc>
          <w:tcPr>
            <w:tcW w:w="2940" w:type="dxa"/>
            <w:vAlign w:val="bottom"/>
            <w:gridSpan w:val="8"/>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460" w:type="dxa"/>
            <w:vAlign w:val="bottom"/>
          </w:tcPr>
          <w:p>
            <w:pPr>
              <w:spacing w:after="0"/>
              <w:rPr>
                <w:sz w:val="24"/>
                <w:szCs w:val="24"/>
                <w:color w:val="auto"/>
              </w:rPr>
            </w:pPr>
          </w:p>
        </w:tc>
        <w:tc>
          <w:tcPr>
            <w:tcW w:w="5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KPMG AG Wirtschaftsprüfungsgesellschaft, auditors of CureVac N.V.</w:t>
            </w:r>
          </w:p>
        </w:tc>
        <w:tc>
          <w:tcPr>
            <w:tcW w:w="3720" w:type="dxa"/>
            <w:vAlign w:val="bottom"/>
            <w:gridSpan w:val="10"/>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46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EY GmbH &amp; Co. KG Wirtschaftsprüfungsgesellschaft, auditors of CureVac N.V.</w:t>
            </w:r>
          </w:p>
        </w:tc>
      </w:tr>
      <w:tr>
        <w:trPr>
          <w:trHeight w:val="385"/>
        </w:trPr>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4500" w:type="dxa"/>
            <w:vAlign w:val="bottom"/>
            <w:tcBorders>
              <w:top w:val="single" w:sz="8" w:color="0000EE"/>
            </w:tcBorders>
            <w:gridSpan w:val="7"/>
          </w:tcPr>
          <w:p>
            <w:pPr>
              <w:ind w:left="1900"/>
              <w:spacing w:after="0"/>
              <w:rPr>
                <w:sz w:val="20"/>
                <w:szCs w:val="20"/>
                <w:color w:val="auto"/>
              </w:rPr>
            </w:pPr>
            <w:r>
              <w:rPr>
                <w:rFonts w:ascii="Times New Roman" w:cs="Times New Roman" w:eastAsia="Times New Roman" w:hAnsi="Times New Roman"/>
                <w:sz w:val="18"/>
                <w:szCs w:val="18"/>
                <w:color w:val="auto"/>
              </w:rPr>
              <w:t>II-1</w:t>
            </w:r>
          </w:p>
        </w:tc>
        <w:tc>
          <w:tcPr>
            <w:tcW w:w="3000" w:type="dxa"/>
            <w:vAlign w:val="bottom"/>
            <w:gridSpan w:val="9"/>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40" w:type="dxa"/>
            <w:vAlign w:val="bottom"/>
            <w:gridSpan w:val="4"/>
          </w:tcPr>
          <w:p>
            <w:pPr>
              <w:ind w:left="2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23.4*</w:t>
            </w:r>
          </w:p>
        </w:tc>
        <w:tc>
          <w:tcPr>
            <w:tcW w:w="460" w:type="dxa"/>
            <w:vAlign w:val="bottom"/>
          </w:tcPr>
          <w:p>
            <w:pPr>
              <w:spacing w:after="0"/>
              <w:rPr>
                <w:sz w:val="24"/>
                <w:szCs w:val="24"/>
                <w:color w:val="auto"/>
              </w:rPr>
            </w:pPr>
          </w:p>
        </w:tc>
        <w:tc>
          <w:tcPr>
            <w:tcW w:w="6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Consent of Hengeler Mueller Partnerschaft von Rechtsanwälten mbB (included in Exhibit 5.1).</w:t>
              </w:r>
            </w:hyperlink>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23.5*</w:t>
            </w:r>
          </w:p>
        </w:tc>
        <w:tc>
          <w:tcPr>
            <w:tcW w:w="460" w:type="dxa"/>
            <w:vAlign w:val="bottom"/>
          </w:tcPr>
          <w:p>
            <w:pPr>
              <w:spacing w:after="0"/>
              <w:rPr>
                <w:sz w:val="24"/>
                <w:szCs w:val="24"/>
                <w:color w:val="auto"/>
              </w:rPr>
            </w:pPr>
          </w:p>
        </w:tc>
        <w:tc>
          <w:tcPr>
            <w:tcW w:w="4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Consent of Covington and Burling LLP (included in Exhibit 8.1).</w:t>
              </w:r>
            </w:hyperlink>
          </w:p>
        </w:tc>
        <w:tc>
          <w:tcPr>
            <w:tcW w:w="2120" w:type="dxa"/>
            <w:vAlign w:val="bottom"/>
            <w:gridSpan w:val="2"/>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460" w:type="dxa"/>
            <w:vAlign w:val="bottom"/>
          </w:tcPr>
          <w:p>
            <w:pPr>
              <w:spacing w:after="0"/>
              <w:rPr>
                <w:sz w:val="24"/>
                <w:szCs w:val="24"/>
                <w:color w:val="auto"/>
              </w:rPr>
            </w:pPr>
          </w:p>
        </w:tc>
        <w:tc>
          <w:tcPr>
            <w:tcW w:w="13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388">
              <w:r>
                <w:rPr>
                  <w:rFonts w:ascii="Times New Roman" w:cs="Times New Roman" w:eastAsia="Times New Roman" w:hAnsi="Times New Roman"/>
                  <w:sz w:val="18"/>
                  <w:szCs w:val="18"/>
                  <w:color w:val="0000EE"/>
                  <w:w w:val="98"/>
                </w:rPr>
                <w:t>Power of Attorney.</w:t>
              </w:r>
            </w:hyperlink>
          </w:p>
        </w:tc>
        <w:tc>
          <w:tcPr>
            <w:tcW w:w="5460" w:type="dxa"/>
            <w:vAlign w:val="bottom"/>
            <w:gridSpan w:val="6"/>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460" w:type="dxa"/>
            <w:vAlign w:val="bottom"/>
          </w:tcPr>
          <w:p>
            <w:pPr>
              <w:spacing w:after="0"/>
              <w:rPr>
                <w:sz w:val="24"/>
                <w:szCs w:val="24"/>
                <w:color w:val="auto"/>
              </w:rPr>
            </w:pPr>
          </w:p>
        </w:tc>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Letter of Transmittal.</w:t>
            </w:r>
          </w:p>
        </w:tc>
        <w:tc>
          <w:tcPr>
            <w:tcW w:w="5300" w:type="dxa"/>
            <w:vAlign w:val="bottom"/>
            <w:gridSpan w:val="5"/>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99.2**</w:t>
            </w:r>
          </w:p>
        </w:tc>
        <w:tc>
          <w:tcPr>
            <w:tcW w:w="46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Letter to Brokers.</w:t>
            </w:r>
          </w:p>
        </w:tc>
        <w:tc>
          <w:tcPr>
            <w:tcW w:w="5560" w:type="dxa"/>
            <w:vAlign w:val="bottom"/>
            <w:gridSpan w:val="7"/>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99.3**</w:t>
            </w:r>
          </w:p>
        </w:tc>
        <w:tc>
          <w:tcPr>
            <w:tcW w:w="46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Letter to Clients.</w:t>
            </w:r>
          </w:p>
        </w:tc>
        <w:tc>
          <w:tcPr>
            <w:tcW w:w="5620" w:type="dxa"/>
            <w:vAlign w:val="bottom"/>
            <w:gridSpan w:val="8"/>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99.4**</w:t>
            </w:r>
          </w:p>
        </w:tc>
        <w:tc>
          <w:tcPr>
            <w:tcW w:w="460" w:type="dxa"/>
            <w:vAlign w:val="bottom"/>
          </w:tcPr>
          <w:p>
            <w:pPr>
              <w:spacing w:after="0"/>
              <w:rPr>
                <w:sz w:val="24"/>
                <w:szCs w:val="24"/>
                <w:color w:val="auto"/>
              </w:rPr>
            </w:pPr>
          </w:p>
        </w:tc>
        <w:tc>
          <w:tcPr>
            <w:tcW w:w="68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Notice of Withdrawal.</w:t>
            </w: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107*</w:t>
            </w:r>
          </w:p>
        </w:tc>
        <w:tc>
          <w:tcPr>
            <w:tcW w:w="460" w:type="dxa"/>
            <w:vAlign w:val="bottom"/>
          </w:tcPr>
          <w:p>
            <w:pPr>
              <w:spacing w:after="0"/>
              <w:rPr>
                <w:sz w:val="24"/>
                <w:szCs w:val="24"/>
                <w:color w:val="auto"/>
              </w:rPr>
            </w:pPr>
          </w:p>
        </w:tc>
        <w:tc>
          <w:tcPr>
            <w:tcW w:w="16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Filing Fee Table.</w:t>
              </w:r>
            </w:hyperlink>
          </w:p>
        </w:tc>
        <w:tc>
          <w:tcPr>
            <w:tcW w:w="5240" w:type="dxa"/>
            <w:vAlign w:val="bottom"/>
            <w:gridSpan w:val="4"/>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right="7040" w:hanging="4"/>
        <w:spacing w:after="0" w:line="282" w:lineRule="auto"/>
        <w:tabs>
          <w:tab w:leader="none" w:pos="33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Included/previously filed/incorporated by reference. ** Filed herewith.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360" w:hanging="244"/>
        <w:spacing w:after="0"/>
        <w:tabs>
          <w:tab w:leader="none" w:pos="3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offer to exchange/prospectus required by Section 10(a)(3) of the Securities Act of 1933 (the “Securities Act”);</w:t>
      </w:r>
    </w:p>
    <w:p>
      <w:pPr>
        <w:spacing w:after="0" w:line="117" w:lineRule="exact"/>
        <w:rPr>
          <w:rFonts w:ascii="Times New Roman" w:cs="Times New Roman" w:eastAsia="Times New Roman" w:hAnsi="Times New Roman"/>
          <w:sz w:val="18"/>
          <w:szCs w:val="18"/>
          <w:color w:val="auto"/>
        </w:rPr>
      </w:pPr>
    </w:p>
    <w:p>
      <w:pPr>
        <w:ind w:left="1100" w:right="40" w:firstLine="7"/>
        <w:spacing w:after="0" w:line="255" w:lineRule="auto"/>
        <w:tabs>
          <w:tab w:leader="none" w:pos="1365"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offer to exchange/prospectus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offer to exchange/prospectus filed with the Commission pursuant to Rule 424(b) if, in the aggregate, the changes in volume and price represent no more than a 20 per 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100" w:right="180" w:firstLine="7"/>
        <w:spacing w:after="0" w:line="282" w:lineRule="auto"/>
        <w:tabs>
          <w:tab w:leader="none" w:pos="1415"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61"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5" w:lineRule="exact"/>
        <w:rPr>
          <w:sz w:val="20"/>
          <w:szCs w:val="20"/>
          <w:color w:val="auto"/>
        </w:rPr>
      </w:pPr>
    </w:p>
    <w:p>
      <w:pPr>
        <w:ind w:left="1080" w:right="60" w:hanging="532"/>
        <w:spacing w:after="0" w:line="258" w:lineRule="auto"/>
        <w:tabs>
          <w:tab w:leader="none" w:pos="108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BioNTech’s annual report pursuant to Section 13(a) or Section 15(d) of the Securities Exchange Act of 1934 (the “Exchange Act”) (and, where applicable, each filing of an employee benefit plan’s annual report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and</w:t>
      </w:r>
    </w:p>
    <w:p>
      <w:pPr>
        <w:spacing w:after="0" w:line="88"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ind w:left="120" w:right="40" w:hanging="4"/>
        <w:spacing w:after="0" w:line="258" w:lineRule="auto"/>
        <w:tabs>
          <w:tab w:leader="none" w:pos="37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respond to requests for information that is incorporated by reference into the offer to exchange/prospectus pursuant to Items 4, 10(b), 11, or 13 of Form F-4, within one business day of receipt of such request, and to send the incorporated documents by first 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75" w:lineRule="exact"/>
        <w:rPr>
          <w:rFonts w:ascii="Times New Roman" w:cs="Times New Roman" w:eastAsia="Times New Roman" w:hAnsi="Times New Roman"/>
          <w:sz w:val="18"/>
          <w:szCs w:val="18"/>
          <w:color w:val="auto"/>
        </w:rPr>
      </w:pPr>
    </w:p>
    <w:p>
      <w:pPr>
        <w:ind w:left="120" w:right="200" w:hanging="4"/>
        <w:spacing w:after="0" w:line="282" w:lineRule="auto"/>
        <w:tabs>
          <w:tab w:leader="none" w:pos="36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Form F-4 to be signed on its behalf by the undersigned, thereunto duly authorized, in Mainz, Germany on October 21,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Prof. Ugur Sahin, M.D.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SIGNATURE/NAME</w:t>
            </w: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spacing w:after="0"/>
              <w:rPr>
                <w:sz w:val="15"/>
                <w:szCs w:val="15"/>
                <w:color w:val="auto"/>
              </w:rPr>
            </w:pP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Prof. Ugur Sahin, M.D.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Offer</w:t>
            </w: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Prof. Ugur Sahin, M.D.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Ramon Zapata-Gomez</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Offer</w:t>
            </w: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178"/>
        </w:trPr>
        <w:tc>
          <w:tcPr>
            <w:tcW w:w="496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rPr>
              <w:t>Ramón Zapata-Gomez</w:t>
            </w:r>
          </w:p>
        </w:tc>
        <w:tc>
          <w:tcPr>
            <w:tcW w:w="4020" w:type="dxa"/>
            <w:vAlign w:val="bottom"/>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1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5"/>
        </w:trPr>
        <w:tc>
          <w:tcPr>
            <w:tcW w:w="3160" w:type="dxa"/>
            <w:vAlign w:val="bottom"/>
            <w:tcBorders>
              <w:bottom w:val="single" w:sz="8" w:color="auto"/>
            </w:tcBorders>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spacing w:after="0"/>
              <w:rPr>
                <w:sz w:val="24"/>
                <w:szCs w:val="24"/>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Chair of the Supervisory Board</w:t>
            </w: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1820" w:type="dxa"/>
            <w:vAlign w:val="bottom"/>
          </w:tcPr>
          <w:p>
            <w:pPr>
              <w:spacing w:after="0"/>
              <w:rPr>
                <w:sz w:val="19"/>
                <w:szCs w:val="19"/>
                <w:color w:val="auto"/>
              </w:rPr>
            </w:pPr>
          </w:p>
        </w:tc>
        <w:tc>
          <w:tcPr>
            <w:tcW w:w="31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9"/>
              </w:rPr>
              <w:t>Helmut Jeggle</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3160" w:type="dxa"/>
            <w:vAlign w:val="bottom"/>
            <w:tcBorders>
              <w:bottom w:val="single" w:sz="8" w:color="auto"/>
            </w:tcBorders>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spacing w:after="0"/>
              <w:rPr>
                <w:sz w:val="24"/>
                <w:szCs w:val="24"/>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Baroness Nicola Blackwood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3160" w:type="dxa"/>
            <w:vAlign w:val="bottom"/>
            <w:tcBorders>
              <w:bottom w:val="single" w:sz="8" w:color="auto"/>
            </w:tcBorders>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spacing w:after="0"/>
              <w:rPr>
                <w:sz w:val="24"/>
                <w:szCs w:val="24"/>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Prof. Anja Morawietz,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0"/>
        </w:trPr>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II-4</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880"/>
          </w:cols>
          <w:pgMar w:left="320" w:top="455" w:right="6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SIGNATURE/NAME</w:t>
            </w:r>
          </w:p>
        </w:tc>
        <w:tc>
          <w:tcPr>
            <w:tcW w:w="1820" w:type="dxa"/>
            <w:vAlign w:val="bottom"/>
          </w:tcPr>
          <w:p>
            <w:pPr>
              <w:spacing w:after="0"/>
              <w:rPr>
                <w:sz w:val="15"/>
                <w:szCs w:val="15"/>
                <w:color w:val="auto"/>
              </w:rPr>
            </w:pPr>
          </w:p>
        </w:tc>
        <w:tc>
          <w:tcPr>
            <w:tcW w:w="16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20" w:type="dxa"/>
            <w:vAlign w:val="bottom"/>
            <w:gridSpan w:val="3"/>
          </w:tcPr>
          <w:p>
            <w:pPr>
              <w:jc w:val="center"/>
              <w:ind w:left="99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182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320" w:type="dxa"/>
            <w:vAlign w:val="bottom"/>
            <w:gridSpan w:val="3"/>
          </w:tcPr>
          <w:p>
            <w:pPr>
              <w:jc w:val="center"/>
              <w:ind w:left="995"/>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Michael Motschmann</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3160" w:type="dxa"/>
            <w:vAlign w:val="bottom"/>
            <w:tcBorders>
              <w:bottom w:val="single" w:sz="8" w:color="auto"/>
            </w:tcBorders>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320" w:type="dxa"/>
            <w:vAlign w:val="bottom"/>
            <w:gridSpan w:val="3"/>
          </w:tcPr>
          <w:p>
            <w:pPr>
              <w:jc w:val="center"/>
              <w:ind w:left="995"/>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Prof. Rudolf Staudigl,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3160" w:type="dxa"/>
            <w:vAlign w:val="bottom"/>
            <w:tcBorders>
              <w:bottom w:val="single" w:sz="8" w:color="auto"/>
            </w:tcBorders>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320" w:type="dxa"/>
            <w:vAlign w:val="bottom"/>
            <w:gridSpan w:val="3"/>
          </w:tcPr>
          <w:p>
            <w:pPr>
              <w:jc w:val="center"/>
              <w:ind w:left="995"/>
              <w:spacing w:after="0"/>
              <w:rPr>
                <w:sz w:val="20"/>
                <w:szCs w:val="20"/>
                <w:color w:val="auto"/>
              </w:rPr>
            </w:pPr>
            <w:r>
              <w:rPr>
                <w:rFonts w:ascii="Times New Roman" w:cs="Times New Roman" w:eastAsia="Times New Roman" w:hAnsi="Times New Roman"/>
                <w:sz w:val="18"/>
                <w:szCs w:val="18"/>
                <w:color w:val="auto"/>
                <w:w w:val="98"/>
              </w:rPr>
              <w:t>October 21, 2025</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8"/>
              </w:rPr>
              <w:t>Dr. Ulrich Wandschneider</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54"/>
        </w:trPr>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Prof. Ugur Sahin, M.D.</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98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Prof. Ugur Sahin, M.D.</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4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Title: Attorney-In-Fact</w:t>
            </w: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F-4 has been signed by the undersigned on October 21,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BIONTECH US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Brian Kickham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Brian Kickham</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60"/>
          </w:cols>
          <w:pgMar w:left="320" w:top="455" w:right="61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2 to the Registration Statement (Form F-4) and related Offer to Exchange/Prospectus of BioNTech SE for the registration of American Depositary Shares and to the incorporation by reference therein of our reports dated March 10, 2025, with respect to the consolidated financial statements of BioNTech SE, and the effectiveness of internal control over financial reporting of BioNTech SE, included in its Annual Report (Form 20-F) for the year ended December 31, 2024, filed with the Securities and Exchange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 GmbH &amp; Co. KG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Cologne, Germany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ectPr>
          <w:pgSz w:w="11900" w:h="16838" w:orient="portrait"/>
          <w:cols w:equalWidth="0" w:num="1">
            <w:col w:w="11020"/>
          </w:cols>
          <w:pgMar w:left="440" w:top="117" w:right="4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April 10, 2025, with respect to the consolidated financial statements of CureVac N.V., and the effectiveness of internal control over financial reporting, incorporated herein by reference, and to the reference to our firm under the heading “Experts” in the Offer to Exchange/Prospectus.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ectPr>
          <w:pgSz w:w="11900" w:h="16838" w:orient="portrait"/>
          <w:cols w:equalWidth="0" w:num="1">
            <w:col w:w="11020"/>
          </w:cols>
          <w:pgMar w:left="440" w:top="117" w:right="4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2 to the Registration Statement (Form F-4) and related Offer to Exchange/Prospectus of BioNTech SE for the registration of American Depositary Shares and to the incorporation by reference therein of our report dated April 25, 2023, with respect to the consolidated financial statements of CureVac N.V. included in its Annual Report (Form 20-F) for the year ended December 31, 2024,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 GmbH &amp; Co. KG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2025</w:t>
      </w:r>
    </w:p>
    <w:p>
      <w:pPr>
        <w:sectPr>
          <w:pgSz w:w="11900" w:h="16838" w:orient="portrait"/>
          <w:cols w:equalWidth="0" w:num="1">
            <w:col w:w="11020"/>
          </w:cols>
          <w:pgMar w:left="440" w:top="117" w:right="4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-125095</wp:posOffset>
            </wp:positionV>
            <wp:extent cx="7003415" cy="6343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7003415" cy="634365"/>
                    </a:xfrm>
                    <a:prstGeom prst="rect">
                      <a:avLst/>
                    </a:prstGeom>
                    <a:noFill/>
                  </pic:spPr>
                </pic:pic>
              </a:graphicData>
            </a:graphic>
          </wp:anchor>
        </w:drawing>
      </w:r>
    </w:p>
    <w:p>
      <w:pPr>
        <w:spacing w:after="0" w:line="286" w:lineRule="exact"/>
        <w:rPr>
          <w:sz w:val="20"/>
          <w:szCs w:val="20"/>
          <w:color w:val="auto"/>
        </w:rPr>
      </w:pPr>
    </w:p>
    <w:p>
      <w:pPr>
        <w:ind w:left="7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Name(s) and Address(es) of Registered Holder(s)</w:t>
      </w:r>
      <w:r>
        <w:rPr>
          <w:sz w:val="20"/>
          <w:szCs w:val="20"/>
          <w:color w:val="auto"/>
        </w:rPr>
        <w:tab/>
      </w:r>
      <w:r>
        <w:rPr>
          <w:rFonts w:ascii="Times New Roman" w:cs="Times New Roman" w:eastAsia="Times New Roman" w:hAnsi="Times New Roman"/>
          <w:sz w:val="17"/>
          <w:szCs w:val="17"/>
          <w:b w:val="1"/>
          <w:bCs w:val="1"/>
          <w:color w:val="auto"/>
        </w:rPr>
        <w:t>Total Number of Share(s) Tendered*</w:t>
      </w:r>
    </w:p>
    <w:p>
      <w:pPr>
        <w:spacing w:after="0" w:line="389" w:lineRule="exact"/>
        <w:rPr>
          <w:sz w:val="20"/>
          <w:szCs w:val="20"/>
          <w:color w:val="auto"/>
        </w:rPr>
      </w:pPr>
    </w:p>
    <w:p>
      <w:pPr>
        <w:ind w:left="180" w:right="320" w:hanging="179"/>
        <w:spacing w:after="0" w:line="267" w:lineRule="auto"/>
        <w:rPr>
          <w:sz w:val="20"/>
          <w:szCs w:val="20"/>
          <w:color w:val="auto"/>
        </w:rPr>
      </w:pPr>
      <w:r>
        <w:rPr>
          <w:rFonts w:ascii="Times New Roman" w:cs="Times New Roman" w:eastAsia="Times New Roman" w:hAnsi="Times New Roman"/>
          <w:sz w:val="18"/>
          <w:szCs w:val="18"/>
          <w:i w:val="1"/>
          <w:iCs w:val="1"/>
          <w:color w:val="auto"/>
        </w:rPr>
        <w:t>*  Unless otherwise indicated, it will be assumed that all shares presented with this Letter of Transmittal, along with all shares held as book-entry within the account are being tendered hereby. If the indicated number exceeds the number of book-entry shares within the account, it will be assumed that the number of shares tendered is equal to the number of book-entry shares within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71755</wp:posOffset>
            </wp:positionV>
            <wp:extent cx="7003415" cy="5568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7003415" cy="556895"/>
                    </a:xfrm>
                    <a:prstGeom prst="rect">
                      <a:avLst/>
                    </a:prstGeom>
                    <a:noFill/>
                  </pic:spPr>
                </pic:pic>
              </a:graphicData>
            </a:graphic>
          </wp:anchor>
        </w:drawing>
      </w:r>
    </w:p>
    <w:p>
      <w:pPr>
        <w:spacing w:after="0" w:line="151" w:lineRule="exact"/>
        <w:rPr>
          <w:sz w:val="20"/>
          <w:szCs w:val="20"/>
          <w:color w:val="auto"/>
        </w:rPr>
      </w:pPr>
    </w:p>
    <w:p>
      <w:pPr>
        <w:ind w:left="40" w:right="220"/>
        <w:spacing w:after="0" w:line="268" w:lineRule="auto"/>
        <w:rPr>
          <w:sz w:val="20"/>
          <w:szCs w:val="20"/>
          <w:color w:val="auto"/>
        </w:rPr>
      </w:pPr>
      <w:r>
        <w:rPr>
          <w:rFonts w:ascii="Times New Roman" w:cs="Times New Roman" w:eastAsia="Times New Roman" w:hAnsi="Times New Roman"/>
          <w:sz w:val="18"/>
          <w:szCs w:val="18"/>
          <w:b w:val="1"/>
          <w:bCs w:val="1"/>
          <w:color w:val="auto"/>
        </w:rPr>
        <w:t>By signing and submitting this Letter of Transmittal you warrant that these shares will not be sold, including through limit order request, unless properly withdrawn from the exchange offer (the “Exchange Offer”) contemplated by the offer to exchange/prospectus dated October 21, 2025 (as it may be amended or supplemented from time to time, the “Exchange Offer Prospectus”).</w:t>
      </w:r>
    </w:p>
    <w:p>
      <w:pPr>
        <w:spacing w:after="0" w:line="30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9"/>
          <w:szCs w:val="29"/>
          <w:b w:val="1"/>
          <w:bCs w:val="1"/>
          <w:color w:val="auto"/>
        </w:rPr>
        <w:t>Letter of Transmittal</w:t>
      </w: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52" w:lineRule="exact"/>
        <w:rPr>
          <w:sz w:val="20"/>
          <w:szCs w:val="20"/>
          <w:color w:val="auto"/>
        </w:rPr>
      </w:pPr>
    </w:p>
    <w:p>
      <w:pPr>
        <w:ind w:left="20" w:right="34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EXCHANGE OFFER AND WITHDRAWAL RIGHTS WILL EXPIRE AT 9:00 A.M., NEW YORK CITY TIME, ON DECEMBER 3, 2025, UNLESS THE EXCHANGE OFFER IS EXTENDED (SUCH TIME, AS IT MAY BE EXTENDED, THE “EXPIRATION TIME”) OR EARLIER TERMINATED. SHARES TENDERED PURSUANT TO THE EXCHANGE OFFER MAY BE WITHDRAWN AT ANY TIME PRIOR TO THE EXPIRATION TIME.</w:t>
      </w:r>
    </w:p>
    <w:p>
      <w:pPr>
        <w:spacing w:after="0" w:line="1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38"/>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spacing w:after="0"/>
              <w:rPr>
                <w:sz w:val="20"/>
                <w:szCs w:val="20"/>
                <w:color w:val="auto"/>
              </w:rPr>
            </w:pPr>
          </w:p>
        </w:tc>
      </w:tr>
      <w:tr>
        <w:trPr>
          <w:trHeight w:val="427"/>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15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800"/>
          </w:cols>
          <w:pgMar w:left="660" w:top="117" w:right="439" w:bottom="1440" w:gutter="0" w:footer="0" w:header="0"/>
        </w:sectPr>
      </w:pPr>
    </w:p>
    <w:bookmarkStart w:id="293" w:name="page294"/>
    <w:bookmarkEnd w:id="293"/>
    <w:p>
      <w:pPr>
        <w:ind w:left="4" w:right="3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Letter of Transmittal to an address other than as set forth above will not constitute a valid delivery to Computershare Trust Company, N.A. (the “Exchange Agent”). You must sign this Letter of Transmittal in the appropriate space provided below, with signature guarantee if required, and complete the Internal Revenue Service (“IRS”) Form W-9 enclosed herein or the appropriate IRS Form W-8, as applicable.</w:t>
      </w:r>
    </w:p>
    <w:p>
      <w:pPr>
        <w:spacing w:after="0" w:line="176"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Exchange Offer is not being made to (nor will tender of shares be accepted from or on behalf of) shareholders in any jurisdiction where it would be illegal to do so.</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instructions contained within this Letter of Transmittal should be read carefully before this Letter of Transmittal is completed.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Time is critical. Please complete and return promptly in accordance with the enclosed instructions.</w:t>
      </w:r>
    </w:p>
    <w:p>
      <w:pPr>
        <w:spacing w:after="0" w:line="225" w:lineRule="exact"/>
        <w:rPr>
          <w:sz w:val="20"/>
          <w:szCs w:val="20"/>
          <w:color w:val="auto"/>
        </w:rPr>
      </w:pPr>
    </w:p>
    <w:p>
      <w:pPr>
        <w:jc w:val="both"/>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If you have questions or requests for assistance, or would like additional copies of this Letter of Transmittal or any of the other documents delivered in connection with the Exchange Offer, you should contact Georgeson LLC, the Information Agent for the Exchange Offer (the “Information Agent”), using the contact information on the last page of this Letter of Transmittal.</w:t>
      </w:r>
    </w:p>
    <w:p>
      <w:pPr>
        <w:spacing w:after="0" w:line="173"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This Letter of Transmittal is in connection with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to exchange all of the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for American Depositary Shares, each representing one ordinary share, no par value, with a notional amount attributable to each ordinary share of €1, of BioNTech (the “BioNTech ADSs”), as more fully set out in the Exchange Offer Prospectus.</w:t>
      </w:r>
    </w:p>
    <w:p>
      <w:pPr>
        <w:spacing w:after="0" w:line="185"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Joh. Berenberg, Gossler &amp; Co. KG is acting as Subscription Agent for the Exchange Offer (the “Subscription Agent”). In that capacity, the Subscription Agent may, at BioNTech’s election, receive validly tendered CureVac Shares in trust and for the benefit of BioNTech for purposes of effectuating share capital increases under German law, as set out in more detail in the Exchange Offer Prospectus.</w:t>
      </w:r>
    </w:p>
    <w:p>
      <w:pPr>
        <w:spacing w:after="0" w:line="176" w:lineRule="exact"/>
        <w:rPr>
          <w:sz w:val="20"/>
          <w:szCs w:val="20"/>
          <w:color w:val="auto"/>
        </w:rPr>
      </w:pPr>
    </w:p>
    <w:p>
      <w:pPr>
        <w:jc w:val="both"/>
        <w:ind w:left="4" w:right="40"/>
        <w:spacing w:after="0" w:line="276" w:lineRule="auto"/>
        <w:rPr>
          <w:sz w:val="20"/>
          <w:szCs w:val="20"/>
          <w:color w:val="auto"/>
        </w:rPr>
      </w:pPr>
      <w:r>
        <w:rPr>
          <w:rFonts w:ascii="Times New Roman" w:cs="Times New Roman" w:eastAsia="Times New Roman" w:hAnsi="Times New Roman"/>
          <w:sz w:val="17"/>
          <w:szCs w:val="17"/>
          <w:color w:val="auto"/>
        </w:rPr>
        <w:t>You should use this Letter of Transmittal to deliver to the Exchange Agent CureVac Shares if (i) your shares are directly registered in your own name in CureVac’s shareholders register, including if you are a record holder and hold shares in book-entry form on the books of CureVac’s transfer agent, or</w:t>
      </w:r>
    </w:p>
    <w:p>
      <w:pPr>
        <w:spacing w:after="0" w:line="1" w:lineRule="exact"/>
        <w:rPr>
          <w:sz w:val="20"/>
          <w:szCs w:val="20"/>
          <w:color w:val="auto"/>
        </w:rPr>
      </w:pPr>
    </w:p>
    <w:p>
      <w:pPr>
        <w:ind w:left="4" w:right="120" w:hanging="4"/>
        <w:spacing w:after="0" w:line="260" w:lineRule="auto"/>
        <w:tabs>
          <w:tab w:leader="none" w:pos="26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in “street name” through The Depository Trust Company (“DTC”) in book-entry form, unless an Agent’s Message (as defined in Instruction 3 below) in lieu of this Letter of Transmittal is utilized.</w:t>
      </w:r>
    </w:p>
    <w:p>
      <w:pPr>
        <w:spacing w:after="0" w:line="18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If you wish to tender CureVac Shares that are registered in the name of a broker, dealer, commercial bank, trust company, or other nominee, you should contact your broker, dealer, commercial bank, trust company or other nominee and request that your broker, dealer, commercial bank, trust company, or other nominee tenders such shares.</w:t>
      </w:r>
    </w:p>
    <w:p>
      <w:pPr>
        <w:spacing w:after="0" w:line="17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BECAUSE BIONTECH IS NOT PROVIDING FOR GUARANTEED DELIVERY PROCEDURES, A HOLDER MUST ALLOW SUFFICIENT TIME FOR THE NECESSARY TENDER PROCEDURES TO BE COMPLETED DURING THE NORMAL BUSINESS HOURS OF THE EXCHANGE AGENT AND DTC PRIOR TO THE EXPIRATION TIME. TENDERS NOT COMPLETED PRIOR TO THE EXPIRATION TIME WILL BE DISREGARDED AND OF NO EFFECT. DO NOT SEND THIS LETTER OF TRANSMITTAL OR ANY OTHER DOCUMENTS TO BIONTECH OR CUREVAC. SEND THESE DOCUMENTS ONLY TO THE EXCHANGE AGENT.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984"/>
          </w:cols>
          <w:pgMar w:left="436" w:top="266" w:right="479" w:bottom="1440" w:gutter="0" w:footer="0" w:header="0"/>
        </w:sectPr>
      </w:pPr>
    </w:p>
    <w:bookmarkStart w:id="294" w:name="page295"/>
    <w:bookmarkEnd w:id="29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w:t>
      </w:r>
      <w:r>
        <w:rPr>
          <w:rFonts w:ascii="Times New Roman" w:cs="Times New Roman" w:eastAsia="Times New Roman" w:hAnsi="Times New Roman"/>
          <w:sz w:val="18"/>
          <w:szCs w:val="18"/>
          <w:i w:val="1"/>
          <w:iCs w:val="1"/>
          <w:color w:val="auto"/>
        </w:rPr>
        <w:t>ONDER OPSCHORTENDE VOORWAARDE</w:t>
      </w:r>
      <w:r>
        <w:rPr>
          <w:rFonts w:ascii="Times New Roman" w:cs="Times New Roman" w:eastAsia="Times New Roman" w:hAnsi="Times New Roman"/>
          <w:sz w:val="18"/>
          <w:szCs w:val="18"/>
          <w:color w:val="auto"/>
        </w:rPr>
        <w:t>), AND EFFECTIVE UPON, ACCEPTANCE FOR EXCHANGE OF THE CUREVAC SHARES VALIDLY TENDERED HEREWITH AND NOT PROPERLY WITHDRAWN IN ACCORDANCE WITH THE TERMS AND CONDITIONS OF THE EXCHANGE OFFER, THE PROPER COMPLETION AND DULY SIGNING OF THIS LETTER OF TRANSMITTAL WILL CONSTITUTE A PRIVATE DEED OF TRANSFER AS REQUIRED BY DUTCH LAW FOR THE TRANSFER OF THE CUREVAC SHARES TENDERED HEREWITH TO BIONTECH OR, AT BIONTECH’S ELECTION, THE SUBSCRIPTION AGENT, OR TO BIONTECH’S ASSIGNEE (IF BIONTECH DESIGNATES SUCH ASSIGNEE AND THIS LETTER OF TRANSMITTAL IS SUBSEQUENTLY SIGNED BY THE EXCHANGE AGENT ON BEHALF OF SUCH ASSIGNEE, IN EACH CASE PRIOR TO THE ACCEPTANCE FOR EXCHANGE OF AND EXCHANGE OF THE TENDERED SHARES FOR SHARES OF BIONTECH ADSS), AND CUREVAC’S ACKNOWLEDGEMENT OF SUCH TRANSFER OF SUCH TENDERED CUREVAC SHARES.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68" w:right="459" w:bottom="1440" w:gutter="0" w:footer="0" w:header="0"/>
        </w:sectPr>
      </w:pPr>
    </w:p>
    <w:bookmarkStart w:id="295" w:name="page296"/>
    <w:bookmarkEnd w:id="295"/>
    <w:p>
      <w:pPr>
        <w:ind w:left="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IMPORTANT—PLEASE READ THIS INSTRUCTION BOOKLET ACCOMPANYING THIS LETTER OF TRANSMITTAL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Ladies and Gentlemen: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undersigned herewith tenders to BioNTech (or its designee, which may include the Subscription Agent, as set out below), the above-described CureVac Shares pursuant to the Exchange Offer, on the terms and subject to the conditions set forth in the Exchange Offer Prospectus and this Letter of Transmittal.</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Exchange Offer (including, if the Exchange Offer is extended or amended, the terms and conditions of such extension or amendment) and subject to and effective upon acceptance for exchange of the CureVac Shares validly tendered herewith, and not properly withdrawn, prior to the Expiration Time, the undersigned hereby sells, assigns, and transfers all right, title, and interest in and to all of the CureVac Shares being tendered hereby and with respect to any and all other securities and rights issued or issuable in respect of such CureVac Shares on or after the date hereof (collectively, “Distributions”) to BioNTech or, at BioNTech’s election, the Subscription Agent or BioNTech’s assignee. To the extent the tendered CureVac Shares are directly registered in the name of the undersigned in CureVac’s shareholders register (or if Dutch law would otherwise require a private deed of transfer in order to effect such transfer of tendered CureVac Shares as contemplated by this Letter of Transmittal), the proper completion and signing of this Letter of Transmittal by the undersigned will constitute (i) a private deed of transfer as required under Dutch law for the transfer of the CureVac Shares tendered herewith, (ii) CureVac’s acknowledgement of such transfer of such tendered CureVac Shares, which shall be deemed to occur upon BioNTech’s acceptance of the tendered CureVac Shares, and (iii) the undersigned’s instruction to CureVac and its transfer agent to record the transfer contemplated hereby on the books and records of CureVac.</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event that the Subscription Agent, at BioNTech’s election, receives validly tendered CureVac Shares in trust and for the benefit of BioNTech, the undersigned hereby instructs and authorizes:</w:t>
      </w:r>
    </w:p>
    <w:p>
      <w:pPr>
        <w:spacing w:after="0" w:line="67" w:lineRule="exact"/>
        <w:rPr>
          <w:sz w:val="20"/>
          <w:szCs w:val="20"/>
          <w:color w:val="auto"/>
        </w:rPr>
      </w:pPr>
    </w:p>
    <w:p>
      <w:pPr>
        <w:ind w:left="960" w:right="120" w:hanging="532"/>
        <w:spacing w:after="0" w:line="266" w:lineRule="auto"/>
        <w:tabs>
          <w:tab w:leader="none" w:pos="9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tendered CureVac Shares and any Distributions are to be held by the Subscription Agent in trust on behalf of the undersigned and for the benefit of BioNTech for the purpose of contributing the tendered CureVac Shares to BioNTech to implement a capital increase against contribution in-kind, as more completely described in the Exchange Offer Prospectus;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 to transfer all of the CureVac Shares being tendered hereby and any Distributions to BioNTech to implement the capital increase against a contribution in-kind.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effectuating the share capital increase under German law, the undersigned hereby instructs and authorizes the Subscription Agent to:</w:t>
      </w:r>
    </w:p>
    <w:p>
      <w:pPr>
        <w:spacing w:after="0" w:line="131" w:lineRule="exact"/>
        <w:rPr>
          <w:sz w:val="20"/>
          <w:szCs w:val="20"/>
          <w:color w:val="auto"/>
        </w:rPr>
      </w:pPr>
    </w:p>
    <w:p>
      <w:pPr>
        <w:ind w:left="960" w:right="440" w:hanging="532"/>
        <w:spacing w:after="0" w:line="282" w:lineRule="auto"/>
        <w:tabs>
          <w:tab w:leader="none" w:pos="9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 for a number of new BioNTech ordinary shares as set out in the Exchange Offer Prospectus in the name of the Subscription Agent but on the account of the undersigned; and</w:t>
      </w:r>
    </w:p>
    <w:p>
      <w:pPr>
        <w:spacing w:after="0" w:line="67"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BioNTech ordinary shares received pursuant to such subscription to the depositary (as defined in the Exchange Offer Prospectus) for the issuance of BioNTech ADSs.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subject to, and effective upon, acceptance for exchange of the CureVac Shares validly tendered herewith, and not properly withdrawn, prior to the Expiration Time, the undersigned hereby irrevocably appoints and authorizes BioNTech (or BioNTech’s assignee, if applicable) as the true and lawful agent and attorney-in-fact and proxy of the undersigned with respect to such CureVac Shares and any Distributions with full power of substitution (such proxy and power of attorney being deemed to be an irrevocable power coupled with an interest in the tendered CureVac Shares) to the fullest extent of the rights of the undersigned with respect to such CureVac Shares and any Distributions (a) to deliver any Distributions, or transfer ownership of such CureVac Shares and any Distributions on the account books maintained by the DTC, together, in either such case, with all accompanying evidence of transfer and authenticity, to or upon the order of BioNTech (or BioNTech’s assignee,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66" w:right="459" w:bottom="1440" w:gutter="0" w:footer="0" w:header="0"/>
        </w:sectPr>
      </w:pPr>
    </w:p>
    <w:bookmarkStart w:id="296" w:name="page297"/>
    <w:bookmarkEnd w:id="29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applicable), (b) to transfer such CureVac Shares directly registered in the undersigned’s name in CureVac’s shareholders register and any Distributions in respect of such CureVac Shares to or upon the order of BioNTech (or BioNTech’s assignee, if applicable) to the extent not already transferred pursuant to this Letter of Transmittal, and (c) to receive all benefits and otherwise exercise all rights of beneficial ownership of such CureVac Shares and any Distributions, all in accordance with the terms and subject to the conditions of the Exchange Offer.</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BioNTech as the attorneys-in-fact and proxies of the undersigned, each with full power of substitution, to the fullest extent of the rights of the undersigned with respect to the CureVac Shares tendered hereby which have been accepted for exchange and with respect to any Distributions, all in accordance with the terms and subject to the conditions set forth in the Exchange Offer Prospectus and this Letter of Transmittal. The designees of BioNTech will, with respect to the CureVac Shares tendered hereby and any associated Distributions for which the appointment is effective, be empowered to exercise all of the undersigned’s voting and any other rights, as they, in their sole discretion, may deem proper at any annual, extraordinary, convened, or reconvened general meeting of CureVac shareholders. This proxy and power of attorney shall be irrevocable and coupled with an interest in the tendered CureVac Shares. Such appointment is effective when, and only to the extent that, BioNTech accepts the CureVac Shares tendered with this Letter of Transmittal for exchange pursuant to the Exchange Offer. Upon the effectiveness of such appointment, without further action, all prior powers of attorney, proxies, and consents given by the undersigned with respect to such CureVac Shares and any associated Distributions will be revoked and no subsequent powers of attorney, proxies, consents, or revocations may be given (and, if given, will not be deemed effective). BioNTech reserves the right to require that, in order for CureVac Shares to be deemed validly tendered, immediately upon BioNTech’s acceptance for exchange of such CureVac Shares, BioNTech or its designees must be able to exercise full voting, consent, and other rights, to the extent permitted under applicable law, with respect to such CureVac Shares and any associated Distributions, including voting at any meeting of CureVac shareholders, or executing a written consent, concerning any matter.</w:t>
      </w:r>
    </w:p>
    <w:p>
      <w:pPr>
        <w:spacing w:after="0" w:line="19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Exchange Offer and the undersigned’s tender of CureVac Shares, by executing the Letter of Transmittal, the undersigned hereby represents and warrants to BioNTech and to the Subscription Agent that:</w:t>
      </w:r>
    </w:p>
    <w:p>
      <w:pPr>
        <w:spacing w:after="0" w:line="67" w:lineRule="exact"/>
        <w:rPr>
          <w:sz w:val="20"/>
          <w:szCs w:val="20"/>
          <w:color w:val="auto"/>
        </w:rPr>
      </w:pPr>
    </w:p>
    <w:p>
      <w:pPr>
        <w:ind w:left="960" w:right="40" w:hanging="532"/>
        <w:spacing w:after="0" w:line="282"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tender, sell, assign, and transfer the CureVac Shares that the undersigned has tendered (and any and all other CureVac Shares or other securities issued or issuable in respect of such shares);</w:t>
      </w:r>
    </w:p>
    <w:p>
      <w:pPr>
        <w:spacing w:after="0" w:line="67"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BioNTech (or BioNTech’s assignee, if applicable) accepts such shares for exchange pursuant to the Exchange Offer, BioNTech, the Subscription Agent, or BioNTech’s assignee, as the case may be, will acquire good, marketable, and unencumbered title to such shares, free and clear of all liens, restrictions, charges, and encumbrances and not subject to any adverse claims;</w:t>
      </w:r>
    </w:p>
    <w:p>
      <w:pPr>
        <w:spacing w:after="0" w:line="81"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registered holder of the CureVac Shares tendered hereby, or the undersigned is a participant in DTC whose name appears on a security position listing as the owner of the CureVac Shares tendered hereby;</w:t>
      </w:r>
    </w:p>
    <w:p>
      <w:pPr>
        <w:spacing w:after="0" w:line="67" w:lineRule="exact"/>
        <w:rPr>
          <w:rFonts w:ascii="Times New Roman" w:cs="Times New Roman" w:eastAsia="Times New Roman" w:hAnsi="Times New Roman"/>
          <w:sz w:val="18"/>
          <w:szCs w:val="18"/>
          <w:color w:val="auto"/>
        </w:rPr>
      </w:pPr>
    </w:p>
    <w:p>
      <w:pPr>
        <w:jc w:val="both"/>
        <w:ind w:left="960" w:right="80" w:hanging="532"/>
        <w:spacing w:after="0" w:line="266"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upon reasonable request, promptly execute and deliver any additional documents deemed by the Exchange Agent or BioNTech (or the Subscription Agent or BioNTech’s assignee, if applicable) to be necessary or desirable to complete the sale, assignment, and transfer of the CureVac Shares and any Distributions tendered hereby;</w:t>
      </w:r>
    </w:p>
    <w:p>
      <w:pPr>
        <w:spacing w:after="0" w:line="81" w:lineRule="exact"/>
        <w:rPr>
          <w:rFonts w:ascii="Times New Roman" w:cs="Times New Roman" w:eastAsia="Times New Roman" w:hAnsi="Times New Roman"/>
          <w:sz w:val="18"/>
          <w:szCs w:val="18"/>
          <w:color w:val="auto"/>
        </w:rPr>
      </w:pPr>
    </w:p>
    <w:p>
      <w:pPr>
        <w:ind w:left="960" w:right="100" w:hanging="532"/>
        <w:spacing w:after="0" w:line="258" w:lineRule="auto"/>
        <w:tabs>
          <w:tab w:leader="none" w:pos="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promptly remit and transfer to the Exchange Agent for the account of BioNTech (or BioNTech’s assignee, if applicable) any and all Distributions in respect of the CureVac Shares tendered hereby, accompanied by documentation sufficient for such transfer and, pending such remittance or appropriate assurance thereof, BioNTech (or BioNTech’s assignee, if applicable) shall be entitled to all rights and privileges as owner of any such Distributions and may withhold the entire purchase price or deduct from the purchase price the amount or value thereof, as determined by BioNTech (or BioNTech’s assignee, if applicable) in its sole discretion;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70" w:right="459" w:bottom="1440" w:gutter="0" w:footer="0" w:header="0"/>
        </w:sectPr>
      </w:pPr>
    </w:p>
    <w:bookmarkStart w:id="297" w:name="page298"/>
    <w:bookmarkEnd w:id="297"/>
    <w:p>
      <w:pPr>
        <w:ind w:left="540" w:right="220" w:hanging="532"/>
        <w:spacing w:after="0" w:line="266"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authority the undersigned has conferred or agreed to confer in the Letter of Transmittal and all of the undersigned’s obligations hereunder shall be binding upon the undersigned’s successors, assigns, heirs, executors, administrators, trustees in bankruptcy, and legal representatives, and shall survive and not be affected by the undersigned’s death or incapacity;</w:t>
      </w:r>
    </w:p>
    <w:p>
      <w:pPr>
        <w:spacing w:after="0" w:line="81" w:lineRule="exact"/>
        <w:rPr>
          <w:rFonts w:ascii="Times New Roman" w:cs="Times New Roman" w:eastAsia="Times New Roman" w:hAnsi="Times New Roman"/>
          <w:sz w:val="18"/>
          <w:szCs w:val="18"/>
          <w:color w:val="auto"/>
        </w:rPr>
      </w:pPr>
    </w:p>
    <w:p>
      <w:pPr>
        <w:ind w:left="540" w:right="100" w:hanging="532"/>
        <w:spacing w:after="0" w:line="312" w:lineRule="auto"/>
        <w:tabs>
          <w:tab w:leader="none" w:pos="540"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undersigned’s participation in the Exchange Offer and tender of such shares complied with the applicable laws of both the jurisdiction where the undersigned received the materials relating to the Exchange Offer and the jurisdiction from which the tender is being made;</w:t>
      </w:r>
    </w:p>
    <w:p>
      <w:pPr>
        <w:spacing w:after="0" w:line="45" w:lineRule="exact"/>
        <w:rPr>
          <w:rFonts w:ascii="Times New Roman" w:cs="Times New Roman" w:eastAsia="Times New Roman" w:hAnsi="Times New Roman"/>
          <w:sz w:val="17"/>
          <w:szCs w:val="17"/>
          <w:color w:val="auto"/>
        </w:rPr>
      </w:pPr>
    </w:p>
    <w:p>
      <w:pPr>
        <w:ind w:left="540" w:right="40" w:hanging="532"/>
        <w:spacing w:after="0" w:line="253"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EEA PERSONS: The undersigned acknowledges that in relation to each member state of the European Economic Area (each, a “Relevant Member State”) 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notified to the competent authorities in Austria, France, Italy, The Netherlands, and Spain available free of charge on the website of BioNTech SE (https://investors.biontech.de/eea-switzerland-disclaimer)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92" w:lineRule="exact"/>
        <w:rPr>
          <w:rFonts w:ascii="Times New Roman" w:cs="Times New Roman" w:eastAsia="Times New Roman" w:hAnsi="Times New Roman"/>
          <w:sz w:val="18"/>
          <w:szCs w:val="18"/>
          <w:color w:val="auto"/>
        </w:rPr>
      </w:pPr>
    </w:p>
    <w:p>
      <w:pPr>
        <w:ind w:left="540" w:right="420" w:hanging="532"/>
        <w:spacing w:after="0" w:line="266"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SWISS PERSONS: The undersigned acknowledges that 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81" w:lineRule="exact"/>
        <w:rPr>
          <w:rFonts w:ascii="Times New Roman" w:cs="Times New Roman" w:eastAsia="Times New Roman" w:hAnsi="Times New Roman"/>
          <w:sz w:val="18"/>
          <w:szCs w:val="18"/>
          <w:color w:val="auto"/>
        </w:rPr>
      </w:pPr>
    </w:p>
    <w:p>
      <w:pPr>
        <w:ind w:left="540" w:right="60" w:hanging="532"/>
        <w:spacing w:after="0" w:line="253"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UK PERSONS: The undersigned acknowledges the offer of BioNTech ADSs to the public in the United Kingdom (the “UK”) is based on the UK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(https://investors.biontech.de/uk-disclaimer)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 and</w:t>
      </w:r>
    </w:p>
    <w:p>
      <w:pPr>
        <w:spacing w:after="0" w:line="99" w:lineRule="exact"/>
        <w:rPr>
          <w:rFonts w:ascii="Times New Roman" w:cs="Times New Roman" w:eastAsia="Times New Roman" w:hAnsi="Times New Roman"/>
          <w:sz w:val="18"/>
          <w:szCs w:val="18"/>
          <w:color w:val="auto"/>
        </w:rPr>
      </w:pPr>
    </w:p>
    <w:p>
      <w:pPr>
        <w:jc w:val="both"/>
        <w:ind w:left="540" w:hanging="532"/>
        <w:spacing w:after="0" w:line="274" w:lineRule="auto"/>
        <w:tabs>
          <w:tab w:leader="none" w:pos="540"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OTHER NON-U.S. PERSONS: The undersigned acknowledges that BioNTech has advised the undersigned that it has not taken any action under the laws of any country outside the United States, other than Germany, Austria, France, Italy, The Netherlands, Spain and the UK (collectively, the “Covered Countries”), to facilitate a public offer to exchange CureVac Shares or BioNTech ADSs in that country; that there may be restrictions that apply in other countries, including with respect to transactions in CureVac Shares or BioNTech ADSs in the undersigned’s home country; that, if the undersigned is located outside a Covered Country, the undersigned’s ability to tender CureVac Shares in the Exchange Offer in accordance with its terms will depend on whether there is an exemption available under the laws</w:t>
      </w:r>
    </w:p>
    <w:p>
      <w:pPr>
        <w:spacing w:after="0" w:line="1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560"/>
          </w:cols>
          <w:pgMar w:left="860" w:top="270" w:right="479" w:bottom="1440" w:gutter="0" w:footer="0" w:header="0"/>
        </w:sectPr>
      </w:pPr>
    </w:p>
    <w:bookmarkStart w:id="298" w:name="page299"/>
    <w:bookmarkEnd w:id="298"/>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undersigned’s home country that would permit the undersigned to participate in the Exchange Offer without the need for BioNTech to take any action to facilitate a public offering in that country or otherwise; that BioNTech will rely on the undersigned’s representation that the undersigned’s participation in the Exchange Offer is made pursuant to and in compliance with the applicable laws in the jurisdiction in which the undersigned is resident or from which the undersigned is tendering the undersigned’s shares and in a manner that will not require BioNTech to take any action to facilitate a public offering in that country or otherwise; and that BioNTech will rely on the undersigned’s representations concerning the legality of the undersigned’s participation in the Exchange Offer in determining to accept any CureVac Shares that the undersigned is tendering for exchange.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the Letter of Transmittal, the undersigned understands and agrees that, among other matters described in the Exchange Offer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withdrawal, acceptance, exchange, and delivery:</w:t>
      </w:r>
    </w:p>
    <w:p>
      <w:pPr>
        <w:spacing w:after="0" w:line="133" w:lineRule="exact"/>
        <w:rPr>
          <w:sz w:val="20"/>
          <w:szCs w:val="20"/>
          <w:color w:val="auto"/>
        </w:rPr>
      </w:pPr>
    </w:p>
    <w:p>
      <w:pPr>
        <w:ind w:left="960" w:right="240" w:hanging="532"/>
        <w:spacing w:after="0" w:line="282" w:lineRule="auto"/>
        <w:tabs>
          <w:tab w:leader="none" w:pos="9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can withdraw its tender only in accordance with the procedures described in the Exchange Offer Prospectus under “The Offer — Withdrawal Rights” and in Instruction 8 hereof;</w:t>
      </w:r>
    </w:p>
    <w:p>
      <w:pPr>
        <w:spacing w:after="0" w:line="67" w:lineRule="exact"/>
        <w:rPr>
          <w:rFonts w:ascii="Times New Roman" w:cs="Times New Roman" w:eastAsia="Times New Roman" w:hAnsi="Times New Roman"/>
          <w:sz w:val="18"/>
          <w:szCs w:val="18"/>
          <w:color w:val="auto"/>
        </w:rPr>
      </w:pPr>
    </w:p>
    <w:p>
      <w:pPr>
        <w:ind w:left="960" w:right="180" w:hanging="532"/>
        <w:spacing w:after="0" w:line="261" w:lineRule="auto"/>
        <w:tabs>
          <w:tab w:leader="none" w:pos="9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BioNTech accepts any of the CureVac Shares that the undersigned has tendered, the undersigned’s tender is irrevocable, and the undersigned will be (a) deemed to have accepted the BioNTech ADSs exchanged for such CureVac Shares and to have relinquished all rights with respect to the tendered and accepted CureVac Shares and (b) entitled to receive such BioNTech ADSs in book-entry form in a direct registered account in the undersigned’s name;</w:t>
      </w:r>
    </w:p>
    <w:p>
      <w:pPr>
        <w:spacing w:after="0" w:line="85" w:lineRule="exact"/>
        <w:rPr>
          <w:rFonts w:ascii="Times New Roman" w:cs="Times New Roman" w:eastAsia="Times New Roman" w:hAnsi="Times New Roman"/>
          <w:sz w:val="18"/>
          <w:szCs w:val="18"/>
          <w:color w:val="auto"/>
        </w:rPr>
      </w:pPr>
    </w:p>
    <w:p>
      <w:pPr>
        <w:ind w:left="960" w:right="120" w:hanging="532"/>
        <w:spacing w:after="0" w:line="256" w:lineRule="auto"/>
        <w:tabs>
          <w:tab w:leader="none" w:pos="9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each tendered CureVac share, the undersigned will receive a number of BioNTech ADSs, taken to five decimal places, equal to the amount obtained by dividing $5.4641 by the volume-weighted average of the price per BioNTech ADS (the “BioNTech ADS VWAP”), taken to four decimal places, over the period of 10 consecutive trading days ending on, and including, the fifth trading day immediately preceding the Expiration Time (the “Exchange Ratio”); provided, however, that, in the event the BioNTech ADS VWAP is greater than or equal to $126.55, the Exchange Ratio will be 0.04318 and, in the event the BioNTech ADS VWAP is less than or equal to $84.37, the Exchange Ratio will be 0.06476;</w:t>
      </w:r>
    </w:p>
    <w:p>
      <w:pPr>
        <w:spacing w:after="0" w:line="92" w:lineRule="exact"/>
        <w:rPr>
          <w:rFonts w:ascii="Times New Roman" w:cs="Times New Roman" w:eastAsia="Times New Roman" w:hAnsi="Times New Roman"/>
          <w:sz w:val="18"/>
          <w:szCs w:val="18"/>
          <w:color w:val="auto"/>
        </w:rPr>
      </w:pPr>
    </w:p>
    <w:p>
      <w:pPr>
        <w:ind w:left="960" w:right="60" w:hanging="532"/>
        <w:spacing w:after="0" w:line="255" w:lineRule="auto"/>
        <w:tabs>
          <w:tab w:leader="none" w:pos="9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BioNTech’s transfer agent will (a) cause to be credited, in book-entry form to a direct registered account in the undersigned’s name, BioNTech ADSs to which the undersigned is entitled in the name(s) of the registered holder(s) shown on the Letter of Transmittal (or, in the case of shares delivered through DTC, to the account of DTC so that DTC can credit the relevant DTC participant and such participant can credit its respective account holders) as soon as practicable after acceptance of CureVac Shares in the Exchange Offer, and (b) mail a statement evidencing the undersigned’s holdings, as well as general information on the book-entry form of ownership; the undersigned acknowledges the discussion of the share capital increases and extended settlement in the Exchange Offer Prospectus and that delivery of BioNTech ADSs may require up to three weeks or longer;</w:t>
      </w:r>
    </w:p>
    <w:p>
      <w:pPr>
        <w:spacing w:after="0" w:line="94" w:lineRule="exact"/>
        <w:rPr>
          <w:rFonts w:ascii="Times New Roman" w:cs="Times New Roman" w:eastAsia="Times New Roman" w:hAnsi="Times New Roman"/>
          <w:sz w:val="18"/>
          <w:szCs w:val="18"/>
          <w:color w:val="auto"/>
        </w:rPr>
      </w:pPr>
    </w:p>
    <w:p>
      <w:pPr>
        <w:jc w:val="both"/>
        <w:ind w:left="960" w:right="360" w:hanging="532"/>
        <w:spacing w:after="0" w:line="289" w:lineRule="auto"/>
        <w:tabs>
          <w:tab w:leader="none" w:pos="960"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BioNTech ADSs will be issued in the Exchange Offer; to the extent that the undersigned otherwise would be entitled to a fractional BioNTech ADS as a result of the application of the Exchange Ratio, the undersigned will instead receive an amount in cash equal to the product of the fractional BioNTech ADS the undersigned otherwise would be entitled to and the BioNTech ADS VWAP;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the return of any CureVac Shares not accepted for exchange:</w:t>
      </w:r>
    </w:p>
    <w:p>
      <w:pPr>
        <w:spacing w:after="0" w:line="133" w:lineRule="exact"/>
        <w:rPr>
          <w:sz w:val="20"/>
          <w:szCs w:val="20"/>
          <w:color w:val="auto"/>
        </w:rPr>
      </w:pPr>
    </w:p>
    <w:p>
      <w:pPr>
        <w:ind w:left="960" w:right="20" w:hanging="532"/>
        <w:spacing w:after="0" w:line="266" w:lineRule="auto"/>
        <w:tabs>
          <w:tab w:leader="none" w:pos="9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CureVac Shares are delivered and not accepted by BioNTech (or BioNTech’s assignee, if applicable) for any reason pursuant to the terms and conditions of the Exchange Offer, the Exchange Agent will (a) in the case of CureVac Shares, return such shares to the tendering holders and (b) in the case of CureVac Shares tendered by book-entry transfer pursuant to the procedures set forth in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0"/>
          </w:cols>
          <w:pgMar w:left="440" w:top="270" w:right="459" w:bottom="1440" w:gutter="0" w:footer="0" w:header="0"/>
        </w:sectPr>
      </w:pPr>
    </w:p>
    <w:bookmarkStart w:id="299" w:name="page300"/>
    <w:bookmarkEnd w:id="299"/>
    <w:p>
      <w:pPr>
        <w:ind w:left="980"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Offer Prospectus under “The Offer — Procedures for Tendering,” credit such shares to an account maintained for the benefit of the undersigned with DTC, in each case promptly following expiration or termination of the Exchange Offer;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delivery of BioNTech ADSs or cash in lieu of fractional shares to persons other than the undersigned:</w:t>
      </w:r>
    </w:p>
    <w:p>
      <w:pPr>
        <w:spacing w:after="0" w:line="133" w:lineRule="exact"/>
        <w:rPr>
          <w:sz w:val="20"/>
          <w:szCs w:val="20"/>
          <w:color w:val="auto"/>
        </w:rPr>
      </w:pPr>
    </w:p>
    <w:p>
      <w:pPr>
        <w:ind w:left="1080" w:right="20" w:hanging="652"/>
        <w:spacing w:after="0" w:line="255"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properly complies with the appropriate instructions hereto, including the Special Exchange Instructions and/or Special Delivery Instructions, and provides all necessary and proper documentary evidence, such as a power of attorney, the person designated in the Special Exchange Instructions or Special Delivery Instructions will receive the BioNTech ADSs to which the undersigned is entitled in exchange for the undersigned’s tendered and accepted CureVac Shares in the Exchange Offer, together with cash in lieu of fractional BioNTech ADSs and, if applicable, any CureVac Shares that are not accepted for exchange in the Exchange Offer; provided that BioNTech has no obligation pursuant to such instructions to transfer any shares from the name of the registered holder(s) thereof if BioNTech does not accept any such shares for exchange;</w:t>
      </w:r>
    </w:p>
    <w:p>
      <w:pPr>
        <w:spacing w:after="0" w:line="94" w:lineRule="exact"/>
        <w:rPr>
          <w:rFonts w:ascii="Times New Roman" w:cs="Times New Roman" w:eastAsia="Times New Roman" w:hAnsi="Times New Roman"/>
          <w:sz w:val="18"/>
          <w:szCs w:val="18"/>
          <w:color w:val="auto"/>
        </w:rPr>
      </w:pPr>
    </w:p>
    <w:p>
      <w:pPr>
        <w:ind w:left="1080" w:right="260" w:hanging="652"/>
        <w:spacing w:after="0" w:line="266"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completes the appropriate instructions under Instruction 5 hereto and such section is properly complied with, BioNTech (or BioNTech’s assignee, if applicable) or the Exchange Agent will mail any checks for cash in lieu of fractional BioNTech ADSs to which the undersigned is entitled, in the name(s) and to the address so indicated;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respect to matters relating to the undersigned’s tender generally:</w:t>
      </w:r>
    </w:p>
    <w:p>
      <w:pPr>
        <w:spacing w:after="0" w:line="133" w:lineRule="exact"/>
        <w:rPr>
          <w:sz w:val="20"/>
          <w:szCs w:val="20"/>
          <w:color w:val="auto"/>
        </w:rPr>
      </w:pPr>
    </w:p>
    <w:p>
      <w:pPr>
        <w:ind w:left="1080" w:right="100" w:hanging="652"/>
        <w:spacing w:after="0" w:line="256" w:lineRule="auto"/>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and surrender of the CureVac Shares (including CureVac Shares tendered herewith) that the undersigned has tendered is not effective, and the undersigned will not receive BioNTech ADSs in exchange for the CureVac Shares tendered herewith, unless and until the Exchange Agent receives a duly completed and signed Letter of Transmittal for CureVac Shares (including any signature guarantees that may be required) or, in the case of CureVac Shares delivered by book-entry transfer through DTC, an Agent’s Message, in either case, together with any other required documents and pursuant to the procedures set forth in the Exchange Offer Prospectus under “The Offer — Procedures for Tendering”;</w:t>
      </w:r>
    </w:p>
    <w:p>
      <w:pPr>
        <w:spacing w:after="0" w:line="92" w:lineRule="exact"/>
        <w:rPr>
          <w:rFonts w:ascii="Times New Roman" w:cs="Times New Roman" w:eastAsia="Times New Roman" w:hAnsi="Times New Roman"/>
          <w:sz w:val="18"/>
          <w:szCs w:val="18"/>
          <w:color w:val="auto"/>
        </w:rPr>
      </w:pPr>
    </w:p>
    <w:p>
      <w:pPr>
        <w:ind w:left="1080" w:hanging="652"/>
        <w:spacing w:after="0"/>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tender of CureVac Shares is valid until all defects and irregularities in such tenders have been cured or waived;</w:t>
      </w:r>
    </w:p>
    <w:p>
      <w:pPr>
        <w:spacing w:after="0" w:line="130" w:lineRule="exact"/>
        <w:rPr>
          <w:rFonts w:ascii="Times New Roman" w:cs="Times New Roman" w:eastAsia="Times New Roman" w:hAnsi="Times New Roman"/>
          <w:sz w:val="18"/>
          <w:szCs w:val="18"/>
          <w:color w:val="auto"/>
        </w:rPr>
      </w:pPr>
    </w:p>
    <w:p>
      <w:pPr>
        <w:ind w:left="1080" w:right="20" w:hanging="652"/>
        <w:spacing w:after="0" w:line="282" w:lineRule="auto"/>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BioNTech nor the Exchange Agent or any other person is under any duty to give notification of any defects or irregularities in the tender of any CureVac Shares or will incur any liability for failure to give any such notification;</w:t>
      </w:r>
    </w:p>
    <w:p>
      <w:pPr>
        <w:spacing w:after="0" w:line="67" w:lineRule="exact"/>
        <w:rPr>
          <w:rFonts w:ascii="Times New Roman" w:cs="Times New Roman" w:eastAsia="Times New Roman" w:hAnsi="Times New Roman"/>
          <w:sz w:val="18"/>
          <w:szCs w:val="18"/>
          <w:color w:val="auto"/>
        </w:rPr>
      </w:pPr>
    </w:p>
    <w:p>
      <w:pPr>
        <w:ind w:left="1080" w:right="60" w:hanging="652"/>
        <w:spacing w:after="0" w:line="258" w:lineRule="auto"/>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 CureVac Shares made pursuant to any method of delivery as described in the Exchange Offer Prospectus, together with BioNTech’s (or BioNTech’s assignee’s, if applicable) acceptance for exchange of such shares pursuant to the procedures described in the Exchange Offer Prospectus under “The Offer — Procedures for Tendering” and in the Instructions hereto, will constitute a binding agreement between BioNTech (or BioNTech’s assignee, if applicable) and the undersigned upon the terms and subject to the conditions of the Exchange Offer; and</w:t>
      </w:r>
    </w:p>
    <w:p>
      <w:pPr>
        <w:spacing w:after="0" w:line="88" w:lineRule="exact"/>
        <w:rPr>
          <w:rFonts w:ascii="Times New Roman" w:cs="Times New Roman" w:eastAsia="Times New Roman" w:hAnsi="Times New Roman"/>
          <w:sz w:val="18"/>
          <w:szCs w:val="18"/>
          <w:color w:val="auto"/>
        </w:rPr>
      </w:pPr>
    </w:p>
    <w:p>
      <w:pPr>
        <w:ind w:left="1080" w:hanging="652"/>
        <w:spacing w:after="0" w:line="261" w:lineRule="auto"/>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as to the form of documents (including notices of withdrawal) and the validity, form, eligibility (including time of receipt), and acceptance for exchange of any tender of CureVac Shares will be determined by BioNTech in its sole discretion, and BioNTech’s interpretation of the terms and conditions of the Exchange Offer (including the Letter of Transmittal and instructions thereto) will be final and binding, subject to any judgment of any court of competent jurisdiction.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980"/>
          </w:cols>
          <w:pgMar w:left="440" w:top="270" w:right="479" w:bottom="1440" w:gutter="0" w:footer="0" w:header="0"/>
        </w:sectPr>
      </w:pPr>
    </w:p>
    <w:bookmarkStart w:id="300" w:name="page301"/>
    <w:bookmarkEnd w:id="300"/>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025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7174865" cy="4802505"/>
                    </a:xfrm>
                    <a:prstGeom prst="rect">
                      <a:avLst/>
                    </a:prstGeom>
                    <a:noFill/>
                  </pic:spPr>
                </pic:pic>
              </a:graphicData>
            </a:graphic>
          </wp:anchor>
        </w:drawing>
        <w:t>IMPORTANT</w:t>
      </w:r>
    </w:p>
    <w:p>
      <w:pPr>
        <w:spacing w:after="0" w:line="1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SHAREHOLDER: SIGN HERE</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(Please complete the IRS Form W-9 enclosed herein or the appropriate IRS Form W-8, as applicable.)</w:t>
      </w:r>
    </w:p>
    <w:p>
      <w:pPr>
        <w:spacing w:after="0" w:line="207" w:lineRule="exact"/>
        <w:rPr>
          <w:sz w:val="20"/>
          <w:szCs w:val="20"/>
          <w:color w:val="auto"/>
        </w:rPr>
      </w:pPr>
    </w:p>
    <w:p>
      <w:pPr>
        <w:spacing w:after="0"/>
        <w:tabs>
          <w:tab w:leader="none" w:pos="804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Dated:</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(Signature(s) of Registered Holder(s))</w:t>
      </w:r>
    </w:p>
    <w:p>
      <w:pPr>
        <w:spacing w:after="0" w:line="183" w:lineRule="exact"/>
        <w:rPr>
          <w:sz w:val="20"/>
          <w:szCs w:val="20"/>
          <w:color w:val="auto"/>
        </w:rPr>
      </w:pPr>
    </w:p>
    <w:p>
      <w:pPr>
        <w:ind w:left="140"/>
        <w:spacing w:after="0" w:line="261" w:lineRule="auto"/>
        <w:rPr>
          <w:sz w:val="20"/>
          <w:szCs w:val="20"/>
          <w:color w:val="auto"/>
        </w:rPr>
      </w:pPr>
      <w:r>
        <w:rPr>
          <w:rFonts w:ascii="Times New Roman" w:cs="Times New Roman" w:eastAsia="Times New Roman" w:hAnsi="Times New Roman"/>
          <w:sz w:val="18"/>
          <w:szCs w:val="18"/>
          <w:color w:val="auto"/>
        </w:rPr>
        <w:t>(Must be signed by the registered holder(s) exactly as name(s) appear(s) in CureVac’s shareholders register, or on a security position listing, or by the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(See Instructions)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Taxpayer Identification Number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Social Security Number or Employer Identification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Reflected in CureVac’s Shareholders Register:</w:t>
      </w:r>
    </w:p>
    <w:p>
      <w:pPr>
        <w:spacing w:after="0" w:line="207" w:lineRule="exact"/>
        <w:rPr>
          <w:sz w:val="20"/>
          <w:szCs w:val="20"/>
          <w:color w:val="auto"/>
        </w:rPr>
      </w:pPr>
    </w:p>
    <w:p>
      <w:pPr>
        <w:ind w:left="140" w:right="340"/>
        <w:spacing w:after="0" w:line="266" w:lineRule="auto"/>
        <w:rPr>
          <w:sz w:val="20"/>
          <w:szCs w:val="20"/>
          <w:color w:val="auto"/>
        </w:rPr>
      </w:pPr>
      <w:r>
        <w:rPr>
          <w:rFonts w:ascii="Times New Roman" w:cs="Times New Roman" w:eastAsia="Times New Roman" w:hAnsi="Times New Roman"/>
          <w:sz w:val="18"/>
          <w:szCs w:val="18"/>
          <w:color w:val="auto"/>
        </w:rPr>
        <w:t>Please contact the Information Agent (using the contact information on the last page of this Letter of Transmittal) if your CureVac Shares are directly registered in your own name in CureVac’s shareholders register and you do not have the numbers reflected in that register readily available.</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(If required—See Instructions 1 and 2.)</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APPLY MEDALLION GUARANTEE STAMP BELOW</w:t>
      </w: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0640"/>
          </w:cols>
          <w:pgMar w:left="520" w:top="320" w:right="739" w:bottom="1440" w:gutter="0" w:footer="0" w:header="0"/>
        </w:sectPr>
      </w:pPr>
    </w:p>
    <w:bookmarkStart w:id="301" w:name="page302"/>
    <w:bookmarkEnd w:id="301"/>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SPECIAL EXCHANGE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-125095</wp:posOffset>
            </wp:positionV>
            <wp:extent cx="3360420" cy="27171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3360420" cy="2717165"/>
                    </a:xfrm>
                    <a:prstGeom prst="rect">
                      <a:avLst/>
                    </a:prstGeom>
                    <a:noFill/>
                  </pic:spPr>
                </pic:pic>
              </a:graphicData>
            </a:graphic>
          </wp:anchor>
        </w:drawing>
      </w:r>
    </w:p>
    <w:p>
      <w:pPr>
        <w:spacing w:after="0" w:line="1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(See Instructions 1, 2 and 5.)</w:t>
      </w:r>
    </w:p>
    <w:p>
      <w:pPr>
        <w:spacing w:after="0" w:line="220" w:lineRule="exact"/>
        <w:rPr>
          <w:sz w:val="20"/>
          <w:szCs w:val="20"/>
          <w:color w:val="auto"/>
        </w:rPr>
      </w:pPr>
    </w:p>
    <w:p>
      <w:pPr>
        <w:ind w:right="1560"/>
        <w:spacing w:after="0" w:line="261" w:lineRule="auto"/>
        <w:rPr>
          <w:sz w:val="20"/>
          <w:szCs w:val="20"/>
          <w:color w:val="auto"/>
        </w:rPr>
      </w:pPr>
      <w:r>
        <w:rPr>
          <w:rFonts w:ascii="Times New Roman" w:cs="Times New Roman" w:eastAsia="Times New Roman" w:hAnsi="Times New Roman"/>
          <w:sz w:val="18"/>
          <w:szCs w:val="18"/>
          <w:color w:val="auto"/>
        </w:rPr>
        <w:t>To be completed ONLY if the BioNTech ADSs (and cash in lieu of fractional BioNTech ADSs) are to be issued in the name of someone other than the signatory above. Please print.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(First, Middle and Last 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5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(Number and Street)</w:t>
      </w:r>
    </w:p>
    <w:p>
      <w:pPr>
        <w:spacing w:after="0" w:line="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(Include Zip Code)</w:t>
      </w:r>
    </w:p>
    <w:p>
      <w:pPr>
        <w:ind w:right="1900"/>
        <w:spacing w:after="0" w:line="251" w:lineRule="auto"/>
        <w:rPr>
          <w:sz w:val="20"/>
          <w:szCs w:val="20"/>
          <w:color w:val="auto"/>
        </w:rPr>
      </w:pPr>
      <w:r>
        <w:rPr>
          <w:rFonts w:ascii="Times New Roman" w:cs="Times New Roman" w:eastAsia="Times New Roman" w:hAnsi="Times New Roman"/>
          <w:sz w:val="18"/>
          <w:szCs w:val="18"/>
          <w:color w:val="auto"/>
        </w:rPr>
        <w:t>U.S. Taxpayer Identification Number (e.g., Social Security Number or Employer Identification Number):</w:t>
      </w:r>
    </w:p>
    <w:p>
      <w:pPr>
        <w:spacing w:after="0" w:line="2" w:lineRule="exact"/>
        <w:rPr>
          <w:sz w:val="20"/>
          <w:szCs w:val="20"/>
          <w:color w:val="auto"/>
        </w:rPr>
      </w:pPr>
    </w:p>
    <w:p>
      <w:pPr>
        <w:jc w:val="cente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(Recipient must complete the IRS Form W-9 enclosed herein or the appropriate IRS Form W-8, as applicable.)</w:t>
      </w:r>
    </w:p>
    <w:p>
      <w:pPr>
        <w:spacing w:after="0" w:line="20" w:lineRule="exact"/>
        <w:rPr>
          <w:sz w:val="20"/>
          <w:szCs w:val="20"/>
          <w:color w:val="auto"/>
        </w:rPr>
      </w:pPr>
      <w:r>
        <w:rPr>
          <w:sz w:val="20"/>
          <w:szCs w:val="20"/>
          <w:color w:val="auto"/>
        </w:rPr>
        <w:br w:type="column"/>
      </w:r>
    </w:p>
    <w:p>
      <w:pPr>
        <w:jc w:val="center"/>
        <w:ind w:left="-799"/>
        <w:spacing w:after="0"/>
        <w:rPr>
          <w:sz w:val="20"/>
          <w:szCs w:val="20"/>
          <w:color w:val="auto"/>
        </w:rPr>
      </w:pPr>
      <w:r>
        <w:rPr>
          <w:rFonts w:ascii="Times New Roman" w:cs="Times New Roman" w:eastAsia="Times New Roman" w:hAnsi="Times New Roman"/>
          <w:sz w:val="17"/>
          <w:szCs w:val="17"/>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-246380</wp:posOffset>
            </wp:positionV>
            <wp:extent cx="7174865" cy="30257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025775"/>
                    </a:xfrm>
                    <a:prstGeom prst="rect">
                      <a:avLst/>
                    </a:prstGeom>
                    <a:noFill/>
                  </pic:spPr>
                </pic:pic>
              </a:graphicData>
            </a:graphic>
          </wp:anchor>
        </w:drawing>
      </w:r>
    </w:p>
    <w:p>
      <w:pPr>
        <w:spacing w:after="0" w:line="23"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(See Instructions 1, 2 and 5.)</w:t>
      </w:r>
    </w:p>
    <w:p>
      <w:pPr>
        <w:spacing w:after="0" w:line="220"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18"/>
          <w:szCs w:val="18"/>
          <w:color w:val="auto"/>
        </w:rPr>
        <w:t>To be completed ONLY if the BioNTech ADSs (and cash in lieu of fractional BioNTech ADSs) are to be sent to someone other than the signatory above or to the signatory above at an address other than that shown in the box titled “Description of Shares Tendered.” Please print.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(First, Middle and Last 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53"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(Number and Street)</w:t>
      </w:r>
    </w:p>
    <w:p>
      <w:pPr>
        <w:spacing w:after="0" w:line="6" w:lineRule="exact"/>
        <w:rPr>
          <w:sz w:val="20"/>
          <w:szCs w:val="20"/>
          <w:color w:val="auto"/>
        </w:rPr>
      </w:pPr>
    </w:p>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(Include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ectPr>
          <w:pgSz w:w="11900" w:h="16838" w:orient="portrait"/>
          <w:cols w:equalWidth="0" w:num="3">
            <w:col w:w="4980" w:space="640"/>
            <w:col w:w="4380" w:space="720"/>
            <w:col w:w="40"/>
          </w:cols>
          <w:pgMar w:left="600" w:top="333" w:right="539" w:bottom="1440" w:gutter="0" w:footer="0" w:header="0"/>
        </w:sectPr>
      </w:pP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0760"/>
          </w:cols>
          <w:pgMar w:left="600" w:top="333" w:right="539" w:bottom="1440" w:gutter="0" w:footer="0" w:header="0"/>
          <w:type w:val="continuous"/>
        </w:sectPr>
      </w:pPr>
    </w:p>
    <w:bookmarkStart w:id="302" w:name="page303"/>
    <w:bookmarkEnd w:id="30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this Exchange Offer</w:t>
      </w:r>
    </w:p>
    <w:p>
      <w:pPr>
        <w:spacing w:after="0" w:line="225" w:lineRule="exact"/>
        <w:rPr>
          <w:sz w:val="20"/>
          <w:szCs w:val="20"/>
          <w:color w:val="auto"/>
        </w:rPr>
      </w:pPr>
    </w:p>
    <w:p>
      <w:pPr>
        <w:ind w:left="4"/>
        <w:spacing w:after="0" w:line="278" w:lineRule="auto"/>
        <w:rPr>
          <w:sz w:val="20"/>
          <w:szCs w:val="20"/>
          <w:color w:val="auto"/>
        </w:rPr>
      </w:pPr>
      <w:r>
        <w:rPr>
          <w:rFonts w:ascii="Times New Roman" w:cs="Times New Roman" w:eastAsia="Times New Roman" w:hAnsi="Times New Roman"/>
          <w:sz w:val="17"/>
          <w:szCs w:val="17"/>
          <w:b w:val="1"/>
          <w:bCs w:val="1"/>
          <w:color w:val="auto"/>
        </w:rPr>
        <w:t>IMPORTANT: IN ORDER FOR YOU TO PARTICIPATE IN THE EXCHANGE OFFER, THE EXCHANGE AGENT MUST RECEIVE, BY OR BEFORE 9:00 A.M., NEW YORK CITY TIME, ON DECEMBER 3, 2025, OR SUCH OTHER TIME TO WHICH THE EXPIRATION TIME IS EXTENDED, (A) (i) THE LETTER OF TRANSMITTAL FOR THE CUREVAC SHARES, PROPERLY COMPLETED AND DULY EXECUTED, WITH ANY REQUIRED SIGNATURE GUARANTEES, OR (ii) IN THE CASE OF SHARES DELIVERED BY BOOK-ENTRY TRANSFER THROUGH DTC, AN AGENT’S MESSAGE; AND (B) ANY OTHER REQUIRED DOCUMENTS.</w:t>
      </w:r>
    </w:p>
    <w:p>
      <w:pPr>
        <w:spacing w:after="0" w:line="168" w:lineRule="exact"/>
        <w:rPr>
          <w:sz w:val="20"/>
          <w:szCs w:val="20"/>
          <w:color w:val="auto"/>
        </w:rPr>
      </w:pPr>
    </w:p>
    <w:p>
      <w:pPr>
        <w:ind w:left="4" w:right="20" w:hanging="4"/>
        <w:spacing w:after="0" w:line="256" w:lineRule="auto"/>
        <w:tabs>
          <w:tab w:leader="none" w:pos="18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Signatures on Letter of Transmittal; Stock Powers and Endorsements</w:t>
      </w:r>
      <w:r>
        <w:rPr>
          <w:rFonts w:ascii="Times New Roman" w:cs="Times New Roman" w:eastAsia="Times New Roman" w:hAnsi="Times New Roman"/>
          <w:sz w:val="18"/>
          <w:szCs w:val="18"/>
          <w:color w:val="auto"/>
        </w:rPr>
        <w:t>. If the Letter of Transmittal is signed by the registered holder(s) of the CureVac Shares tendered therewith (“Direct Registration Shares”), the signature(s) must correspond with the name(s) as reflected on the Letter of Transmittal and as registered directly in CureVac’s shareholders register, without alteration, enlargement, or any change whatsoever. If any of the CureVac Shares tendered by the Letter of Transmittal are owned of record by two or more joint owners, each such owner must sign the Letter of Transmittal. If any tendered CureVac Shares are registered in the names of different holders, it will be necessary to complete, sign, and submit as many separate Letters of Transmittal as there are different registrations of those tendered shares.</w:t>
      </w:r>
    </w:p>
    <w:p>
      <w:pPr>
        <w:spacing w:after="0" w:line="187"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If the Letter of Transmittal or stock power is signed by a trustee, executor, administrator, guardian, attorney-in-fact, officer of a corporation, or other person acting in a fiduciary or representative capacity, such person should so indicate when signing and must submit to the Exchange Agent proper evidence satisfactory to BioNTech of the authority of such person to so act unless waived by BioNTech.</w:t>
      </w:r>
    </w:p>
    <w:p>
      <w:pPr>
        <w:spacing w:after="0" w:line="176"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If Direct Registration Shares are registered in the name of a person other than the person who signs the Letter of Transmittal, the Letter of Transmittal must be accompanied by appropriate stock powers signed exactly as the name or names of the registered owner or owners appear on the Letter of Transmittal accompanying the tender of Direct Registration Shares without alteration, enlargement, or any change whatsoever, with the signature(s) on the stock powers guaranteed by an Eligible Institution (as defined below in Instruction 2).</w:t>
      </w:r>
    </w:p>
    <w:p>
      <w:pPr>
        <w:spacing w:after="0" w:line="180" w:lineRule="exact"/>
        <w:rPr>
          <w:sz w:val="20"/>
          <w:szCs w:val="20"/>
          <w:color w:val="auto"/>
        </w:rPr>
      </w:pPr>
    </w:p>
    <w:p>
      <w:pPr>
        <w:ind w:left="4" w:hanging="4"/>
        <w:spacing w:after="0" w:line="255" w:lineRule="auto"/>
        <w:tabs>
          <w:tab w:leader="none" w:pos="18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Guarantees</w:t>
      </w:r>
      <w:r>
        <w:rPr>
          <w:rFonts w:ascii="Times New Roman" w:cs="Times New Roman" w:eastAsia="Times New Roman" w:hAnsi="Times New Roman"/>
          <w:sz w:val="18"/>
          <w:szCs w:val="18"/>
          <w:color w:val="auto"/>
        </w:rPr>
        <w:t>. All signatures on the Letter of Transmittal (other than the Exchange Agent’s signature(s), if applicable) must be guaranteed by a financial institution that is a member in good standing of the Securities Transfer Agents Medallion Program or by an eligible guarantor institution (as defined in Rule 17Ad-15 under the Securities Exchange Act of 1934, as amended (the “Exchange Act”)) (each of the foregoing, an “Eligible Institution”), unless (a) the Letter of Transmittal is signed by the registered holder(s) of CureVac Shares tendered therewith, and such holder(s) has (have) not completed the box titled “Special Exchange Instructions” or the box titled “Special Delivery Instructions” enclosed with the Letter of Transmittal or (b) such CureVac Shares are tendered for the account of an Eligible Institution. Holders of CureVac Shares may also need the signature on such documents to be guaranteed. See Instruction 1.</w:t>
      </w:r>
    </w:p>
    <w:p>
      <w:pPr>
        <w:spacing w:after="0" w:line="188" w:lineRule="exact"/>
        <w:rPr>
          <w:rFonts w:ascii="Times New Roman" w:cs="Times New Roman" w:eastAsia="Times New Roman" w:hAnsi="Times New Roman"/>
          <w:sz w:val="18"/>
          <w:szCs w:val="18"/>
          <w:color w:val="auto"/>
        </w:rPr>
      </w:pPr>
    </w:p>
    <w:p>
      <w:pPr>
        <w:ind w:left="4" w:right="40" w:hanging="4"/>
        <w:spacing w:after="0" w:line="276" w:lineRule="auto"/>
        <w:tabs>
          <w:tab w:leader="none" w:pos="184"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Letter of Transmittal and Book-Entry Confirmations</w:t>
      </w:r>
      <w:r>
        <w:rPr>
          <w:rFonts w:ascii="Times New Roman" w:cs="Times New Roman" w:eastAsia="Times New Roman" w:hAnsi="Times New Roman"/>
          <w:sz w:val="17"/>
          <w:szCs w:val="17"/>
          <w:color w:val="auto"/>
        </w:rPr>
        <w:t>. The Letter of Transmittal shall be used if CureVac Shares directly registered in your name are to be tendered, including if (a) you are a record holder and hold such shares in book-entry form on the books of CureVac’s transfer agent, or</w:t>
      </w:r>
    </w:p>
    <w:p>
      <w:pPr>
        <w:jc w:val="both"/>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CureVac Shares are held in “street” name are to be tendered through the DTC in book-entry form, unless an Agent’s Message in lieu of this Letter of Transmittal is utilized. You must return an original executed copy of the Letter of Transmittal to the Exchange Agent to one of the addresses set forth at the end of this Instruction Booklet.</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do not send any Letters of Transmittal or other documents directly to BioNTech or CureVac. The Exchange Agent must receive, prior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Expiration Time, at its address set forth herein:</w:t>
      </w:r>
    </w:p>
    <w:p>
      <w:pPr>
        <w:spacing w:after="0" w:line="112" w:lineRule="exact"/>
        <w:rPr>
          <w:sz w:val="20"/>
          <w:szCs w:val="20"/>
          <w:color w:val="auto"/>
        </w:rPr>
      </w:pPr>
    </w:p>
    <w:p>
      <w:pPr>
        <w:ind w:left="964" w:right="260" w:hanging="532"/>
        <w:spacing w:after="0" w:line="282" w:lineRule="auto"/>
        <w:tabs>
          <w:tab w:leader="none" w:pos="96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CureVac Shares are directly registered in your own name in CureVac’s shareholders register, including if you are a record holder and you hold CureVac Shares in book-entry form on the books 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66" w:right="459" w:bottom="1440" w:gutter="0" w:footer="0" w:header="0"/>
        </w:sectPr>
      </w:pPr>
    </w:p>
    <w:bookmarkStart w:id="303" w:name="page304"/>
    <w:bookmarkEnd w:id="303"/>
    <w:p>
      <w:pPr>
        <w:ind w:left="98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CureVac’s transfer agent, the following: (a) the Letter of Transmittal, properly completed and duly executed, and (b) any other documents required by the Letter of Transmittal; or</w:t>
      </w:r>
    </w:p>
    <w:p>
      <w:pPr>
        <w:spacing w:after="0" w:line="67" w:lineRule="exact"/>
        <w:rPr>
          <w:sz w:val="20"/>
          <w:szCs w:val="20"/>
          <w:color w:val="auto"/>
        </w:rPr>
      </w:pPr>
    </w:p>
    <w:p>
      <w:pPr>
        <w:ind w:left="964" w:right="20" w:hanging="532"/>
        <w:spacing w:after="0" w:line="266" w:lineRule="auto"/>
        <w:tabs>
          <w:tab w:leader="none" w:pos="96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CureVac Shares are held in “street” name and are being tendered by book-entry transfer into an account maintained at DTC, the following: (a) the Letter of Transmittal, properly completed and duly executed, or an Agent’s Message; (b) a book-entry confirmation from DTC; and (c) any other required documents.</w:t>
      </w:r>
    </w:p>
    <w:p>
      <w:pPr>
        <w:spacing w:after="0" w:line="172"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b w:val="1"/>
          <w:bCs w:val="1"/>
          <w:color w:val="auto"/>
        </w:rPr>
        <w:t>THE METHOD USED TO DELIVER ALL OTHER REQUIRED DOCUMENTS, INCLUDING DELIVERY THROUGH DTC, IS AT THE ELECTION AND RISK OF THE TENDERING SHAREHOLDER. DELIVERY OF ALL SUCH DOCUMENTS IS NOT EFFECTIVE AND RISK OF LOSS OF THE CUREVAC SHARES DOES NOT PASS TO BIONTECH UNTIL THE EXCHANGE AGENT RECEIVES SUCH DOCUMENTS (INCLUDING, IN THE CASE OF A BOOK-ENTRY TRANSFER THROUGH DTC, AN AGENT’S MESSAGE). IF DELIVERY IS BY MAIL, IT IS RECOMMENDED THAT ALL SUCH DOCUMENTS BE SENT BY PROPERLY INSURED REGISTERED MAIL WITH RETURN RECEIPT REQUESTED AND PROPERLY INSURED. IN ALL CASES, YOU SHOULD ALLOW SUFFICIENT TIME TO ENSURE TIMELY DELIVERY.</w:t>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LETTERS OF TRANSMITTAL MUST BE RECEIVED IN THE OFFICE OF THE EXCHANGE AGENT BY 9:00 A.M., NEW YORK CITY TIME, ON DECEMBER 3, 2025, OR SUCH TIME TO WHICH THE EXPIRATION TIME IS EXTENDED.</w:t>
      </w:r>
    </w:p>
    <w:p>
      <w:pPr>
        <w:spacing w:after="0" w:line="15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shareholders, by executing the Letter of Transmittal or causing an Agent’s Message to be delivered, waive any right to receive any notice of the acceptance of their CureVac Shares for exchange.</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All questions as to the form of documents (including notices of withdrawal) and the validity, form, eligibility (including time of receipt), and acceptance for exchange of a tender of CureVac Shares will be determined by BioNTech in its sole discretion, and that determination shall be final and binding, subject to any judgment of any court of competent jurisdiction. BioNTech may delegate such power in whole or in part to the Exchange Agent. A valid tender will not be deemed to have been made until all defects and irregularities have been cured or waived, but BioNTech reserves the right to waive any irregularities or defects in the tender of any CureVac Shares.</w:t>
      </w:r>
    </w:p>
    <w:p>
      <w:pPr>
        <w:spacing w:after="0" w:line="183"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If you hold CureVac Shares through a broker, dealer, commercial bank, trust company, or other nominee, you should not use the Letter of Transmittal to direct the tender of your shares, but instead should follow the instructions sent to you separately by that institution. If that institution holds CureVac Shares through DTC, it must ensure that the Exchange Agent receives an Agent’s Message from DTC confirming the book-entry transfer of your CureVac Shares. The term “Agent’s Message” means a message transmitted by DTC to, and received by, the Exchange Agent and forming a part of a book-entry confirmation, which states that DTC has received an express acknowledgment from the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89" w:lineRule="exact"/>
        <w:rPr>
          <w:sz w:val="20"/>
          <w:szCs w:val="20"/>
          <w:color w:val="auto"/>
        </w:rPr>
      </w:pPr>
    </w:p>
    <w:p>
      <w:pPr>
        <w:ind w:left="4" w:right="400"/>
        <w:spacing w:after="0" w:line="261" w:lineRule="auto"/>
        <w:rPr>
          <w:sz w:val="20"/>
          <w:szCs w:val="20"/>
          <w:color w:val="auto"/>
        </w:rPr>
      </w:pPr>
      <w:r>
        <w:rPr>
          <w:rFonts w:ascii="Times New Roman" w:cs="Times New Roman" w:eastAsia="Times New Roman" w:hAnsi="Times New Roman"/>
          <w:sz w:val="18"/>
          <w:szCs w:val="18"/>
          <w:color w:val="auto"/>
        </w:rPr>
        <w:t>The Exchange Agent will establish an account with respect to the CureVac Shares at DTC for purposes of the Exchange Offer, and any Eligible Institution that is a participant in DTC may make book-entry delivery of CureVac Shares by causing DTC to transfer such shares into the Exchange Agent’s account at DTC in accordance with DTC’s procedure for the transfer. Delivery of documents to DTC does not constitute delivery to the Exchange Agent.</w:t>
      </w:r>
    </w:p>
    <w:p>
      <w:pPr>
        <w:spacing w:after="0" w:line="180" w:lineRule="exact"/>
        <w:rPr>
          <w:sz w:val="20"/>
          <w:szCs w:val="20"/>
          <w:color w:val="auto"/>
        </w:rPr>
      </w:pPr>
    </w:p>
    <w:p>
      <w:pPr>
        <w:ind w:left="4" w:right="120" w:hanging="4"/>
        <w:spacing w:after="0" w:line="266" w:lineRule="auto"/>
        <w:tabs>
          <w:tab w:leader="none" w:pos="18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Inadequate Space</w:t>
      </w:r>
      <w:r>
        <w:rPr>
          <w:rFonts w:ascii="Times New Roman" w:cs="Times New Roman" w:eastAsia="Times New Roman" w:hAnsi="Times New Roman"/>
          <w:sz w:val="18"/>
          <w:szCs w:val="18"/>
          <w:color w:val="auto"/>
        </w:rPr>
        <w:t>. If the space provided in the Letter of Transmittal is inadequate, the number of CureVac Shares and any other required information should be listed on a separate schedule and attached to the Letter of Transmittal. Each page of such schedule should be separately signed in the same manner as the Letter of Transmittal is signed.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70" w:right="459" w:bottom="1440" w:gutter="0" w:footer="0" w:header="0"/>
        </w:sectPr>
      </w:pPr>
    </w:p>
    <w:bookmarkStart w:id="304" w:name="page305"/>
    <w:bookmarkEnd w:id="304"/>
    <w:p>
      <w:pPr>
        <w:ind w:left="4" w:right="40" w:hanging="4"/>
        <w:spacing w:after="0" w:line="256" w:lineRule="auto"/>
        <w:tabs>
          <w:tab w:leader="none" w:pos="18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Exchange and Special Delivery Instructions</w:t>
      </w:r>
      <w:r>
        <w:rPr>
          <w:rFonts w:ascii="Times New Roman" w:cs="Times New Roman" w:eastAsia="Times New Roman" w:hAnsi="Times New Roman"/>
          <w:sz w:val="18"/>
          <w:szCs w:val="18"/>
          <w:color w:val="auto"/>
        </w:rPr>
        <w:t>. If the BioNTech ADSs to which the undersigned is entitled in exchange for the undersigned’s tendered and accepted CureVac Shares in the Exchange Offer and the check for cash in lieu of fractional shares are to be issued in the name of a person other than the signer(s) of the Letter of Transmittal or mailed to an address other than that shown in the box on the first page of the Letter of Transmittal, or, if applicable, any CureVac Shares that are not accepted for exchange in the Exchange Offer are to be returned by credit to an account maintained at DTC other than that from which such book-entry shares were delivered, then the appropriate instructions in the “Special Exchange Instructions” and “Special Delivery Instructions,” as applicable, enclosed with the Letter of Transmittal should be completed.</w:t>
      </w:r>
    </w:p>
    <w:p>
      <w:pPr>
        <w:spacing w:after="0" w:line="187" w:lineRule="exact"/>
        <w:rPr>
          <w:rFonts w:ascii="Times New Roman" w:cs="Times New Roman" w:eastAsia="Times New Roman" w:hAnsi="Times New Roman"/>
          <w:sz w:val="18"/>
          <w:szCs w:val="18"/>
          <w:color w:val="auto"/>
        </w:rPr>
      </w:pPr>
    </w:p>
    <w:p>
      <w:pPr>
        <w:ind w:left="4" w:right="20" w:hanging="4"/>
        <w:spacing w:after="0" w:line="261" w:lineRule="auto"/>
        <w:tabs>
          <w:tab w:leader="none" w:pos="18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Assistance or Additional Copies</w:t>
      </w:r>
      <w:r>
        <w:rPr>
          <w:rFonts w:ascii="Times New Roman" w:cs="Times New Roman" w:eastAsia="Times New Roman" w:hAnsi="Times New Roman"/>
          <w:sz w:val="18"/>
          <w:szCs w:val="18"/>
          <w:color w:val="auto"/>
        </w:rPr>
        <w:t>. You may direct any questions or requests for assistance to the Information Agent at its telephone number and address set forth on the last page of this Instruction Booklet, or to your broker, dealer, commercial bank, trust company, or other nominee. You may obtain additional copies of the Exchange Offer Prospectus, the Letter of Transmittal, this Instruction Booklet, the form of notice of withdrawal, and other Exchange Offer materials from the Information Agent at BioNTech’s expense.</w:t>
      </w:r>
    </w:p>
    <w:p>
      <w:pPr>
        <w:spacing w:after="0" w:line="179"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IRS Form W-9/IRS Form W-8</w:t>
      </w:r>
      <w:r>
        <w:rPr>
          <w:rFonts w:ascii="Times New Roman" w:cs="Times New Roman" w:eastAsia="Times New Roman" w:hAnsi="Times New Roman"/>
          <w:sz w:val="18"/>
          <w:szCs w:val="18"/>
          <w:color w:val="auto"/>
        </w:rPr>
        <w:t>. Under U.S. federal income tax law, a tendering shareholder who is a “United States person” for U.S. federal income tax purposes is generally required to provide the Exchange Agent with such shareholder’s correct Taxpayer Identification Number (“TIN”), generally the shareholder’s social security or federal employer identification number, and certify that such shareholder is not subject to backup withholding by completing the enclosed IRS Form W-9, or otherwise establish a basis for exemption from backup withholding. If the Exchange Agent is not provided with a United States person’s correct TIN and other information and certifications required on IRS Form W-9 or an adequate basis for an exemption from backup withholding before payment is made, payments made to such United States person may be subject to backup withholding at the applicable rate (currently 24%), and such United States person may be subject to a penalty imposed by the IRS. Please review the instructions on the enclosed IRS Form W-9 for additional details.</w:t>
      </w:r>
    </w:p>
    <w:p>
      <w:pPr>
        <w:spacing w:after="0" w:line="19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Certain shareholders (including, among others, all corporations and certain non-U.S. persons) are exempt from these backup withholding requirements. A tendering shareholder who is not a United States person may qualify as an exempt recipient by providing the Exchange Agent with a properly completed appropriate IRS Form W-8, signed under penalties of perjury, attesting to such shareholder’s non-U.S. status or by otherwise establishing an exemption. IRS Forms W-8 (and the instructions thereto) can be obtained from the Exchange Agent or the IRS website (www.irs.gov). Such shareholders are urged to consult a tax advisor to determine which IRS Form W-8 is appropriate.</w:t>
      </w:r>
    </w:p>
    <w:p>
      <w:pPr>
        <w:spacing w:after="0" w:line="17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b w:val="1"/>
          <w:bCs w:val="1"/>
          <w:color w:val="auto"/>
        </w:rPr>
        <w:t>Failure to complete the enclosed IRS Form W-9 or appropriate IRS Form W-8, as applicable, will not, by itself, cause the CureVac Shares surrendered by a holder of CureVac Shares to be deemed invalidly tendered, but may require the Exchange Agent to backup withhold at the applicable rate (currently 24%) from any payments made to such holder. U.S. federal backup withholding is not an additional tax. Rather, the U.S. federal income tax liability, if any, of persons subject to backup withholding may be reduced by the amount of tax withheld. If backup withholding results in an overpayment of tax, a refund, or a credit may generally be obtained, provided that the required information is timely furnished to the IRS. Each holder of CureVac Shares should consult its tax advisor regarding qualification for an exemption from backup withholding, the procedure for obtaining an exemption, and the applicable backup withholding rate.</w:t>
      </w:r>
    </w:p>
    <w:p>
      <w:pPr>
        <w:spacing w:after="0" w:line="18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Please consult your tax advisor for further guidance regarding the completion of IRS Form W-9, IRS Form W-8BEN, IRS Form W-8BEN-E, or IRS Form W-8ECI (or other applicable IRS Form W-8) to claim exemption from U.S. federal backup withholding.</w:t>
      </w:r>
    </w:p>
    <w:p>
      <w:pPr>
        <w:spacing w:after="0" w:line="155"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For additional information regarding the U.S. federal income tax consequences of the Exchange Offer, see “Material United States Federal Income Tax Considerations” in the Exchange Offer Prospectus.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4"/>
          </w:cols>
          <w:pgMar w:left="436" w:top="270" w:right="439" w:bottom="1440" w:gutter="0" w:footer="0" w:header="0"/>
        </w:sectPr>
      </w:pPr>
    </w:p>
    <w:bookmarkStart w:id="305" w:name="page306"/>
    <w:bookmarkEnd w:id="305"/>
    <w:p>
      <w:pPr>
        <w:ind w:left="4" w:hanging="4"/>
        <w:spacing w:after="0" w:line="253" w:lineRule="auto"/>
        <w:tabs>
          <w:tab w:leader="none" w:pos="18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Withdrawal</w:t>
      </w:r>
      <w:r>
        <w:rPr>
          <w:rFonts w:ascii="Times New Roman" w:cs="Times New Roman" w:eastAsia="Times New Roman" w:hAnsi="Times New Roman"/>
          <w:sz w:val="18"/>
          <w:szCs w:val="18"/>
          <w:color w:val="auto"/>
        </w:rPr>
        <w:t>. You may properly withdraw CureVac Shares previously tendered pursuant to the Exchange Offer at any time before 9:00 A.M., New York City time, on December 3, 2025, or such time to which the Expiration Time is extended. After the Expiration Time, you will no longer be able to withdraw your previously tendered CureVac Shares and tenders of CureVac Shares made pursuant to the Exchange Offer will be irrevocable; provided, that, if BioNTech has not yet accepted CureVac Shares tendered for exchange, any CureVac shareholder may withdraw its tendered CureVac Shares after the 60th day following commencement of the Exchange Offer. To properly withdraw your previously tendered CureVac Shares, you must provide a written or facsimile transmission notice of withdrawal to the Exchange Agent, which must be timely received by the Exchange Agent prior to the Expiration Time at the appropriate address set forth on the back cover of the Exchange Offer Prospectus. That notice must include the name(s) of the person(s) having tendered the CureVac Shares to be withdrawn, the number of tendered CureVac Shares to be withdrawn and the name(s) of the holder(s) of the tendered CureVac Shares to be withdrawn, if different from that of the person(s) who tendered such shares. BioNTech has provided to registered holders a form of notice of withdrawal, which you may use to withdraw your CureVac Shares. You may obtain additional forms of notices of withdrawal from the Information Agent.</w:t>
      </w:r>
    </w:p>
    <w:p>
      <w:pPr>
        <w:spacing w:after="0" w:line="19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If shares have been tendered pursuant to the procedures for book-entry tender through DTC, any notice of withdrawal must comply with DTC’s procedures.</w:t>
      </w:r>
    </w:p>
    <w:p>
      <w:pPr>
        <w:spacing w:after="0" w:line="162"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If you hold your CureVac Shares through such an institution, that institution must deliver the notice of withdrawal with respect to any CureVac Shares you wish to withdraw. In such a case, as a beneficial owner and not a registered shareholder, you will not be able to provide a notice of withdrawal for such shares directly to the Exchange Agent. Any CureVac Shares validly withdrawn will be deemed not to have been validly tendered for purposes of the Exchange Offer. However, you may re-tender withdrawn CureVac Shares by following one of the procedures described in the Exchange Offer Prospectus under “The Offer — Procedures for Tendering” at any time prior to the Expiration Time.</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provided above, any tender made under the Exchange Offer is irrevocable.</w:t>
      </w:r>
    </w:p>
    <w:p>
      <w:pPr>
        <w:spacing w:after="0" w:line="225" w:lineRule="exact"/>
        <w:rPr>
          <w:sz w:val="20"/>
          <w:szCs w:val="20"/>
          <w:color w:val="auto"/>
        </w:rPr>
      </w:pPr>
    </w:p>
    <w:p>
      <w:pPr>
        <w:ind w:left="4" w:hanging="4"/>
        <w:spacing w:after="0" w:line="258" w:lineRule="auto"/>
        <w:tabs>
          <w:tab w:leader="none" w:pos="18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Waiver of Conditions</w:t>
      </w:r>
      <w:r>
        <w:rPr>
          <w:rFonts w:ascii="Times New Roman" w:cs="Times New Roman" w:eastAsia="Times New Roman" w:hAnsi="Times New Roman"/>
          <w:sz w:val="18"/>
          <w:szCs w:val="18"/>
          <w:color w:val="auto"/>
        </w:rPr>
        <w:t>. The Offer is subject to various conditions described in the Exchange Offer Prospectus under “The Offer — Antitrust Approvals,” “The Offer — Other Regulatory Approvals,” and “The Purchase Agreement — Conditions to Closing of the Offer” that must be satisfied or waived. BioNTech and CureVac may waive certain of the conditions to the Exchange Offer prior to the Expiration Time. If the conditions are not satisfied, or, where permissible, waived, the Exchange Offer will not be completed and tendered CureVac Shares will be returned to the relevant CureVac shareholders.</w:t>
      </w:r>
    </w:p>
    <w:p>
      <w:pPr>
        <w:spacing w:after="0" w:line="183" w:lineRule="exact"/>
        <w:rPr>
          <w:rFonts w:ascii="Times New Roman" w:cs="Times New Roman" w:eastAsia="Times New Roman" w:hAnsi="Times New Roman"/>
          <w:sz w:val="18"/>
          <w:szCs w:val="18"/>
          <w:color w:val="auto"/>
        </w:rPr>
      </w:pPr>
    </w:p>
    <w:p>
      <w:pPr>
        <w:ind w:left="4" w:right="120" w:hanging="4"/>
        <w:spacing w:after="0" w:line="266" w:lineRule="auto"/>
        <w:tabs>
          <w:tab w:leader="none" w:pos="27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Irregularities</w:t>
      </w:r>
      <w:r>
        <w:rPr>
          <w:rFonts w:ascii="Times New Roman" w:cs="Times New Roman" w:eastAsia="Times New Roman" w:hAnsi="Times New Roman"/>
          <w:sz w:val="18"/>
          <w:szCs w:val="18"/>
          <w:color w:val="auto"/>
        </w:rPr>
        <w:t>. BioNTech reserves the absolute right to reject any and all tenders of CureVac Shares that it determines are not in proper form or the acceptance of or exchange for which may, in the opinion of its counsel, be unlawful. BioNTech also reserves the right to waive any of the conditions of the Exchange Offer that are within the power of BioNTech to waive, or any defect or irregularity in the tender of any CureVac Shares.</w:t>
      </w:r>
    </w:p>
    <w:p>
      <w:pPr>
        <w:spacing w:after="0" w:line="17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No tender of CureVac Shares is valid until all defects and irregularities in tenders of such shares have been cured or waived. None of BioNTech, CureVac, the Exchange Agent, the Information Agent, BioNTech’s transfer agent, or any other person is or will be under any duty to give notice of any defects or irregularities in the tender of CureVac Shares and none of them will incur any liability for failure to give any such notice.</w:t>
      </w:r>
    </w:p>
    <w:p>
      <w:pPr>
        <w:spacing w:after="0" w:line="17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BioNTech will make all determinations regarding the validity, form, eligibility (including time of receipt), and acceptance for exchange of any tender of CureVac Shares and any notice of withdrawal in its sole discretion, and its determinations shall be final and binding, subject to any judgment by any court of competent jurisdiction. BioNTech’s interpretations of the terms and conditions of this Exchange Offer, including the Letter of Transmittal and the instructions contained in this Instructional Booklet, shall be final and binding.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04"/>
          </w:cols>
          <w:pgMar w:left="436" w:top="270" w:right="459" w:bottom="1440" w:gutter="0" w:footer="0" w:header="0"/>
        </w:sectPr>
      </w:pPr>
    </w:p>
    <w:bookmarkStart w:id="306" w:name="page307"/>
    <w:bookmarkEnd w:id="306"/>
    <w:tbl>
      <w:tblPr>
        <w:tblLayout w:type="fixed"/>
        <w:tblInd w:w="144" w:type="dxa"/>
        <w:tblCellMar>
          <w:top w:w="0" w:type="dxa"/>
          <w:left w:w="0" w:type="dxa"/>
          <w:bottom w:w="0" w:type="dxa"/>
          <w:right w:w="0" w:type="dxa"/>
        </w:tblCellMar>
      </w:tblPr>
      <w:tr>
        <w:trPr>
          <w:trHeight w:val="287"/>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Form  </w:t>
            </w:r>
            <w:r>
              <w:rPr>
                <w:rFonts w:ascii="Times New Roman" w:cs="Times New Roman" w:eastAsia="Times New Roman" w:hAnsi="Times New Roman"/>
                <w:sz w:val="43"/>
                <w:szCs w:val="43"/>
                <w:b w:val="1"/>
                <w:bCs w:val="1"/>
                <w:color w:val="auto"/>
              </w:rPr>
              <w:t>W-9</w:t>
            </w:r>
          </w:p>
        </w:tc>
        <w:tc>
          <w:tcPr>
            <w:tcW w:w="5900" w:type="dxa"/>
            <w:vAlign w:val="bottom"/>
          </w:tcPr>
          <w:p>
            <w:pPr>
              <w:jc w:val="center"/>
              <w:ind w:left="132"/>
              <w:spacing w:after="0"/>
              <w:rPr>
                <w:sz w:val="20"/>
                <w:szCs w:val="20"/>
                <w:color w:val="auto"/>
              </w:rPr>
            </w:pPr>
            <w:r>
              <w:rPr>
                <w:rFonts w:ascii="Times New Roman" w:cs="Times New Roman" w:eastAsia="Times New Roman" w:hAnsi="Times New Roman"/>
                <w:sz w:val="25"/>
                <w:szCs w:val="25"/>
                <w:b w:val="1"/>
                <w:bCs w:val="1"/>
                <w:color w:val="auto"/>
              </w:rPr>
              <w:t>Request for Taxpayer</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Give form to the</w:t>
            </w:r>
          </w:p>
        </w:tc>
        <w:tc>
          <w:tcPr>
            <w:tcW w:w="0" w:type="dxa"/>
            <w:vAlign w:val="bottom"/>
          </w:tcPr>
          <w:p>
            <w:pPr>
              <w:spacing w:after="0"/>
              <w:rPr>
                <w:sz w:val="1"/>
                <w:szCs w:val="1"/>
                <w:color w:val="auto"/>
              </w:rPr>
            </w:pPr>
          </w:p>
        </w:tc>
      </w:tr>
      <w:tr>
        <w:trPr>
          <w:trHeight w:val="200"/>
        </w:trPr>
        <w:tc>
          <w:tcPr>
            <w:tcW w:w="2300" w:type="dxa"/>
            <w:vAlign w:val="bottom"/>
            <w:vMerge w:val="continue"/>
          </w:tcPr>
          <w:p>
            <w:pPr>
              <w:spacing w:after="0"/>
              <w:rPr>
                <w:sz w:val="17"/>
                <w:szCs w:val="17"/>
                <w:color w:val="auto"/>
              </w:rPr>
            </w:pPr>
          </w:p>
        </w:tc>
        <w:tc>
          <w:tcPr>
            <w:tcW w:w="5900" w:type="dxa"/>
            <w:vAlign w:val="bottom"/>
            <w:vMerge w:val="restart"/>
          </w:tcPr>
          <w:p>
            <w:pPr>
              <w:jc w:val="center"/>
              <w:ind w:left="132"/>
              <w:spacing w:after="0"/>
              <w:rPr>
                <w:sz w:val="20"/>
                <w:szCs w:val="20"/>
                <w:color w:val="auto"/>
              </w:rPr>
            </w:pPr>
            <w:r>
              <w:rPr>
                <w:rFonts w:ascii="Times New Roman" w:cs="Times New Roman" w:eastAsia="Times New Roman" w:hAnsi="Times New Roman"/>
                <w:sz w:val="25"/>
                <w:szCs w:val="25"/>
                <w:b w:val="1"/>
                <w:bCs w:val="1"/>
                <w:color w:val="auto"/>
              </w:rPr>
              <w:t>Identification Number and Certification</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requester. Do not</w:t>
            </w:r>
          </w:p>
        </w:tc>
        <w:tc>
          <w:tcPr>
            <w:tcW w:w="0" w:type="dxa"/>
            <w:vAlign w:val="bottom"/>
          </w:tcPr>
          <w:p>
            <w:pPr>
              <w:spacing w:after="0"/>
              <w:rPr>
                <w:sz w:val="1"/>
                <w:szCs w:val="1"/>
                <w:color w:val="auto"/>
              </w:rPr>
            </w:pPr>
          </w:p>
        </w:tc>
      </w:tr>
      <w:tr>
        <w:trPr>
          <w:trHeight w:val="147"/>
        </w:trPr>
        <w:tc>
          <w:tcPr>
            <w:tcW w:w="2300" w:type="dxa"/>
            <w:vAlign w:val="bottom"/>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1880" w:type="dxa"/>
            <w:vAlign w:val="bottom"/>
          </w:tcPr>
          <w:p>
            <w:pPr>
              <w:ind w:left="680"/>
              <w:spacing w:after="0" w:line="147" w:lineRule="exact"/>
              <w:rPr>
                <w:sz w:val="20"/>
                <w:szCs w:val="20"/>
                <w:color w:val="auto"/>
              </w:rPr>
            </w:pPr>
            <w:r>
              <w:rPr>
                <w:rFonts w:ascii="Times New Roman" w:cs="Times New Roman" w:eastAsia="Times New Roman" w:hAnsi="Times New Roman"/>
                <w:sz w:val="16"/>
                <w:szCs w:val="16"/>
                <w:b w:val="1"/>
                <w:bCs w:val="1"/>
                <w:color w:val="auto"/>
              </w:rPr>
              <w:t>send to the IRS.</w:t>
            </w:r>
          </w:p>
        </w:tc>
        <w:tc>
          <w:tcPr>
            <w:tcW w:w="0" w:type="dxa"/>
            <w:vAlign w:val="bottom"/>
          </w:tcPr>
          <w:p>
            <w:pPr>
              <w:spacing w:after="0"/>
              <w:rPr>
                <w:sz w:val="1"/>
                <w:szCs w:val="1"/>
                <w:color w:val="auto"/>
              </w:rPr>
            </w:pPr>
          </w:p>
        </w:tc>
      </w:tr>
      <w:tr>
        <w:trPr>
          <w:trHeight w:val="121"/>
        </w:trPr>
        <w:tc>
          <w:tcPr>
            <w:tcW w:w="23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(Rev. March 2024)</w:t>
            </w:r>
          </w:p>
        </w:tc>
        <w:tc>
          <w:tcPr>
            <w:tcW w:w="5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Department of the Treasury</w:t>
            </w:r>
          </w:p>
        </w:tc>
        <w:tc>
          <w:tcPr>
            <w:tcW w:w="5900" w:type="dxa"/>
            <w:vAlign w:val="bottom"/>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 xml:space="preserve">Go to </w:t>
            </w:r>
            <w:r>
              <w:rPr>
                <w:rFonts w:ascii="Times New Roman" w:cs="Times New Roman" w:eastAsia="Times New Roman" w:hAnsi="Times New Roman"/>
                <w:sz w:val="14"/>
                <w:szCs w:val="14"/>
                <w:b w:val="1"/>
                <w:bCs w:val="1"/>
                <w:i w:val="1"/>
                <w:iCs w:val="1"/>
                <w:color w:val="auto"/>
              </w:rPr>
              <w:t>www.irs.gov/FormW9</w:t>
            </w:r>
            <w:r>
              <w:rPr>
                <w:rFonts w:ascii="Times New Roman" w:cs="Times New Roman" w:eastAsia="Times New Roman" w:hAnsi="Times New Roman"/>
                <w:sz w:val="14"/>
                <w:szCs w:val="14"/>
                <w:b w:val="1"/>
                <w:bCs w:val="1"/>
                <w:color w:val="auto"/>
              </w:rPr>
              <w:t xml:space="preserve"> for instructions and the latest information.</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Internal Revenue Service</w:t>
            </w:r>
          </w:p>
        </w:tc>
        <w:tc>
          <w:tcPr>
            <w:tcW w:w="59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0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7174865" cy="780415"/>
                    </a:xfrm>
                    <a:prstGeom prst="rect">
                      <a:avLst/>
                    </a:prstGeom>
                    <a:noFill/>
                  </pic:spPr>
                </pic:pic>
              </a:graphicData>
            </a:graphic>
          </wp:anchor>
        </w:drawing>
        <w:t xml:space="preserve">Before you begin. </w:t>
      </w:r>
      <w:r>
        <w:rPr>
          <w:rFonts w:ascii="Times New Roman" w:cs="Times New Roman" w:eastAsia="Times New Roman" w:hAnsi="Times New Roman"/>
          <w:sz w:val="14"/>
          <w:szCs w:val="14"/>
          <w:color w:val="auto"/>
        </w:rPr>
        <w:t>For guidance related to the purpose of Form W-9,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see Purpose of Form</w:t>
      </w:r>
      <w:r>
        <w:rPr>
          <w:rFonts w:ascii="Times New Roman" w:cs="Times New Roman" w:eastAsia="Times New Roman" w:hAnsi="Times New Roman"/>
          <w:sz w:val="14"/>
          <w:szCs w:val="14"/>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6995160" cy="27514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6995160" cy="2751455"/>
                    </a:xfrm>
                    <a:prstGeom prst="rect">
                      <a:avLst/>
                    </a:prstGeom>
                    <a:noFill/>
                  </pic:spPr>
                </pic:pic>
              </a:graphicData>
            </a:graphic>
          </wp:anchor>
        </w:drawing>
      </w:r>
    </w:p>
    <w:p>
      <w:pPr>
        <w:spacing w:after="0" w:line="65" w:lineRule="exact"/>
        <w:rPr>
          <w:sz w:val="20"/>
          <w:szCs w:val="20"/>
          <w:color w:val="auto"/>
        </w:rPr>
      </w:pPr>
    </w:p>
    <w:p>
      <w:pPr>
        <w:ind w:left="1044" w:right="1280"/>
        <w:spacing w:after="0" w:line="243" w:lineRule="auto"/>
        <w:rPr>
          <w:sz w:val="20"/>
          <w:szCs w:val="20"/>
          <w:color w:val="auto"/>
        </w:rPr>
      </w:pPr>
      <w:r>
        <w:rPr>
          <w:rFonts w:ascii="Times New Roman" w:cs="Times New Roman" w:eastAsia="Times New Roman" w:hAnsi="Times New Roman"/>
          <w:sz w:val="13"/>
          <w:szCs w:val="13"/>
          <w:b w:val="1"/>
          <w:bCs w:val="1"/>
          <w:color w:val="auto"/>
        </w:rPr>
        <w:t> 1</w:t>
      </w:r>
      <w:r>
        <w:rPr>
          <w:rFonts w:ascii="Times New Roman" w:cs="Times New Roman" w:eastAsia="Times New Roman" w:hAnsi="Times New Roman"/>
          <w:sz w:val="13"/>
          <w:szCs w:val="13"/>
          <w:color w:val="auto"/>
        </w:rPr>
        <w:t xml:space="preserve">    Name of entity/individual. An entry is required. (For a sole proprietor or disregarded entity, enter the owner’s name on line 1, and enter the business/disregarded entity’s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name on line 2.)</w:t>
      </w:r>
    </w:p>
    <w:p>
      <w:pPr>
        <w:spacing w:after="0" w:line="210" w:lineRule="exact"/>
        <w:rPr>
          <w:sz w:val="20"/>
          <w:szCs w:val="20"/>
          <w:color w:val="auto"/>
        </w:rPr>
      </w:pPr>
    </w:p>
    <w:tbl>
      <w:tblPr>
        <w:tblLayout w:type="fixed"/>
        <w:tblInd w:w="144" w:type="dxa"/>
        <w:tblCellMar>
          <w:top w:w="0" w:type="dxa"/>
          <w:left w:w="0" w:type="dxa"/>
          <w:bottom w:w="0" w:type="dxa"/>
          <w:right w:w="0" w:type="dxa"/>
        </w:tblCellMar>
      </w:tblPr>
      <w:tr>
        <w:trPr>
          <w:trHeight w:val="166"/>
        </w:trPr>
        <w:tc>
          <w:tcPr>
            <w:tcW w:w="820" w:type="dxa"/>
            <w:vAlign w:val="bottom"/>
          </w:tcPr>
          <w:p>
            <w:pPr>
              <w:spacing w:after="0"/>
              <w:rPr>
                <w:sz w:val="14"/>
                <w:szCs w:val="14"/>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 2</w:t>
            </w:r>
            <w:r>
              <w:rPr>
                <w:rFonts w:ascii="Times New Roman" w:cs="Times New Roman" w:eastAsia="Times New Roman" w:hAnsi="Times New Roman"/>
                <w:sz w:val="13"/>
                <w:szCs w:val="13"/>
                <w:color w:val="auto"/>
                <w:w w:val="97"/>
              </w:rPr>
              <w:t xml:space="preserve">    Business name/disregarded entity name, if different from above.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2"/>
          </w:tcPr>
          <w:p>
            <w:pPr>
              <w:spacing w:after="0"/>
              <w:rPr>
                <w:sz w:val="17"/>
                <w:szCs w:val="17"/>
                <w:color w:val="auto"/>
              </w:rPr>
            </w:pPr>
          </w:p>
        </w:tc>
        <w:tc>
          <w:tcPr>
            <w:tcW w:w="840" w:type="dxa"/>
            <w:vAlign w:val="bottom"/>
            <w:tcBorders>
              <w:bottom w:val="single" w:sz="8" w:color="auto"/>
            </w:tcBorders>
            <w:gridSpan w:val="5"/>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700" w:type="dxa"/>
            <w:vAlign w:val="bottom"/>
            <w:tcBorders>
              <w:right w:val="single" w:sz="8" w:color="auto"/>
            </w:tcBorders>
            <w:gridSpan w:val="20"/>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 3a</w:t>
            </w:r>
            <w:r>
              <w:rPr>
                <w:rFonts w:ascii="Times New Roman" w:cs="Times New Roman" w:eastAsia="Times New Roman" w:hAnsi="Times New Roman"/>
                <w:sz w:val="12"/>
                <w:szCs w:val="12"/>
                <w:color w:val="auto"/>
              </w:rPr>
              <w:t xml:space="preserve">  Check the appropriate box for federal tax classification of the entity/individual whose name is entered on line 1. Check only</w:t>
            </w:r>
          </w:p>
        </w:tc>
        <w:tc>
          <w:tcPr>
            <w:tcW w:w="2360" w:type="dxa"/>
            <w:vAlign w:val="bottom"/>
            <w:gridSpan w:val="4"/>
          </w:tcPr>
          <w:p>
            <w:pPr>
              <w:ind w:left="200"/>
              <w:spacing w:after="0" w:line="109" w:lineRule="exact"/>
              <w:rPr>
                <w:sz w:val="20"/>
                <w:szCs w:val="20"/>
                <w:color w:val="auto"/>
              </w:rPr>
            </w:pPr>
            <w:r>
              <w:rPr>
                <w:rFonts w:ascii="Times New Roman" w:cs="Times New Roman" w:eastAsia="Times New Roman" w:hAnsi="Times New Roman"/>
                <w:sz w:val="12"/>
                <w:szCs w:val="12"/>
                <w:b w:val="1"/>
                <w:bCs w:val="1"/>
                <w:color w:val="auto"/>
              </w:rPr>
              <w:t>4  </w:t>
            </w:r>
            <w:r>
              <w:rPr>
                <w:rFonts w:ascii="Times New Roman" w:cs="Times New Roman" w:eastAsia="Times New Roman" w:hAnsi="Times New Roman"/>
                <w:sz w:val="12"/>
                <w:szCs w:val="12"/>
                <w:color w:val="auto"/>
              </w:rPr>
              <w:t>Exemptions (codes apply only to certain</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20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b w:val="1"/>
                <w:bCs w:val="1"/>
                <w:color w:val="auto"/>
              </w:rPr>
              <w:t xml:space="preserve">one </w:t>
            </w:r>
            <w:r>
              <w:rPr>
                <w:rFonts w:ascii="Times New Roman" w:cs="Times New Roman" w:eastAsia="Times New Roman" w:hAnsi="Times New Roman"/>
                <w:sz w:val="13"/>
                <w:szCs w:val="13"/>
                <w:color w:val="auto"/>
              </w:rPr>
              <w:t>of the following seven boxes.</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2360" w:type="dxa"/>
            <w:vAlign w:val="bottom"/>
            <w:gridSpan w:val="4"/>
          </w:tcPr>
          <w:p>
            <w:pPr>
              <w:ind w:left="200"/>
              <w:spacing w:after="0" w:line="137" w:lineRule="exact"/>
              <w:rPr>
                <w:sz w:val="20"/>
                <w:szCs w:val="20"/>
                <w:color w:val="auto"/>
              </w:rPr>
            </w:pPr>
            <w:r>
              <w:rPr>
                <w:rFonts w:ascii="Times New Roman" w:cs="Times New Roman" w:eastAsia="Times New Roman" w:hAnsi="Times New Roman"/>
                <w:sz w:val="13"/>
                <w:szCs w:val="13"/>
                <w:color w:val="auto"/>
              </w:rPr>
              <w:t>entities, not individuals; see instructions</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208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Individual/sole proprietor</w:t>
            </w:r>
          </w:p>
        </w:tc>
        <w:tc>
          <w:tcPr>
            <w:tcW w:w="102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w w:val="87"/>
              </w:rPr>
              <w:t>☐</w:t>
            </w:r>
            <w:r>
              <w:rPr>
                <w:rFonts w:ascii="Times New Roman" w:cs="Times New Roman" w:eastAsia="Times New Roman" w:hAnsi="Times New Roman"/>
                <w:sz w:val="13"/>
                <w:szCs w:val="13"/>
                <w:color w:val="auto"/>
                <w:w w:val="87"/>
              </w:rPr>
              <w:t xml:space="preserve">  C corporation </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gridSpan w:val="4"/>
            <w:vMerge w:val="restart"/>
          </w:tcPr>
          <w:p>
            <w:pPr>
              <w:ind w:left="80"/>
              <w:spacing w:after="0" w:line="161" w:lineRule="exact"/>
              <w:rPr>
                <w:sz w:val="20"/>
                <w:szCs w:val="20"/>
                <w:color w:val="auto"/>
              </w:rPr>
            </w:pPr>
            <w:r>
              <w:rPr>
                <w:rFonts w:ascii="MS PGothic" w:cs="MS PGothic" w:eastAsia="MS PGothic" w:hAnsi="MS PGothic"/>
                <w:sz w:val="14"/>
                <w:szCs w:val="14"/>
                <w:color w:val="auto"/>
                <w:w w:val="92"/>
              </w:rPr>
              <w:t>☐</w:t>
            </w:r>
            <w:r>
              <w:rPr>
                <w:rFonts w:ascii="Times New Roman" w:cs="Times New Roman" w:eastAsia="Times New Roman" w:hAnsi="Times New Roman"/>
                <w:sz w:val="13"/>
                <w:szCs w:val="13"/>
                <w:color w:val="auto"/>
                <w:w w:val="92"/>
              </w:rPr>
              <w:t xml:space="preserve">  S corporation </w:t>
            </w:r>
          </w:p>
        </w:tc>
        <w:tc>
          <w:tcPr>
            <w:tcW w:w="180" w:type="dxa"/>
            <w:vAlign w:val="bottom"/>
            <w:vMerge w:val="restart"/>
          </w:tcPr>
          <w:p>
            <w:pPr>
              <w:jc w:val="right"/>
              <w:ind w:right="69"/>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5"/>
            <w:vMerge w:val="restart"/>
          </w:tcPr>
          <w:p>
            <w:pPr>
              <w:ind w:left="40"/>
              <w:spacing w:after="0" w:line="161" w:lineRule="exact"/>
              <w:rPr>
                <w:sz w:val="20"/>
                <w:szCs w:val="20"/>
                <w:color w:val="auto"/>
              </w:rPr>
            </w:pPr>
            <w:r>
              <w:rPr>
                <w:rFonts w:ascii="MS PGothic" w:cs="MS PGothic" w:eastAsia="MS PGothic" w:hAnsi="MS PGothic"/>
                <w:sz w:val="14"/>
                <w:szCs w:val="14"/>
                <w:color w:val="auto"/>
                <w:w w:val="90"/>
              </w:rPr>
              <w:t>☐</w:t>
            </w:r>
            <w:r>
              <w:rPr>
                <w:rFonts w:ascii="Times New Roman" w:cs="Times New Roman" w:eastAsia="Times New Roman" w:hAnsi="Times New Roman"/>
                <w:sz w:val="13"/>
                <w:szCs w:val="13"/>
                <w:color w:val="auto"/>
                <w:w w:val="90"/>
              </w:rPr>
              <w:t xml:space="preserve">  Partnership 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14"/>
                <w:szCs w:val="14"/>
                <w:color w:val="auto"/>
              </w:rPr>
            </w:pPr>
          </w:p>
        </w:tc>
        <w:tc>
          <w:tcPr>
            <w:tcW w:w="1400" w:type="dxa"/>
            <w:vAlign w:val="bottom"/>
            <w:tcBorders>
              <w:right w:val="single" w:sz="8" w:color="auto"/>
            </w:tcBorders>
            <w:gridSpan w:val="2"/>
            <w:vMerge w:val="restart"/>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Trust/estate </w:t>
            </w: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on page 3):</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right w:val="single" w:sz="8" w:color="auto"/>
            </w:tcBorders>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Print or</w:t>
            </w:r>
          </w:p>
        </w:tc>
        <w:tc>
          <w:tcPr>
            <w:tcW w:w="4820" w:type="dxa"/>
            <w:vAlign w:val="bottom"/>
            <w:gridSpan w:val="9"/>
          </w:tcPr>
          <w:p>
            <w:pPr>
              <w:ind w:left="80"/>
              <w:spacing w:after="0" w:line="161" w:lineRule="exact"/>
              <w:rPr>
                <w:sz w:val="20"/>
                <w:szCs w:val="20"/>
                <w:color w:val="auto"/>
              </w:rPr>
            </w:pPr>
            <w:r>
              <w:rPr>
                <w:rFonts w:ascii="MS PGothic" w:cs="MS PGothic" w:eastAsia="MS PGothic" w:hAnsi="MS PGothic"/>
                <w:sz w:val="14"/>
                <w:szCs w:val="14"/>
                <w:color w:val="auto"/>
                <w:w w:val="98"/>
              </w:rPr>
              <w:t>☐</w:t>
            </w:r>
            <w:r>
              <w:rPr>
                <w:rFonts w:ascii="Times New Roman" w:cs="Times New Roman" w:eastAsia="Times New Roman" w:hAnsi="Times New Roman"/>
                <w:sz w:val="13"/>
                <w:szCs w:val="13"/>
                <w:color w:val="auto"/>
                <w:w w:val="98"/>
              </w:rPr>
              <w:t xml:space="preserve">  LLC. Enter the tax classification (C = C corporation, S = S corporation, P = Partnership) </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9"/>
                <w:szCs w:val="9"/>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6"/>
                <w:szCs w:val="6"/>
                <w:color w:val="auto"/>
                <w:w w:val="79"/>
              </w:rPr>
              <w:t>. </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71"/>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 xml:space="preserve">Exempt payee code (if any)                     </w:t>
            </w:r>
          </w:p>
        </w:tc>
        <w:tc>
          <w:tcPr>
            <w:tcW w:w="0" w:type="dxa"/>
            <w:vAlign w:val="bottom"/>
          </w:tcPr>
          <w:p>
            <w:pPr>
              <w:spacing w:after="0"/>
              <w:rPr>
                <w:sz w:val="1"/>
                <w:szCs w:val="1"/>
                <w:color w:val="auto"/>
              </w:rPr>
            </w:pPr>
          </w:p>
        </w:tc>
      </w:tr>
      <w:tr>
        <w:trPr>
          <w:trHeight w:val="27"/>
        </w:trPr>
        <w:tc>
          <w:tcPr>
            <w:tcW w:w="82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20" w:type="dxa"/>
            <w:vAlign w:val="bottom"/>
            <w:vMerge w:val="continue"/>
          </w:tcPr>
          <w:p>
            <w:pPr>
              <w:spacing w:after="0"/>
              <w:rPr>
                <w:sz w:val="10"/>
                <w:szCs w:val="10"/>
                <w:color w:val="auto"/>
              </w:rPr>
            </w:pPr>
          </w:p>
        </w:tc>
        <w:tc>
          <w:tcPr>
            <w:tcW w:w="5560" w:type="dxa"/>
            <w:vAlign w:val="bottom"/>
            <w:gridSpan w:val="1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 xml:space="preserve">Note: </w:t>
            </w:r>
            <w:r>
              <w:rPr>
                <w:rFonts w:ascii="Times New Roman" w:cs="Times New Roman" w:eastAsia="Times New Roman" w:hAnsi="Times New Roman"/>
                <w:sz w:val="13"/>
                <w:szCs w:val="13"/>
                <w:color w:val="auto"/>
                <w:w w:val="96"/>
              </w:rPr>
              <w:t>Check the “LLC” box above and, in the entry space, enter the appropriate code (C, S, or P) for the tax</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type.</w:t>
            </w:r>
          </w:p>
        </w:tc>
        <w:tc>
          <w:tcPr>
            <w:tcW w:w="5560" w:type="dxa"/>
            <w:vAlign w:val="bottom"/>
            <w:gridSpan w:val="14"/>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20" w:type="dxa"/>
            <w:vAlign w:val="bottom"/>
            <w:vMerge w:val="continue"/>
          </w:tcPr>
          <w:p>
            <w:pPr>
              <w:spacing w:after="0"/>
              <w:rPr>
                <w:sz w:val="10"/>
                <w:szCs w:val="10"/>
                <w:color w:val="auto"/>
              </w:rPr>
            </w:pPr>
          </w:p>
        </w:tc>
        <w:tc>
          <w:tcPr>
            <w:tcW w:w="6140" w:type="dxa"/>
            <w:vAlign w:val="bottom"/>
            <w:gridSpan w:val="17"/>
          </w:tcPr>
          <w:p>
            <w:pPr>
              <w:ind w:left="80"/>
              <w:spacing w:after="0" w:line="126" w:lineRule="exact"/>
              <w:rPr>
                <w:sz w:val="20"/>
                <w:szCs w:val="20"/>
                <w:color w:val="auto"/>
              </w:rPr>
            </w:pPr>
            <w:r>
              <w:rPr>
                <w:rFonts w:ascii="Times New Roman" w:cs="Times New Roman" w:eastAsia="Times New Roman" w:hAnsi="Times New Roman"/>
                <w:sz w:val="13"/>
                <w:szCs w:val="13"/>
                <w:color w:val="auto"/>
                <w:w w:val="96"/>
              </w:rPr>
              <w:t>classification of the LLC, unless it is a disregarded entity. A disregarded entity should instead check the appropriate box</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3"/>
                <w:szCs w:val="13"/>
                <w:color w:val="auto"/>
              </w:rPr>
              <w:t>Exemption from Foreign Account Tax</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rPr>
              <w:t>See</w:t>
            </w:r>
          </w:p>
        </w:tc>
        <w:tc>
          <w:tcPr>
            <w:tcW w:w="20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for the tax classification of its owner.</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23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i w:val="1"/>
                <w:iCs w:val="1"/>
                <w:color w:val="auto"/>
              </w:rPr>
              <w:t>Specific</w:t>
            </w:r>
          </w:p>
        </w:tc>
        <w:tc>
          <w:tcPr>
            <w:tcW w:w="1500" w:type="dxa"/>
            <w:vAlign w:val="bottom"/>
            <w:vMerge w:val="restart"/>
          </w:tcPr>
          <w:p>
            <w:pPr>
              <w:ind w:left="80"/>
              <w:spacing w:after="0" w:line="150" w:lineRule="exact"/>
              <w:rPr>
                <w:sz w:val="20"/>
                <w:szCs w:val="20"/>
                <w:color w:val="auto"/>
              </w:rPr>
            </w:pP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Other (see instructions) </w:t>
            </w: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2360" w:type="dxa"/>
            <w:vAlign w:val="bottom"/>
            <w:gridSpan w:val="4"/>
          </w:tcPr>
          <w:p>
            <w:pPr>
              <w:ind w:left="200"/>
              <w:spacing w:after="0" w:line="72" w:lineRule="exact"/>
              <w:rPr>
                <w:sz w:val="20"/>
                <w:szCs w:val="20"/>
                <w:color w:val="auto"/>
              </w:rPr>
            </w:pPr>
            <w:r>
              <w:rPr>
                <w:rFonts w:ascii="Times New Roman" w:cs="Times New Roman" w:eastAsia="Times New Roman" w:hAnsi="Times New Roman"/>
                <w:sz w:val="8"/>
                <w:szCs w:val="8"/>
                <w:color w:val="auto"/>
              </w:rPr>
              <w:t>Compliance Act (FATCA) reporting</w:t>
            </w:r>
          </w:p>
        </w:tc>
        <w:tc>
          <w:tcPr>
            <w:tcW w:w="0" w:type="dxa"/>
            <w:vAlign w:val="bottom"/>
          </w:tcPr>
          <w:p>
            <w:pPr>
              <w:spacing w:after="0"/>
              <w:rPr>
                <w:sz w:val="1"/>
                <w:szCs w:val="1"/>
                <w:color w:val="auto"/>
              </w:rPr>
            </w:pPr>
          </w:p>
        </w:tc>
      </w:tr>
      <w:tr>
        <w:trPr>
          <w:trHeight w:val="83"/>
        </w:trPr>
        <w:tc>
          <w:tcPr>
            <w:tcW w:w="8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58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020" w:type="dxa"/>
            <w:vAlign w:val="bottom"/>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48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2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44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3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50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code (if any)</w:t>
            </w:r>
          </w:p>
        </w:tc>
        <w:tc>
          <w:tcPr>
            <w:tcW w:w="1300" w:type="dxa"/>
            <w:vAlign w:val="bottom"/>
            <w:gridSpan w:val="2"/>
            <w:vMerge w:val="restart"/>
          </w:tcPr>
          <w:p>
            <w:pPr>
              <w:spacing w:after="0" w:line="138" w:lineRule="exact"/>
              <w:rPr>
                <w:sz w:val="20"/>
                <w:szCs w:val="20"/>
                <w:color w:val="auto"/>
              </w:rPr>
            </w:pPr>
            <w:r>
              <w:rPr>
                <w:rFonts w:ascii="Times New Roman" w:cs="Times New Roman" w:eastAsia="Times New Roman" w:hAnsi="Times New Roman"/>
                <w:sz w:val="14"/>
                <w:szCs w:val="14"/>
                <w:color w:val="auto"/>
                <w:w w:val="99"/>
              </w:rPr>
              <w:t>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Instructions</w:t>
            </w:r>
          </w:p>
        </w:tc>
        <w:tc>
          <w:tcPr>
            <w:tcW w:w="1500" w:type="dxa"/>
            <w:vAlign w:val="bottom"/>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tcBorders>
              <w:bottom w:val="single" w:sz="8" w:color="auto"/>
            </w:tcBorders>
            <w:gridSpan w:val="2"/>
            <w:vMerge w:val="continue"/>
          </w:tcPr>
          <w:p>
            <w:pPr>
              <w:spacing w:after="0"/>
              <w:rPr>
                <w:sz w:val="6"/>
                <w:szCs w:val="6"/>
                <w:color w:val="auto"/>
              </w:rPr>
            </w:pPr>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on page 3.</w:t>
            </w:r>
          </w:p>
        </w:tc>
        <w:tc>
          <w:tcPr>
            <w:tcW w:w="150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gridSpan w:val="12"/>
          </w:tcPr>
          <w:p>
            <w:pPr>
              <w:spacing w:after="0"/>
              <w:rPr>
                <w:sz w:val="4"/>
                <w:szCs w:val="4"/>
                <w:color w:val="auto"/>
              </w:rPr>
            </w:pPr>
          </w:p>
        </w:tc>
        <w:tc>
          <w:tcPr>
            <w:tcW w:w="840" w:type="dxa"/>
            <w:vAlign w:val="bottom"/>
            <w:tcBorders>
              <w:bottom w:val="single" w:sz="8" w:color="auto"/>
            </w:tcBorders>
            <w:gridSpan w:val="5"/>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20" w:type="dxa"/>
            <w:vAlign w:val="bottom"/>
            <w:vMerge w:val="continue"/>
          </w:tcPr>
          <w:p>
            <w:pPr>
              <w:spacing w:after="0"/>
              <w:rPr>
                <w:sz w:val="9"/>
                <w:szCs w:val="9"/>
                <w:color w:val="auto"/>
              </w:rPr>
            </w:pPr>
          </w:p>
        </w:tc>
        <w:tc>
          <w:tcPr>
            <w:tcW w:w="7700" w:type="dxa"/>
            <w:vAlign w:val="bottom"/>
            <w:tcBorders>
              <w:right w:val="single" w:sz="8" w:color="auto"/>
            </w:tcBorders>
            <w:gridSpan w:val="20"/>
          </w:tcPr>
          <w:p>
            <w:pPr>
              <w:ind w:left="80"/>
              <w:spacing w:after="0" w:line="11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3b </w:t>
            </w:r>
            <w:r>
              <w:rPr>
                <w:rFonts w:ascii="Times New Roman" w:cs="Times New Roman" w:eastAsia="Times New Roman" w:hAnsi="Times New Roman"/>
                <w:sz w:val="12"/>
                <w:szCs w:val="12"/>
                <w:color w:val="auto"/>
              </w:rPr>
              <w:t xml:space="preserve"> If on line 3a you checked “Partnership” or “Trust/estate,” or checked “LLC” and entered “P” as its tax classification, and</w:t>
            </w: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6300" w:type="dxa"/>
            <w:vAlign w:val="bottom"/>
            <w:gridSpan w:val="18"/>
          </w:tcPr>
          <w:p>
            <w:pPr>
              <w:ind w:left="80"/>
              <w:spacing w:after="0"/>
              <w:rPr>
                <w:sz w:val="20"/>
                <w:szCs w:val="20"/>
                <w:color w:val="auto"/>
              </w:rPr>
            </w:pPr>
            <w:r>
              <w:rPr>
                <w:rFonts w:ascii="Times New Roman" w:cs="Times New Roman" w:eastAsia="Times New Roman" w:hAnsi="Times New Roman"/>
                <w:sz w:val="13"/>
                <w:szCs w:val="13"/>
                <w:color w:val="auto"/>
                <w:w w:val="97"/>
              </w:rPr>
              <w:t>you are providing this form to a partnership, trust, or estate in which you have an ownership interest, check this box if you</w:t>
            </w:r>
          </w:p>
        </w:tc>
        <w:tc>
          <w:tcPr>
            <w:tcW w:w="5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360" w:type="dxa"/>
            <w:vAlign w:val="bottom"/>
            <w:gridSpan w:val="4"/>
          </w:tcPr>
          <w:p>
            <w:pPr>
              <w:ind w:left="460"/>
              <w:spacing w:after="0"/>
              <w:rPr>
                <w:sz w:val="20"/>
                <w:szCs w:val="20"/>
                <w:color w:val="auto"/>
              </w:rPr>
            </w:pPr>
            <w:r>
              <w:rPr>
                <w:rFonts w:ascii="Times New Roman" w:cs="Times New Roman" w:eastAsia="Times New Roman" w:hAnsi="Times New Roman"/>
                <w:sz w:val="13"/>
                <w:szCs w:val="13"/>
                <w:i w:val="1"/>
                <w:iCs w:val="1"/>
                <w:color w:val="auto"/>
              </w:rPr>
              <w:t>(Applies to accounts maintained</w:t>
            </w:r>
          </w:p>
        </w:tc>
        <w:tc>
          <w:tcPr>
            <w:tcW w:w="0" w:type="dxa"/>
            <w:vAlign w:val="bottom"/>
          </w:tcPr>
          <w:p>
            <w:pPr>
              <w:spacing w:after="0"/>
              <w:rPr>
                <w:sz w:val="1"/>
                <w:szCs w:val="1"/>
                <w:color w:val="auto"/>
              </w:rPr>
            </w:pPr>
          </w:p>
        </w:tc>
      </w:tr>
      <w:tr>
        <w:trPr>
          <w:trHeight w:val="242"/>
        </w:trPr>
        <w:tc>
          <w:tcPr>
            <w:tcW w:w="820" w:type="dxa"/>
            <w:vAlign w:val="bottom"/>
          </w:tcPr>
          <w:p>
            <w:pPr>
              <w:spacing w:after="0"/>
              <w:rPr>
                <w:sz w:val="21"/>
                <w:szCs w:val="21"/>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w w:val="95"/>
              </w:rPr>
              <w:t>have any foreign partners, owners, or beneficiaries. See instructions </w:t>
            </w: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4"/>
              </w:rPr>
              <w:t xml:space="preserve">.   . </w:t>
            </w:r>
          </w:p>
        </w:tc>
        <w:tc>
          <w:tcPr>
            <w:tcW w:w="2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2"/>
              </w:rPr>
              <w:t>.   .   . 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280" w:type="dxa"/>
            <w:vAlign w:val="bottom"/>
            <w:gridSpan w:val="2"/>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3"/>
                <w:szCs w:val="13"/>
                <w:i w:val="1"/>
                <w:iCs w:val="1"/>
                <w:color w:val="auto"/>
              </w:rPr>
              <w:t>outside the United States.)</w:t>
            </w: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35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 5</w:t>
            </w:r>
            <w:r>
              <w:rPr>
                <w:rFonts w:ascii="Times New Roman" w:cs="Times New Roman" w:eastAsia="Times New Roman" w:hAnsi="Times New Roman"/>
                <w:sz w:val="13"/>
                <w:szCs w:val="13"/>
                <w:color w:val="auto"/>
                <w:w w:val="98"/>
              </w:rPr>
              <w:t xml:space="preserve">    Address (number, street, and apt. or suite no.). See instructions.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376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  Requester’s name and address (optional)</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6</w:t>
            </w:r>
            <w:r>
              <w:rPr>
                <w:rFonts w:ascii="Times New Roman" w:cs="Times New Roman" w:eastAsia="Times New Roman" w:hAnsi="Times New Roman"/>
                <w:sz w:val="13"/>
                <w:szCs w:val="13"/>
                <w:color w:val="auto"/>
              </w:rPr>
              <w:t xml:space="preserve">    City, state, and ZIP code</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7</w:t>
            </w:r>
            <w:r>
              <w:rPr>
                <w:rFonts w:ascii="Times New Roman" w:cs="Times New Roman" w:eastAsia="Times New Roman" w:hAnsi="Times New Roman"/>
                <w:sz w:val="13"/>
                <w:szCs w:val="13"/>
                <w:color w:val="auto"/>
              </w:rPr>
              <w:t xml:space="preserve">    List account number(s) here (optional)</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318"/>
        </w:trPr>
        <w:tc>
          <w:tcPr>
            <w:tcW w:w="660" w:type="dxa"/>
            <w:vAlign w:val="bottom"/>
            <w:tcBorders>
              <w:bottom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18"/>
                <w:szCs w:val="18"/>
                <w:b w:val="1"/>
                <w:bCs w:val="1"/>
                <w:color w:val="FFFFFF"/>
              </w:rPr>
              <w:t>Part I</w:t>
            </w:r>
          </w:p>
        </w:tc>
        <w:tc>
          <w:tcPr>
            <w:tcW w:w="5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Taxpayer Identification Number (TIN)</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Enter your</w:t>
            </w:r>
          </w:p>
        </w:tc>
        <w:tc>
          <w:tcPr>
            <w:tcW w:w="5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TIN in the appropriate box. The TIN provided must match the name given on line 1 to</w:t>
            </w:r>
          </w:p>
        </w:tc>
        <w:tc>
          <w:tcPr>
            <w:tcW w:w="480" w:type="dxa"/>
            <w:vAlign w:val="bottom"/>
            <w:tcBorders>
              <w:right w:val="single" w:sz="8" w:color="auto"/>
            </w:tcBorders>
            <w:gridSpan w:val="2"/>
          </w:tcPr>
          <w:p>
            <w:pPr>
              <w:ind w:left="120"/>
              <w:spacing w:after="0" w:line="135" w:lineRule="exact"/>
              <w:rPr>
                <w:sz w:val="20"/>
                <w:szCs w:val="20"/>
                <w:color w:val="auto"/>
              </w:rPr>
            </w:pPr>
            <w:r>
              <w:rPr>
                <w:rFonts w:ascii="Arial" w:cs="Arial" w:eastAsia="Arial" w:hAnsi="Arial"/>
                <w:sz w:val="14"/>
                <w:szCs w:val="14"/>
                <w:color w:val="auto"/>
              </w:rPr>
              <w:t> </w:t>
            </w:r>
          </w:p>
        </w:tc>
        <w:tc>
          <w:tcPr>
            <w:tcW w:w="160" w:type="dxa"/>
            <w:vAlign w:val="bottom"/>
          </w:tcPr>
          <w:p>
            <w:pPr>
              <w:spacing w:after="0"/>
              <w:rPr>
                <w:sz w:val="11"/>
                <w:szCs w:val="11"/>
                <w:color w:val="auto"/>
              </w:rPr>
            </w:pPr>
          </w:p>
        </w:tc>
        <w:tc>
          <w:tcPr>
            <w:tcW w:w="2500" w:type="dxa"/>
            <w:vAlign w:val="bottom"/>
            <w:gridSpan w:val="9"/>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Social security number</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line="115" w:lineRule="exact"/>
              <w:rPr>
                <w:sz w:val="20"/>
                <w:szCs w:val="20"/>
                <w:color w:val="auto"/>
              </w:rPr>
            </w:pPr>
            <w:r>
              <w:rPr>
                <w:rFonts w:ascii="Times New Roman" w:cs="Times New Roman" w:eastAsia="Times New Roman" w:hAnsi="Times New Roman"/>
                <w:sz w:val="13"/>
                <w:szCs w:val="13"/>
                <w:color w:val="auto"/>
              </w:rPr>
              <w:t>avoid backup withholding. For individuals, this is generally your social security number (SSN).</w:t>
            </w: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7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7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However, for a resident alien, sole proprietor, or disregarded entity, see the instructions for Part I,</w:t>
            </w:r>
          </w:p>
        </w:tc>
        <w:tc>
          <w:tcPr>
            <w:tcW w:w="3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later. For other entities, it is your employer identification number (EIN). If you do not have a</w:t>
            </w:r>
          </w:p>
        </w:tc>
        <w:tc>
          <w:tcPr>
            <w:tcW w:w="3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number,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later.</w:t>
            </w:r>
          </w:p>
        </w:tc>
        <w:tc>
          <w:tcPr>
            <w:tcW w:w="3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660" w:type="dxa"/>
            <w:vAlign w:val="bottom"/>
            <w:gridSpan w:val="1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5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gridSpan w:val="10"/>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3"/>
                <w:szCs w:val="13"/>
                <w:b w:val="1"/>
                <w:bCs w:val="1"/>
                <w:color w:val="auto"/>
              </w:rPr>
              <w:t>Employer identification number</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the account is in more than one name, see the instructions for line 1. See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w:t>
            </w:r>
          </w:p>
        </w:tc>
        <w:tc>
          <w:tcPr>
            <w:tcW w:w="3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auto"/>
              </w:rPr>
              <w:t xml:space="preserve">- </w:t>
            </w:r>
          </w:p>
        </w:tc>
        <w:tc>
          <w:tcPr>
            <w:tcW w:w="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740" w:type="dxa"/>
            <w:vAlign w:val="bottom"/>
            <w:gridSpan w:val="2"/>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and Number To Give the Requester </w:t>
            </w:r>
            <w:r>
              <w:rPr>
                <w:rFonts w:ascii="Times New Roman" w:cs="Times New Roman" w:eastAsia="Times New Roman" w:hAnsi="Times New Roman"/>
                <w:sz w:val="14"/>
                <w:szCs w:val="14"/>
                <w:color w:val="auto"/>
              </w:rPr>
              <w:t>for guidelines on whose number to enter.</w:t>
            </w:r>
          </w:p>
        </w:tc>
        <w:tc>
          <w:tcPr>
            <w:tcW w:w="3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8"/>
                <w:szCs w:val="18"/>
                <w:b w:val="1"/>
                <w:bCs w:val="1"/>
                <w:color w:val="FFFFFF"/>
              </w:rPr>
              <w:t>Part II</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Under penalties of perjury, I certify that:</w:t>
      </w:r>
    </w:p>
    <w:p>
      <w:pPr>
        <w:spacing w:after="0" w:line="28" w:lineRule="exact"/>
        <w:rPr>
          <w:sz w:val="20"/>
          <w:szCs w:val="20"/>
          <w:color w:val="auto"/>
        </w:rPr>
      </w:pPr>
    </w:p>
    <w:p>
      <w:pPr>
        <w:ind w:left="224" w:hanging="224"/>
        <w:spacing w:after="0"/>
        <w:tabs>
          <w:tab w:leader="none" w:pos="224"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on this form is my correct taxpayer identification number (or I am waiting for a number to be issued to me); and</w:t>
      </w:r>
    </w:p>
    <w:p>
      <w:pPr>
        <w:spacing w:after="0" w:line="28" w:lineRule="exact"/>
        <w:rPr>
          <w:rFonts w:ascii="Times New Roman" w:cs="Times New Roman" w:eastAsia="Times New Roman" w:hAnsi="Times New Roman"/>
          <w:sz w:val="14"/>
          <w:szCs w:val="14"/>
          <w:color w:val="auto"/>
        </w:rPr>
      </w:pPr>
    </w:p>
    <w:p>
      <w:pPr>
        <w:ind w:left="224" w:right="440" w:hanging="224"/>
        <w:spacing w:after="0" w:line="251" w:lineRule="auto"/>
        <w:tabs>
          <w:tab w:leader="none" w:pos="224"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224" w:hanging="224"/>
        <w:spacing w:after="0"/>
        <w:tabs>
          <w:tab w:leader="none" w:pos="224"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a U.S. citizen or other U.S. person (defined below); and</w:t>
      </w:r>
    </w:p>
    <w:p>
      <w:pPr>
        <w:spacing w:after="0" w:line="28" w:lineRule="exact"/>
        <w:rPr>
          <w:rFonts w:ascii="Times New Roman" w:cs="Times New Roman" w:eastAsia="Times New Roman" w:hAnsi="Times New Roman"/>
          <w:sz w:val="14"/>
          <w:szCs w:val="14"/>
          <w:color w:val="auto"/>
        </w:rPr>
      </w:pPr>
    </w:p>
    <w:p>
      <w:pPr>
        <w:ind w:left="224" w:hanging="224"/>
        <w:spacing w:after="0"/>
        <w:tabs>
          <w:tab w:leader="none" w:pos="224"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FATCA code(s) entered on this form (if any) indicating that I am exempt from FATCA reporting is correct.</w:t>
      </w:r>
    </w:p>
    <w:p>
      <w:pPr>
        <w:spacing w:after="0" w:line="27" w:lineRule="exact"/>
        <w:rPr>
          <w:sz w:val="20"/>
          <w:szCs w:val="20"/>
          <w:color w:val="auto"/>
        </w:rPr>
      </w:pPr>
    </w:p>
    <w:p>
      <w:pPr>
        <w:ind w:left="4" w:right="120"/>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Certification instructions. </w:t>
      </w:r>
      <w:r>
        <w:rPr>
          <w:rFonts w:ascii="Times New Roman" w:cs="Times New Roman" w:eastAsia="Times New Roman" w:hAnsi="Times New Roman"/>
          <w:sz w:val="14"/>
          <w:szCs w:val="14"/>
          <w:color w:val="auto"/>
        </w:rPr>
        <w:t>You must cross out item 2 above if you have been notified by the IRS that you are currently subject to backup withholding because you have failed to report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84"/>
        </w:trPr>
        <w:tc>
          <w:tcPr>
            <w:tcW w:w="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Signature of</w:t>
            </w:r>
          </w:p>
        </w:tc>
        <w:tc>
          <w:tcPr>
            <w:tcW w:w="32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4"/>
              </w:rPr>
              <w:t>Here</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U.S. person </w:t>
            </w:r>
          </w:p>
        </w:tc>
        <w:tc>
          <w:tcPr>
            <w:tcW w:w="3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b w:val="1"/>
                <w:bCs w:val="1"/>
                <w:color w:val="auto"/>
              </w:rPr>
              <w:t>General Instructions</w:t>
            </w:r>
          </w:p>
        </w:tc>
        <w:tc>
          <w:tcPr>
            <w:tcW w:w="320" w:type="dxa"/>
            <w:vAlign w:val="bottom"/>
          </w:tcPr>
          <w:p>
            <w:pPr>
              <w:spacing w:after="0"/>
              <w:rPr>
                <w:sz w:val="15"/>
                <w:szCs w:val="15"/>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flow-through entity in which it has an ownership interest. This change is intended to provide</w:t>
            </w:r>
          </w:p>
        </w:tc>
        <w:tc>
          <w:tcPr>
            <w:tcW w:w="0" w:type="dxa"/>
            <w:vAlign w:val="bottom"/>
          </w:tcPr>
          <w:p>
            <w:pPr>
              <w:spacing w:after="0"/>
              <w:rPr>
                <w:sz w:val="1"/>
                <w:szCs w:val="1"/>
                <w:color w:val="auto"/>
              </w:rPr>
            </w:pPr>
          </w:p>
        </w:tc>
      </w:tr>
      <w:tr>
        <w:trPr>
          <w:trHeight w:val="148"/>
        </w:trPr>
        <w:tc>
          <w:tcPr>
            <w:tcW w:w="5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56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a flow-through entity with information regarding the status of its indirect foreign partners,</w:t>
            </w:r>
          </w:p>
        </w:tc>
        <w:tc>
          <w:tcPr>
            <w:tcW w:w="0" w:type="dxa"/>
            <w:vAlign w:val="bottom"/>
          </w:tcPr>
          <w:p>
            <w:pPr>
              <w:spacing w:after="0"/>
              <w:rPr>
                <w:sz w:val="1"/>
                <w:szCs w:val="1"/>
                <w:color w:val="auto"/>
              </w:rPr>
            </w:pPr>
          </w:p>
        </w:tc>
      </w:tr>
      <w:tr>
        <w:trPr>
          <w:trHeight w:val="185"/>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Section references are to the Internal Revenue Code unless otherwise noted.</w:t>
            </w:r>
          </w:p>
        </w:tc>
        <w:tc>
          <w:tcPr>
            <w:tcW w:w="320" w:type="dxa"/>
            <w:vAlign w:val="bottom"/>
          </w:tcPr>
          <w:p>
            <w:pPr>
              <w:spacing w:after="0"/>
              <w:rPr>
                <w:sz w:val="16"/>
                <w:szCs w:val="16"/>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owners, or beneficiaries, so that it can satisfy any applicable reporting requirements. For</w:t>
            </w:r>
          </w:p>
        </w:tc>
        <w:tc>
          <w:tcPr>
            <w:tcW w:w="0" w:type="dxa"/>
            <w:vAlign w:val="bottom"/>
          </w:tcPr>
          <w:p>
            <w:pPr>
              <w:spacing w:after="0"/>
              <w:rPr>
                <w:sz w:val="1"/>
                <w:szCs w:val="1"/>
                <w:color w:val="auto"/>
              </w:rPr>
            </w:pPr>
          </w:p>
        </w:tc>
      </w:tr>
      <w:tr>
        <w:trPr>
          <w:trHeight w:val="112"/>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Future developments</w:t>
            </w:r>
            <w:r>
              <w:rPr>
                <w:rFonts w:ascii="Times New Roman" w:cs="Times New Roman" w:eastAsia="Times New Roman" w:hAnsi="Times New Roman"/>
                <w:sz w:val="14"/>
                <w:szCs w:val="14"/>
                <w:color w:val="auto"/>
              </w:rPr>
              <w:t>. For the latest information about developments related to Form W-9</w:t>
            </w:r>
          </w:p>
        </w:tc>
        <w:tc>
          <w:tcPr>
            <w:tcW w:w="5620" w:type="dxa"/>
            <w:vAlign w:val="bottom"/>
            <w:gridSpan w:val="3"/>
          </w:tcPr>
          <w:p>
            <w:pPr>
              <w:ind w:left="200"/>
              <w:spacing w:after="0" w:line="113" w:lineRule="exact"/>
              <w:rPr>
                <w:sz w:val="20"/>
                <w:szCs w:val="20"/>
                <w:color w:val="auto"/>
              </w:rPr>
            </w:pPr>
            <w:r>
              <w:rPr>
                <w:rFonts w:ascii="Times New Roman" w:cs="Times New Roman" w:eastAsia="Times New Roman" w:hAnsi="Times New Roman"/>
                <w:sz w:val="13"/>
                <w:szCs w:val="13"/>
                <w:color w:val="auto"/>
              </w:rPr>
              <w:t>example, a partnership that has any indirect foreign partners may be required to complete</w:t>
            </w:r>
          </w:p>
        </w:tc>
        <w:tc>
          <w:tcPr>
            <w:tcW w:w="0" w:type="dxa"/>
            <w:vAlign w:val="bottom"/>
          </w:tcPr>
          <w:p>
            <w:pPr>
              <w:spacing w:after="0"/>
              <w:rPr>
                <w:sz w:val="1"/>
                <w:szCs w:val="1"/>
                <w:color w:val="auto"/>
              </w:rPr>
            </w:pPr>
          </w:p>
        </w:tc>
      </w:tr>
      <w:tr>
        <w:trPr>
          <w:trHeight w:val="81"/>
        </w:trPr>
        <w:tc>
          <w:tcPr>
            <w:tcW w:w="5420" w:type="dxa"/>
            <w:vAlign w:val="bottom"/>
            <w:gridSpan w:val="4"/>
            <w:vMerge w:val="continue"/>
          </w:tcPr>
          <w:p>
            <w:pPr>
              <w:spacing w:after="0"/>
              <w:rPr>
                <w:sz w:val="7"/>
                <w:szCs w:val="7"/>
                <w:color w:val="auto"/>
              </w:rPr>
            </w:pPr>
          </w:p>
        </w:tc>
        <w:tc>
          <w:tcPr>
            <w:tcW w:w="5620" w:type="dxa"/>
            <w:vAlign w:val="bottom"/>
            <w:gridSpan w:val="3"/>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auto"/>
              </w:rPr>
              <w:t>Schedules K-2 and K-3. See the Partnership Instructions for Schedules K-2 and K-3 (Form</w:t>
            </w:r>
          </w:p>
        </w:tc>
        <w:tc>
          <w:tcPr>
            <w:tcW w:w="0" w:type="dxa"/>
            <w:vAlign w:val="bottom"/>
          </w:tcPr>
          <w:p>
            <w:pPr>
              <w:spacing w:after="0"/>
              <w:rPr>
                <w:sz w:val="1"/>
                <w:szCs w:val="1"/>
                <w:color w:val="auto"/>
              </w:rPr>
            </w:pPr>
          </w:p>
        </w:tc>
      </w:tr>
      <w:tr>
        <w:trPr>
          <w:trHeight w:val="68"/>
        </w:trPr>
        <w:tc>
          <w:tcPr>
            <w:tcW w:w="510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and its instructions, such as legislation enacted after they were published, go to</w:t>
            </w:r>
          </w:p>
        </w:tc>
        <w:tc>
          <w:tcPr>
            <w:tcW w:w="320" w:type="dxa"/>
            <w:vAlign w:val="bottom"/>
          </w:tcPr>
          <w:p>
            <w:pPr>
              <w:spacing w:after="0"/>
              <w:rPr>
                <w:sz w:val="5"/>
                <w:szCs w:val="5"/>
                <w:color w:val="auto"/>
              </w:rPr>
            </w:pPr>
          </w:p>
        </w:tc>
        <w:tc>
          <w:tcPr>
            <w:tcW w:w="5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51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1065).</w:t>
            </w: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www.irs.gov/FormW9</w:t>
            </w: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1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Purpose of Form</w:t>
            </w: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spacing w:after="0" w:line="240" w:lineRule="exact"/>
              <w:rPr>
                <w:sz w:val="20"/>
                <w:szCs w:val="20"/>
                <w:color w:val="auto"/>
              </w:rPr>
            </w:pPr>
            <w:r>
              <w:rPr>
                <w:rFonts w:ascii="Times New Roman" w:cs="Times New Roman" w:eastAsia="Times New Roman" w:hAnsi="Times New Roman"/>
                <w:sz w:val="22"/>
                <w:szCs w:val="22"/>
                <w:b w:val="1"/>
                <w:bCs w:val="1"/>
                <w:color w:val="auto"/>
              </w:rPr>
              <w:t>What’s New</w:t>
            </w:r>
          </w:p>
        </w:tc>
        <w:tc>
          <w:tcPr>
            <w:tcW w:w="320" w:type="dxa"/>
            <w:vAlign w:val="bottom"/>
          </w:tcPr>
          <w:p>
            <w:pPr>
              <w:spacing w:after="0"/>
              <w:rPr>
                <w:sz w:val="20"/>
                <w:szCs w:val="20"/>
                <w:color w:val="auto"/>
              </w:rPr>
            </w:pPr>
          </w:p>
        </w:tc>
        <w:tc>
          <w:tcPr>
            <w:tcW w:w="364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Line 3a has been modified to clarify how a disregarded entity completes this line. An LLC</w:t>
            </w:r>
          </w:p>
        </w:tc>
        <w:tc>
          <w:tcPr>
            <w:tcW w:w="5620" w:type="dxa"/>
            <w:vAlign w:val="bottom"/>
            <w:gridSpan w:val="3"/>
          </w:tcPr>
          <w:p>
            <w:pPr>
              <w:ind w:left="200"/>
              <w:spacing w:after="0" w:line="139" w:lineRule="exact"/>
              <w:rPr>
                <w:sz w:val="20"/>
                <w:szCs w:val="20"/>
                <w:color w:val="auto"/>
              </w:rPr>
            </w:pPr>
            <w:r>
              <w:rPr>
                <w:rFonts w:ascii="Times New Roman" w:cs="Times New Roman" w:eastAsia="Times New Roman" w:hAnsi="Times New Roman"/>
                <w:sz w:val="14"/>
                <w:szCs w:val="14"/>
                <w:color w:val="auto"/>
              </w:rPr>
              <w:t>An individual or entity (Form W-9 requester) who is required to file an information return</w:t>
            </w:r>
          </w:p>
        </w:tc>
        <w:tc>
          <w:tcPr>
            <w:tcW w:w="0" w:type="dxa"/>
            <w:vAlign w:val="bottom"/>
          </w:tcPr>
          <w:p>
            <w:pPr>
              <w:spacing w:after="0"/>
              <w:rPr>
                <w:sz w:val="1"/>
                <w:szCs w:val="1"/>
                <w:color w:val="auto"/>
              </w:rPr>
            </w:pPr>
          </w:p>
        </w:tc>
      </w:tr>
      <w:tr>
        <w:trPr>
          <w:trHeight w:val="81"/>
        </w:trPr>
        <w:tc>
          <w:tcPr>
            <w:tcW w:w="5420" w:type="dxa"/>
            <w:vAlign w:val="bottom"/>
            <w:gridSpan w:val="4"/>
            <w:vMerge w:val="continue"/>
          </w:tcPr>
          <w:p>
            <w:pPr>
              <w:spacing w:after="0"/>
              <w:rPr>
                <w:sz w:val="7"/>
                <w:szCs w:val="7"/>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with the IRS is giving you this form because they</w:t>
            </w: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42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that is a disregarded entity should check the appropriate box for the tax classification of its</w:t>
            </w:r>
          </w:p>
        </w:tc>
        <w:tc>
          <w:tcPr>
            <w:tcW w:w="364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420" w:type="dxa"/>
            <w:vAlign w:val="bottom"/>
            <w:gridSpan w:val="4"/>
            <w:vMerge w:val="continue"/>
          </w:tcPr>
          <w:p>
            <w:pPr>
              <w:spacing w:after="0"/>
              <w:rPr>
                <w:sz w:val="3"/>
                <w:szCs w:val="3"/>
                <w:color w:val="auto"/>
              </w:rPr>
            </w:pPr>
          </w:p>
        </w:tc>
        <w:tc>
          <w:tcPr>
            <w:tcW w:w="56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rPr>
              <w:t>must obtain your correct taxpayer identification number (TIN), which may be your social security</w:t>
            </w:r>
          </w:p>
        </w:tc>
        <w:tc>
          <w:tcPr>
            <w:tcW w:w="0" w:type="dxa"/>
            <w:vAlign w:val="bottom"/>
          </w:tcPr>
          <w:p>
            <w:pPr>
              <w:spacing w:after="0"/>
              <w:rPr>
                <w:sz w:val="1"/>
                <w:szCs w:val="1"/>
                <w:color w:val="auto"/>
              </w:rPr>
            </w:pPr>
          </w:p>
        </w:tc>
      </w:tr>
      <w:tr>
        <w:trPr>
          <w:trHeight w:val="144"/>
        </w:trPr>
        <w:tc>
          <w:tcPr>
            <w:tcW w:w="51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owner. Otherwise, it should check the “LLC” box and enter its appropriate tax</w:t>
            </w:r>
          </w:p>
        </w:tc>
        <w:tc>
          <w:tcPr>
            <w:tcW w:w="320" w:type="dxa"/>
            <w:vAlign w:val="bottom"/>
          </w:tcPr>
          <w:p>
            <w:pPr>
              <w:spacing w:after="0"/>
              <w:rPr>
                <w:sz w:val="12"/>
                <w:szCs w:val="12"/>
                <w:color w:val="auto"/>
              </w:rPr>
            </w:pPr>
          </w:p>
        </w:tc>
        <w:tc>
          <w:tcPr>
            <w:tcW w:w="5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classification.</w:t>
            </w:r>
          </w:p>
        </w:tc>
        <w:tc>
          <w:tcPr>
            <w:tcW w:w="320" w:type="dxa"/>
            <w:vAlign w:val="bottom"/>
          </w:tcPr>
          <w:p>
            <w:pPr>
              <w:spacing w:after="0"/>
              <w:rPr>
                <w:sz w:val="12"/>
                <w:szCs w:val="12"/>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number (SSN), individual taxpayer identification number (ITIN), adoption taxpayer identification</w:t>
            </w:r>
          </w:p>
        </w:tc>
        <w:tc>
          <w:tcPr>
            <w:tcW w:w="0" w:type="dxa"/>
            <w:vAlign w:val="bottom"/>
          </w:tcPr>
          <w:p>
            <w:pPr>
              <w:spacing w:after="0"/>
              <w:rPr>
                <w:sz w:val="1"/>
                <w:szCs w:val="1"/>
                <w:color w:val="auto"/>
              </w:rPr>
            </w:pPr>
          </w:p>
        </w:tc>
      </w:tr>
      <w:tr>
        <w:trPr>
          <w:trHeight w:val="122"/>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New line 3b has been added to this form. A flow-through entity is required to complete</w:t>
            </w:r>
          </w:p>
        </w:tc>
        <w:tc>
          <w:tcPr>
            <w:tcW w:w="5620" w:type="dxa"/>
            <w:vAlign w:val="bottom"/>
            <w:gridSpan w:val="3"/>
          </w:tcPr>
          <w:p>
            <w:pPr>
              <w:ind w:left="200"/>
              <w:spacing w:after="0" w:line="123" w:lineRule="exact"/>
              <w:rPr>
                <w:sz w:val="20"/>
                <w:szCs w:val="20"/>
                <w:color w:val="auto"/>
              </w:rPr>
            </w:pPr>
            <w:r>
              <w:rPr>
                <w:rFonts w:ascii="Times New Roman" w:cs="Times New Roman" w:eastAsia="Times New Roman" w:hAnsi="Times New Roman"/>
                <w:sz w:val="13"/>
                <w:szCs w:val="13"/>
                <w:color w:val="auto"/>
              </w:rPr>
              <w:t>number (ATIN), or employer identification number (EIN), to report on an information return the</w:t>
            </w:r>
          </w:p>
        </w:tc>
        <w:tc>
          <w:tcPr>
            <w:tcW w:w="0" w:type="dxa"/>
            <w:vAlign w:val="bottom"/>
          </w:tcPr>
          <w:p>
            <w:pPr>
              <w:spacing w:after="0"/>
              <w:rPr>
                <w:sz w:val="1"/>
                <w:szCs w:val="1"/>
                <w:color w:val="auto"/>
              </w:rPr>
            </w:pPr>
          </w:p>
        </w:tc>
      </w:tr>
      <w:tr>
        <w:trPr>
          <w:trHeight w:val="58"/>
        </w:trPr>
        <w:tc>
          <w:tcPr>
            <w:tcW w:w="5420" w:type="dxa"/>
            <w:vAlign w:val="bottom"/>
            <w:gridSpan w:val="4"/>
            <w:vMerge w:val="continue"/>
          </w:tcPr>
          <w:p>
            <w:pPr>
              <w:spacing w:after="0"/>
              <w:rPr>
                <w:sz w:val="5"/>
                <w:szCs w:val="5"/>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amount paid to you, or other</w:t>
            </w:r>
          </w:p>
        </w:tc>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this line to indicate that it has direct or indirect foreign partners, owners, or beneficiaries</w:t>
            </w:r>
          </w:p>
        </w:tc>
        <w:tc>
          <w:tcPr>
            <w:tcW w:w="32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1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when it provides the Form W-9 to another</w:t>
            </w:r>
          </w:p>
        </w:tc>
        <w:tc>
          <w:tcPr>
            <w:tcW w:w="3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960" w:type="dxa"/>
            <w:vAlign w:val="bottom"/>
            <w:gridSpan w:val="2"/>
          </w:tcPr>
          <w:p>
            <w:pPr>
              <w:spacing w:after="0"/>
              <w:rPr>
                <w:sz w:val="24"/>
                <w:szCs w:val="24"/>
                <w:color w:val="auto"/>
              </w:rPr>
            </w:pPr>
          </w:p>
        </w:tc>
        <w:tc>
          <w:tcPr>
            <w:tcW w:w="1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 xml:space="preserve">    </w:t>
            </w:r>
          </w:p>
        </w:tc>
        <w:tc>
          <w:tcPr>
            <w:tcW w:w="3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Cat. No. 10231X</w:t>
            </w:r>
          </w:p>
        </w:tc>
        <w:tc>
          <w:tcPr>
            <w:tcW w:w="1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w w:val="96"/>
              </w:rPr>
              <w:t xml:space="preserve">Form </w:t>
            </w:r>
            <w:r>
              <w:rPr>
                <w:rFonts w:ascii="Times New Roman" w:cs="Times New Roman" w:eastAsia="Times New Roman" w:hAnsi="Times New Roman"/>
                <w:sz w:val="17"/>
                <w:szCs w:val="17"/>
                <w:b w:val="1"/>
                <w:bCs w:val="1"/>
                <w:color w:val="auto"/>
                <w:w w:val="96"/>
              </w:rPr>
              <w:t>W-9</w:t>
            </w:r>
            <w:r>
              <w:rPr>
                <w:rFonts w:ascii="Times New Roman" w:cs="Times New Roman" w:eastAsia="Times New Roman" w:hAnsi="Times New Roman"/>
                <w:sz w:val="13"/>
                <w:szCs w:val="13"/>
                <w:color w:val="auto"/>
                <w:w w:val="96"/>
              </w:rPr>
              <w:t xml:space="preserve"> (Rev. 3-2024)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4"/>
          </w:cols>
          <w:pgMar w:left="436" w:top="298" w:right="439" w:bottom="1440" w:gutter="0" w:footer="0" w:header="0"/>
        </w:sectPr>
      </w:pPr>
    </w:p>
    <w:bookmarkStart w:id="307" w:name="page308"/>
    <w:bookmarkEnd w:id="307"/>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3"/>
          <w:szCs w:val="13"/>
          <w:color w:val="auto"/>
        </w:rPr>
        <w:t>amount reportable on an information return. Examples of information returns include, but are not limited to, the following.</w:t>
      </w: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1099-INT (interest earned or paid).</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1099-DIV (dividends, including those from stocks or mutual funds).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1099-MISC (various types of income, prizes, awards, or gross proceeds).</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1099-NEC (nonemployee compensation).</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1099-B (stock or mutual fund sales and certain other transactions by brokers).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1099-S (proceeds from real estate transactions).</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1099-K (merchant card and third-party network transactions).</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1098 (home mortgage interest), 1098-E (student loan interest), and 1098-T (tuition).</w:t>
      </w:r>
    </w:p>
    <w:p>
      <w:pPr>
        <w:spacing w:after="0" w:line="39"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1099-C (canceled debt).</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1099-A (acquisition or abandonment of secured property).</w:t>
      </w:r>
    </w:p>
    <w:p>
      <w:pPr>
        <w:spacing w:after="0" w:line="40" w:lineRule="exact"/>
        <w:rPr>
          <w:sz w:val="20"/>
          <w:szCs w:val="20"/>
          <w:color w:val="auto"/>
        </w:rPr>
      </w:pPr>
    </w:p>
    <w:p>
      <w:pPr>
        <w:ind w:left="4" w:firstLine="106"/>
        <w:spacing w:after="0" w:line="267" w:lineRule="auto"/>
        <w:rPr>
          <w:sz w:val="20"/>
          <w:szCs w:val="20"/>
          <w:color w:val="auto"/>
        </w:rPr>
      </w:pPr>
      <w:r>
        <w:rPr>
          <w:rFonts w:ascii="Times New Roman" w:cs="Times New Roman" w:eastAsia="Times New Roman" w:hAnsi="Times New Roman"/>
          <w:sz w:val="13"/>
          <w:szCs w:val="13"/>
          <w:color w:val="auto"/>
        </w:rPr>
        <w:t>Use Form W-9 only if you are a U.S. person (including a resident alien), to provide your correct TIN.</w:t>
      </w:r>
    </w:p>
    <w:p>
      <w:pPr>
        <w:spacing w:after="0" w:line="1" w:lineRule="exact"/>
        <w:rPr>
          <w:sz w:val="20"/>
          <w:szCs w:val="20"/>
          <w:color w:val="auto"/>
        </w:rPr>
      </w:pPr>
    </w:p>
    <w:p>
      <w:pPr>
        <w:ind w:left="4" w:right="320"/>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Caution: </w:t>
      </w:r>
      <w:r>
        <w:rPr>
          <w:rFonts w:ascii="Times New Roman" w:cs="Times New Roman" w:eastAsia="Times New Roman" w:hAnsi="Times New Roman"/>
          <w:sz w:val="13"/>
          <w:szCs w:val="13"/>
          <w:color w:val="auto"/>
        </w:rPr>
        <w:t>If you don’t return Form W-9 to the requester with a TIN, you might be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backup withholding. See </w:t>
      </w:r>
      <w:r>
        <w:rPr>
          <w:rFonts w:ascii="Times New Roman" w:cs="Times New Roman" w:eastAsia="Times New Roman" w:hAnsi="Times New Roman"/>
          <w:sz w:val="13"/>
          <w:szCs w:val="13"/>
          <w:i w:val="1"/>
          <w:iCs w:val="1"/>
          <w:color w:val="auto"/>
        </w:rPr>
        <w:t>What is backup withholding</w:t>
      </w:r>
      <w:r>
        <w:rPr>
          <w:rFonts w:ascii="Times New Roman" w:cs="Times New Roman" w:eastAsia="Times New Roman" w:hAnsi="Times New Roman"/>
          <w:sz w:val="13"/>
          <w:szCs w:val="13"/>
          <w:color w:val="auto"/>
        </w:rPr>
        <w:t>, later.</w:t>
      </w:r>
    </w:p>
    <w:p>
      <w:pPr>
        <w:ind w:left="104"/>
        <w:spacing w:after="0"/>
        <w:rPr>
          <w:sz w:val="20"/>
          <w:szCs w:val="20"/>
          <w:color w:val="auto"/>
        </w:rPr>
      </w:pPr>
      <w:r>
        <w:rPr>
          <w:rFonts w:ascii="Times New Roman" w:cs="Times New Roman" w:eastAsia="Times New Roman" w:hAnsi="Times New Roman"/>
          <w:sz w:val="13"/>
          <w:szCs w:val="13"/>
          <w:b w:val="1"/>
          <w:bCs w:val="1"/>
          <w:color w:val="auto"/>
        </w:rPr>
        <w:t>By signing the filled-out form</w:t>
      </w:r>
      <w:r>
        <w:rPr>
          <w:rFonts w:ascii="Times New Roman" w:cs="Times New Roman" w:eastAsia="Times New Roman" w:hAnsi="Times New Roman"/>
          <w:sz w:val="13"/>
          <w:szCs w:val="13"/>
          <w:color w:val="auto"/>
        </w:rPr>
        <w:t>, you:</w:t>
      </w:r>
    </w:p>
    <w:p>
      <w:pPr>
        <w:spacing w:after="0" w:line="41" w:lineRule="exact"/>
        <w:rPr>
          <w:sz w:val="20"/>
          <w:szCs w:val="20"/>
          <w:color w:val="auto"/>
        </w:rPr>
      </w:pPr>
    </w:p>
    <w:p>
      <w:pPr>
        <w:ind w:left="244" w:hanging="138"/>
        <w:spacing w:after="0"/>
        <w:tabs>
          <w:tab w:leader="none" w:pos="244"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the TIN you are giving is correct (or you are waiting for a number to be issued);</w:t>
      </w:r>
    </w:p>
    <w:p>
      <w:pPr>
        <w:spacing w:after="0" w:line="39"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that you are not subject to backup withholding; or</w:t>
      </w:r>
    </w:p>
    <w:p>
      <w:pPr>
        <w:spacing w:after="0" w:line="26" w:lineRule="exact"/>
        <w:rPr>
          <w:rFonts w:ascii="Times New Roman" w:cs="Times New Roman" w:eastAsia="Times New Roman" w:hAnsi="Times New Roman"/>
          <w:sz w:val="13"/>
          <w:szCs w:val="13"/>
          <w:color w:val="auto"/>
        </w:rPr>
      </w:pPr>
    </w:p>
    <w:p>
      <w:pPr>
        <w:ind w:left="244" w:hanging="138"/>
        <w:spacing w:after="0"/>
        <w:tabs>
          <w:tab w:leader="none" w:pos="244"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 exemption from backup withholding if you are a U.S. exempt payee; and</w:t>
      </w:r>
    </w:p>
    <w:p>
      <w:pPr>
        <w:spacing w:after="0" w:line="39" w:lineRule="exact"/>
        <w:rPr>
          <w:rFonts w:ascii="Times New Roman" w:cs="Times New Roman" w:eastAsia="Times New Roman" w:hAnsi="Times New Roman"/>
          <w:sz w:val="13"/>
          <w:szCs w:val="13"/>
          <w:color w:val="auto"/>
        </w:rPr>
      </w:pPr>
    </w:p>
    <w:p>
      <w:pPr>
        <w:ind w:left="4" w:right="220" w:firstLine="102"/>
        <w:spacing w:after="0" w:line="260" w:lineRule="auto"/>
        <w:tabs>
          <w:tab w:leader="none" w:pos="245"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Certify to your non-foreign status for purposes of withholding under chapter 3 or 4 of the Code (if applicable); and</w:t>
      </w:r>
    </w:p>
    <w:p>
      <w:pPr>
        <w:ind w:left="4" w:right="20" w:firstLine="102"/>
        <w:spacing w:after="0" w:line="267" w:lineRule="auto"/>
        <w:tabs>
          <w:tab w:leader="none" w:pos="245"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Certify that FATCA code(s) entered on this form (if any) indicating that you are exempt from the FATCA reporting is correct. See </w:t>
      </w:r>
      <w:r>
        <w:rPr>
          <w:rFonts w:ascii="Times New Roman" w:cs="Times New Roman" w:eastAsia="Times New Roman" w:hAnsi="Times New Roman"/>
          <w:sz w:val="13"/>
          <w:szCs w:val="13"/>
          <w:i w:val="1"/>
          <w:iCs w:val="1"/>
          <w:color w:val="auto"/>
        </w:rPr>
        <w:t>What Is FATCA Reporting</w:t>
      </w:r>
      <w:r>
        <w:rPr>
          <w:rFonts w:ascii="Times New Roman" w:cs="Times New Roman" w:eastAsia="Times New Roman" w:hAnsi="Times New Roman"/>
          <w:sz w:val="13"/>
          <w:szCs w:val="13"/>
          <w:color w:val="auto"/>
        </w:rPr>
        <w:t>, later, for further information.</w:t>
      </w:r>
    </w:p>
    <w:p>
      <w:pPr>
        <w:spacing w:after="0" w:line="1"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If you are a U.S. person and a requester gives you a form other than Form W-9 to request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your TIN, you must use the requester’s form if it is substantially similar to this Form W-9.</w:t>
      </w:r>
    </w:p>
    <w:p>
      <w:pPr>
        <w:spacing w:after="0" w:line="1" w:lineRule="exact"/>
        <w:rPr>
          <w:sz w:val="20"/>
          <w:szCs w:val="20"/>
          <w:color w:val="auto"/>
        </w:rPr>
      </w:pPr>
    </w:p>
    <w:p>
      <w:pPr>
        <w:ind w:left="4" w:right="180"/>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Definition of a U.S. person. </w:t>
      </w:r>
      <w:r>
        <w:rPr>
          <w:rFonts w:ascii="Times New Roman" w:cs="Times New Roman" w:eastAsia="Times New Roman" w:hAnsi="Times New Roman"/>
          <w:sz w:val="13"/>
          <w:szCs w:val="13"/>
          <w:color w:val="auto"/>
        </w:rPr>
        <w:t>For federal tax purposes, you are considered a U.S. person if you</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are:</w:t>
      </w:r>
    </w:p>
    <w:p>
      <w:pPr>
        <w:ind w:left="84" w:hanging="84"/>
        <w:spacing w:after="0"/>
        <w:tabs>
          <w:tab w:leader="none" w:pos="84" w:val="left"/>
        </w:tabs>
        <w:numPr>
          <w:ilvl w:val="0"/>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U.S. citizen or U.S. resident alien;</w:t>
      </w:r>
    </w:p>
    <w:p>
      <w:pPr>
        <w:spacing w:after="0" w:line="39" w:lineRule="exact"/>
        <w:rPr>
          <w:rFonts w:ascii="Times New Roman" w:cs="Times New Roman" w:eastAsia="Times New Roman" w:hAnsi="Times New Roman"/>
          <w:sz w:val="13"/>
          <w:szCs w:val="13"/>
          <w:color w:val="auto"/>
        </w:rPr>
      </w:pPr>
    </w:p>
    <w:p>
      <w:pPr>
        <w:ind w:left="4" w:right="40" w:hanging="4"/>
        <w:spacing w:after="0" w:line="270" w:lineRule="auto"/>
        <w:tabs>
          <w:tab w:leader="none" w:pos="85" w:val="left"/>
        </w:tabs>
        <w:numPr>
          <w:ilvl w:val="0"/>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partnership, corporation, company, or association created or organized in the United States or under the laws of the United States;</w:t>
      </w:r>
    </w:p>
    <w:p>
      <w:pPr>
        <w:spacing w:after="0" w:line="1"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(other than a foreign estate); or</w:t>
      </w:r>
    </w:p>
    <w:p>
      <w:pPr>
        <w:spacing w:after="0" w:line="26" w:lineRule="exact"/>
        <w:rPr>
          <w:rFonts w:ascii="Times New Roman" w:cs="Times New Roman" w:eastAsia="Times New Roman" w:hAnsi="Times New Roman"/>
          <w:sz w:val="13"/>
          <w:szCs w:val="13"/>
          <w:color w:val="auto"/>
        </w:rPr>
      </w:pPr>
    </w:p>
    <w:p>
      <w:pPr>
        <w:ind w:left="84" w:hanging="84"/>
        <w:spacing w:after="0"/>
        <w:tabs>
          <w:tab w:leader="none" w:pos="84" w:val="left"/>
        </w:tabs>
        <w:numPr>
          <w:ilvl w:val="0"/>
          <w:numId w:val="3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trust (as defined in Regulations section 301.7701-7).</w:t>
      </w:r>
    </w:p>
    <w:p>
      <w:pPr>
        <w:spacing w:after="0" w:line="36" w:lineRule="exact"/>
        <w:rPr>
          <w:sz w:val="20"/>
          <w:szCs w:val="20"/>
          <w:color w:val="auto"/>
        </w:rPr>
      </w:pPr>
    </w:p>
    <w:p>
      <w:pPr>
        <w:ind w:left="4" w:right="60"/>
        <w:spacing w:after="0" w:line="245" w:lineRule="auto"/>
        <w:rPr>
          <w:sz w:val="20"/>
          <w:szCs w:val="20"/>
          <w:color w:val="auto"/>
        </w:rPr>
      </w:pPr>
      <w:r>
        <w:rPr>
          <w:rFonts w:ascii="Times New Roman" w:cs="Times New Roman" w:eastAsia="Times New Roman" w:hAnsi="Times New Roman"/>
          <w:sz w:val="13"/>
          <w:szCs w:val="13"/>
          <w:b w:val="1"/>
          <w:bCs w:val="1"/>
          <w:color w:val="auto"/>
        </w:rPr>
        <w:t xml:space="preserve">Establishing U.S. status for purposes of chapter 3 and chapter 4 withholding. </w:t>
      </w:r>
      <w:r>
        <w:rPr>
          <w:rFonts w:ascii="Times New Roman" w:cs="Times New Roman" w:eastAsia="Times New Roman" w:hAnsi="Times New Roman"/>
          <w:sz w:val="13"/>
          <w:szCs w:val="13"/>
          <w:color w:val="auto"/>
        </w:rPr>
        <w:t>Payments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w:t>
      </w:r>
    </w:p>
    <w:p>
      <w:pPr>
        <w:spacing w:after="0" w:line="164" w:lineRule="exact"/>
        <w:rPr>
          <w:sz w:val="20"/>
          <w:szCs w:val="20"/>
          <w:color w:val="auto"/>
        </w:rPr>
      </w:pPr>
    </w:p>
    <w:p>
      <w:pPr>
        <w:ind w:left="4" w:right="260" w:firstLine="106"/>
        <w:spacing w:after="0" w:line="260" w:lineRule="auto"/>
        <w:rPr>
          <w:sz w:val="20"/>
          <w:szCs w:val="20"/>
          <w:color w:val="auto"/>
        </w:rPr>
      </w:pPr>
      <w:r>
        <w:rPr>
          <w:rFonts w:ascii="Times New Roman" w:cs="Times New Roman" w:eastAsia="Times New Roman" w:hAnsi="Times New Roman"/>
          <w:sz w:val="13"/>
          <w:szCs w:val="13"/>
          <w:color w:val="auto"/>
        </w:rPr>
        <w:t>The following persons must provide Form W-9 to the payor for purposes of establishing its non-foreign status.</w:t>
      </w:r>
    </w:p>
    <w:p>
      <w:pPr>
        <w:ind w:left="4" w:right="140" w:hanging="4"/>
        <w:spacing w:after="0" w:line="270" w:lineRule="auto"/>
        <w:tabs>
          <w:tab w:leader="none" w:pos="85" w:val="left"/>
        </w:tabs>
        <w:numPr>
          <w:ilvl w:val="0"/>
          <w:numId w:val="3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disregarded entity with a U.S. owner, the U.S. owner of the disregarded entity and not the disregarded entity.</w:t>
      </w:r>
    </w:p>
    <w:p>
      <w:pPr>
        <w:spacing w:after="0" w:line="1" w:lineRule="exact"/>
        <w:rPr>
          <w:rFonts w:ascii="Times New Roman" w:cs="Times New Roman" w:eastAsia="Times New Roman" w:hAnsi="Times New Roman"/>
          <w:sz w:val="13"/>
          <w:szCs w:val="13"/>
          <w:color w:val="auto"/>
        </w:rPr>
      </w:pPr>
    </w:p>
    <w:p>
      <w:pPr>
        <w:ind w:left="4" w:right="40" w:hanging="4"/>
        <w:spacing w:after="0" w:line="270" w:lineRule="auto"/>
        <w:tabs>
          <w:tab w:leader="none" w:pos="85" w:val="left"/>
        </w:tabs>
        <w:numPr>
          <w:ilvl w:val="0"/>
          <w:numId w:val="3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grantor trust with a U.S. grantor or other U.S. owner, generally, the U.S. grantor or other U.S. owner of the grantor trust and not the grantor trust.</w:t>
      </w:r>
    </w:p>
    <w:p>
      <w:pPr>
        <w:spacing w:after="0" w:line="1" w:lineRule="exact"/>
        <w:rPr>
          <w:rFonts w:ascii="Times New Roman" w:cs="Times New Roman" w:eastAsia="Times New Roman" w:hAnsi="Times New Roman"/>
          <w:sz w:val="13"/>
          <w:szCs w:val="13"/>
          <w:color w:val="auto"/>
        </w:rPr>
      </w:pPr>
    </w:p>
    <w:p>
      <w:pPr>
        <w:ind w:left="4" w:right="100" w:hanging="4"/>
        <w:spacing w:after="0" w:line="260" w:lineRule="auto"/>
        <w:tabs>
          <w:tab w:leader="none" w:pos="85" w:val="left"/>
        </w:tabs>
        <w:numPr>
          <w:ilvl w:val="0"/>
          <w:numId w:val="3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U.S. trust (other than a grantor trust), the U.S. trust and not the beneficiaries of the trust.</w:t>
      </w:r>
    </w:p>
    <w:p>
      <w:pPr>
        <w:ind w:left="4" w:right="240"/>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Pub. 515 for more information on providing a Form W-9 or a certification of non-foreign status to avoid withholding.</w:t>
      </w:r>
    </w:p>
    <w:p>
      <w:pPr>
        <w:spacing w:after="0" w:line="1" w:lineRule="exact"/>
        <w:rPr>
          <w:sz w:val="20"/>
          <w:szCs w:val="20"/>
          <w:color w:val="auto"/>
        </w:rPr>
      </w:pPr>
    </w:p>
    <w:p>
      <w:pPr>
        <w:ind w:left="4" w:right="20"/>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Foreign person. </w:t>
      </w:r>
      <w:r>
        <w:rPr>
          <w:rFonts w:ascii="Times New Roman" w:cs="Times New Roman" w:eastAsia="Times New Roman" w:hAnsi="Times New Roman"/>
          <w:sz w:val="13"/>
          <w:szCs w:val="13"/>
          <w:color w:val="auto"/>
        </w:rPr>
        <w:t>If you are a foreign person or the U.S. branch of a foreign bank that has elected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w:t>
      </w:r>
    </w:p>
    <w:p>
      <w:pPr>
        <w:spacing w:after="0" w:line="7" w:lineRule="exact"/>
        <w:rPr>
          <w:sz w:val="20"/>
          <w:szCs w:val="20"/>
          <w:color w:val="auto"/>
        </w:rPr>
      </w:pPr>
    </w:p>
    <w:p>
      <w:pPr>
        <w:ind w:left="4" w:right="4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Nonresident alien who becomes a resident alien. </w:t>
      </w:r>
      <w:r>
        <w:rPr>
          <w:rFonts w:ascii="Times New Roman" w:cs="Times New Roman" w:eastAsia="Times New Roman" w:hAnsi="Times New Roman"/>
          <w:sz w:val="13"/>
          <w:szCs w:val="13"/>
          <w:color w:val="auto"/>
        </w:rPr>
        <w:t>Generally, only a nonresident alien individual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1" w:lineRule="exact"/>
        <w:rPr>
          <w:sz w:val="20"/>
          <w:szCs w:val="20"/>
          <w:color w:val="auto"/>
        </w:rPr>
      </w:pPr>
    </w:p>
    <w:p>
      <w:pPr>
        <w:ind w:left="4" w:right="40" w:firstLine="106"/>
        <w:spacing w:after="0" w:line="278" w:lineRule="auto"/>
        <w:rPr>
          <w:sz w:val="20"/>
          <w:szCs w:val="20"/>
          <w:color w:val="auto"/>
        </w:rPr>
      </w:pPr>
      <w:r>
        <w:rPr>
          <w:rFonts w:ascii="Times New Roman" w:cs="Times New Roman" w:eastAsia="Times New Roman" w:hAnsi="Times New Roman"/>
          <w:sz w:val="13"/>
          <w:szCs w:val="13"/>
          <w:color w:val="auto"/>
        </w:rPr>
        <w:t>If you are a U.S. resident alien who is relying on an exception contained in the saving clause of a tax treaty to claim an exemption from U.S. tax on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types of income, you must attach a statement to Form W-9 that specifies the following five items.</w:t>
      </w:r>
    </w:p>
    <w:p>
      <w:pPr>
        <w:spacing w:after="0" w:line="26" w:lineRule="exact"/>
        <w:rPr>
          <w:sz w:val="20"/>
          <w:szCs w:val="20"/>
          <w:color w:val="auto"/>
        </w:rPr>
      </w:pPr>
    </w:p>
    <w:p>
      <w:pPr>
        <w:ind w:right="620" w:firstLine="102"/>
        <w:spacing w:after="0" w:line="270" w:lineRule="auto"/>
        <w:tabs>
          <w:tab w:leader="none" w:pos="243"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country. Generally, this must be the same treaty under which you claimed exemption from tax as a nonresident alien.</w:t>
      </w:r>
    </w:p>
    <w:p>
      <w:pPr>
        <w:spacing w:after="0" w:line="1"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treaty article addressing the income.</w:t>
      </w:r>
    </w:p>
    <w:p>
      <w:pPr>
        <w:spacing w:after="0" w:line="39" w:lineRule="exact"/>
        <w:rPr>
          <w:rFonts w:ascii="Times New Roman" w:cs="Times New Roman" w:eastAsia="Times New Roman" w:hAnsi="Times New Roman"/>
          <w:sz w:val="13"/>
          <w:szCs w:val="13"/>
          <w:color w:val="auto"/>
        </w:rPr>
      </w:pPr>
    </w:p>
    <w:p>
      <w:pPr>
        <w:ind w:right="480" w:firstLine="102"/>
        <w:spacing w:after="0" w:line="260" w:lineRule="auto"/>
        <w:tabs>
          <w:tab w:leader="none" w:pos="243"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article number (or location) in the tax treaty that contains the saving clause and its exceptions.</w:t>
      </w:r>
    </w:p>
    <w:p>
      <w:pPr>
        <w:ind w:left="240" w:hanging="138"/>
        <w:spacing w:after="0"/>
        <w:tabs>
          <w:tab w:leader="none" w:pos="240"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type and amount of income that qualifies for the exemption from tax.</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Sufficient facts to justify the exemption from tax under the terms of the treaty article.</w:t>
      </w:r>
    </w:p>
    <w:p>
      <w:pPr>
        <w:spacing w:after="0" w:line="36" w:lineRule="exact"/>
        <w:rPr>
          <w:sz w:val="20"/>
          <w:szCs w:val="20"/>
          <w:color w:val="auto"/>
        </w:rPr>
      </w:pPr>
    </w:p>
    <w:p>
      <w:pPr>
        <w:ind w:right="20" w:firstLine="108"/>
        <w:spacing w:after="0" w:line="24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Example. </w:t>
      </w:r>
      <w:r>
        <w:rPr>
          <w:rFonts w:ascii="Times New Roman" w:cs="Times New Roman" w:eastAsia="Times New Roman" w:hAnsi="Times New Roman"/>
          <w:sz w:val="13"/>
          <w:szCs w:val="13"/>
          <w:color w:val="auto"/>
        </w:rPr>
        <w:t>Article 20 of the U.S.-China income tax treaty allows an exemption from tax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w:t>
      </w:r>
    </w:p>
    <w:p>
      <w:pPr>
        <w:spacing w:after="0" w:line="5" w:lineRule="exact"/>
        <w:rPr>
          <w:sz w:val="20"/>
          <w:szCs w:val="20"/>
          <w:color w:val="auto"/>
        </w:rPr>
      </w:pPr>
    </w:p>
    <w:p>
      <w:pPr>
        <w:ind w:right="260" w:firstLine="108"/>
        <w:spacing w:after="0" w:line="278" w:lineRule="auto"/>
        <w:rPr>
          <w:sz w:val="20"/>
          <w:szCs w:val="20"/>
          <w:color w:val="auto"/>
        </w:rPr>
      </w:pPr>
      <w:r>
        <w:rPr>
          <w:rFonts w:ascii="Times New Roman" w:cs="Times New Roman" w:eastAsia="Times New Roman" w:hAnsi="Times New Roman"/>
          <w:sz w:val="13"/>
          <w:szCs w:val="13"/>
          <w:color w:val="auto"/>
        </w:rPr>
        <w:t>If you are a nonresident alien or a foreign entity, give the requester the appropriate completed Form W-8 or Form 8233.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4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What is backup withholding? </w:t>
      </w:r>
      <w:r>
        <w:rPr>
          <w:rFonts w:ascii="Times New Roman" w:cs="Times New Roman" w:eastAsia="Times New Roman" w:hAnsi="Times New Roman"/>
          <w:sz w:val="13"/>
          <w:szCs w:val="13"/>
          <w:color w:val="auto"/>
        </w:rPr>
        <w:t>Persons making certain payments to you must under 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w:t>
      </w:r>
    </w:p>
    <w:p>
      <w:pPr>
        <w:spacing w:after="0" w:line="165" w:lineRule="exact"/>
        <w:rPr>
          <w:sz w:val="20"/>
          <w:szCs w:val="20"/>
          <w:color w:val="auto"/>
        </w:rPr>
      </w:pPr>
    </w:p>
    <w:p>
      <w:pPr>
        <w:jc w:val="both"/>
        <w:ind w:right="80" w:firstLine="108"/>
        <w:spacing w:after="0" w:line="257" w:lineRule="auto"/>
        <w:rPr>
          <w:sz w:val="20"/>
          <w:szCs w:val="20"/>
          <w:color w:val="auto"/>
        </w:rPr>
      </w:pPr>
      <w:r>
        <w:rPr>
          <w:rFonts w:ascii="Times New Roman" w:cs="Times New Roman" w:eastAsia="Times New Roman" w:hAnsi="Times New Roman"/>
          <w:sz w:val="13"/>
          <w:szCs w:val="13"/>
          <w:color w:val="auto"/>
        </w:rPr>
        <w:t>You will not be subject to backup withholding on payments you receive if you give the requester your correct TIN, make the proper certifications, and report all your taxable interest and dividends on your tax return.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Payments you receive will be subject to backup withholding if:</w:t>
      </w:r>
    </w:p>
    <w:p>
      <w:pPr>
        <w:spacing w:after="0" w:line="30" w:lineRule="exact"/>
        <w:rPr>
          <w:sz w:val="20"/>
          <w:szCs w:val="20"/>
          <w:color w:val="auto"/>
        </w:rPr>
      </w:pPr>
    </w:p>
    <w:p>
      <w:pPr>
        <w:ind w:left="240" w:hanging="138"/>
        <w:spacing w:after="0"/>
        <w:tabs>
          <w:tab w:leader="none" w:pos="240"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furnish your TIN to the requester;</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your TIN when required (see the instructions for Part II for details);</w:t>
      </w:r>
    </w:p>
    <w:p>
      <w:pPr>
        <w:spacing w:after="0" w:line="39" w:lineRule="exact"/>
        <w:rPr>
          <w:rFonts w:ascii="Times New Roman" w:cs="Times New Roman" w:eastAsia="Times New Roman" w:hAnsi="Times New Roman"/>
          <w:sz w:val="13"/>
          <w:szCs w:val="13"/>
          <w:color w:val="auto"/>
        </w:rPr>
      </w:pPr>
    </w:p>
    <w:p>
      <w:pPr>
        <w:ind w:left="240" w:hanging="138"/>
        <w:spacing w:after="0"/>
        <w:tabs>
          <w:tab w:leader="none" w:pos="240"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the requester that you furnished an incorrect TIN;</w:t>
      </w:r>
    </w:p>
    <w:p>
      <w:pPr>
        <w:spacing w:after="0" w:line="26" w:lineRule="exact"/>
        <w:rPr>
          <w:rFonts w:ascii="Times New Roman" w:cs="Times New Roman" w:eastAsia="Times New Roman" w:hAnsi="Times New Roman"/>
          <w:sz w:val="13"/>
          <w:szCs w:val="13"/>
          <w:color w:val="auto"/>
        </w:rPr>
      </w:pPr>
    </w:p>
    <w:p>
      <w:pPr>
        <w:ind w:right="240" w:firstLine="102"/>
        <w:spacing w:after="0" w:line="270" w:lineRule="auto"/>
        <w:tabs>
          <w:tab w:leader="none" w:pos="243"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IRS tells you that you are subject to backup withholding because you did not report all your interest and dividends on your tax return (for reportable interest and dividends only); or</w:t>
      </w:r>
    </w:p>
    <w:p>
      <w:pPr>
        <w:spacing w:after="0" w:line="1" w:lineRule="exact"/>
        <w:rPr>
          <w:rFonts w:ascii="Times New Roman" w:cs="Times New Roman" w:eastAsia="Times New Roman" w:hAnsi="Times New Roman"/>
          <w:sz w:val="13"/>
          <w:szCs w:val="13"/>
          <w:color w:val="auto"/>
        </w:rPr>
      </w:pPr>
    </w:p>
    <w:p>
      <w:pPr>
        <w:ind w:right="40" w:firstLine="102"/>
        <w:spacing w:after="0" w:line="252" w:lineRule="auto"/>
        <w:tabs>
          <w:tab w:leader="none" w:pos="243" w:val="left"/>
        </w:tabs>
        <w:numPr>
          <w:ilvl w:val="0"/>
          <w:numId w:val="3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certify to the requester that you are not subject to backup withholding, as described in item 4 under “</w:t>
      </w:r>
      <w:r>
        <w:rPr>
          <w:rFonts w:ascii="Times New Roman" w:cs="Times New Roman" w:eastAsia="Times New Roman" w:hAnsi="Times New Roman"/>
          <w:sz w:val="13"/>
          <w:szCs w:val="13"/>
          <w:i w:val="1"/>
          <w:iCs w:val="1"/>
          <w:color w:val="auto"/>
        </w:rPr>
        <w:t>By signing the filled-out form</w:t>
      </w:r>
      <w:r>
        <w:rPr>
          <w:rFonts w:ascii="Times New Roman" w:cs="Times New Roman" w:eastAsia="Times New Roman" w:hAnsi="Times New Roman"/>
          <w:sz w:val="13"/>
          <w:szCs w:val="13"/>
          <w:color w:val="auto"/>
        </w:rPr>
        <w:t>” above (for reportable interest and dividend accounts opened after 1983 only).</w:t>
      </w:r>
    </w:p>
    <w:p>
      <w:pPr>
        <w:ind w:right="320" w:firstLine="108"/>
        <w:spacing w:after="0" w:line="23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Certain payees and payments are exempt from backup withholding. See </w:t>
      </w:r>
      <w:r>
        <w:rPr>
          <w:rFonts w:ascii="Times New Roman" w:cs="Times New Roman" w:eastAsia="Times New Roman" w:hAnsi="Times New Roman"/>
          <w:sz w:val="14"/>
          <w:szCs w:val="14"/>
          <w:i w:val="1"/>
          <w:iCs w:val="1"/>
          <w:color w:val="auto"/>
        </w:rPr>
        <w:t>Exempt payee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later, and the separate Instructions for the Requester of Form W-9 for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w:t>
      </w:r>
    </w:p>
    <w:p>
      <w:pPr>
        <w:spacing w:after="0" w:line="2" w:lineRule="exact"/>
        <w:rPr>
          <w:sz w:val="20"/>
          <w:szCs w:val="20"/>
          <w:color w:val="auto"/>
        </w:rPr>
      </w:pPr>
    </w:p>
    <w:p>
      <w:pPr>
        <w:ind w:right="320" w:firstLine="108"/>
        <w:spacing w:after="0" w:line="263" w:lineRule="auto"/>
        <w:rPr>
          <w:sz w:val="20"/>
          <w:szCs w:val="20"/>
          <w:color w:val="auto"/>
        </w:rPr>
      </w:pPr>
      <w:r>
        <w:rPr>
          <w:rFonts w:ascii="Times New Roman" w:cs="Times New Roman" w:eastAsia="Times New Roman" w:hAnsi="Times New Roman"/>
          <w:sz w:val="14"/>
          <w:szCs w:val="14"/>
          <w:color w:val="auto"/>
        </w:rPr>
        <w:t xml:space="preserve">See also </w:t>
      </w:r>
      <w:r>
        <w:rPr>
          <w:rFonts w:ascii="Times New Roman" w:cs="Times New Roman" w:eastAsia="Times New Roman" w:hAnsi="Times New Roman"/>
          <w:sz w:val="14"/>
          <w:szCs w:val="14"/>
          <w:i w:val="1"/>
          <w:iCs w:val="1"/>
          <w:color w:val="auto"/>
        </w:rPr>
        <w:t>Establishing U.S. status for purposes of chapter 3 and chapter 4 withholding,</w:t>
      </w:r>
      <w:r>
        <w:rPr>
          <w:rFonts w:ascii="Times New Roman" w:cs="Times New Roman" w:eastAsia="Times New Roman" w:hAnsi="Times New Roman"/>
          <w:sz w:val="14"/>
          <w:szCs w:val="14"/>
          <w:color w:val="auto"/>
        </w:rPr>
        <w:t xml:space="preserve"> earlier.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What Is FATCA Reporting?</w:t>
      </w:r>
    </w:p>
    <w:p>
      <w:pPr>
        <w:spacing w:after="0" w:line="1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cs="Times New Roman" w:eastAsia="Times New Roman" w:hAnsi="Times New Roman"/>
          <w:sz w:val="14"/>
          <w:szCs w:val="14"/>
          <w:i w:val="1"/>
          <w:iCs w:val="1"/>
          <w:color w:val="auto"/>
        </w:rPr>
        <w:t>Exemption from FATCA reporting code</w:t>
      </w:r>
      <w:r>
        <w:rPr>
          <w:rFonts w:ascii="Times New Roman" w:cs="Times New Roman" w:eastAsia="Times New Roman" w:hAnsi="Times New Roman"/>
          <w:sz w:val="14"/>
          <w:szCs w:val="14"/>
          <w:color w:val="auto"/>
        </w:rPr>
        <w:t>, later, and the Instructions for the Requester of Form W-9 for more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Updating Your Information</w:t>
      </w:r>
    </w:p>
    <w:p>
      <w:pPr>
        <w:spacing w:after="0" w:line="107"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Penalties</w:t>
      </w:r>
    </w:p>
    <w:p>
      <w:pPr>
        <w:spacing w:after="0" w:line="10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Failure to furnish TIN. </w:t>
      </w:r>
      <w:r>
        <w:rPr>
          <w:rFonts w:ascii="Times New Roman" w:cs="Times New Roman" w:eastAsia="Times New Roman" w:hAnsi="Times New Roman"/>
          <w:sz w:val="14"/>
          <w:szCs w:val="14"/>
          <w:color w:val="auto"/>
        </w:rPr>
        <w:t>If you fail to furnish your correct TIN to a requester, you are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 penalty of $50 for each such failure unless your failure is due to reasonable cause and not to willful neglect.</w:t>
      </w:r>
    </w:p>
    <w:p>
      <w:pPr>
        <w:spacing w:after="0" w:line="460" w:lineRule="exact"/>
        <w:rPr>
          <w:sz w:val="20"/>
          <w:szCs w:val="20"/>
          <w:color w:val="auto"/>
        </w:rPr>
      </w:pPr>
    </w:p>
    <w:p>
      <w:pPr>
        <w:sectPr>
          <w:pgSz w:w="11900" w:h="16838" w:orient="portrait"/>
          <w:cols w:equalWidth="0" w:num="2">
            <w:col w:w="5284" w:space="340"/>
            <w:col w:w="5400"/>
          </w:cols>
          <w:pgMar w:left="436" w:top="25" w:right="439" w:bottom="1440" w:gutter="0" w:footer="0" w:header="0"/>
          <w:type w:val="continuous"/>
        </w:sectPr>
      </w:pPr>
    </w:p>
    <w:p>
      <w:pPr>
        <w:spacing w:after="0" w:line="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308" w:name="page309"/>
    <w:bookmarkEnd w:id="308"/>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4" w:right="20"/>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Civil penalty for false information with respect to withholding. </w:t>
      </w:r>
      <w:r>
        <w:rPr>
          <w:rFonts w:ascii="Times New Roman" w:cs="Times New Roman" w:eastAsia="Times New Roman" w:hAnsi="Times New Roman"/>
          <w:sz w:val="14"/>
          <w:szCs w:val="14"/>
          <w:color w:val="auto"/>
        </w:rPr>
        <w:t>If you make a false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with no reasonable basis that results in no backup withholding, you are subject to a $500 penalty.</w:t>
      </w:r>
    </w:p>
    <w:p>
      <w:pPr>
        <w:ind w:left="4" w:right="22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Criminal penalty for falsifying information. </w:t>
      </w:r>
      <w:r>
        <w:rPr>
          <w:rFonts w:ascii="Times New Roman" w:cs="Times New Roman" w:eastAsia="Times New Roman" w:hAnsi="Times New Roman"/>
          <w:sz w:val="14"/>
          <w:szCs w:val="14"/>
          <w:color w:val="auto"/>
        </w:rPr>
        <w:t>Willfully falsifying certifications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affirmations may subject you to criminal penalties including fines and/or imprisonment.</w:t>
      </w:r>
    </w:p>
    <w:p>
      <w:pPr>
        <w:spacing w:after="0" w:line="1" w:lineRule="exact"/>
        <w:rPr>
          <w:sz w:val="20"/>
          <w:szCs w:val="20"/>
          <w:color w:val="auto"/>
        </w:rPr>
      </w:pPr>
    </w:p>
    <w:p>
      <w:pPr>
        <w:ind w:left="4" w:right="32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Misuse of TINs. </w:t>
      </w:r>
      <w:r>
        <w:rPr>
          <w:rFonts w:ascii="Times New Roman" w:cs="Times New Roman" w:eastAsia="Times New Roman" w:hAnsi="Times New Roman"/>
          <w:sz w:val="14"/>
          <w:szCs w:val="14"/>
          <w:color w:val="auto"/>
        </w:rPr>
        <w:t>If the requester discloses or uses TINs in violation of federal law,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requester may be subject to civil and criminal penalties.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5"/>
          <w:szCs w:val="25"/>
          <w:b w:val="1"/>
          <w:bCs w:val="1"/>
          <w:color w:val="auto"/>
        </w:rPr>
        <w:t>Specific Instructions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1</w:t>
      </w:r>
    </w:p>
    <w:p>
      <w:pPr>
        <w:spacing w:after="0" w:line="110" w:lineRule="exact"/>
        <w:rPr>
          <w:sz w:val="20"/>
          <w:szCs w:val="20"/>
          <w:color w:val="auto"/>
        </w:rPr>
      </w:pPr>
    </w:p>
    <w:p>
      <w:pPr>
        <w:ind w:left="4" w:right="240"/>
        <w:spacing w:after="0" w:line="253" w:lineRule="auto"/>
        <w:rPr>
          <w:sz w:val="20"/>
          <w:szCs w:val="20"/>
          <w:color w:val="auto"/>
        </w:rPr>
      </w:pPr>
      <w:r>
        <w:rPr>
          <w:rFonts w:ascii="Times New Roman" w:cs="Times New Roman" w:eastAsia="Times New Roman" w:hAnsi="Times New Roman"/>
          <w:sz w:val="14"/>
          <w:szCs w:val="14"/>
          <w:color w:val="auto"/>
        </w:rPr>
        <w:t xml:space="preserve">You must enter one of the following on this line; </w:t>
      </w:r>
      <w:r>
        <w:rPr>
          <w:rFonts w:ascii="Times New Roman" w:cs="Times New Roman" w:eastAsia="Times New Roman" w:hAnsi="Times New Roman"/>
          <w:sz w:val="14"/>
          <w:szCs w:val="14"/>
          <w:b w:val="1"/>
          <w:bCs w:val="1"/>
          <w:color w:val="auto"/>
        </w:rPr>
        <w:t>do not</w:t>
      </w:r>
      <w:r>
        <w:rPr>
          <w:rFonts w:ascii="Times New Roman" w:cs="Times New Roman" w:eastAsia="Times New Roman" w:hAnsi="Times New Roman"/>
          <w:sz w:val="14"/>
          <w:szCs w:val="14"/>
          <w:color w:val="auto"/>
        </w:rPr>
        <w:t xml:space="preserve"> leave this line blank. The name should match the name on your tax return.</w:t>
      </w:r>
    </w:p>
    <w:p>
      <w:pPr>
        <w:ind w:left="4" w:right="40" w:firstLine="106"/>
        <w:spacing w:after="0" w:line="233" w:lineRule="auto"/>
        <w:rPr>
          <w:sz w:val="20"/>
          <w:szCs w:val="20"/>
          <w:color w:val="auto"/>
        </w:rPr>
      </w:pPr>
      <w:r>
        <w:rPr>
          <w:rFonts w:ascii="Times New Roman" w:cs="Times New Roman" w:eastAsia="Times New Roman" w:hAnsi="Times New Roman"/>
          <w:sz w:val="14"/>
          <w:szCs w:val="14"/>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1" w:lineRule="exact"/>
        <w:rPr>
          <w:sz w:val="20"/>
          <w:szCs w:val="20"/>
          <w:color w:val="auto"/>
        </w:rPr>
      </w:pPr>
    </w:p>
    <w:p>
      <w:pPr>
        <w:ind w:left="4" w:hanging="4"/>
        <w:spacing w:after="0" w:line="231" w:lineRule="auto"/>
        <w:tabs>
          <w:tab w:leader="none" w:pos="90" w:val="left"/>
        </w:tabs>
        <w:numPr>
          <w:ilvl w:val="0"/>
          <w:numId w:val="3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Individual. </w:t>
      </w:r>
      <w:r>
        <w:rPr>
          <w:rFonts w:ascii="Times New Roman" w:cs="Times New Roman" w:eastAsia="Times New Roman" w:hAnsi="Times New Roman"/>
          <w:sz w:val="14"/>
          <w:szCs w:val="14"/>
          <w:color w:val="auto"/>
        </w:rPr>
        <w:t>Generally, enter the name shown on your tax return. If you have changed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your last name without informing the Social Security Administration (SSA) of the name change, enter your first name, the last name as shown on your social security card, and your new last name.</w:t>
      </w:r>
    </w:p>
    <w:p>
      <w:pPr>
        <w:spacing w:after="0" w:line="1" w:lineRule="exact"/>
        <w:rPr>
          <w:sz w:val="20"/>
          <w:szCs w:val="20"/>
          <w:color w:val="auto"/>
        </w:rPr>
      </w:pPr>
    </w:p>
    <w:p>
      <w:pPr>
        <w:ind w:left="4" w:right="6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Note for ITIN applicant: </w:t>
      </w:r>
      <w:r>
        <w:rPr>
          <w:rFonts w:ascii="Times New Roman" w:cs="Times New Roman" w:eastAsia="Times New Roman" w:hAnsi="Times New Roman"/>
          <w:sz w:val="14"/>
          <w:szCs w:val="14"/>
          <w:color w:val="auto"/>
        </w:rPr>
        <w:t>Enter your individual name as it was entered on your Form W-7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 line 1a. This should also be the same as the name you entered on the Form 1040 you filed with your application.</w:t>
      </w:r>
    </w:p>
    <w:p>
      <w:pPr>
        <w:spacing w:after="0" w:line="1" w:lineRule="exact"/>
        <w:rPr>
          <w:sz w:val="20"/>
          <w:szCs w:val="20"/>
          <w:color w:val="auto"/>
        </w:rPr>
      </w:pPr>
    </w:p>
    <w:p>
      <w:pPr>
        <w:ind w:left="4" w:right="340" w:hanging="4"/>
        <w:spacing w:after="0" w:line="251" w:lineRule="auto"/>
        <w:tabs>
          <w:tab w:leader="none" w:pos="90" w:val="left"/>
        </w:tabs>
        <w:numPr>
          <w:ilvl w:val="0"/>
          <w:numId w:val="3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Sole proprietor. </w:t>
      </w:r>
      <w:r>
        <w:rPr>
          <w:rFonts w:ascii="Times New Roman" w:cs="Times New Roman" w:eastAsia="Times New Roman" w:hAnsi="Times New Roman"/>
          <w:sz w:val="14"/>
          <w:szCs w:val="14"/>
          <w:color w:val="auto"/>
        </w:rPr>
        <w:t>Enter your individual name as shown on your Form 1040 on line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 your business, trade, or “doing business as” (DBA) name on line 2.</w:t>
      </w:r>
    </w:p>
    <w:p>
      <w:pPr>
        <w:ind w:left="4" w:hanging="4"/>
        <w:spacing w:after="0" w:line="234" w:lineRule="auto"/>
        <w:tabs>
          <w:tab w:leader="none" w:pos="90" w:val="left"/>
        </w:tabs>
        <w:numPr>
          <w:ilvl w:val="0"/>
          <w:numId w:val="3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Partnership, C corporation, S corporation, or LLC, other than a disregarded entity. </w:t>
      </w:r>
      <w:r>
        <w:rPr>
          <w:rFonts w:ascii="Times New Roman" w:cs="Times New Roman" w:eastAsia="Times New Roman" w:hAnsi="Times New Roman"/>
          <w:sz w:val="14"/>
          <w:szCs w:val="14"/>
          <w:color w:val="auto"/>
        </w:rPr>
        <w:t>Enter the entity’s name as shown on the entity’s tax return on line 1 and any business, trade, or DBA name on line 2.</w:t>
      </w:r>
    </w:p>
    <w:p>
      <w:pPr>
        <w:spacing w:after="0" w:line="1" w:lineRule="exact"/>
        <w:rPr>
          <w:rFonts w:ascii="Times New Roman" w:cs="Times New Roman" w:eastAsia="Times New Roman" w:hAnsi="Times New Roman"/>
          <w:sz w:val="14"/>
          <w:szCs w:val="14"/>
          <w:b w:val="1"/>
          <w:bCs w:val="1"/>
          <w:color w:val="auto"/>
        </w:rPr>
      </w:pPr>
    </w:p>
    <w:p>
      <w:pPr>
        <w:jc w:val="both"/>
        <w:ind w:left="4" w:right="20" w:hanging="4"/>
        <w:spacing w:after="0" w:line="241" w:lineRule="auto"/>
        <w:tabs>
          <w:tab w:leader="none" w:pos="90" w:val="left"/>
        </w:tabs>
        <w:numPr>
          <w:ilvl w:val="0"/>
          <w:numId w:val="3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entities. </w:t>
      </w:r>
      <w:r>
        <w:rPr>
          <w:rFonts w:ascii="Times New Roman" w:cs="Times New Roman" w:eastAsia="Times New Roman" w:hAnsi="Times New Roman"/>
          <w:sz w:val="14"/>
          <w:szCs w:val="14"/>
          <w:color w:val="auto"/>
        </w:rPr>
        <w:t>Enter your name as shown on required U.S. federal tax documents on 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 This name should match the name shown on the charter or other legal document creating the entity. Enter any business, trade, or DBA name on line 2.</w:t>
      </w:r>
    </w:p>
    <w:p>
      <w:pPr>
        <w:spacing w:after="0" w:line="1" w:lineRule="exact"/>
        <w:rPr>
          <w:rFonts w:ascii="Times New Roman" w:cs="Times New Roman" w:eastAsia="Times New Roman" w:hAnsi="Times New Roman"/>
          <w:sz w:val="14"/>
          <w:szCs w:val="14"/>
          <w:b w:val="1"/>
          <w:bCs w:val="1"/>
          <w:color w:val="auto"/>
        </w:rPr>
      </w:pPr>
    </w:p>
    <w:p>
      <w:pPr>
        <w:ind w:left="4" w:right="20" w:hanging="4"/>
        <w:spacing w:after="0" w:line="226" w:lineRule="auto"/>
        <w:tabs>
          <w:tab w:leader="none" w:pos="90" w:val="left"/>
        </w:tabs>
        <w:numPr>
          <w:ilvl w:val="0"/>
          <w:numId w:val="3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Disregarded entity. </w:t>
      </w:r>
      <w:r>
        <w:rPr>
          <w:rFonts w:ascii="Times New Roman" w:cs="Times New Roman" w:eastAsia="Times New Roman" w:hAnsi="Times New Roman"/>
          <w:sz w:val="14"/>
          <w:szCs w:val="14"/>
          <w:color w:val="auto"/>
        </w:rPr>
        <w:t>In general, a business entity that has a single owner, including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2</w:t>
      </w:r>
    </w:p>
    <w:p>
      <w:pPr>
        <w:spacing w:after="0" w:line="32"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4"/>
          <w:szCs w:val="14"/>
          <w:color w:val="auto"/>
        </w:rPr>
        <w:t>If you have a business name, trade name, DBA name, or disregarded entity name, enter it on line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3b</w:t>
      </w:r>
    </w:p>
    <w:p>
      <w:pPr>
        <w:spacing w:after="0" w:line="32" w:lineRule="exact"/>
        <w:rPr>
          <w:sz w:val="20"/>
          <w:szCs w:val="20"/>
          <w:color w:val="auto"/>
        </w:rPr>
      </w:pPr>
    </w:p>
    <w:p>
      <w:pPr>
        <w:ind w:left="6" w:right="60"/>
        <w:spacing w:after="0" w:line="229" w:lineRule="auto"/>
        <w:rPr>
          <w:sz w:val="20"/>
          <w:szCs w:val="20"/>
          <w:color w:val="auto"/>
        </w:rPr>
      </w:pPr>
      <w:r>
        <w:rPr>
          <w:rFonts w:ascii="Times New Roman" w:cs="Times New Roman" w:eastAsia="Times New Roman" w:hAnsi="Times New Roman"/>
          <w:sz w:val="14"/>
          <w:szCs w:val="14"/>
          <w:color w:val="auto"/>
        </w:rPr>
        <w:t>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w:t>
      </w:r>
    </w:p>
    <w:p>
      <w:pPr>
        <w:spacing w:after="0" w:line="2" w:lineRule="exact"/>
        <w:rPr>
          <w:sz w:val="20"/>
          <w:szCs w:val="20"/>
          <w:color w:val="auto"/>
        </w:rPr>
      </w:pPr>
    </w:p>
    <w:p>
      <w:pPr>
        <w:ind w:left="6" w:right="26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A partnership that provides a Form W-9 and checks box 3b may be required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Schedules K-2 and K-3 (Form 1065). For more information, see the Partnership Instructions for Schedules K-2 and K-3 (Form 1065).</w:t>
      </w:r>
    </w:p>
    <w:p>
      <w:pPr>
        <w:spacing w:after="0" w:line="2" w:lineRule="exact"/>
        <w:rPr>
          <w:sz w:val="20"/>
          <w:szCs w:val="20"/>
          <w:color w:val="auto"/>
        </w:rPr>
      </w:pPr>
    </w:p>
    <w:p>
      <w:pPr>
        <w:ind w:left="6" w:right="60" w:firstLine="108"/>
        <w:spacing w:after="0" w:line="236" w:lineRule="auto"/>
        <w:rPr>
          <w:sz w:val="20"/>
          <w:szCs w:val="20"/>
          <w:color w:val="auto"/>
        </w:rPr>
      </w:pPr>
      <w:r>
        <w:rPr>
          <w:rFonts w:ascii="Times New Roman" w:cs="Times New Roman" w:eastAsia="Times New Roman" w:hAnsi="Times New Roman"/>
          <w:sz w:val="14"/>
          <w:szCs w:val="14"/>
          <w:color w:val="auto"/>
        </w:rPr>
        <w:t>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4 Exemptions</w:t>
      </w:r>
    </w:p>
    <w:p>
      <w:pPr>
        <w:spacing w:after="0" w:line="32" w:lineRule="exact"/>
        <w:rPr>
          <w:sz w:val="20"/>
          <w:szCs w:val="20"/>
          <w:color w:val="auto"/>
        </w:rPr>
      </w:pPr>
    </w:p>
    <w:p>
      <w:pPr>
        <w:ind w:left="6" w:right="40"/>
        <w:spacing w:after="0" w:line="249" w:lineRule="auto"/>
        <w:rPr>
          <w:sz w:val="20"/>
          <w:szCs w:val="20"/>
          <w:color w:val="auto"/>
        </w:rPr>
      </w:pPr>
      <w:r>
        <w:rPr>
          <w:rFonts w:ascii="Times New Roman" w:cs="Times New Roman" w:eastAsia="Times New Roman" w:hAnsi="Times New Roman"/>
          <w:sz w:val="14"/>
          <w:szCs w:val="14"/>
          <w:color w:val="auto"/>
        </w:rPr>
        <w:t>If you are exempt from backup withholding and/or FATCA reporting, enter in the appropriate space on line 4 any code(s) that may apply to you.</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Exempt payee code.</w:t>
      </w:r>
    </w:p>
    <w:p>
      <w:pPr>
        <w:spacing w:after="0" w:line="29" w:lineRule="exact"/>
        <w:rPr>
          <w:sz w:val="20"/>
          <w:szCs w:val="20"/>
          <w:color w:val="auto"/>
        </w:rPr>
      </w:pPr>
    </w:p>
    <w:p>
      <w:pPr>
        <w:ind w:left="86" w:hanging="86"/>
        <w:spacing w:after="0"/>
        <w:tabs>
          <w:tab w:leader="none" w:pos="86"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individuals (including sole proprietors) are not exempt from backup withholding.</w:t>
      </w:r>
    </w:p>
    <w:p>
      <w:pPr>
        <w:spacing w:after="0" w:line="27" w:lineRule="exact"/>
        <w:rPr>
          <w:rFonts w:ascii="Times New Roman" w:cs="Times New Roman" w:eastAsia="Times New Roman" w:hAnsi="Times New Roman"/>
          <w:sz w:val="14"/>
          <w:szCs w:val="14"/>
          <w:color w:val="auto"/>
        </w:rPr>
      </w:pPr>
    </w:p>
    <w:p>
      <w:pPr>
        <w:ind w:left="6" w:right="240" w:hanging="6"/>
        <w:spacing w:after="0" w:line="223" w:lineRule="auto"/>
        <w:tabs>
          <w:tab w:leader="none" w:pos="9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corporations are exempt from backup withholding for certain payments, including interest and dividends.</w:t>
      </w:r>
    </w:p>
    <w:p>
      <w:pPr>
        <w:spacing w:after="0" w:line="1" w:lineRule="exact"/>
        <w:rPr>
          <w:rFonts w:ascii="Times New Roman" w:cs="Times New Roman" w:eastAsia="Times New Roman" w:hAnsi="Times New Roman"/>
          <w:sz w:val="14"/>
          <w:szCs w:val="14"/>
          <w:color w:val="auto"/>
        </w:rPr>
      </w:pPr>
    </w:p>
    <w:p>
      <w:pPr>
        <w:ind w:left="6" w:right="120" w:hanging="6"/>
        <w:spacing w:after="0" w:line="221" w:lineRule="auto"/>
        <w:tabs>
          <w:tab w:leader="none" w:pos="9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for payments made in settlement of payment card or third-party network transactions.</w:t>
      </w:r>
    </w:p>
    <w:p>
      <w:pPr>
        <w:ind w:left="6" w:right="260" w:hanging="6"/>
        <w:spacing w:after="0" w:line="233" w:lineRule="auto"/>
        <w:tabs>
          <w:tab w:leader="none" w:pos="9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 w:lineRule="exact"/>
        <w:rPr>
          <w:sz w:val="20"/>
          <w:szCs w:val="20"/>
          <w:color w:val="auto"/>
        </w:rPr>
      </w:pPr>
    </w:p>
    <w:p>
      <w:pPr>
        <w:ind w:left="6" w:right="180" w:firstLine="108"/>
        <w:spacing w:after="0" w:line="251" w:lineRule="auto"/>
        <w:rPr>
          <w:sz w:val="20"/>
          <w:szCs w:val="20"/>
          <w:color w:val="auto"/>
        </w:rPr>
      </w:pPr>
      <w:r>
        <w:rPr>
          <w:rFonts w:ascii="Times New Roman" w:cs="Times New Roman" w:eastAsia="Times New Roman" w:hAnsi="Times New Roman"/>
          <w:sz w:val="14"/>
          <w:szCs w:val="14"/>
          <w:color w:val="auto"/>
        </w:rPr>
        <w:t>The following codes identify payees that are exempt from backup withholding. Enter the appropriate code in the space on line 4.</w:t>
      </w:r>
    </w:p>
    <w:p>
      <w:pPr>
        <w:spacing w:after="0" w:line="1" w:lineRule="exact"/>
        <w:rPr>
          <w:sz w:val="20"/>
          <w:szCs w:val="20"/>
          <w:color w:val="auto"/>
        </w:rPr>
      </w:pPr>
    </w:p>
    <w:p>
      <w:pPr>
        <w:ind w:left="6" w:right="60" w:firstLine="108"/>
        <w:spacing w:after="0" w:line="250" w:lineRule="auto"/>
        <w:rPr>
          <w:sz w:val="20"/>
          <w:szCs w:val="20"/>
          <w:color w:val="auto"/>
        </w:rPr>
      </w:pPr>
      <w:r>
        <w:rPr>
          <w:rFonts w:ascii="Times New Roman" w:cs="Times New Roman" w:eastAsia="Times New Roman" w:hAnsi="Times New Roman"/>
          <w:sz w:val="14"/>
          <w:szCs w:val="14"/>
          <w:color w:val="auto"/>
        </w:rPr>
        <w:t>1—An organization exempt from tax under section 501(a), any IRA, or a custodial account under section 403(b)(7) if the account satisfies the requirements of section 401(f)(2).</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2—The United States or any of its agencies or instrumentalities.</w:t>
      </w:r>
    </w:p>
    <w:p>
      <w:pPr>
        <w:spacing w:after="0" w:line="15" w:lineRule="exact"/>
        <w:rPr>
          <w:sz w:val="20"/>
          <w:szCs w:val="20"/>
          <w:color w:val="auto"/>
        </w:rPr>
      </w:pPr>
    </w:p>
    <w:p>
      <w:pPr>
        <w:ind w:left="6" w:right="300" w:firstLine="108"/>
        <w:spacing w:after="0" w:line="251" w:lineRule="auto"/>
        <w:rPr>
          <w:sz w:val="20"/>
          <w:szCs w:val="20"/>
          <w:color w:val="auto"/>
        </w:rPr>
      </w:pPr>
      <w:r>
        <w:rPr>
          <w:rFonts w:ascii="Times New Roman" w:cs="Times New Roman" w:eastAsia="Times New Roman" w:hAnsi="Times New Roman"/>
          <w:sz w:val="14"/>
          <w:szCs w:val="14"/>
          <w:color w:val="auto"/>
        </w:rPr>
        <w:t>3—A state, the District of Columbia, a U.S. commonwealth or territory, or any of their political subdivisions or instrumentalities.</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4—A foreign government or any of its political subdivisions, agencies, or instrumentalities.</w:t>
      </w:r>
    </w:p>
    <w:p>
      <w:pPr>
        <w:spacing w:after="0" w:line="27"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5—A corporation.</w:t>
      </w:r>
    </w:p>
    <w:p>
      <w:pPr>
        <w:spacing w:after="0" w:line="15" w:lineRule="exact"/>
        <w:rPr>
          <w:sz w:val="20"/>
          <w:szCs w:val="20"/>
          <w:color w:val="auto"/>
        </w:rPr>
      </w:pPr>
    </w:p>
    <w:p>
      <w:pPr>
        <w:ind w:left="6" w:right="400" w:firstLine="108"/>
        <w:spacing w:after="0" w:line="251" w:lineRule="auto"/>
        <w:rPr>
          <w:sz w:val="20"/>
          <w:szCs w:val="20"/>
          <w:color w:val="auto"/>
        </w:rPr>
      </w:pPr>
      <w:r>
        <w:rPr>
          <w:rFonts w:ascii="Times New Roman" w:cs="Times New Roman" w:eastAsia="Times New Roman" w:hAnsi="Times New Roman"/>
          <w:sz w:val="14"/>
          <w:szCs w:val="14"/>
          <w:color w:val="auto"/>
        </w:rPr>
        <w:t>6—A dealer in securities or commodities required to register in the United States, the District of Columbia, or a U.S. commonwealth or territory.</w:t>
      </w:r>
    </w:p>
    <w:p>
      <w:pPr>
        <w:spacing w:after="0" w:line="1" w:lineRule="exact"/>
        <w:rPr>
          <w:sz w:val="20"/>
          <w:szCs w:val="20"/>
          <w:color w:val="auto"/>
        </w:rPr>
      </w:pPr>
    </w:p>
    <w:p>
      <w:pPr>
        <w:ind w:left="6" w:right="460" w:firstLine="108"/>
        <w:spacing w:after="0" w:line="250" w:lineRule="auto"/>
        <w:rPr>
          <w:sz w:val="20"/>
          <w:szCs w:val="20"/>
          <w:color w:val="auto"/>
        </w:rPr>
      </w:pPr>
      <w:r>
        <w:rPr>
          <w:rFonts w:ascii="Times New Roman" w:cs="Times New Roman" w:eastAsia="Times New Roman" w:hAnsi="Times New Roman"/>
          <w:sz w:val="14"/>
          <w:szCs w:val="14"/>
          <w:color w:val="auto"/>
        </w:rPr>
        <w:t>7—A futures commission merchant registered with the Commodity Futures Trading Commission.</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8—A real estate investment trust.</w:t>
      </w:r>
    </w:p>
    <w:p>
      <w:pPr>
        <w:spacing w:after="0" w:line="15" w:lineRule="exact"/>
        <w:rPr>
          <w:sz w:val="20"/>
          <w:szCs w:val="20"/>
          <w:color w:val="auto"/>
        </w:rPr>
      </w:pPr>
    </w:p>
    <w:p>
      <w:pPr>
        <w:ind w:left="6" w:right="60" w:firstLine="108"/>
        <w:spacing w:after="0" w:line="250" w:lineRule="auto"/>
        <w:rPr>
          <w:sz w:val="20"/>
          <w:szCs w:val="20"/>
          <w:color w:val="auto"/>
        </w:rPr>
      </w:pPr>
      <w:r>
        <w:rPr>
          <w:rFonts w:ascii="Times New Roman" w:cs="Times New Roman" w:eastAsia="Times New Roman" w:hAnsi="Times New Roman"/>
          <w:sz w:val="14"/>
          <w:szCs w:val="14"/>
          <w:color w:val="auto"/>
        </w:rPr>
        <w:t>9—An entity registered at all times during the tax year under the Investment Company Act of 1940.</w:t>
      </w:r>
    </w:p>
    <w:p>
      <w:pPr>
        <w:spacing w:after="0" w:line="1"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10—A common trust fund operated by a bank under section 584(a).</w:t>
      </w:r>
    </w:p>
    <w:p>
      <w:pPr>
        <w:spacing w:after="0" w:line="15"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11—A financial institution as defined under section 581.</w:t>
      </w:r>
    </w:p>
    <w:p>
      <w:pPr>
        <w:spacing w:after="0" w:line="28"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12—A middleman known in the investment community as a nominee or custodian.</w:t>
      </w:r>
    </w:p>
    <w:p>
      <w:pPr>
        <w:spacing w:after="0" w:line="27"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13—A trust exempt from tax under section 664 or described in section 4947.</w:t>
      </w:r>
    </w:p>
    <w:p>
      <w:pPr>
        <w:spacing w:after="0" w:line="159" w:lineRule="exact"/>
        <w:rPr>
          <w:sz w:val="20"/>
          <w:szCs w:val="20"/>
          <w:color w:val="auto"/>
        </w:rPr>
      </w:pPr>
    </w:p>
    <w:p>
      <w:pPr>
        <w:sectPr>
          <w:pgSz w:w="11900" w:h="16838" w:orient="portrait"/>
          <w:cols w:equalWidth="0" w:num="2">
            <w:col w:w="5284" w:space="334"/>
            <w:col w:w="5406"/>
          </w:cols>
          <w:pgMar w:left="436" w:top="25"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0"/>
          <w:szCs w:val="20"/>
          <w:b w:val="1"/>
          <w:bCs w:val="1"/>
          <w:color w:val="auto"/>
        </w:rPr>
        <w:t>Line 3a</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Check the appropriate box on line 3a for the U.S. federal tax classification of the person</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whose name is entered on line 1. Check only one box on line 3a.</w:t>
      </w:r>
    </w:p>
    <w:p>
      <w:pPr>
        <w:spacing w:after="0" w:line="55"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2600" w:type="dxa"/>
            <w:vAlign w:val="bottom"/>
            <w:tcBorders>
              <w:top w:val="single" w:sz="8" w:color="auto"/>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IF the entity/individual on line 1</w:t>
            </w:r>
          </w:p>
        </w:tc>
        <w:tc>
          <w:tcPr>
            <w:tcW w:w="2600" w:type="dxa"/>
            <w:vAlign w:val="bottom"/>
            <w:tcBorders>
              <w:top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THEN check the box for . . .</w:t>
            </w:r>
          </w:p>
        </w:tc>
        <w:tc>
          <w:tcPr>
            <w:tcW w:w="1280" w:type="dxa"/>
            <w:vAlign w:val="bottom"/>
          </w:tcPr>
          <w:p>
            <w:pPr>
              <w:spacing w:after="0"/>
              <w:rPr>
                <w:sz w:val="11"/>
                <w:szCs w:val="11"/>
                <w:color w:val="auto"/>
              </w:rPr>
            </w:pPr>
          </w:p>
        </w:tc>
      </w:tr>
      <w:tr>
        <w:trPr>
          <w:trHeight w:val="173"/>
        </w:trPr>
        <w:tc>
          <w:tcPr>
            <w:tcW w:w="2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is a(n) . . .</w:t>
            </w:r>
          </w:p>
        </w:tc>
        <w:tc>
          <w:tcPr>
            <w:tcW w:w="2600" w:type="dxa"/>
            <w:vAlign w:val="bottom"/>
            <w:tcBorders>
              <w:bottom w:val="single" w:sz="8" w:color="auto"/>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Corporation</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Corporation.</w:t>
            </w:r>
          </w:p>
        </w:tc>
        <w:tc>
          <w:tcPr>
            <w:tcW w:w="1280" w:type="dxa"/>
            <w:vAlign w:val="bottom"/>
          </w:tcPr>
          <w:p>
            <w:pPr>
              <w:spacing w:after="0"/>
              <w:rPr>
                <w:sz w:val="12"/>
                <w:szCs w:val="12"/>
                <w:color w:val="auto"/>
              </w:rPr>
            </w:pPr>
          </w:p>
        </w:tc>
      </w:tr>
      <w:tr>
        <w:trPr>
          <w:trHeight w:val="160"/>
        </w:trPr>
        <w:tc>
          <w:tcPr>
            <w:tcW w:w="260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 Individual or</w:t>
            </w:r>
          </w:p>
        </w:tc>
        <w:tc>
          <w:tcPr>
            <w:tcW w:w="260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Individual/sole proprietor.</w:t>
            </w:r>
          </w:p>
        </w:tc>
        <w:tc>
          <w:tcPr>
            <w:tcW w:w="1280" w:type="dxa"/>
            <w:vAlign w:val="bottom"/>
          </w:tcPr>
          <w:p>
            <w:pPr>
              <w:spacing w:after="0"/>
              <w:rPr>
                <w:sz w:val="13"/>
                <w:szCs w:val="13"/>
                <w:color w:val="auto"/>
              </w:rPr>
            </w:pPr>
          </w:p>
        </w:tc>
      </w:tr>
      <w:tr>
        <w:trPr>
          <w:trHeight w:val="185"/>
        </w:trPr>
        <w:tc>
          <w:tcPr>
            <w:tcW w:w="2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Sole proprietorship</w:t>
            </w:r>
          </w:p>
        </w:tc>
        <w:tc>
          <w:tcPr>
            <w:tcW w:w="2600" w:type="dxa"/>
            <w:vAlign w:val="bottom"/>
            <w:tcBorders>
              <w:bottom w:val="single" w:sz="8" w:color="auto"/>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19"/>
        </w:trPr>
        <w:tc>
          <w:tcPr>
            <w:tcW w:w="2600" w:type="dxa"/>
            <w:vAlign w:val="bottom"/>
            <w:tcBorders>
              <w:left w:val="single" w:sz="8" w:color="auto"/>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 LLC classified as a partnership for U.S.</w:t>
            </w:r>
          </w:p>
        </w:tc>
        <w:tc>
          <w:tcPr>
            <w:tcW w:w="260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Limited liability company and enter the</w:t>
            </w:r>
          </w:p>
        </w:tc>
        <w:tc>
          <w:tcPr>
            <w:tcW w:w="1280" w:type="dxa"/>
            <w:vAlign w:val="bottom"/>
          </w:tcPr>
          <w:p>
            <w:pPr>
              <w:spacing w:after="0"/>
              <w:rPr>
                <w:sz w:val="10"/>
                <w:szCs w:val="10"/>
                <w:color w:val="auto"/>
              </w:rPr>
            </w:pPr>
          </w:p>
        </w:tc>
      </w:tr>
      <w:tr>
        <w:trPr>
          <w:trHeight w:val="188"/>
        </w:trPr>
        <w:tc>
          <w:tcPr>
            <w:tcW w:w="2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federal tax purposes or</w:t>
            </w:r>
          </w:p>
        </w:tc>
        <w:tc>
          <w:tcPr>
            <w:tcW w:w="2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appropriate tax classification:</w:t>
            </w:r>
          </w:p>
        </w:tc>
        <w:tc>
          <w:tcPr>
            <w:tcW w:w="1280" w:type="dxa"/>
            <w:vAlign w:val="bottom"/>
          </w:tcPr>
          <w:p>
            <w:pPr>
              <w:spacing w:after="0"/>
              <w:rPr>
                <w:sz w:val="16"/>
                <w:szCs w:val="16"/>
                <w:color w:val="auto"/>
              </w:rPr>
            </w:pPr>
          </w:p>
        </w:tc>
      </w:tr>
      <w:tr>
        <w:trPr>
          <w:trHeight w:val="149"/>
        </w:trPr>
        <w:tc>
          <w:tcPr>
            <w:tcW w:w="260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 LLC that has filed Form 8832 or 2553</w:t>
            </w:r>
          </w:p>
        </w:tc>
        <w:tc>
          <w:tcPr>
            <w:tcW w:w="26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 = Partnership,</w:t>
            </w:r>
          </w:p>
        </w:tc>
        <w:tc>
          <w:tcPr>
            <w:tcW w:w="1280" w:type="dxa"/>
            <w:vAlign w:val="bottom"/>
          </w:tcPr>
          <w:p>
            <w:pPr>
              <w:spacing w:after="0"/>
              <w:rPr>
                <w:sz w:val="12"/>
                <w:szCs w:val="12"/>
                <w:color w:val="auto"/>
              </w:rPr>
            </w:pPr>
          </w:p>
        </w:tc>
      </w:tr>
      <w:tr>
        <w:trPr>
          <w:trHeight w:val="148"/>
        </w:trPr>
        <w:tc>
          <w:tcPr>
            <w:tcW w:w="260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electing to be taxed as a corporation</w:t>
            </w:r>
          </w:p>
        </w:tc>
        <w:tc>
          <w:tcPr>
            <w:tcW w:w="26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 = C corporation, or</w:t>
            </w:r>
          </w:p>
        </w:tc>
        <w:tc>
          <w:tcPr>
            <w:tcW w:w="1280" w:type="dxa"/>
            <w:vAlign w:val="bottom"/>
          </w:tcPr>
          <w:p>
            <w:pPr>
              <w:spacing w:after="0"/>
              <w:rPr>
                <w:sz w:val="12"/>
                <w:szCs w:val="12"/>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 S corporation.</w:t>
            </w:r>
          </w:p>
        </w:tc>
        <w:tc>
          <w:tcPr>
            <w:tcW w:w="1280" w:type="dxa"/>
            <w:vAlign w:val="bottom"/>
          </w:tcPr>
          <w:p>
            <w:pPr>
              <w:spacing w:after="0"/>
              <w:rPr>
                <w:sz w:val="16"/>
                <w:szCs w:val="16"/>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Partnership</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Partnership.</w:t>
            </w:r>
          </w:p>
        </w:tc>
        <w:tc>
          <w:tcPr>
            <w:tcW w:w="1280" w:type="dxa"/>
            <w:vAlign w:val="bottom"/>
          </w:tcPr>
          <w:p>
            <w:pPr>
              <w:spacing w:after="0"/>
              <w:rPr>
                <w:sz w:val="12"/>
                <w:szCs w:val="12"/>
                <w:color w:val="auto"/>
              </w:rPr>
            </w:pPr>
          </w:p>
        </w:tc>
      </w:tr>
      <w:tr>
        <w:trPr>
          <w:trHeight w:val="142"/>
        </w:trPr>
        <w:tc>
          <w:tcPr>
            <w:tcW w:w="260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Trust/estate</w:t>
            </w:r>
          </w:p>
        </w:tc>
        <w:tc>
          <w:tcPr>
            <w:tcW w:w="26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Trust/estate.</w:t>
            </w:r>
          </w:p>
        </w:tc>
        <w:tc>
          <w:tcPr>
            <w:tcW w:w="1280" w:type="dxa"/>
            <w:vAlign w:val="bottom"/>
          </w:tcPr>
          <w:p>
            <w:pPr>
              <w:spacing w:after="0"/>
              <w:rPr>
                <w:sz w:val="12"/>
                <w:szCs w:val="12"/>
                <w:color w:val="auto"/>
              </w:rPr>
            </w:pPr>
          </w:p>
        </w:tc>
      </w:tr>
      <w:tr>
        <w:trPr>
          <w:trHeight w:val="506"/>
        </w:trPr>
        <w:tc>
          <w:tcPr>
            <w:tcW w:w="2600" w:type="dxa"/>
            <w:vAlign w:val="bottom"/>
          </w:tcPr>
          <w:p>
            <w:pPr>
              <w:spacing w:after="0"/>
              <w:rPr>
                <w:sz w:val="24"/>
                <w:szCs w:val="24"/>
                <w:color w:val="auto"/>
              </w:rPr>
            </w:pPr>
          </w:p>
        </w:tc>
        <w:tc>
          <w:tcPr>
            <w:tcW w:w="38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BioNTech SE – COY BNSB</w:t>
            </w:r>
          </w:p>
        </w:tc>
      </w:tr>
    </w:tbl>
    <w:p>
      <w:pPr>
        <w:sectPr>
          <w:pgSz w:w="11900" w:h="16838" w:orient="portrait"/>
          <w:cols w:equalWidth="0" w:num="1">
            <w:col w:w="11024"/>
          </w:cols>
          <w:pgMar w:left="436" w:top="25" w:right="439" w:bottom="1440" w:gutter="0" w:footer="0" w:header="0"/>
          <w:type w:val="continuous"/>
        </w:sectPr>
      </w:pPr>
    </w:p>
    <w:bookmarkStart w:id="309" w:name="page310"/>
    <w:bookmarkEnd w:id="309"/>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right="620" w:firstLine="106"/>
        <w:spacing w:after="0" w:line="261" w:lineRule="auto"/>
        <w:rPr>
          <w:sz w:val="20"/>
          <w:szCs w:val="20"/>
          <w:color w:val="auto"/>
        </w:rPr>
      </w:pPr>
      <w:r>
        <w:rPr>
          <w:rFonts w:ascii="Times New Roman" w:cs="Times New Roman" w:eastAsia="Times New Roman" w:hAnsi="Times New Roman"/>
          <w:sz w:val="14"/>
          <w:szCs w:val="14"/>
          <w:color w:val="auto"/>
        </w:rPr>
        <w:t>The following chart shows types of payments that may be exempt from backup withholding. The chart applies to the exempt payees listed above, 1 through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3351530" cy="14744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0">
                      <a:extLst>
                        <a:ext uri="{28A0092B-C50C-407E-A947-70E740481C1C}"/>
                      </a:extLst>
                    </a:blip>
                    <a:srcRect/>
                    <a:stretch>
                      <a:fillRect/>
                    </a:stretch>
                  </pic:blipFill>
                  <pic:spPr bwMode="auto">
                    <a:xfrm>
                      <a:off x="0" y="0"/>
                      <a:ext cx="3351530" cy="147447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268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IF the payment is for . . .</w:t>
            </w:r>
          </w:p>
        </w:tc>
        <w:tc>
          <w:tcPr>
            <w:tcW w:w="2600" w:type="dxa"/>
            <w:vAlign w:val="bottom"/>
            <w:tcBorders>
              <w:top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THEN the payment is exempt</w:t>
            </w:r>
          </w:p>
        </w:tc>
      </w:tr>
      <w:tr>
        <w:trPr>
          <w:trHeight w:val="173"/>
        </w:trPr>
        <w:tc>
          <w:tcPr>
            <w:tcW w:w="26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for . . .</w:t>
            </w:r>
          </w:p>
        </w:tc>
      </w:tr>
      <w:tr>
        <w:trPr>
          <w:trHeight w:val="142"/>
        </w:trPr>
        <w:tc>
          <w:tcPr>
            <w:tcW w:w="2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Interest and dividend payments</w:t>
            </w:r>
          </w:p>
        </w:tc>
        <w:tc>
          <w:tcPr>
            <w:tcW w:w="26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All exempt payees except for 7.</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Broker transactions</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 and 6 through</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11 and all C corporations. S corporations</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must not enter an exempt payee code</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because they are exempt only for sales of</w:t>
            </w:r>
          </w:p>
        </w:tc>
      </w:tr>
      <w:tr>
        <w:trPr>
          <w:trHeight w:val="149"/>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noncovered securities acquired prior to</w:t>
            </w:r>
          </w:p>
        </w:tc>
      </w:tr>
      <w:tr>
        <w:trPr>
          <w:trHeight w:val="171"/>
        </w:trPr>
        <w:tc>
          <w:tcPr>
            <w:tcW w:w="26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2012.</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Barter exchange transactions and patronage</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dividends</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over $600 required to be reported</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Generally, exempt payees 1 through 5.</w:t>
            </w:r>
            <w:r>
              <w:rPr>
                <w:rFonts w:ascii="Times New Roman" w:cs="Times New Roman" w:eastAsia="Times New Roman" w:hAnsi="Times New Roman"/>
                <w:sz w:val="9"/>
                <w:szCs w:val="9"/>
                <w:color w:val="auto"/>
              </w:rPr>
              <w:t>2</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and direct sales over $5,000</w:t>
            </w:r>
            <w:r>
              <w:rPr>
                <w:rFonts w:ascii="Times New Roman" w:cs="Times New Roman" w:eastAsia="Times New Roman" w:hAnsi="Times New Roman"/>
                <w:sz w:val="10"/>
                <w:szCs w:val="10"/>
                <w:color w:val="auto"/>
              </w:rPr>
              <w:t>1</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made in settlement of payment</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card or third-party network transactions</w:t>
            </w:r>
          </w:p>
        </w:tc>
        <w:tc>
          <w:tcPr>
            <w:tcW w:w="2600" w:type="dxa"/>
            <w:vAlign w:val="bottom"/>
          </w:tcPr>
          <w:p>
            <w:pPr>
              <w:spacing w:after="0"/>
              <w:rPr>
                <w:sz w:val="15"/>
                <w:szCs w:val="15"/>
                <w:color w:val="auto"/>
              </w:rPr>
            </w:pPr>
          </w:p>
        </w:tc>
      </w:tr>
    </w:tbl>
    <w:p>
      <w:pPr>
        <w:ind w:left="104" w:hanging="104"/>
        <w:spacing w:after="0" w:line="221" w:lineRule="auto"/>
        <w:tabs>
          <w:tab w:leader="none" w:pos="104" w:val="left"/>
        </w:tabs>
        <w:numPr>
          <w:ilvl w:val="0"/>
          <w:numId w:val="37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Form 1099-MISC, Miscellaneous Information, and its instructions.</w:t>
      </w:r>
    </w:p>
    <w:p>
      <w:pPr>
        <w:ind w:left="104" w:right="120" w:hanging="104"/>
        <w:spacing w:after="0" w:line="230" w:lineRule="auto"/>
        <w:tabs>
          <w:tab w:leader="none" w:pos="104" w:val="left"/>
        </w:tabs>
        <w:numPr>
          <w:ilvl w:val="0"/>
          <w:numId w:val="37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1" w:lineRule="exact"/>
        <w:rPr>
          <w:sz w:val="20"/>
          <w:szCs w:val="20"/>
          <w:color w:val="auto"/>
        </w:rPr>
      </w:pPr>
    </w:p>
    <w:p>
      <w:pPr>
        <w:ind w:left="4" w:right="60"/>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Exemption from FATCA reporting code. </w:t>
      </w:r>
      <w:r>
        <w:rPr>
          <w:rFonts w:ascii="Times New Roman" w:cs="Times New Roman" w:eastAsia="Times New Roman" w:hAnsi="Times New Roman"/>
          <w:sz w:val="14"/>
          <w:szCs w:val="14"/>
          <w:color w:val="auto"/>
        </w:rPr>
        <w:t>The following codes identify payees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w:t>
      </w:r>
    </w:p>
    <w:p>
      <w:pPr>
        <w:spacing w:after="0" w:line="3" w:lineRule="exact"/>
        <w:rPr>
          <w:sz w:val="20"/>
          <w:szCs w:val="20"/>
          <w:color w:val="auto"/>
        </w:rPr>
      </w:pPr>
    </w:p>
    <w:p>
      <w:pPr>
        <w:ind w:left="4" w:right="160" w:firstLine="106"/>
        <w:spacing w:after="0" w:line="251" w:lineRule="auto"/>
        <w:rPr>
          <w:sz w:val="20"/>
          <w:szCs w:val="20"/>
          <w:color w:val="auto"/>
        </w:rPr>
      </w:pPr>
      <w:r>
        <w:rPr>
          <w:rFonts w:ascii="Times New Roman" w:cs="Times New Roman" w:eastAsia="Times New Roman" w:hAnsi="Times New Roman"/>
          <w:sz w:val="14"/>
          <w:szCs w:val="14"/>
          <w:color w:val="auto"/>
        </w:rPr>
        <w:t>A—An organization exempt from tax under section 501(a) or any individual retirement plan as defined in section 7701(a)(37).</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B—The United States or any of its agencies or instrumentalities.</w:t>
      </w:r>
    </w:p>
    <w:p>
      <w:pPr>
        <w:spacing w:after="0" w:line="27" w:lineRule="exact"/>
        <w:rPr>
          <w:sz w:val="20"/>
          <w:szCs w:val="20"/>
          <w:color w:val="auto"/>
        </w:rPr>
      </w:pPr>
    </w:p>
    <w:p>
      <w:pPr>
        <w:ind w:left="4" w:right="160" w:firstLine="106"/>
        <w:spacing w:after="0" w:line="242" w:lineRule="auto"/>
        <w:rPr>
          <w:sz w:val="20"/>
          <w:szCs w:val="20"/>
          <w:color w:val="auto"/>
        </w:rPr>
      </w:pPr>
      <w:r>
        <w:rPr>
          <w:rFonts w:ascii="Times New Roman" w:cs="Times New Roman" w:eastAsia="Times New Roman" w:hAnsi="Times New Roman"/>
          <w:sz w:val="14"/>
          <w:szCs w:val="14"/>
          <w:color w:val="auto"/>
        </w:rPr>
        <w:t>C—A state, the District of Columbia, a U.S. commonwealth or territory, or any of their political subdivisions or instrumentalities.</w:t>
      </w:r>
    </w:p>
    <w:p>
      <w:pPr>
        <w:ind w:left="4" w:right="360" w:firstLine="106"/>
        <w:spacing w:after="0" w:line="251" w:lineRule="auto"/>
        <w:rPr>
          <w:sz w:val="20"/>
          <w:szCs w:val="20"/>
          <w:color w:val="auto"/>
        </w:rPr>
      </w:pPr>
      <w:r>
        <w:rPr>
          <w:rFonts w:ascii="Times New Roman" w:cs="Times New Roman" w:eastAsia="Times New Roman" w:hAnsi="Times New Roman"/>
          <w:sz w:val="14"/>
          <w:szCs w:val="14"/>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left="4" w:right="680" w:firstLine="106"/>
        <w:spacing w:after="0" w:line="250" w:lineRule="auto"/>
        <w:rPr>
          <w:sz w:val="20"/>
          <w:szCs w:val="20"/>
          <w:color w:val="auto"/>
        </w:rPr>
      </w:pPr>
      <w:r>
        <w:rPr>
          <w:rFonts w:ascii="Times New Roman" w:cs="Times New Roman" w:eastAsia="Times New Roman" w:hAnsi="Times New Roman"/>
          <w:sz w:val="14"/>
          <w:szCs w:val="14"/>
          <w:color w:val="auto"/>
        </w:rPr>
        <w:t>E—A corporation that is a member of the same expanded affiliated group as a corporation described in Regulations section 1.1472-1(c)(1)(i).</w:t>
      </w:r>
    </w:p>
    <w:p>
      <w:pPr>
        <w:spacing w:after="0" w:line="1" w:lineRule="exact"/>
        <w:rPr>
          <w:sz w:val="20"/>
          <w:szCs w:val="20"/>
          <w:color w:val="auto"/>
        </w:rPr>
      </w:pPr>
    </w:p>
    <w:p>
      <w:pPr>
        <w:ind w:left="4" w:right="60" w:firstLine="106"/>
        <w:spacing w:after="0" w:line="234" w:lineRule="auto"/>
        <w:rPr>
          <w:sz w:val="20"/>
          <w:szCs w:val="20"/>
          <w:color w:val="auto"/>
        </w:rPr>
      </w:pPr>
      <w:r>
        <w:rPr>
          <w:rFonts w:ascii="Times New Roman" w:cs="Times New Roman" w:eastAsia="Times New Roman" w:hAnsi="Times New Roman"/>
          <w:sz w:val="14"/>
          <w:szCs w:val="14"/>
          <w:color w:val="auto"/>
        </w:rPr>
        <w:t>F—A dealer in securities, commodities, or derivative financial instruments (including notional principal contracts, futures, forwards, and options) that is registered as such under the laws of the United States or any state.</w:t>
      </w:r>
    </w:p>
    <w:p>
      <w:pPr>
        <w:spacing w:after="0" w:line="2"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G—A real estate investment trust.</w:t>
      </w:r>
    </w:p>
    <w:p>
      <w:pPr>
        <w:spacing w:after="0" w:line="28" w:lineRule="exact"/>
        <w:rPr>
          <w:sz w:val="20"/>
          <w:szCs w:val="20"/>
          <w:color w:val="auto"/>
        </w:rPr>
      </w:pPr>
    </w:p>
    <w:p>
      <w:pPr>
        <w:ind w:left="4" w:right="120" w:firstLine="106"/>
        <w:spacing w:after="0" w:line="250" w:lineRule="auto"/>
        <w:rPr>
          <w:sz w:val="20"/>
          <w:szCs w:val="20"/>
          <w:color w:val="auto"/>
        </w:rPr>
      </w:pPr>
      <w:r>
        <w:rPr>
          <w:rFonts w:ascii="Times New Roman" w:cs="Times New Roman" w:eastAsia="Times New Roman" w:hAnsi="Times New Roman"/>
          <w:sz w:val="14"/>
          <w:szCs w:val="14"/>
          <w:color w:val="auto"/>
        </w:rPr>
        <w:t>H—A regulated investment company as defined in section 851 or an entity registered at all times during the tax year under the Investment Company Act of 1940.</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I—A common trust fund as defined in section 584(a).</w:t>
      </w:r>
    </w:p>
    <w:p>
      <w:pPr>
        <w:spacing w:after="0" w:line="1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J—A bank as defined in section 581.</w:t>
      </w:r>
    </w:p>
    <w:p>
      <w:pPr>
        <w:spacing w:after="0" w:line="28"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K—A broker.</w:t>
      </w:r>
    </w:p>
    <w:p>
      <w:pPr>
        <w:spacing w:after="0" w:line="27"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L—A trust exempt from tax under section 664 or described in section 4947(a)(1).</w:t>
      </w:r>
    </w:p>
    <w:p>
      <w:pPr>
        <w:spacing w:after="0" w:line="1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M—A tax-exempt trust under a section 403(b) plan or section 457(g) plan.</w:t>
      </w:r>
    </w:p>
    <w:p>
      <w:pPr>
        <w:spacing w:after="0" w:line="27" w:lineRule="exact"/>
        <w:rPr>
          <w:sz w:val="20"/>
          <w:szCs w:val="20"/>
          <w:color w:val="auto"/>
        </w:rPr>
      </w:pPr>
    </w:p>
    <w:p>
      <w:pPr>
        <w:ind w:left="4" w:right="40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You may wish to consult with the financial institution requesting this form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 whether the FATCA code and/or exempt payee code should be completed.</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5</w:t>
      </w:r>
    </w:p>
    <w:p>
      <w:pPr>
        <w:spacing w:after="0" w:line="32" w:lineRule="exact"/>
        <w:rPr>
          <w:sz w:val="20"/>
          <w:szCs w:val="20"/>
          <w:color w:val="auto"/>
        </w:rPr>
      </w:pPr>
    </w:p>
    <w:p>
      <w:pPr>
        <w:ind w:left="4" w:right="120"/>
        <w:spacing w:after="0"/>
        <w:rPr>
          <w:sz w:val="20"/>
          <w:szCs w:val="20"/>
          <w:color w:val="auto"/>
        </w:rPr>
      </w:pPr>
      <w:r>
        <w:rPr>
          <w:rFonts w:ascii="Times New Roman" w:cs="Times New Roman" w:eastAsia="Times New Roman" w:hAnsi="Times New Roman"/>
          <w:sz w:val="14"/>
          <w:szCs w:val="14"/>
          <w:color w:val="auto"/>
        </w:rPr>
        <w:t>Enter your address (number, street, and apartment or suite number). This is where the requester of this Form W-9 will mail your information returns. If this address differs from the one the requester already has on file, enter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“NEW” at the top. If a new address is provided, there is still a chance the old address will be used until the payor changes your address in their records.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Enter your city, state, and ZIP code.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Taxpayer Identification Number (TIN)</w:t>
      </w:r>
    </w:p>
    <w:p>
      <w:pPr>
        <w:spacing w:after="0" w:line="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Enter your TIN in the appropriate box </w:t>
      </w:r>
      <w:r>
        <w:rPr>
          <w:rFonts w:ascii="Times New Roman" w:cs="Times New Roman" w:eastAsia="Times New Roman" w:hAnsi="Times New Roman"/>
          <w:sz w:val="14"/>
          <w:szCs w:val="14"/>
          <w:color w:val="auto"/>
        </w:rPr>
        <w:t>. If you are a resident alien and you do not have,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are not eligible to get, an SSN, your TIN is your IRS ITIN. Enter it in the entry space for the Social security number. If you do not have an ITIN,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xml:space="preserve"> below.</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If you are a sole proprietor and you have an EIN, you may enter either your SSN or EIN.</w:t>
      </w:r>
    </w:p>
    <w:p>
      <w:pPr>
        <w:spacing w:after="0" w:line="27" w:lineRule="exact"/>
        <w:rPr>
          <w:sz w:val="20"/>
          <w:szCs w:val="20"/>
          <w:color w:val="auto"/>
        </w:rPr>
      </w:pPr>
    </w:p>
    <w:p>
      <w:pPr>
        <w:ind w:right="240" w:firstLine="108"/>
        <w:spacing w:after="0" w:line="234" w:lineRule="auto"/>
        <w:rPr>
          <w:sz w:val="20"/>
          <w:szCs w:val="20"/>
          <w:color w:val="auto"/>
        </w:rPr>
      </w:pPr>
      <w:r>
        <w:rPr>
          <w:rFonts w:ascii="Times New Roman" w:cs="Times New Roman" w:eastAsia="Times New Roman" w:hAnsi="Times New Roman"/>
          <w:sz w:val="14"/>
          <w:szCs w:val="14"/>
          <w:color w:val="auto"/>
        </w:rPr>
        <w:t>If you are a single-member LLC that is disregarded as an entity separate from its owner, enter the owner’s SSN (or EIN, if the owner has one). If the LLC is classified as a corporation or partnership, enter the entity’s EIN.</w:t>
      </w:r>
    </w:p>
    <w:p>
      <w:pPr>
        <w:spacing w:after="0" w:line="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 and Number To Give the Requester</w:t>
      </w:r>
      <w:r>
        <w:rPr>
          <w:rFonts w:ascii="Times New Roman" w:cs="Times New Roman" w:eastAsia="Times New Roman" w:hAnsi="Times New Roman"/>
          <w:sz w:val="14"/>
          <w:szCs w:val="14"/>
          <w:color w:val="auto"/>
        </w:rPr>
        <w:t>, later, for further clarification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 and TIN combinations.</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How to get a TIN. </w:t>
      </w:r>
      <w:r>
        <w:rPr>
          <w:rFonts w:ascii="Times New Roman" w:cs="Times New Roman" w:eastAsia="Times New Roman" w:hAnsi="Times New Roman"/>
          <w:sz w:val="14"/>
          <w:szCs w:val="14"/>
          <w:color w:val="auto"/>
        </w:rPr>
        <w:t>If you do not have a TIN, apply for one immediately. To apply for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SSN, get Form SS-5, Application for a Social Security Card, from your local SSA office or get this form online at </w:t>
      </w:r>
      <w:r>
        <w:rPr>
          <w:rFonts w:ascii="Times New Roman" w:cs="Times New Roman" w:eastAsia="Times New Roman" w:hAnsi="Times New Roman"/>
          <w:sz w:val="14"/>
          <w:szCs w:val="14"/>
          <w:i w:val="1"/>
          <w:iCs w:val="1"/>
          <w:color w:val="auto"/>
        </w:rPr>
        <w:t>www.SSA.gov</w:t>
      </w:r>
      <w:r>
        <w:rPr>
          <w:rFonts w:ascii="Times New Roman" w:cs="Times New Roman" w:eastAsia="Times New Roman" w:hAnsi="Times New Roman"/>
          <w:sz w:val="14"/>
          <w:szCs w:val="14"/>
          <w:color w:val="auto"/>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cs="Times New Roman" w:eastAsia="Times New Roman" w:hAnsi="Times New Roman"/>
          <w:sz w:val="14"/>
          <w:szCs w:val="14"/>
          <w:i w:val="1"/>
          <w:iCs w:val="1"/>
          <w:color w:val="auto"/>
        </w:rPr>
        <w:t>www.irs.gov/EIN</w:t>
      </w:r>
      <w:r>
        <w:rPr>
          <w:rFonts w:ascii="Times New Roman" w:cs="Times New Roman" w:eastAsia="Times New Roman" w:hAnsi="Times New Roman"/>
          <w:sz w:val="14"/>
          <w:szCs w:val="14"/>
          <w:color w:val="auto"/>
        </w:rPr>
        <w:t xml:space="preserve">. Go to </w:t>
      </w:r>
      <w:r>
        <w:rPr>
          <w:rFonts w:ascii="Times New Roman" w:cs="Times New Roman" w:eastAsia="Times New Roman" w:hAnsi="Times New Roman"/>
          <w:sz w:val="14"/>
          <w:szCs w:val="14"/>
          <w:i w:val="1"/>
          <w:iCs w:val="1"/>
          <w:color w:val="auto"/>
        </w:rPr>
        <w:t>www.irs.gov/Forms</w:t>
      </w:r>
      <w:r>
        <w:rPr>
          <w:rFonts w:ascii="Times New Roman" w:cs="Times New Roman" w:eastAsia="Times New Roman" w:hAnsi="Times New Roman"/>
          <w:sz w:val="14"/>
          <w:szCs w:val="14"/>
          <w:color w:val="auto"/>
        </w:rPr>
        <w:t xml:space="preserve"> to view, download, or print Form W-7 and/or Form SS-4. Or, you can go to </w:t>
      </w:r>
      <w:r>
        <w:rPr>
          <w:rFonts w:ascii="Times New Roman" w:cs="Times New Roman" w:eastAsia="Times New Roman" w:hAnsi="Times New Roman"/>
          <w:sz w:val="14"/>
          <w:szCs w:val="14"/>
          <w:i w:val="1"/>
          <w:iCs w:val="1"/>
          <w:color w:val="auto"/>
        </w:rPr>
        <w:t>www.irs.gov/OrderForms</w:t>
      </w:r>
      <w:r>
        <w:rPr>
          <w:rFonts w:ascii="Times New Roman" w:cs="Times New Roman" w:eastAsia="Times New Roman" w:hAnsi="Times New Roman"/>
          <w:sz w:val="14"/>
          <w:szCs w:val="14"/>
          <w:color w:val="auto"/>
        </w:rPr>
        <w:t xml:space="preserve"> to place an order and have Form W-7 and/or Form SS-4 mailed to you within 15 business days.</w:t>
      </w:r>
    </w:p>
    <w:p>
      <w:pPr>
        <w:spacing w:after="0" w:line="1" w:lineRule="exact"/>
        <w:rPr>
          <w:sz w:val="20"/>
          <w:szCs w:val="20"/>
          <w:color w:val="auto"/>
        </w:rPr>
      </w:pPr>
    </w:p>
    <w:p>
      <w:pPr>
        <w:ind w:right="20" w:firstLine="108"/>
        <w:spacing w:after="0" w:line="227" w:lineRule="auto"/>
        <w:rPr>
          <w:sz w:val="20"/>
          <w:szCs w:val="20"/>
          <w:color w:val="auto"/>
        </w:rPr>
      </w:pPr>
      <w:r>
        <w:rPr>
          <w:rFonts w:ascii="Times New Roman" w:cs="Times New Roman" w:eastAsia="Times New Roman" w:hAnsi="Times New Roman"/>
          <w:sz w:val="14"/>
          <w:szCs w:val="14"/>
          <w:color w:val="auto"/>
        </w:rPr>
        <w:t>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Entering “Applied For” means that you have already applied for a TIN or that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intend to apply for one soon. See also </w:t>
      </w:r>
      <w:r>
        <w:rPr>
          <w:rFonts w:ascii="Times New Roman" w:cs="Times New Roman" w:eastAsia="Times New Roman" w:hAnsi="Times New Roman"/>
          <w:sz w:val="14"/>
          <w:szCs w:val="14"/>
          <w:i w:val="1"/>
          <w:iCs w:val="1"/>
          <w:color w:val="auto"/>
        </w:rPr>
        <w:t>Establishing U.S. status for purposes of chapter 3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chapter 4 withholding</w:t>
      </w:r>
      <w:r>
        <w:rPr>
          <w:rFonts w:ascii="Times New Roman" w:cs="Times New Roman" w:eastAsia="Times New Roman" w:hAnsi="Times New Roman"/>
          <w:sz w:val="14"/>
          <w:szCs w:val="14"/>
          <w:color w:val="auto"/>
        </w:rPr>
        <w:t>, earlier, for when you may instead be subject to withholding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chapter 3 or 4 of the Code.</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Caution: </w:t>
      </w:r>
      <w:r>
        <w:rPr>
          <w:rFonts w:ascii="Times New Roman" w:cs="Times New Roman" w:eastAsia="Times New Roman" w:hAnsi="Times New Roman"/>
          <w:sz w:val="14"/>
          <w:szCs w:val="14"/>
          <w:color w:val="auto"/>
        </w:rPr>
        <w:t>A disregarded U.S. entity that has a foreign owner must use the appropriate 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Certification</w:t>
      </w:r>
    </w:p>
    <w:p>
      <w:pPr>
        <w:spacing w:after="0" w:line="3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4"/>
          <w:szCs w:val="14"/>
          <w:color w:val="auto"/>
        </w:rPr>
        <w:t>To establish to the withholding agent that you are a U.S. person, or resident alien, sign Form W-9. You may be requested to sign by the withholding agent even if item 1, 4, or 5 below indicates otherwise.</w:t>
      </w:r>
    </w:p>
    <w:p>
      <w:pPr>
        <w:spacing w:after="0" w:line="1" w:lineRule="exact"/>
        <w:rPr>
          <w:sz w:val="20"/>
          <w:szCs w:val="20"/>
          <w:color w:val="auto"/>
        </w:rPr>
      </w:pPr>
    </w:p>
    <w:p>
      <w:pPr>
        <w:jc w:val="both"/>
        <w:ind w:right="440" w:firstLine="108"/>
        <w:spacing w:after="0" w:line="241" w:lineRule="auto"/>
        <w:rPr>
          <w:sz w:val="20"/>
          <w:szCs w:val="20"/>
          <w:color w:val="auto"/>
        </w:rPr>
      </w:pPr>
      <w:r>
        <w:rPr>
          <w:rFonts w:ascii="Times New Roman" w:cs="Times New Roman" w:eastAsia="Times New Roman" w:hAnsi="Times New Roman"/>
          <w:sz w:val="14"/>
          <w:szCs w:val="14"/>
          <w:color w:val="auto"/>
        </w:rPr>
        <w:t xml:space="preserve">For a joint account, only the person whose TIN is shown in Part I should sign (when required). In the case of a disregarded entity, the person identified on line 1 must sign. Exempt payees, see </w:t>
      </w:r>
      <w:r>
        <w:rPr>
          <w:rFonts w:ascii="Times New Roman" w:cs="Times New Roman" w:eastAsia="Times New Roman" w:hAnsi="Times New Roman"/>
          <w:sz w:val="14"/>
          <w:szCs w:val="14"/>
          <w:i w:val="1"/>
          <w:iCs w:val="1"/>
          <w:color w:val="auto"/>
        </w:rPr>
        <w:t>Exempt payee code</w:t>
      </w:r>
      <w:r>
        <w:rPr>
          <w:rFonts w:ascii="Times New Roman" w:cs="Times New Roman" w:eastAsia="Times New Roman" w:hAnsi="Times New Roman"/>
          <w:sz w:val="14"/>
          <w:szCs w:val="14"/>
          <w:color w:val="auto"/>
        </w:rPr>
        <w:t>, earlier.</w:t>
      </w:r>
    </w:p>
    <w:p>
      <w:pPr>
        <w:spacing w:after="0"/>
        <w:rPr>
          <w:sz w:val="20"/>
          <w:szCs w:val="20"/>
          <w:color w:val="auto"/>
        </w:rPr>
      </w:pPr>
      <w:r>
        <w:rPr>
          <w:rFonts w:ascii="Times New Roman" w:cs="Times New Roman" w:eastAsia="Times New Roman" w:hAnsi="Times New Roman"/>
          <w:sz w:val="14"/>
          <w:szCs w:val="14"/>
          <w:b w:val="1"/>
          <w:bCs w:val="1"/>
          <w:color w:val="auto"/>
        </w:rPr>
        <w:t xml:space="preserve">Signature requirements. </w:t>
      </w:r>
      <w:r>
        <w:rPr>
          <w:rFonts w:ascii="Times New Roman" w:cs="Times New Roman" w:eastAsia="Times New Roman" w:hAnsi="Times New Roman"/>
          <w:sz w:val="14"/>
          <w:szCs w:val="14"/>
          <w:color w:val="auto"/>
        </w:rPr>
        <w:t>Complete the certification as indicated in items 1 through 5 below.</w:t>
      </w:r>
    </w:p>
    <w:p>
      <w:pPr>
        <w:spacing w:after="0" w:line="28" w:lineRule="exact"/>
        <w:rPr>
          <w:sz w:val="20"/>
          <w:szCs w:val="20"/>
          <w:color w:val="auto"/>
        </w:rPr>
      </w:pPr>
    </w:p>
    <w:p>
      <w:pPr>
        <w:jc w:val="both"/>
        <w:ind w:right="180" w:firstLine="102"/>
        <w:spacing w:after="0" w:line="234" w:lineRule="auto"/>
        <w:tabs>
          <w:tab w:leader="none" w:pos="252"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and barter exchange accounts opened before 1984 and broker accounts considered active during 1983. </w:t>
      </w:r>
      <w:r>
        <w:rPr>
          <w:rFonts w:ascii="Times New Roman" w:cs="Times New Roman" w:eastAsia="Times New Roman" w:hAnsi="Times New Roman"/>
          <w:sz w:val="14"/>
          <w:szCs w:val="14"/>
          <w:color w:val="auto"/>
        </w:rPr>
        <w:t>You must give your correct TIN, but you do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to sign the certification.</w:t>
      </w:r>
    </w:p>
    <w:p>
      <w:pPr>
        <w:spacing w:after="0" w:line="1" w:lineRule="exact"/>
        <w:rPr>
          <w:rFonts w:ascii="Times New Roman" w:cs="Times New Roman" w:eastAsia="Times New Roman" w:hAnsi="Times New Roman"/>
          <w:sz w:val="14"/>
          <w:szCs w:val="14"/>
          <w:b w:val="1"/>
          <w:bCs w:val="1"/>
          <w:color w:val="auto"/>
        </w:rPr>
      </w:pPr>
    </w:p>
    <w:p>
      <w:pPr>
        <w:ind w:right="100" w:firstLine="102"/>
        <w:spacing w:after="0" w:line="233" w:lineRule="auto"/>
        <w:tabs>
          <w:tab w:leader="none" w:pos="252"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broker, and barter exchange accounts opened after 1983 and broker accounts considered inactive during 1983. </w:t>
      </w:r>
      <w:r>
        <w:rPr>
          <w:rFonts w:ascii="Times New Roman" w:cs="Times New Roman" w:eastAsia="Times New Roman" w:hAnsi="Times New Roman"/>
          <w:sz w:val="14"/>
          <w:szCs w:val="14"/>
          <w:color w:val="auto"/>
        </w:rPr>
        <w:t>You must sign the certification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backup withholding will apply. If you are subject to backup withholding and you are merely providing your correct TIN to the requester, you must cross out item 2 in the certification before signing the form.</w:t>
      </w:r>
    </w:p>
    <w:p>
      <w:pPr>
        <w:spacing w:after="0" w:line="1" w:lineRule="exact"/>
        <w:rPr>
          <w:rFonts w:ascii="Times New Roman" w:cs="Times New Roman" w:eastAsia="Times New Roman" w:hAnsi="Times New Roman"/>
          <w:sz w:val="14"/>
          <w:szCs w:val="14"/>
          <w:b w:val="1"/>
          <w:bCs w:val="1"/>
          <w:color w:val="auto"/>
        </w:rPr>
      </w:pPr>
    </w:p>
    <w:p>
      <w:pPr>
        <w:ind w:right="160" w:firstLine="102"/>
        <w:spacing w:after="0" w:line="251" w:lineRule="auto"/>
        <w:tabs>
          <w:tab w:leader="none" w:pos="252"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Real estate transactions. </w:t>
      </w:r>
      <w:r>
        <w:rPr>
          <w:rFonts w:ascii="Times New Roman" w:cs="Times New Roman" w:eastAsia="Times New Roman" w:hAnsi="Times New Roman"/>
          <w:sz w:val="14"/>
          <w:szCs w:val="14"/>
          <w:color w:val="auto"/>
        </w:rPr>
        <w:t>You must sign the certification. You may cross out item 2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certification.</w:t>
      </w:r>
    </w:p>
    <w:p>
      <w:pPr>
        <w:ind w:right="120" w:firstLine="102"/>
        <w:spacing w:after="0" w:line="231" w:lineRule="auto"/>
        <w:tabs>
          <w:tab w:leader="none" w:pos="252" w:val="left"/>
        </w:tabs>
        <w:numPr>
          <w:ilvl w:val="0"/>
          <w:numId w:val="3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payments. </w:t>
      </w:r>
      <w:r>
        <w:rPr>
          <w:rFonts w:ascii="Times New Roman" w:cs="Times New Roman" w:eastAsia="Times New Roman" w:hAnsi="Times New Roman"/>
          <w:sz w:val="14"/>
          <w:szCs w:val="14"/>
          <w:color w:val="auto"/>
        </w:rPr>
        <w:t>You must give your correct TIN, but you do not have to sign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 unless you have been notified that you have previously given an incorrect TIN. “Other payments” include payments made in the course of the requester’s trade or business for rents, royalties,</w:t>
      </w:r>
    </w:p>
    <w:p>
      <w:pPr>
        <w:spacing w:after="0" w:line="200" w:lineRule="exact"/>
        <w:rPr>
          <w:sz w:val="20"/>
          <w:szCs w:val="20"/>
          <w:color w:val="auto"/>
        </w:rPr>
      </w:pPr>
    </w:p>
    <w:p>
      <w:pPr>
        <w:sectPr>
          <w:pgSz w:w="11900" w:h="16838" w:orient="portrait"/>
          <w:cols w:equalWidth="0" w:num="2">
            <w:col w:w="5284" w:space="340"/>
            <w:col w:w="5400"/>
          </w:cols>
          <w:pgMar w:left="436" w:top="25" w:right="439" w:bottom="1440" w:gutter="0" w:footer="0" w:header="0"/>
          <w:type w:val="continuous"/>
        </w:sectPr>
      </w:pPr>
    </w:p>
    <w:p>
      <w:pPr>
        <w:spacing w:after="0" w:line="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310" w:name="page311"/>
    <w:bookmarkEnd w:id="310"/>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right="80"/>
        <w:spacing w:after="0" w:line="233" w:lineRule="auto"/>
        <w:rPr>
          <w:sz w:val="20"/>
          <w:szCs w:val="20"/>
          <w:color w:val="auto"/>
        </w:rPr>
      </w:pPr>
      <w:r>
        <w:rPr>
          <w:rFonts w:ascii="Times New Roman" w:cs="Times New Roman" w:eastAsia="Times New Roman" w:hAnsi="Times New Roman"/>
          <w:sz w:val="14"/>
          <w:szCs w:val="14"/>
          <w:color w:val="auto"/>
        </w:rPr>
        <w:t>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w:t>
      </w:r>
    </w:p>
    <w:p>
      <w:pPr>
        <w:spacing w:after="0" w:line="1" w:lineRule="exact"/>
        <w:rPr>
          <w:sz w:val="20"/>
          <w:szCs w:val="20"/>
          <w:color w:val="auto"/>
        </w:rPr>
      </w:pPr>
    </w:p>
    <w:p>
      <w:pPr>
        <w:ind w:left="4" w:right="120" w:firstLine="102"/>
        <w:spacing w:after="0" w:line="229" w:lineRule="auto"/>
        <w:tabs>
          <w:tab w:leader="none" w:pos="254" w:val="left"/>
        </w:tabs>
        <w:numPr>
          <w:ilvl w:val="0"/>
          <w:numId w:val="3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Times New Roman" w:cs="Times New Roman" w:eastAsia="Times New Roman" w:hAnsi="Times New Roman"/>
          <w:sz w:val="14"/>
          <w:szCs w:val="14"/>
          <w:color w:val="auto"/>
        </w:rPr>
        <w:t>You must give your correct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TIN, but you do not have to sign the certification.</w:t>
      </w:r>
    </w:p>
    <w:p>
      <w:pPr>
        <w:spacing w:after="0" w:line="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What Name and Number To Give the Requester</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2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5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Give name and SSN of:</w:t>
            </w:r>
          </w:p>
        </w:tc>
        <w:tc>
          <w:tcPr>
            <w:tcW w:w="0" w:type="dxa"/>
            <w:vAlign w:val="bottom"/>
          </w:tcPr>
          <w:p>
            <w:pPr>
              <w:spacing w:after="0"/>
              <w:rPr>
                <w:sz w:val="1"/>
                <w:szCs w:val="1"/>
                <w:color w:val="auto"/>
              </w:rPr>
            </w:pPr>
          </w:p>
        </w:tc>
      </w:tr>
      <w:tr>
        <w:trPr>
          <w:trHeight w:val="137"/>
        </w:trPr>
        <w:tc>
          <w:tcPr>
            <w:tcW w:w="2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246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rPr>
              <w:t>Individual</w:t>
            </w:r>
          </w:p>
        </w:tc>
        <w:tc>
          <w:tcPr>
            <w:tcW w:w="25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The individual</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individuals (joint account) other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The actual owner of the account or, if combined</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than an account maintained by an FFI</w:t>
            </w:r>
          </w:p>
        </w:tc>
        <w:tc>
          <w:tcPr>
            <w:tcW w:w="2540" w:type="dxa"/>
            <w:vAlign w:val="bottom"/>
          </w:tcPr>
          <w:p>
            <w:pPr>
              <w:ind w:left="60"/>
              <w:spacing w:after="0" w:line="162" w:lineRule="exact"/>
              <w:rPr>
                <w:sz w:val="20"/>
                <w:szCs w:val="20"/>
                <w:color w:val="auto"/>
              </w:rPr>
            </w:pPr>
            <w:r>
              <w:rPr>
                <w:rFonts w:ascii="Times New Roman" w:cs="Times New Roman" w:eastAsia="Times New Roman" w:hAnsi="Times New Roman"/>
                <w:sz w:val="13"/>
                <w:szCs w:val="13"/>
                <w:color w:val="auto"/>
              </w:rPr>
              <w:t>funds, the first individual on the account</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U.S. persons (joint account</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Each holder of the account</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maintained by an FFI)</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Custodial account of a minor (Uniform Gift to</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minor</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Minors Act)</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 The usual revocable savings trust (grantor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grantor-trustee</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 also trustee)</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b. So-called trust account that is not a legal or</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actual owner</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valid trust under state law</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Sole proprietorship or disregarded entity</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1"/>
                <w:szCs w:val="11"/>
                <w:color w:val="auto"/>
              </w:rPr>
              <w:t>The owner</w:t>
            </w:r>
            <w:r>
              <w:rPr>
                <w:rFonts w:ascii="Times New Roman" w:cs="Times New Roman" w:eastAsia="Times New Roman" w:hAnsi="Times New Roman"/>
                <w:sz w:val="15"/>
                <w:szCs w:val="15"/>
                <w:color w:val="auto"/>
                <w:vertAlign w:val="superscript"/>
              </w:rPr>
              <w:t>3</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owned by an individual</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under Optional Filing</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grantor*</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Method 1 (see Regulations section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1.671-4(b)(2)(i)(A))**</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Disregarded entity not owned by an individual</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owner</w:t>
            </w:r>
          </w:p>
        </w:tc>
        <w:tc>
          <w:tcPr>
            <w:tcW w:w="0" w:type="dxa"/>
            <w:vAlign w:val="bottom"/>
          </w:tcPr>
          <w:p>
            <w:pPr>
              <w:spacing w:after="0"/>
              <w:rPr>
                <w:sz w:val="1"/>
                <w:szCs w:val="1"/>
                <w:color w:val="auto"/>
              </w:rPr>
            </w:pPr>
          </w:p>
        </w:tc>
      </w:tr>
      <w:tr>
        <w:trPr>
          <w:trHeight w:val="176"/>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valid trust, estate, or pension trust</w:t>
            </w:r>
          </w:p>
        </w:tc>
        <w:tc>
          <w:tcPr>
            <w:tcW w:w="2540" w:type="dxa"/>
            <w:vAlign w:val="bottom"/>
          </w:tcPr>
          <w:p>
            <w:pPr>
              <w:ind w:left="60"/>
              <w:spacing w:after="0" w:line="176" w:lineRule="exact"/>
              <w:rPr>
                <w:sz w:val="20"/>
                <w:szCs w:val="20"/>
                <w:color w:val="auto"/>
              </w:rPr>
            </w:pPr>
            <w:r>
              <w:rPr>
                <w:rFonts w:ascii="Times New Roman" w:cs="Times New Roman" w:eastAsia="Times New Roman" w:hAnsi="Times New Roman"/>
                <w:sz w:val="13"/>
                <w:szCs w:val="13"/>
                <w:color w:val="auto"/>
              </w:rPr>
              <w:t>Legal entity</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44"/>
        </w:trPr>
        <w:tc>
          <w:tcPr>
            <w:tcW w:w="2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24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Corporation or LLC electing corporate status</w:t>
            </w:r>
          </w:p>
        </w:tc>
        <w:tc>
          <w:tcPr>
            <w:tcW w:w="25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The corporation</w:t>
            </w:r>
          </w:p>
        </w:tc>
        <w:tc>
          <w:tcPr>
            <w:tcW w:w="0" w:type="dxa"/>
            <w:vAlign w:val="bottom"/>
          </w:tcPr>
          <w:p>
            <w:pPr>
              <w:spacing w:after="0"/>
              <w:rPr>
                <w:sz w:val="1"/>
                <w:szCs w:val="1"/>
                <w:color w:val="auto"/>
              </w:rPr>
            </w:pPr>
          </w:p>
        </w:tc>
      </w:tr>
      <w:tr>
        <w:trPr>
          <w:trHeight w:val="157"/>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on Form 8832 or Form 2553</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0" w:type="dxa"/>
            <w:vAlign w:val="bottom"/>
            <w:vMerge w:val="continue"/>
          </w:tcPr>
          <w:p>
            <w:pPr>
              <w:spacing w:after="0"/>
              <w:rPr>
                <w:sz w:val="12"/>
                <w:szCs w:val="12"/>
                <w:color w:val="auto"/>
              </w:rPr>
            </w:pPr>
          </w:p>
        </w:tc>
        <w:tc>
          <w:tcPr>
            <w:tcW w:w="246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auto"/>
              </w:rPr>
              <w:t>Association, club, religious, charitable,</w:t>
            </w:r>
          </w:p>
        </w:tc>
        <w:tc>
          <w:tcPr>
            <w:tcW w:w="25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auto"/>
              </w:rPr>
              <w:t>The organization</w:t>
            </w:r>
          </w:p>
        </w:tc>
        <w:tc>
          <w:tcPr>
            <w:tcW w:w="0" w:type="dxa"/>
            <w:vAlign w:val="bottom"/>
          </w:tcPr>
          <w:p>
            <w:pPr>
              <w:spacing w:after="0"/>
              <w:rPr>
                <w:sz w:val="1"/>
                <w:szCs w:val="1"/>
                <w:color w:val="auto"/>
              </w:rPr>
            </w:pPr>
          </w:p>
        </w:tc>
      </w:tr>
      <w:tr>
        <w:trPr>
          <w:trHeight w:val="157"/>
        </w:trPr>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educational, or other tax-exempt organization</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 w:type="dxa"/>
            <w:vAlign w:val="bottom"/>
            <w:vMerge w:val="continue"/>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Partnership or multi-member LLC</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partnership</w:t>
            </w:r>
          </w:p>
        </w:tc>
        <w:tc>
          <w:tcPr>
            <w:tcW w:w="0" w:type="dxa"/>
            <w:vAlign w:val="bottom"/>
          </w:tcPr>
          <w:p>
            <w:pPr>
              <w:spacing w:after="0"/>
              <w:rPr>
                <w:sz w:val="1"/>
                <w:szCs w:val="1"/>
                <w:color w:val="auto"/>
              </w:rPr>
            </w:pPr>
          </w:p>
        </w:tc>
      </w:tr>
      <w:tr>
        <w:trPr>
          <w:trHeight w:val="153"/>
        </w:trPr>
        <w:tc>
          <w:tcPr>
            <w:tcW w:w="2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broker or registered nominee</w:t>
            </w:r>
          </w:p>
        </w:tc>
        <w:tc>
          <w:tcPr>
            <w:tcW w:w="2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broker or nominee</w:t>
            </w: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Account with the Department of Agriculture</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public entity</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in the name of a public entity (such as a state</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or local government, school district, or prison)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that receives agricultural program payments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Form 1041 or under the</w:t>
            </w:r>
          </w:p>
        </w:tc>
        <w:tc>
          <w:tcPr>
            <w:tcW w:w="25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The trust</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Optional Filing Method 2, requiring Form</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1099 (see Regulations section</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1.671-4(b)(2)(i)(B))**</w:t>
            </w:r>
          </w:p>
        </w:tc>
        <w:tc>
          <w:tcPr>
            <w:tcW w:w="2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right="60" w:hanging="4"/>
        <w:spacing w:after="0" w:line="251" w:lineRule="auto"/>
        <w:tabs>
          <w:tab w:leader="none" w:pos="94" w:val="left"/>
        </w:tabs>
        <w:numPr>
          <w:ilvl w:val="0"/>
          <w:numId w:val="37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person whose number you furnish. If only one person on a joint account has an SSN, that person’s number must be furnished.</w:t>
      </w:r>
    </w:p>
    <w:p>
      <w:pPr>
        <w:spacing w:after="0" w:line="1" w:lineRule="exact"/>
        <w:rPr>
          <w:sz w:val="20"/>
          <w:szCs w:val="20"/>
          <w:color w:val="auto"/>
        </w:rPr>
      </w:pPr>
    </w:p>
    <w:p>
      <w:pPr>
        <w:ind w:left="84" w:hanging="84"/>
        <w:spacing w:after="0"/>
        <w:tabs>
          <w:tab w:leader="none" w:pos="84" w:val="left"/>
        </w:tabs>
        <w:numPr>
          <w:ilvl w:val="0"/>
          <w:numId w:val="37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Circle the minor’s name and furnish the minor’s SSN.</w:t>
      </w:r>
    </w:p>
    <w:p>
      <w:pPr>
        <w:spacing w:after="0" w:line="27" w:lineRule="exact"/>
        <w:rPr>
          <w:sz w:val="20"/>
          <w:szCs w:val="20"/>
          <w:color w:val="auto"/>
        </w:rPr>
      </w:pPr>
    </w:p>
    <w:p>
      <w:pPr>
        <w:ind w:left="4" w:right="80" w:hanging="4"/>
        <w:spacing w:after="0" w:line="234" w:lineRule="auto"/>
        <w:tabs>
          <w:tab w:leader="none" w:pos="94" w:val="left"/>
        </w:tabs>
        <w:numPr>
          <w:ilvl w:val="0"/>
          <w:numId w:val="38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You must show your individual name on line 1, and enter your business or DBA name, if any, on line 2. You may use either your SSN or EIN (if you have one), but the IRS encourages you to use your SSN.</w:t>
      </w:r>
    </w:p>
    <w:p>
      <w:pPr>
        <w:spacing w:after="0" w:line="2" w:lineRule="exact"/>
        <w:rPr>
          <w:sz w:val="20"/>
          <w:szCs w:val="20"/>
          <w:color w:val="auto"/>
        </w:rPr>
      </w:pPr>
    </w:p>
    <w:p>
      <w:pPr>
        <w:jc w:val="both"/>
        <w:ind w:left="4" w:right="40" w:hanging="4"/>
        <w:spacing w:after="0" w:line="241" w:lineRule="auto"/>
        <w:tabs>
          <w:tab w:leader="none" w:pos="94" w:val="left"/>
        </w:tabs>
        <w:numPr>
          <w:ilvl w:val="0"/>
          <w:numId w:val="38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trust, estate, or pension trust. (Do not furnish the TIN of the personal representative or trustee unless the legal entity itself is not designated in the account title.)</w:t>
      </w:r>
    </w:p>
    <w:p>
      <w:pPr>
        <w:ind w:left="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xml:space="preserve"> The grantor must also provide a Form W-9 to the trustee of the trust.</w:t>
      </w:r>
    </w:p>
    <w:p>
      <w:pPr>
        <w:spacing w:after="0" w:line="28" w:lineRule="exact"/>
        <w:rPr>
          <w:sz w:val="20"/>
          <w:szCs w:val="20"/>
          <w:color w:val="auto"/>
        </w:rPr>
      </w:pPr>
    </w:p>
    <w:p>
      <w:pPr>
        <w:ind w:left="4" w:right="120" w:hanging="4"/>
        <w:spacing w:after="0" w:line="241" w:lineRule="auto"/>
        <w:tabs>
          <w:tab w:leader="none" w:pos="184"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on optional filing methods for grantor trusts, see the Instructions for Form 1041.</w:t>
      </w:r>
    </w:p>
    <w:p>
      <w:pPr>
        <w:spacing w:after="0" w:line="1" w:lineRule="exact"/>
        <w:rPr>
          <w:sz w:val="20"/>
          <w:szCs w:val="20"/>
          <w:color w:val="auto"/>
        </w:rPr>
      </w:pPr>
    </w:p>
    <w:p>
      <w:pPr>
        <w:ind w:left="4" w:right="5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no name is circled when more than one name is listed, the number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considered to be that of the first name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Secure Your Tax Records From Identity Theft</w:t>
      </w:r>
    </w:p>
    <w:p>
      <w:pPr>
        <w:spacing w:after="0" w:line="33" w:lineRule="exact"/>
        <w:rPr>
          <w:sz w:val="20"/>
          <w:szCs w:val="20"/>
          <w:color w:val="auto"/>
        </w:rPr>
      </w:pPr>
    </w:p>
    <w:p>
      <w:pPr>
        <w:ind w:left="6" w:right="20"/>
        <w:spacing w:after="0" w:line="233" w:lineRule="auto"/>
        <w:rPr>
          <w:sz w:val="20"/>
          <w:szCs w:val="20"/>
          <w:color w:val="auto"/>
        </w:rPr>
      </w:pPr>
      <w:r>
        <w:rPr>
          <w:rFonts w:ascii="Times New Roman" w:cs="Times New Roman" w:eastAsia="Times New Roman" w:hAnsi="Times New Roman"/>
          <w:sz w:val="14"/>
          <w:szCs w:val="14"/>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2"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To reduce your risk:</w:t>
      </w:r>
    </w:p>
    <w:p>
      <w:pPr>
        <w:spacing w:after="0" w:line="28" w:lineRule="exact"/>
        <w:rPr>
          <w:sz w:val="20"/>
          <w:szCs w:val="20"/>
          <w:color w:val="auto"/>
        </w:rPr>
      </w:pPr>
    </w:p>
    <w:p>
      <w:pPr>
        <w:ind w:left="86" w:hanging="86"/>
        <w:spacing w:after="0"/>
        <w:tabs>
          <w:tab w:leader="none" w:pos="86"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your SSN,</w:t>
      </w:r>
    </w:p>
    <w:p>
      <w:pPr>
        <w:spacing w:after="0" w:line="27" w:lineRule="exact"/>
        <w:rPr>
          <w:rFonts w:ascii="Times New Roman" w:cs="Times New Roman" w:eastAsia="Times New Roman" w:hAnsi="Times New Roman"/>
          <w:sz w:val="14"/>
          <w:szCs w:val="14"/>
          <w:color w:val="auto"/>
        </w:rPr>
      </w:pPr>
    </w:p>
    <w:p>
      <w:pPr>
        <w:ind w:left="86" w:hanging="86"/>
        <w:spacing w:after="0"/>
        <w:tabs>
          <w:tab w:leader="none" w:pos="86"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your employer is protecting your SSN, and</w:t>
      </w:r>
    </w:p>
    <w:p>
      <w:pPr>
        <w:spacing w:after="0" w:line="15" w:lineRule="exact"/>
        <w:rPr>
          <w:rFonts w:ascii="Times New Roman" w:cs="Times New Roman" w:eastAsia="Times New Roman" w:hAnsi="Times New Roman"/>
          <w:sz w:val="14"/>
          <w:szCs w:val="14"/>
          <w:color w:val="auto"/>
        </w:rPr>
      </w:pPr>
    </w:p>
    <w:p>
      <w:pPr>
        <w:ind w:left="86" w:hanging="86"/>
        <w:spacing w:after="0"/>
        <w:tabs>
          <w:tab w:leader="none" w:pos="86"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careful when choosing a tax return preparer.</w:t>
      </w:r>
    </w:p>
    <w:p>
      <w:pPr>
        <w:spacing w:after="0" w:line="28" w:lineRule="exact"/>
        <w:rPr>
          <w:sz w:val="20"/>
          <w:szCs w:val="20"/>
          <w:color w:val="auto"/>
        </w:rPr>
      </w:pPr>
    </w:p>
    <w:p>
      <w:pPr>
        <w:ind w:left="6" w:right="320" w:firstLine="108"/>
        <w:spacing w:after="0" w:line="250" w:lineRule="auto"/>
        <w:rPr>
          <w:sz w:val="20"/>
          <w:szCs w:val="20"/>
          <w:color w:val="auto"/>
        </w:rPr>
      </w:pPr>
      <w:r>
        <w:rPr>
          <w:rFonts w:ascii="Times New Roman" w:cs="Times New Roman" w:eastAsia="Times New Roman" w:hAnsi="Times New Roman"/>
          <w:sz w:val="14"/>
          <w:szCs w:val="14"/>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left="6" w:right="80" w:firstLine="108"/>
        <w:spacing w:after="0" w:line="234" w:lineRule="auto"/>
        <w:rPr>
          <w:sz w:val="20"/>
          <w:szCs w:val="20"/>
          <w:color w:val="auto"/>
        </w:rPr>
      </w:pPr>
      <w:r>
        <w:rPr>
          <w:rFonts w:ascii="Times New Roman" w:cs="Times New Roman" w:eastAsia="Times New Roman" w:hAnsi="Times New Roman"/>
          <w:sz w:val="14"/>
          <w:szCs w:val="14"/>
          <w:color w:val="auto"/>
        </w:rPr>
        <w:t>If your tax records are not currently affected by identity theft but you think you are at risk due to a lost or stolen purse or wallet, questionable credit card activity, or a questionable credit report, contact the IRS Identity Theft Hotline at 800-908-4490 or submit Form 14039.</w:t>
      </w:r>
    </w:p>
    <w:p>
      <w:pPr>
        <w:spacing w:after="0" w:line="2" w:lineRule="exact"/>
        <w:rPr>
          <w:sz w:val="20"/>
          <w:szCs w:val="20"/>
          <w:color w:val="auto"/>
        </w:rPr>
      </w:pPr>
    </w:p>
    <w:p>
      <w:pPr>
        <w:ind w:left="106"/>
        <w:spacing w:after="0"/>
        <w:rPr>
          <w:sz w:val="20"/>
          <w:szCs w:val="20"/>
          <w:color w:val="auto"/>
        </w:rPr>
      </w:pPr>
      <w:r>
        <w:rPr>
          <w:rFonts w:ascii="Times New Roman" w:cs="Times New Roman" w:eastAsia="Times New Roman" w:hAnsi="Times New Roman"/>
          <w:sz w:val="14"/>
          <w:szCs w:val="14"/>
          <w:color w:val="auto"/>
        </w:rPr>
        <w:t>For more information, see Pub. 5027, Identity Theft Information for Taxpayers.</w:t>
      </w:r>
    </w:p>
    <w:p>
      <w:pPr>
        <w:spacing w:after="0" w:line="28" w:lineRule="exact"/>
        <w:rPr>
          <w:sz w:val="20"/>
          <w:szCs w:val="20"/>
          <w:color w:val="auto"/>
        </w:rPr>
      </w:pPr>
    </w:p>
    <w:p>
      <w:pPr>
        <w:ind w:left="6" w:right="220" w:firstLine="108"/>
        <w:spacing w:after="0" w:line="233" w:lineRule="auto"/>
        <w:rPr>
          <w:sz w:val="20"/>
          <w:szCs w:val="20"/>
          <w:color w:val="auto"/>
        </w:rPr>
      </w:pPr>
      <w:r>
        <w:rPr>
          <w:rFonts w:ascii="Times New Roman" w:cs="Times New Roman" w:eastAsia="Times New Roman" w:hAnsi="Times New Roman"/>
          <w:sz w:val="14"/>
          <w:szCs w:val="14"/>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w:t>
      </w:r>
    </w:p>
    <w:p>
      <w:pPr>
        <w:ind w:left="6"/>
        <w:spacing w:after="0" w:line="227" w:lineRule="auto"/>
        <w:rPr>
          <w:sz w:val="20"/>
          <w:szCs w:val="20"/>
          <w:color w:val="auto"/>
        </w:rPr>
      </w:pPr>
      <w:r>
        <w:rPr>
          <w:rFonts w:ascii="Times New Roman" w:cs="Times New Roman" w:eastAsia="Times New Roman" w:hAnsi="Times New Roman"/>
          <w:sz w:val="14"/>
          <w:szCs w:val="14"/>
          <w:b w:val="1"/>
          <w:bCs w:val="1"/>
          <w:color w:val="auto"/>
        </w:rPr>
        <w:t>Protect yourself from suspicious emails or phishing schemes.</w:t>
      </w:r>
    </w:p>
    <w:p>
      <w:pPr>
        <w:ind w:left="6" w:right="60"/>
        <w:spacing w:after="0" w:line="230" w:lineRule="auto"/>
        <w:rPr>
          <w:sz w:val="20"/>
          <w:szCs w:val="20"/>
          <w:color w:val="auto"/>
        </w:rPr>
      </w:pPr>
      <w:r>
        <w:rPr>
          <w:rFonts w:ascii="Times New Roman" w:cs="Times New Roman" w:eastAsia="Times New Roman" w:hAnsi="Times New Roman"/>
          <w:sz w:val="14"/>
          <w:szCs w:val="14"/>
          <w:color w:val="auto"/>
        </w:rPr>
        <w:t>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1" w:lineRule="exact"/>
        <w:rPr>
          <w:sz w:val="20"/>
          <w:szCs w:val="20"/>
          <w:color w:val="auto"/>
        </w:rPr>
      </w:pPr>
    </w:p>
    <w:p>
      <w:pPr>
        <w:ind w:left="6" w:right="20" w:firstLine="108"/>
        <w:spacing w:after="0"/>
        <w:rPr>
          <w:sz w:val="20"/>
          <w:szCs w:val="20"/>
          <w:color w:val="auto"/>
        </w:rPr>
      </w:pPr>
      <w:r>
        <w:rPr>
          <w:rFonts w:ascii="Times New Roman" w:cs="Times New Roman" w:eastAsia="Times New Roman" w:hAnsi="Times New Roman"/>
          <w:sz w:val="14"/>
          <w:szCs w:val="14"/>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152" w:lineRule="exact"/>
        <w:rPr>
          <w:sz w:val="20"/>
          <w:szCs w:val="20"/>
          <w:color w:val="auto"/>
        </w:rPr>
      </w:pPr>
    </w:p>
    <w:p>
      <w:pPr>
        <w:ind w:left="6" w:right="40" w:firstLine="108"/>
        <w:spacing w:after="0" w:line="229" w:lineRule="auto"/>
        <w:rPr>
          <w:sz w:val="20"/>
          <w:szCs w:val="20"/>
          <w:color w:val="auto"/>
        </w:rPr>
      </w:pPr>
      <w:r>
        <w:rPr>
          <w:rFonts w:ascii="Times New Roman" w:cs="Times New Roman" w:eastAsia="Times New Roman" w:hAnsi="Times New Roman"/>
          <w:sz w:val="14"/>
          <w:szCs w:val="14"/>
          <w:color w:val="auto"/>
        </w:rPr>
        <w:t xml:space="preserve">If you receive an unsolicited email claiming to be from the IRS, forward this message to </w:t>
      </w:r>
      <w:r>
        <w:rPr>
          <w:rFonts w:ascii="Times New Roman" w:cs="Times New Roman" w:eastAsia="Times New Roman" w:hAnsi="Times New Roman"/>
          <w:sz w:val="14"/>
          <w:szCs w:val="14"/>
          <w:i w:val="1"/>
          <w:iCs w:val="1"/>
          <w:color w:val="auto"/>
        </w:rPr>
        <w:t>phishing@irs.gov</w:t>
      </w:r>
      <w:r>
        <w:rPr>
          <w:rFonts w:ascii="Times New Roman" w:cs="Times New Roman" w:eastAsia="Times New Roman" w:hAnsi="Times New Roman"/>
          <w:sz w:val="14"/>
          <w:szCs w:val="14"/>
          <w:color w:val="auto"/>
        </w:rPr>
        <w:t>. You may also report misuse of the IRS name, logo, or other IRS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the Treasury Inspector General for Tax Administration (TIGTA) at 800-366-4484. You can forward suspicious emails to the Federal Trade Commission at </w:t>
      </w:r>
      <w:r>
        <w:rPr>
          <w:rFonts w:ascii="Times New Roman" w:cs="Times New Roman" w:eastAsia="Times New Roman" w:hAnsi="Times New Roman"/>
          <w:sz w:val="14"/>
          <w:szCs w:val="14"/>
          <w:i w:val="1"/>
          <w:iCs w:val="1"/>
          <w:color w:val="auto"/>
        </w:rPr>
        <w:t>spam@uce.gov</w:t>
      </w:r>
      <w:r>
        <w:rPr>
          <w:rFonts w:ascii="Times New Roman" w:cs="Times New Roman" w:eastAsia="Times New Roman" w:hAnsi="Times New Roman"/>
          <w:sz w:val="14"/>
          <w:szCs w:val="14"/>
          <w:color w:val="auto"/>
        </w:rPr>
        <w:t xml:space="preserve"> or report them at </w:t>
      </w:r>
      <w:r>
        <w:rPr>
          <w:rFonts w:ascii="Times New Roman" w:cs="Times New Roman" w:eastAsia="Times New Roman" w:hAnsi="Times New Roman"/>
          <w:sz w:val="14"/>
          <w:szCs w:val="14"/>
          <w:i w:val="1"/>
          <w:iCs w:val="1"/>
          <w:color w:val="auto"/>
        </w:rPr>
        <w:t>www.ftc.gov/complaint</w:t>
      </w:r>
      <w:r>
        <w:rPr>
          <w:rFonts w:ascii="Times New Roman" w:cs="Times New Roman" w:eastAsia="Times New Roman" w:hAnsi="Times New Roman"/>
          <w:sz w:val="14"/>
          <w:szCs w:val="14"/>
          <w:color w:val="auto"/>
        </w:rPr>
        <w:t xml:space="preserve">. You can contact the FTC at </w:t>
      </w:r>
      <w:r>
        <w:rPr>
          <w:rFonts w:ascii="Times New Roman" w:cs="Times New Roman" w:eastAsia="Times New Roman" w:hAnsi="Times New Roman"/>
          <w:sz w:val="14"/>
          <w:szCs w:val="14"/>
          <w:i w:val="1"/>
          <w:iCs w:val="1"/>
          <w:color w:val="auto"/>
        </w:rPr>
        <w:t>www.ftc.gov/idtheft</w:t>
      </w:r>
      <w:r>
        <w:rPr>
          <w:rFonts w:ascii="Times New Roman" w:cs="Times New Roman" w:eastAsia="Times New Roman" w:hAnsi="Times New Roman"/>
          <w:sz w:val="14"/>
          <w:szCs w:val="14"/>
          <w:color w:val="auto"/>
        </w:rPr>
        <w:t xml:space="preserve"> or 877-IDTHEFT (877-438-4338). If you have been the victim of identity theft, see </w:t>
      </w:r>
      <w:r>
        <w:rPr>
          <w:rFonts w:ascii="Times New Roman" w:cs="Times New Roman" w:eastAsia="Times New Roman" w:hAnsi="Times New Roman"/>
          <w:sz w:val="14"/>
          <w:szCs w:val="14"/>
          <w:i w:val="1"/>
          <w:iCs w:val="1"/>
          <w:color w:val="auto"/>
        </w:rPr>
        <w:t>www.IdentityTheft.gov</w:t>
      </w:r>
      <w:r>
        <w:rPr>
          <w:rFonts w:ascii="Times New Roman" w:cs="Times New Roman" w:eastAsia="Times New Roman" w:hAnsi="Times New Roman"/>
          <w:sz w:val="14"/>
          <w:szCs w:val="14"/>
          <w:color w:val="auto"/>
        </w:rPr>
        <w:t xml:space="preserve"> and Pub. 5027.</w:t>
      </w:r>
    </w:p>
    <w:p>
      <w:pPr>
        <w:spacing w:after="0" w:line="4" w:lineRule="exact"/>
        <w:rPr>
          <w:sz w:val="20"/>
          <w:szCs w:val="20"/>
          <w:color w:val="auto"/>
        </w:rPr>
      </w:pPr>
    </w:p>
    <w:p>
      <w:pPr>
        <w:ind w:left="6" w:right="120" w:firstLine="108"/>
        <w:spacing w:after="0" w:line="243" w:lineRule="auto"/>
        <w:rPr>
          <w:sz w:val="20"/>
          <w:szCs w:val="20"/>
          <w:color w:val="auto"/>
        </w:rPr>
      </w:pP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i w:val="1"/>
          <w:iCs w:val="1"/>
          <w:color w:val="auto"/>
        </w:rPr>
        <w:t>www.irs.gov/IdentityTheft</w:t>
      </w:r>
      <w:r>
        <w:rPr>
          <w:rFonts w:ascii="Times New Roman" w:cs="Times New Roman" w:eastAsia="Times New Roman" w:hAnsi="Times New Roman"/>
          <w:sz w:val="14"/>
          <w:szCs w:val="14"/>
          <w:color w:val="auto"/>
        </w:rPr>
        <w:t xml:space="preserve"> to learn more about identity theft and how to reduce your risk.</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Privacy Act Notice</w:t>
      </w:r>
    </w:p>
    <w:p>
      <w:pPr>
        <w:spacing w:after="0" w:line="39" w:lineRule="exact"/>
        <w:rPr>
          <w:sz w:val="20"/>
          <w:szCs w:val="20"/>
          <w:color w:val="auto"/>
        </w:rPr>
      </w:pPr>
    </w:p>
    <w:p>
      <w:pPr>
        <w:ind w:left="6" w:right="20"/>
        <w:spacing w:after="0" w:line="225" w:lineRule="auto"/>
        <w:rPr>
          <w:sz w:val="20"/>
          <w:szCs w:val="20"/>
          <w:color w:val="auto"/>
        </w:rPr>
      </w:pPr>
      <w:r>
        <w:rPr>
          <w:rFonts w:ascii="Times New Roman" w:cs="Times New Roman" w:eastAsia="Times New Roman" w:hAnsi="Times New Roman"/>
          <w:sz w:val="14"/>
          <w:szCs w:val="14"/>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p>
    <w:p>
      <w:pPr>
        <w:spacing w:after="0" w:line="623" w:lineRule="exact"/>
        <w:rPr>
          <w:sz w:val="20"/>
          <w:szCs w:val="20"/>
          <w:color w:val="auto"/>
        </w:rPr>
      </w:pPr>
    </w:p>
    <w:p>
      <w:pPr>
        <w:sectPr>
          <w:pgSz w:w="11900" w:h="16838" w:orient="portrait"/>
          <w:cols w:equalWidth="0" w:num="2">
            <w:col w:w="5284" w:space="334"/>
            <w:col w:w="5406"/>
          </w:cols>
          <w:pgMar w:left="436" w:top="25" w:right="439" w:bottom="1440" w:gutter="0" w:footer="0" w:header="0"/>
          <w:type w:val="continuous"/>
        </w:sectPr>
      </w:pPr>
    </w:p>
    <w:p>
      <w:pPr>
        <w:spacing w:after="0" w:line="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BioNTech SE – COY BNSB</w:t>
      </w:r>
    </w:p>
    <w:p>
      <w:pPr>
        <w:sectPr>
          <w:pgSz w:w="11900" w:h="16838" w:orient="portrait"/>
          <w:cols w:equalWidth="0" w:num="1">
            <w:col w:w="11024"/>
          </w:cols>
          <w:pgMar w:left="436" w:top="25" w:right="439" w:bottom="1440" w:gutter="0" w:footer="0" w:header="0"/>
          <w:type w:val="continuous"/>
        </w:sectPr>
      </w:pPr>
    </w:p>
    <w:bookmarkStart w:id="311" w:name="page312"/>
    <w:bookmarkEnd w:id="311"/>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Agent for the Exchange Offer is:</w:t>
      </w: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Georgeson LLC</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 West 52nd Street, 6th Floor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Call Collect (732) 353-1948</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Call Toll-Free (888) 686-7195</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Email: Curevacoffer@georgeson.com</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Computershare Trust Company, N.A.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38"/>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spacing w:after="0"/>
              <w:rPr>
                <w:sz w:val="20"/>
                <w:szCs w:val="20"/>
                <w:color w:val="auto"/>
              </w:rPr>
            </w:pPr>
          </w:p>
        </w:tc>
      </w:tr>
      <w:tr>
        <w:trPr>
          <w:trHeight w:val="427"/>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9180"/>
          </w:cols>
          <w:pgMar w:left="1360" w:top="268" w:right="135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6299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4">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THE EXCHANGE OFFER (AS DEFINED BELOW) AND WITHDRAWAL RIGHTS WILL EXPIRE AT 9:00 A.M., NEW YORK CITY TIME, ON DECEMBER 3, 2025, UNLESS THE EXCHANGE OFFER IS EXTENDED OR TERMINATED (SUCH TIME AS IT MAY BE EXTENDED, THE “EXPIRATION TIME”). SHARES TENDERED PURSUANT TO THE EXCHANGE OFFER MAY BE WITHDRAWN AT ANY TIME PRIOR TO THE EXPIRATION TIME.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Brokers, Dealers, Commercial Banks, Trust Companies, and Other Nominees: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the offer to exchange/prospectus dated October 21, 2025 (the “Exchange Offer Prospectus”) and the related letter of transmittal (the “Letter of Transmittal”), including instructions therefor, which, together with any amendments or supplements thereto, constitute the offer to exchange (the “Exchange Offer”),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is offering to exchange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8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asking you to furnish copies of the enclosed materials to your clients for whom you hold CureVac Shares, whether such shares are registered in your name or in the name of your nominee. You will be reimbursed for customary mailing and handling expenses incurred by you in forwarding any of the enclosed materials to your clients. No stock transfer taxes will generally be payable as a result of the transaction.</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described in the Exchange Offer Prospectus, BioNTech is not conducting the Exchange Offer in any jurisdiction where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w:t>
      </w:r>
    </w:p>
    <w:p>
      <w:pPr>
        <w:sectPr>
          <w:pgSz w:w="11900" w:h="16838" w:orient="portrait"/>
          <w:cols w:equalWidth="0" w:num="1">
            <w:col w:w="11020"/>
          </w:cols>
          <w:pgMar w:left="440" w:top="117" w:right="439" w:bottom="1440" w:gutter="0" w:footer="0" w:header="0"/>
        </w:sectPr>
      </w:pPr>
    </w:p>
    <w:bookmarkStart w:id="313" w:name="page314"/>
    <w:bookmarkEnd w:id="31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broker, dealer, commercial bank, trust company, or other nominee or fiduciary shall be deemed to be the agent of BioNTech, CureVac, the Exchange Agent, or the Information Agent for purposes of the Exchange Offer.</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EXCHANGE OFFER IS SUBJECT TO A NUMBER OF CONDITIONS DESCRIBED IN THE EXCHANGE OFFER PROSPECTUS UNDER “THE OFFER — ANTITRUST APPROVALS,” “THE OFFER — OTHER REGULATORY APPROVALS,” AND “THE PURCHASE AGREEMENT</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CONDITIONS TO CLOSING OF THE OFFER.” The conditions must be satisfied at or prior to the expiration of the Exchange Offer (or waived by CureVac and/or BioNTech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shares. Please see the Exchange Offer Prospectus, which you should read carefully and in its entirety, for a description of these conditions.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CureVac Shares, registered in your name or in the name of your nominee, we are enclosing the following documents:</w:t>
      </w:r>
    </w:p>
    <w:p>
      <w:pPr>
        <w:spacing w:after="0" w:line="67" w:lineRule="exact"/>
        <w:rPr>
          <w:sz w:val="20"/>
          <w:szCs w:val="20"/>
          <w:color w:val="auto"/>
        </w:rPr>
      </w:pPr>
    </w:p>
    <w:p>
      <w:pPr>
        <w:ind w:left="960" w:hanging="532"/>
        <w:spacing w:after="0"/>
        <w:tabs>
          <w:tab w:leader="none" w:pos="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Solicitation/Recommendation Statement on Schedule 14D-9 of CureVac;</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form of Letter of Transmittal for your use in accepting the Exchange Offer and tendering CureVac Shares, including instructions therefor;</w:t>
      </w:r>
    </w:p>
    <w:p>
      <w:pPr>
        <w:spacing w:after="0" w:line="14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Form W-9 for tendering CureVac shareholders who are U.S. persons, enclosed with the Letter of Transmittal;</w:t>
      </w:r>
    </w:p>
    <w:p>
      <w:pPr>
        <w:spacing w:after="0" w:line="130"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to Clients, which may be sent to your clients for whose accounts you hold CureVac Shares registered in your name or in the name of your nominee, with space for obtaining such clients’ instructions with regard to the Exchange Offer;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Notice of Withdrawal for use in withdrawing CureVac Shares previously tendered in the Exchange Offer.</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8"/>
          <w:szCs w:val="18"/>
          <w:i w:val="1"/>
          <w:iCs w:val="1"/>
          <w:color w:val="auto"/>
        </w:rPr>
        <w:t>Bundesanstalt für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Finanzdienstleistungsaufsicht</w:t>
      </w:r>
      <w:r>
        <w:rPr>
          <w:rFonts w:ascii="Times New Roman" w:cs="Times New Roman" w:eastAsia="Times New Roman" w:hAnsi="Times New Roman"/>
          <w:sz w:val="18"/>
          <w:szCs w:val="18"/>
          <w:color w:val="auto"/>
        </w:rPr>
        <w:t>) and notified to the competent authorities in Austria, France, Italy, The Netherlands, and Spain is available free of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website of BioNTech (https://investors.biontech.de/eea-switzerland-disclaimer).</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persons in the United Kingdom, a UK exemption document for the public offer of BioNTech ADSs in the United Kingdom is available free of charge on the website of BioNTech (https://investors.biontech.de/uk-disclaimer).</w:t>
      </w:r>
    </w:p>
    <w:p>
      <w:pPr>
        <w:spacing w:after="0" w:line="16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 xml:space="preserve">YOUR PROMPT ACTION IS REQUESTED. WE URGE YOU TO CONTACT YOUR CLIENTS AS PROMPTLY AS POSSIBLE. PLEASE NOTE THAT THE EXCHANGE OFFER AND WITHDRAWAL RIGHTS EXPIRE AT 9:00 A.M., NEW YORK CITY TIME, ON DECEMBER 3, 2025, UNLESS THE EXCHANGE OFFER IS EXTENDED OR TERMINATED. </w:t>
      </w:r>
      <w:r>
        <w:rPr>
          <w:rFonts w:ascii="Times New Roman" w:cs="Times New Roman" w:eastAsia="Times New Roman" w:hAnsi="Times New Roman"/>
          <w:sz w:val="17"/>
          <w:szCs w:val="17"/>
          <w:b w:val="1"/>
          <w:bCs w:val="1"/>
          <w:color w:val="auto"/>
        </w:rPr>
        <w:t>BECAUSE BIONTECH IS NOT PROVIDING FOR GUARANTEED</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DELIVERY PROCEDURES, A HOLDER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pacing w:after="0" w:line="18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CureVac Shares tendered pursuant to the Exchange Offer may be withdrawn at any time prior to the Expiration Time. Once BioNTech (or BioNTech’s assignee, if applicable) accepts CureVac Shares tendered pursuant to the Exchange Offer, the tender is irrevocable; provided that, if BioNTech (or BioNTech’s assignee, if applicable) has not yet accepted CureVac Shares tendered for exchange, any CureVac shareholder may withdraw its tendered</w:t>
      </w:r>
    </w:p>
    <w:p>
      <w:pPr>
        <w:sectPr>
          <w:pgSz w:w="11900" w:h="16838" w:orient="portrait"/>
          <w:cols w:equalWidth="0" w:num="1">
            <w:col w:w="11000"/>
          </w:cols>
          <w:pgMar w:left="440" w:top="270" w:right="459" w:bottom="1440" w:gutter="0" w:footer="0" w:header="0"/>
        </w:sectPr>
      </w:pPr>
    </w:p>
    <w:bookmarkStart w:id="314" w:name="page315"/>
    <w:bookmarkEnd w:id="3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CureVac Shares after the 60th business day following commencement of the Exchange Offer pursuant to Section 14(d)(5) of the Exchange Act.</w:t>
      </w:r>
    </w:p>
    <w:p>
      <w:pPr>
        <w:spacing w:after="0" w:line="225"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BioNTech will not pay any fees or commission to any broker, dealer, commercial bank, trust company, or other nominee (other than to the dealer managers, financial advisors, information agent, or exchange agent for soliciting tenders of CureVac Shares pursuant to the terms of the Exchange Offer). BioNTech will, however, upon request, reimburse brokers, dealers, commercial banks, trust companies, and other nominees for reasonable and necessary costs and expenses incurred by them in forwarding materials to their customers.</w:t>
      </w:r>
    </w:p>
    <w:p>
      <w:pPr>
        <w:spacing w:after="0" w:line="180" w:lineRule="exact"/>
        <w:rPr>
          <w:sz w:val="20"/>
          <w:szCs w:val="20"/>
          <w:color w:val="auto"/>
        </w:rPr>
      </w:pPr>
    </w:p>
    <w:p>
      <w:pPr>
        <w:ind w:left="4" w:right="200"/>
        <w:spacing w:after="0" w:line="272" w:lineRule="auto"/>
        <w:rPr>
          <w:sz w:val="20"/>
          <w:szCs w:val="20"/>
          <w:color w:val="auto"/>
        </w:rPr>
      </w:pPr>
      <w:r>
        <w:rPr>
          <w:rFonts w:ascii="Times New Roman" w:cs="Times New Roman" w:eastAsia="Times New Roman" w:hAnsi="Times New Roman"/>
          <w:sz w:val="17"/>
          <w:szCs w:val="17"/>
          <w:color w:val="auto"/>
        </w:rPr>
        <w:t>The exchange of CureVac Shares validly tendered and accepted for exchange pursuant to the Exchange Offer will be made only after timely receipt by the Exchange Agent of (i) a Letter of Transmittal for CureVac Shares, duly completed and properly executed (including any signature guarantees that may be required), or, in the case of CureVac Shares held in “street name” and delivered by book-entry transfer through the DTC, an Agent’s Message,</w:t>
      </w:r>
    </w:p>
    <w:p>
      <w:pPr>
        <w:spacing w:after="0" w:line="2" w:lineRule="exact"/>
        <w:rPr>
          <w:sz w:val="20"/>
          <w:szCs w:val="20"/>
          <w:color w:val="auto"/>
        </w:rPr>
      </w:pPr>
    </w:p>
    <w:p>
      <w:pPr>
        <w:ind w:left="4" w:right="80" w:hanging="4"/>
        <w:spacing w:after="0" w:line="255" w:lineRule="auto"/>
        <w:tabs>
          <w:tab w:leader="none" w:pos="26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of book-entry transfer into the Exchange Agent’s account at DTC of the CureVac Shares tendered by book-entry transfer (pursuant to the procedures set forth in “The Offer — Procedures for Tendering” in the Exchange Offer Prospectus); and (iii) any other documents required by the Letter of Transmittal.</w:t>
      </w:r>
    </w:p>
    <w:p>
      <w:pPr>
        <w:spacing w:after="0" w:line="18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All tendering CureVac shareholders, by executing the Letter of Transmittal or causing an Agent’s Message to be delivered, waive any right to receive any notice of the acceptance of their CureVac Shares for exchange.</w:t>
      </w:r>
    </w:p>
    <w:p>
      <w:pPr>
        <w:spacing w:after="0" w:line="162"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Additional copies of the enclosed materials may be obtained by contacting Georgeson LLC, the Information Agent for the Exchange Offer, at (888) 686-7195 (toll-free for all shareholders in the United States) and (732) 353-1948 (all others outside of the United States) or by email at Curevacoffer@georgeson.com. You may also contact the Information Agent for assistance with any questions you may have about the Exchange Offer.</w:t>
      </w:r>
    </w:p>
    <w:p>
      <w:pPr>
        <w:spacing w:after="0" w:line="158"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NOTHING HEREIN OR IN THE ENCLOSED DOCUMENTS SHALL CONSTITUTE YOU OR ANY OTHER PERSON AS AN AGENT OF BIONTECH, CUREVAC, THE EXCHANGE AGENT, THE INFORMATION AGENT, OR ANY SUBSIDIARY OR AFFILIATE OF ANY OF THE FOREGOING, OR AUTHORIZE YOU OR ANY OTHER PERSON TO USE ANY DOCUMENT OR MAKE ANY STATEMENTS ON BEHALF OF ANY OF THEM WITH RESPECT TO THE EXCHANGE OFFER, EXCEPT FOR THE DOCUMENTS ENCLOSED HEREWITH AND STATEMENTS EXPRESSLY MADE THEREIN.</w:t>
      </w:r>
    </w:p>
    <w:p>
      <w:pPr>
        <w:sectPr>
          <w:pgSz w:w="11900" w:h="16838" w:orient="portrait"/>
          <w:cols w:equalWidth="0" w:num="1">
            <w:col w:w="11024"/>
          </w:cols>
          <w:pgMar w:left="436" w:top="270" w:right="4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6998970" cy="6299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7">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ind w:left="124" w:right="160"/>
        <w:spacing w:after="0" w:line="262" w:lineRule="auto"/>
        <w:rPr>
          <w:sz w:val="20"/>
          <w:szCs w:val="20"/>
          <w:color w:val="auto"/>
        </w:rPr>
      </w:pPr>
      <w:r>
        <w:rPr>
          <w:rFonts w:ascii="Times New Roman" w:cs="Times New Roman" w:eastAsia="Times New Roman" w:hAnsi="Times New Roman"/>
          <w:sz w:val="18"/>
          <w:szCs w:val="18"/>
          <w:b w:val="1"/>
          <w:bCs w:val="1"/>
          <w:color w:val="auto"/>
        </w:rPr>
        <w:t>THE EXCHANGE OFFER (AS DEFINED BELOW) AND WITHDRAWAL RIGHTS WILL EXPIRE AT 9:00 A.M., NEW YORK CITY TIME, ON DECEMBER 3, 2025, UNLESS THE EXCHANGE OFFER IS EXTENDED OR TERMINATED (SUCH TIME AS IT MAY BE EXTENDED, THE “EXPIRATION TIME”). SHARES TENDERED PURSUANT TO THE EXCHANGE OFFER MAY BE WITHDRAWN AT ANY TIME PRIOR TO THE EXPIRATION TIME.</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21,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Enclosed for your consideration are the offer to exchange/prospectus dated October 21, 2025 (the “Exchange Offer Prospectus”) and the related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of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84"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or our nominees are the holder of record (directly or indirectly) of CureVac Shares held for your account. As such, a tender of such shares can be made only by us as the holder of record and pursuant to your instructions. The Letter of Transmittal accompanying this letter is furnished to you for your information only and cannot be used by you to tender CureVac Shares held by us for your account.</w:t>
      </w:r>
    </w:p>
    <w:p>
      <w:pPr>
        <w:spacing w:after="0" w:line="175"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Please instruct us as to whether you wish us to tender any or all of the CureVac Shares held by us for your account, upon the terms and subject to the conditions set forth in the Exchange Offer Prospectus and the Letter of Transmittal. Your attention is directed to the following:</w:t>
      </w:r>
    </w:p>
    <w:p>
      <w:pPr>
        <w:spacing w:after="0" w:line="162" w:lineRule="exact"/>
        <w:rPr>
          <w:sz w:val="20"/>
          <w:szCs w:val="20"/>
          <w:color w:val="auto"/>
        </w:rPr>
      </w:pPr>
    </w:p>
    <w:p>
      <w:pPr>
        <w:ind w:left="4" w:right="140" w:hanging="4"/>
        <w:spacing w:after="0" w:line="261" w:lineRule="auto"/>
        <w:tabs>
          <w:tab w:leader="none" w:pos="18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BioNTech will not indemnify any individual CureVac shareholder for any taxes that may be incurred in connection with the Exchange Offer.</w:t>
      </w:r>
    </w:p>
    <w:p>
      <w:pPr>
        <w:spacing w:after="0" w:line="225" w:lineRule="exact"/>
        <w:rPr>
          <w:sz w:val="20"/>
          <w:szCs w:val="20"/>
          <w:color w:val="auto"/>
        </w:rPr>
      </w:pPr>
    </w:p>
    <w:p>
      <w:pPr>
        <w:ind w:left="4" w:right="420" w:hanging="4"/>
        <w:spacing w:after="0" w:line="282" w:lineRule="auto"/>
        <w:tabs>
          <w:tab w:leader="none" w:pos="1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being made pursuant to a purchase agreement, dated June 12, 2025, by and between BioNTech and CureVac (as it may be amended or supplemented from time to time, the “Purchase Agreement”),</w:t>
      </w:r>
    </w:p>
    <w:p>
      <w:pPr>
        <w:sectPr>
          <w:pgSz w:w="11900" w:h="16838" w:orient="portrait"/>
          <w:cols w:equalWidth="0" w:num="1">
            <w:col w:w="11024"/>
          </w:cols>
          <w:pgMar w:left="436" w:top="117" w:right="439" w:bottom="1440" w:gutter="0" w:footer="0" w:header="0"/>
        </w:sectPr>
      </w:pPr>
    </w:p>
    <w:bookmarkStart w:id="316" w:name="page317"/>
    <w:bookmarkEnd w:id="316"/>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sets forth the rights and obligations of the parties with respect to the Exchange Offer and BioNTech’s intention to acquire all of the outstanding CureVac Shares.</w:t>
      </w:r>
    </w:p>
    <w:p>
      <w:pPr>
        <w:spacing w:after="0" w:line="16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If BioNTech accepts CureVac Shares in the Exchange Offer in accordance with the terms of the Purchase Agreement, then BioNTech and CureVac will complete a series of actions referred to as the “post-offer reorganization” in the Exchange Offer Prospectus following the expiration of a subsequent offering period.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Purchase Agreement and the transactions contemplated thereby are described in the Exchange Offer Prospectus under “The Purchase Agreement.”</w:t>
      </w:r>
    </w:p>
    <w:p>
      <w:pPr>
        <w:spacing w:after="0" w:line="225" w:lineRule="exact"/>
        <w:rPr>
          <w:sz w:val="20"/>
          <w:szCs w:val="20"/>
          <w:color w:val="auto"/>
        </w:rPr>
      </w:pPr>
    </w:p>
    <w:p>
      <w:pPr>
        <w:ind w:left="4" w:right="20" w:hanging="4"/>
        <w:spacing w:after="0" w:line="255" w:lineRule="auto"/>
        <w:tabs>
          <w:tab w:leader="none" w:pos="18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as part of the transactions contemplated by the Purchase Agreement, is subject to a number of conditions described in the Exchange Offer Prospectus under “The Offer — Antitrust Approvals,” “The Offer — Other Regulatory Approvals,” and “The Purchase Agreement — Conditions to Closing of the Offer”. The conditions must be satisfied at or prior to the Expiration Time (or waived by BioNTech and/or CureVac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CureVac Shares. Please see the Exchange Offer Prospectus, which you should read carefully and in its entirety, for a description of these conditions.</w:t>
      </w:r>
    </w:p>
    <w:p>
      <w:pPr>
        <w:spacing w:after="0" w:line="188" w:lineRule="exact"/>
        <w:rPr>
          <w:rFonts w:ascii="Times New Roman" w:cs="Times New Roman" w:eastAsia="Times New Roman" w:hAnsi="Times New Roman"/>
          <w:sz w:val="18"/>
          <w:szCs w:val="18"/>
          <w:color w:val="auto"/>
        </w:rPr>
      </w:pPr>
    </w:p>
    <w:p>
      <w:pPr>
        <w:ind w:left="4" w:hanging="4"/>
        <w:spacing w:after="0" w:line="261" w:lineRule="auto"/>
        <w:tabs>
          <w:tab w:leader="none" w:pos="18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CureVac Shares tendered pursuant to the Exchange Offer may be withdrawn at any time prior to the Expiration Time. Once BioNTech (or BioNTech’s assignee, if applicable) accepts CureVac Shares pursuant to the Exchange Offer, your tender is irrevocable; provided that, if BioNTech (or BioNTech’s assignee, if applicable) has not yet accepted CureVac Shares tendered for exchange, any CureVac shareholder may withdraw its tendered CureVac shares after the 60th business day following commencement of the Exchange Offer pursuant to Section 14(d)(5) of the Exchange Act.</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18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CureVac shareholders who fail to complete and sign the IRS Form W-9 provided in the Letter of Transmittal or complete and submit the applicable IRS Form W-8, as applicable, may be subject to required U.S. federal backup withholding applicable to any payment to such shareholder pursuant to the transactions contemplated by the Purchase Agreement.</w:t>
      </w:r>
    </w:p>
    <w:p>
      <w:pPr>
        <w:spacing w:after="0" w:line="176" w:lineRule="exact"/>
        <w:rPr>
          <w:sz w:val="20"/>
          <w:szCs w:val="20"/>
          <w:color w:val="auto"/>
        </w:rPr>
      </w:pPr>
    </w:p>
    <w:p>
      <w:pPr>
        <w:ind w:left="4" w:right="20"/>
        <w:spacing w:after="0" w:line="271" w:lineRule="auto"/>
        <w:rPr>
          <w:sz w:val="20"/>
          <w:szCs w:val="20"/>
          <w:color w:val="auto"/>
        </w:rPr>
      </w:pPr>
      <w:r>
        <w:rPr>
          <w:rFonts w:ascii="Times New Roman" w:cs="Times New Roman" w:eastAsia="Times New Roman" w:hAnsi="Times New Roman"/>
          <w:sz w:val="17"/>
          <w:szCs w:val="17"/>
          <w:color w:val="auto"/>
        </w:rPr>
        <w:t>The Exchange Offer is made by means of the Exchange Offer Prospectus and the Letter of Transmittal and is not being made to, nor will tenders be accepted from or on behalf of, holders of CureVac Shares in any jurisdiction in which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 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7"/>
          <w:szCs w:val="17"/>
          <w:i w:val="1"/>
          <w:iCs w:val="1"/>
          <w:color w:val="auto"/>
        </w:rPr>
        <w:t>Bundesanstalt für Finanzdienstleistungsaufsicht</w:t>
      </w:r>
      <w:r>
        <w:rPr>
          <w:rFonts w:ascii="Times New Roman" w:cs="Times New Roman" w:eastAsia="Times New Roman" w:hAnsi="Times New Roman"/>
          <w:sz w:val="17"/>
          <w:szCs w:val="17"/>
          <w:color w:val="auto"/>
        </w:rPr>
        <w:t>) and notified to the competent authorities in Austria, France, Italy, The Netherlands, and Spain is available free of charge on the website of BioNTech (https://investors.biontech.de/eea-switzerland-disclaimer). For persons in the United Kingdom, a UK exemption document for the public offer of BioNTech ADSs in the United Kingdom is available free of charge on the website of BioNTech (https://investors.biontech.de/uk-disclaimer).</w:t>
      </w:r>
    </w:p>
    <w:p>
      <w:pPr>
        <w:spacing w:after="0" w:line="16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b w:val="1"/>
          <w:bCs w:val="1"/>
          <w:color w:val="auto"/>
        </w:rPr>
        <w:t>If you wish to have us tender any or all of your CureVac Shares, please complete, sign, detach, and return to us the instruction form on the reverse side of this letter. An envelope to return to us your instruction form is enclosed. If you authorize the tender of your CureVac Shares, all such shares will be tendered unless otherwise specified on the instruction form. Your instruction form should be forwarded to us in ample time to permit us to submit a tender on your behalf by the Expiration Time. BECAUSE BIONTECH IS NOT PROVIDING FOR GUARANTEED DELIVERY PROCEDURES, YOU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ectPr>
          <w:pgSz w:w="11900" w:h="16838" w:orient="portrait"/>
          <w:cols w:equalWidth="0" w:num="1">
            <w:col w:w="11004"/>
          </w:cols>
          <w:pgMar w:left="436" w:top="270" w:right="459" w:bottom="1440" w:gutter="0" w:footer="0" w:header="0"/>
        </w:sectPr>
      </w:pPr>
    </w:p>
    <w:bookmarkStart w:id="317" w:name="page318"/>
    <w:bookmarkEnd w:id="31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 with Respect 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$5.4641 American Depositary Shares of</w:t>
      </w:r>
    </w:p>
    <w:p>
      <w:pPr>
        <w:spacing w:after="0" w:line="2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2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exchange/prospectus dated October 21, 2025 (the “Exchange Offer Prospectus”) and the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(“BioNTech”),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of the Exchange Offer and not validly withdrawn, upon the terms and subject to the conditions set forth in the Exchange Offer Prospectus and the Letter of Transmittal.</w:t>
      </w:r>
    </w:p>
    <w:p>
      <w:pPr>
        <w:spacing w:after="0" w:line="192"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For EEA persons: The undersigned acknowledges that in relation to each member state of the European Economic Area (each, a “Relevant Member State”), no BioNTech ADSs have been offered or will be offered to the public in a Relevant Member State other than in Germany, Austria, France, Italy, The Netherlands, and Spain, in each case based on an EU prospectus approved by the German Federal Financial Supervisory Authority (</w:t>
      </w:r>
      <w:r>
        <w:rPr>
          <w:rFonts w:ascii="Times New Roman" w:cs="Times New Roman" w:eastAsia="Times New Roman" w:hAnsi="Times New Roman"/>
          <w:sz w:val="17"/>
          <w:szCs w:val="17"/>
          <w:i w:val="1"/>
          <w:iCs w:val="1"/>
          <w:color w:val="auto"/>
        </w:rPr>
        <w:t>Bundesanstalt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für Finanzdienstleistungsaufsicht</w:t>
      </w:r>
      <w:r>
        <w:rPr>
          <w:rFonts w:ascii="Times New Roman" w:cs="Times New Roman" w:eastAsia="Times New Roman" w:hAnsi="Times New Roman"/>
          <w:sz w:val="17"/>
          <w:szCs w:val="17"/>
          <w:color w:val="auto"/>
        </w:rPr>
        <w:t>) and notified to the competent authorities in Austria, France, Italy, The Netherlands, and Spain available free of charge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website of BioNTech (https://investors.biontech.de/eea-switzerland-disclaimer) (the “EU Prospectus”), except that BioNTech ADSs may be offered to the public in that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 (i) to any qualified investor as defined in Article 2 lit. (e) of the Prospectus Regulation,</w:t>
      </w:r>
    </w:p>
    <w:p>
      <w:pPr>
        <w:ind w:left="4" w:right="160" w:hanging="4"/>
        <w:spacing w:after="0" w:line="255" w:lineRule="auto"/>
        <w:tabs>
          <w:tab w:leader="none" w:pos="26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lit. (e) the Prospectus Regulation), subject to obtaining the prior consent of the Joint Global Coordinators for any such offer, or (iii) in any other circumstances falling within Article 1 para. 4 of the Prospectus Regulation.</w:t>
      </w:r>
    </w:p>
    <w:p>
      <w:pPr>
        <w:spacing w:after="0" w:line="18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For Swiss persons: The undersigned acknowledges that 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176"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For UK persons: The undersigned acknowledges that the offer of BioNTech ADSs to the public in the United Kingdom (the “UK”) is based on the UK exemption document published by BioNTech for the purposes of the Prospectus Regulation as it forms part of the UK domestic law by virtue of the European Union (Withdrawal) Act 2018, as amended (the “UK Prospectus Regulation”), which is available free of charge on the website of BioNTech (https://investors.biontech.de/uk-disclaimer)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w:t>
      </w:r>
    </w:p>
    <w:p>
      <w:pPr>
        <w:sectPr>
          <w:pgSz w:w="11900" w:h="16838" w:orient="portrait"/>
          <w:cols w:equalWidth="0" w:num="1">
            <w:col w:w="11004"/>
          </w:cols>
          <w:pgMar w:left="436" w:top="266" w:right="459" w:bottom="1440" w:gutter="0" w:footer="0" w:header="0"/>
        </w:sectPr>
      </w:pPr>
    </w:p>
    <w:bookmarkStart w:id="318" w:name="page319"/>
    <w:bookmarkEnd w:id="318"/>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 for the publication by BioNTech of a prospectus pursuant to section 85 of the FSMA or supplement a prospectus pursuant to Article 23 of the UK Prospectus Regulation.</w:t>
      </w:r>
    </w:p>
    <w:p>
      <w:pPr>
        <w:spacing w:after="0" w:line="162"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 Ratio.</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undersigned hereby instruct(s) you to tender the number of CureVac Shares indicated below (or if no number is indicated below, all CureVac Shares held by you for the account of the undersigned), upon the terms and subject to the conditions set forth in the Exchange Offer Prospectus and in the Letter of Transmittal. The undersigned understands and acknowledges that all questions as to the validity, form, eligibility (including time of receipt), and acceptance for payment of any tender of CureVac Shares will be determined by BioNTech, in its sole discretion, which determination will be final and binding upon the tendering party.</w:t>
      </w:r>
    </w:p>
    <w:p>
      <w:pPr>
        <w:spacing w:after="0" w:line="179"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CureVac shareholder. If delivery is by mail, then registered mail with return receipt requested, properly insured, is recommended. In all cases, sufficient time should be allowed to ensure timely delivery prior to the expiration of the Exchange Offer.</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63861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1">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17145</wp:posOffset>
            </wp:positionV>
            <wp:extent cx="56921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2">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CureVac Shares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17145</wp:posOffset>
            </wp:positionV>
            <wp:extent cx="40805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60432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63861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6"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(First, Middle, and Last Name)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17145</wp:posOffset>
            </wp:positionV>
            <wp:extent cx="62490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171450</wp:posOffset>
            </wp:positionV>
            <wp:extent cx="68834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36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(Number and Street)</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(City, State, and Zip Code (and Country, if other than the U.S.A.))</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17145</wp:posOffset>
            </wp:positionV>
            <wp:extent cx="450024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17145</wp:posOffset>
            </wp:positionV>
            <wp:extent cx="45002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8"/>
          <w:szCs w:val="18"/>
          <w:color w:val="auto"/>
        </w:rPr>
        <w:t>(Social Security Number or Employer Identification Number)</w:t>
      </w:r>
    </w:p>
    <w:p>
      <w:pPr>
        <w:spacing w:after="0" w:line="131" w:lineRule="exact"/>
        <w:rPr>
          <w:sz w:val="20"/>
          <w:szCs w:val="20"/>
          <w:color w:val="auto"/>
        </w:rPr>
      </w:pPr>
    </w:p>
    <w:p>
      <w:pPr>
        <w:ind w:left="424" w:hanging="424"/>
        <w:spacing w:after="0"/>
        <w:tabs>
          <w:tab w:leader="none" w:pos="42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CureVac Shares we hold for your account are to be tendered.</w:t>
      </w:r>
    </w:p>
    <w:p>
      <w:pPr>
        <w:spacing w:after="0" w:line="131" w:lineRule="exact"/>
        <w:rPr>
          <w:sz w:val="20"/>
          <w:szCs w:val="20"/>
          <w:color w:val="auto"/>
        </w:rPr>
      </w:pPr>
    </w:p>
    <w:p>
      <w:pPr>
        <w:ind w:left="424" w:right="300" w:hanging="424"/>
        <w:spacing w:after="0" w:line="282" w:lineRule="auto"/>
        <w:tabs>
          <w:tab w:leader="none" w:pos="4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provide full title if signature is by an attorney-in-fact, executor, administrator, trustee, guardian, officer of a corporation, or other person acting in a fiduciary or representative capacity.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return this form to the brokerage firm or other nominee maintaining your account.</w:t>
      </w:r>
    </w:p>
    <w:p>
      <w:pPr>
        <w:sectPr>
          <w:pgSz w:w="11900" w:h="16838" w:orient="portrait"/>
          <w:cols w:equalWidth="0" w:num="1">
            <w:col w:w="11004"/>
          </w:cols>
          <w:pgMar w:left="436" w:top="270" w:right="45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withdraw ordinary shares of CureVac N.V. in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each outstanding ordinary share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$5.4641 of American Depositary Shares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BioNTech 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6299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86"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EXCHANGE OFFER (AS DEFINED BELOW) AND WITHDRAWAL RIGHTS WILL EXPIRE AT 9:00 A.M., NEW YORK CITY TIME, ON DECEMBER 3, 2025, UNLESS THE OFFER IS EXTENDED (SUCH TIME, AS IT MAY BE EXTENDED, THE “EXPIRATION TIME”) OR EARLIER TERMINATED. SHARES TENDERED PURSUANT TO THE EXCHANGE OFFER MAY BE WITHDRAWN AT ANY TIME PRIOR TO THE EXPIRATION TIME.</w:t>
      </w:r>
    </w:p>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offer to exchange/prospectus dated October 21, 2025 (the “Exchange Offer Prospectus”) and the related letter of transmittal (the “Letter of Transmittal”), including instructions therefor, together with any amendments or supplements thereto, constitute the offer to exchange (the “Exchange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the Germany and the European Union (“BioNTech”), of its American Depositary Shares, each representing one BioNTech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(“CureVac”), that are validly tendered prior to the Expiration Time and not validly withdrawn, upon the terms and subject to the conditions set forth herein and in the Exchange Offer Prospectus and the Letter of Transmittal. Capitalized terms used but not defined herein shall have the same meanings given to them in the Letter of Transmittal.</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Exchange Offer and related withdrawal rights will expire at 9:00 A.M., New York City time, on December 3, 2025, unless extended or terminated in accordance with applicable law and the terms of the Exchange Offer.</w:t>
      </w:r>
    </w:p>
    <w:p>
      <w:pPr>
        <w:spacing w:after="0" w:line="15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THIS NOTICE OF WITHDRAWAL IS TO BE USED ONLY TO </w:t>
      </w:r>
      <w:r>
        <w:rPr>
          <w:rFonts w:ascii="Times New Roman" w:cs="Times New Roman" w:eastAsia="Times New Roman" w:hAnsi="Times New Roman"/>
          <w:sz w:val="17"/>
          <w:szCs w:val="17"/>
          <w:b w:val="1"/>
          <w:bCs w:val="1"/>
          <w:i w:val="1"/>
          <w:iCs w:val="1"/>
          <w:color w:val="auto"/>
        </w:rPr>
        <w:t>WITHDRAW</w:t>
      </w:r>
      <w:r>
        <w:rPr>
          <w:rFonts w:ascii="Times New Roman" w:cs="Times New Roman" w:eastAsia="Times New Roman" w:hAnsi="Times New Roman"/>
          <w:sz w:val="17"/>
          <w:szCs w:val="17"/>
          <w:b w:val="1"/>
          <w:bCs w:val="1"/>
          <w:color w:val="auto"/>
        </w:rPr>
        <w:t xml:space="preserve"> TENDERS OF CUREVAC SHARES PURSUANT TO THE EXCHANGE OFFER. </w:t>
      </w:r>
      <w:r>
        <w:rPr>
          <w:rFonts w:ascii="Times New Roman" w:cs="Times New Roman" w:eastAsia="Times New Roman" w:hAnsi="Times New Roman"/>
          <w:sz w:val="17"/>
          <w:szCs w:val="17"/>
          <w:color w:val="auto"/>
        </w:rPr>
        <w:t>For a withdrawal of CureVac Shares to be effective, the Exchange Agent for the Exchange Offer must receive from you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notice of withdrawal at one of its addresses provided herein, and such notice must include the name of the person having tendered the CureVac Shares to be withdrawn, the number of tendered CureVac Shares to be withdrawn and the name of the holder of the tendered CureVac Shares to be withdrawn, if different from that of the person who tendered such shares. See “The Offer — Withdrawal Rights” in the Exchange Offer Prospectus.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0"/>
          </w:cols>
          <w:pgMar w:left="440" w:top="117" w:right="439" w:bottom="1440" w:gutter="0" w:footer="0" w:header="0"/>
        </w:sectPr>
      </w:pPr>
    </w:p>
    <w:bookmarkStart w:id="320" w:name="page321"/>
    <w:bookmarkEnd w:id="32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CUREVAC SHARES TO BE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6172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Name(s) and Address(s) of Registered Holder(s)</w:t>
            </w:r>
          </w:p>
        </w:tc>
        <w:tc>
          <w:tcPr>
            <w:tcW w:w="5380" w:type="dxa"/>
            <w:vAlign w:val="bottom"/>
            <w:tcBorders>
              <w:top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 Share(s) To be Withdrawn and Date(s) Such</w:t>
            </w:r>
          </w:p>
        </w:tc>
      </w:tr>
      <w:tr>
        <w:trPr>
          <w:trHeight w:val="190"/>
        </w:trPr>
        <w:tc>
          <w:tcPr>
            <w:tcW w:w="5640" w:type="dxa"/>
            <w:vAlign w:val="bottom"/>
            <w:tcBorders>
              <w:right w:val="single" w:sz="8" w:color="auto"/>
            </w:tcBorders>
          </w:tcPr>
          <w:p>
            <w:pPr>
              <w:spacing w:after="0"/>
              <w:rPr>
                <w:sz w:val="16"/>
                <w:szCs w:val="16"/>
                <w:color w:val="auto"/>
              </w:rPr>
            </w:pPr>
          </w:p>
        </w:tc>
        <w:tc>
          <w:tcPr>
            <w:tcW w:w="53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Shares were Tendered</w:t>
            </w:r>
          </w:p>
        </w:tc>
      </w:tr>
      <w:tr>
        <w:trPr>
          <w:trHeight w:val="23"/>
        </w:trPr>
        <w:tc>
          <w:tcPr>
            <w:tcW w:w="564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5640" w:type="dxa"/>
            <w:vAlign w:val="bottom"/>
            <w:tcBorders>
              <w:bottom w:val="single" w:sz="8" w:color="auto"/>
              <w:right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r>
    </w:tbl>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CureVac Shares have been tendered pursuant to the procedures for book-entry tender through DTC discussed in the section of the Exchange Offer Prospectus entitled “The Offer — Procedures for Tendering,” any notice of withdrawal must comply with the procedures of DTC.</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unless the Exchange Offer is extended or terminated. If you hold your CureVac Shares through such an institution, that institution must deliver the notice of withdrawal with respect to any shares you wish to withdraw. In such a case, as a beneficial owner and not a registered shareholder, you will not be able to provide a notice of withdrawal for such shares directly to the Exchange Agent.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CureVac Shares validly withdrawn will be deemed not to have been validly tendered for purposes of the Exchange Offer.</w:t>
      </w:r>
    </w:p>
    <w:p>
      <w:pPr>
        <w:spacing w:after="0" w:line="11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However, you may re-tender withdrawn CureVac Shares by following one of the procedures discussed in the section of the Exchange Offer Prospectus entitled “The Offer — Procedures for Tendering” at any time prior to the Expiration Time (or pursuant to the instructions sent to you separately).</w:t>
      </w:r>
    </w:p>
    <w:p>
      <w:pPr>
        <w:spacing w:after="0" w:line="3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Except for the withdrawal rights described above, any tender made under the Exchange Offer is irrevocable; provided that, if BioNTech has not yet accepted CureVac Shares tendered for exchange, any CureVac shareholder may withdraw its tendered shares after the 60th business day following commencement of the Exchange Offer pursuant to Section 14(d)(5)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998970" cy="3556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3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USE THIS FORM </w:t>
      </w:r>
      <w:r>
        <w:rPr>
          <w:rFonts w:ascii="Times New Roman" w:cs="Times New Roman" w:eastAsia="Times New Roman" w:hAnsi="Times New Roman"/>
          <w:sz w:val="18"/>
          <w:szCs w:val="18"/>
          <w:b w:val="1"/>
          <w:bCs w:val="1"/>
          <w:i w:val="1"/>
          <w:iCs w:val="1"/>
          <w:color w:val="auto"/>
        </w:rPr>
        <w:t>ONLY</w:t>
      </w:r>
      <w:r>
        <w:rPr>
          <w:rFonts w:ascii="Times New Roman" w:cs="Times New Roman" w:eastAsia="Times New Roman" w:hAnsi="Times New Roman"/>
          <w:sz w:val="18"/>
          <w:szCs w:val="18"/>
          <w:b w:val="1"/>
          <w:bCs w:val="1"/>
          <w:color w:val="auto"/>
        </w:rPr>
        <w:t xml:space="preserve"> IF YOU WISH TO WITHDRAW CUREVAC SHARES PREVIOUSLY TENDERED. OTHERWISE, PLEASE DISREGARD.</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Notice of Withdrawal must be signed below by the registered holder(s) exactly as name(s) appear(s) in book-entry form registered directly in the CureVac shareholders register or on a security position listing or by the person(s) authorized to become registered holder(s) by certificates and documents transmitted herewith. If signed by a trustee, executor, administrator, guardian, attorney-in-fact, officer, or other person acting in a fiduciary or representative capacity, please set forth the full title of such persons.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17145</wp:posOffset>
            </wp:positionV>
            <wp:extent cx="62490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the registered holder(s)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17145</wp:posOffset>
            </wp:positionV>
            <wp:extent cx="38747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wp:posOffset>
            </wp:positionV>
            <wp:extent cx="55460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17145</wp:posOffset>
            </wp:positionV>
            <wp:extent cx="60432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17145</wp:posOffset>
            </wp:positionV>
            <wp:extent cx="56235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17145</wp:posOffset>
            </wp:positionV>
            <wp:extent cx="49206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17145</wp:posOffset>
            </wp:positionV>
            <wp:extent cx="46374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17145</wp:posOffset>
            </wp:positionV>
            <wp:extent cx="63861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-19050</wp:posOffset>
            </wp:positionV>
            <wp:extent cx="62236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BioNTech SE – COY BNSB</w:t>
      </w:r>
    </w:p>
    <w:p>
      <w:pPr>
        <w:sectPr>
          <w:pgSz w:w="11900" w:h="16838" w:orient="portrait"/>
          <w:cols w:equalWidth="0" w:num="1">
            <w:col w:w="11020"/>
          </w:cols>
          <w:pgMar w:left="440" w:top="279" w:right="439" w:bottom="1440" w:gutter="0" w:footer="0" w:header="0"/>
        </w:sectPr>
      </w:pPr>
    </w:p>
    <w:bookmarkStart w:id="321" w:name="page322"/>
    <w:bookmarkEnd w:id="321"/>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wish to withdraw any tendered CureVac Shares, you must deliver this Notice of Withdrawal, before 9:00 A.M., New York City time, on December 3, 2025, unless the Exchange Offer is extended or terminated, to the Exchange Agent using the contact information below.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Exchange Agent for the Exchange Offer is: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w w:val="99"/>
              </w:rPr>
              <w:t>If delivering by trackable mail, including overnight</w:t>
            </w:r>
          </w:p>
        </w:tc>
        <w:tc>
          <w:tcPr>
            <w:tcW w:w="4360" w:type="dxa"/>
            <w:vAlign w:val="bottom"/>
          </w:tcPr>
          <w:p>
            <w:pPr>
              <w:spacing w:after="0"/>
              <w:rPr>
                <w:sz w:val="18"/>
                <w:szCs w:val="18"/>
                <w:color w:val="auto"/>
              </w:rPr>
            </w:pPr>
          </w:p>
        </w:tc>
      </w:tr>
      <w:tr>
        <w:trPr>
          <w:trHeight w:val="233"/>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i w:val="1"/>
                <w:iCs w:val="1"/>
                <w:color w:val="auto"/>
              </w:rPr>
              <w:t>delivery or any other expedited service:</w:t>
            </w:r>
          </w:p>
        </w:tc>
        <w:tc>
          <w:tcPr>
            <w:tcW w:w="4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First Class Mail:</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Computershare Trust Company N.A.</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 Voluntary Corporate Actions: COY BNSB</w:t>
            </w:r>
          </w:p>
        </w:tc>
      </w:tr>
      <w:tr>
        <w:trPr>
          <w:trHeight w:val="216"/>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P.O. Box 43011</w:t>
            </w:r>
          </w:p>
        </w:tc>
      </w:tr>
      <w:tr>
        <w:trPr>
          <w:trHeight w:val="234"/>
        </w:trPr>
        <w:tc>
          <w:tcPr>
            <w:tcW w:w="48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8"/>
              </w:rPr>
              <w:t>Canton, MA 02021</w:t>
            </w:r>
          </w:p>
        </w:tc>
        <w:tc>
          <w:tcPr>
            <w:tcW w:w="4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Providence, RI 02940-3011</w:t>
            </w:r>
          </w:p>
        </w:tc>
      </w:tr>
    </w:tbl>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Delivery will only be deemed valid if delivered in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accordance with the instructions above.</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BioNTech will decide all questions as to the form and validity (including time of receipt) of any notice of withdrawal, in its sole discretion, and its determination will be final and binding, subject to any judgment of a court of competent jurisdiction. BioNTech may delegate such power in whole or in part to the Exchange Agent. None of BioNTech, CureVac, the Exchange Agent, the Information Agent, nor any other person will be under any duty to give notification of any defects or irregularities in any notice of withdrawal or will incur any liability for failure to give any notification. Any such determinations may be challenged in a court of competent jurisdiction.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BioNTech SE – COY BNSB</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906F60"/>
    <w:multiLevelType w:val="hybridMultilevel"/>
    <w:lvl w:ilvl="0">
      <w:lvlJc w:val="left"/>
      <w:lvlText w:val="†"/>
      <w:numFmt w:val="bullet"/>
      <w:start w:val="1"/>
    </w:lvl>
  </w:abstractNum>
  <w:abstractNum w:abstractNumId="1">
    <w:nsid w:val="10DB9DAA"/>
    <w:multiLevelType w:val="hybridMultilevel"/>
    <w:lvl w:ilvl="0">
      <w:lvlJc w:val="left"/>
      <w:lvlText w:val="(%1)"/>
      <w:numFmt w:val="lowerRoman"/>
      <w:start w:val="2"/>
    </w:lvl>
  </w:abstractNum>
  <w:abstractNum w:abstractNumId="2">
    <w:nsid w:val="697D2D2"/>
    <w:multiLevelType w:val="hybridMultilevel"/>
    <w:lvl w:ilvl="0">
      <w:lvlJc w:val="left"/>
      <w:lvlText w:val="(%1)"/>
      <w:numFmt w:val="lowerRoman"/>
      <w:start w:val="11"/>
    </w:lvl>
  </w:abstractNum>
  <w:abstractNum w:abstractNumId="3">
    <w:nsid w:val="6D68AB2"/>
    <w:multiLevelType w:val="hybridMultilevel"/>
    <w:lvl w:ilvl="0">
      <w:lvlJc w:val="left"/>
      <w:lvlText w:val="•"/>
      <w:numFmt w:val="bullet"/>
      <w:start w:val="1"/>
    </w:lvl>
  </w:abstractNum>
  <w:abstractNum w:abstractNumId="4">
    <w:nsid w:val="3A966CD0"/>
    <w:multiLevelType w:val="hybridMultilevel"/>
    <w:lvl w:ilvl="0">
      <w:lvlJc w:val="left"/>
      <w:lvlText w:val="•"/>
      <w:numFmt w:val="bullet"/>
      <w:start w:val="1"/>
    </w:lvl>
  </w:abstractNum>
  <w:abstractNum w:abstractNumId="5">
    <w:nsid w:val="63F37E85"/>
    <w:multiLevelType w:val="hybridMultilevel"/>
    <w:lvl w:ilvl="0">
      <w:lvlJc w:val="left"/>
      <w:lvlText w:val="%1:"/>
      <w:numFmt w:val="upperLetter"/>
      <w:start w:val="16"/>
    </w:lvl>
    <w:lvl w:ilvl="1">
      <w:lvlJc w:val="left"/>
      <w:lvlText w:val="•"/>
      <w:numFmt w:val="bullet"/>
      <w:start w:val="1"/>
    </w:lvl>
  </w:abstractNum>
  <w:abstractNum w:abstractNumId="6">
    <w:nsid w:val="5895F5FA"/>
    <w:multiLevelType w:val="hybridMultilevel"/>
    <w:lvl w:ilvl="0">
      <w:lvlJc w:val="left"/>
      <w:lvlText w:val="%1:"/>
      <w:numFmt w:val="upperLetter"/>
      <w:start w:val="1"/>
    </w:lvl>
  </w:abstractNum>
  <w:abstractNum w:abstractNumId="7">
    <w:nsid w:val="38A5D054"/>
    <w:multiLevelType w:val="hybridMultilevel"/>
    <w:lvl w:ilvl="0">
      <w:lvlJc w:val="left"/>
      <w:lvlText w:val="%1:"/>
      <w:numFmt w:val="upperLetter"/>
      <w:start w:val="17"/>
    </w:lvl>
  </w:abstractNum>
  <w:abstractNum w:abstractNumId="8">
    <w:nsid w:val="F3F09D8"/>
    <w:multiLevelType w:val="hybridMultilevel"/>
    <w:lvl w:ilvl="0">
      <w:lvlJc w:val="left"/>
      <w:lvlText w:val="%1:"/>
      <w:numFmt w:val="upperLetter"/>
      <w:start w:val="1"/>
    </w:lvl>
  </w:abstractNum>
  <w:abstractNum w:abstractNumId="9">
    <w:nsid w:val="4B793735"/>
    <w:multiLevelType w:val="hybridMultilevel"/>
    <w:lvl w:ilvl="0">
      <w:lvlJc w:val="left"/>
      <w:lvlText w:val="%1:"/>
      <w:numFmt w:val="upperLetter"/>
      <w:start w:val="17"/>
    </w:lvl>
  </w:abstractNum>
  <w:abstractNum w:abstractNumId="10">
    <w:nsid w:val="4A10B4E8"/>
    <w:multiLevelType w:val="hybridMultilevel"/>
    <w:lvl w:ilvl="0">
      <w:lvlJc w:val="left"/>
      <w:lvlText w:val="%1:"/>
      <w:numFmt w:val="upperLetter"/>
      <w:start w:val="1"/>
    </w:lvl>
  </w:abstractNum>
  <w:abstractNum w:abstractNumId="11">
    <w:nsid w:val="43D3BCD4"/>
    <w:multiLevelType w:val="hybridMultilevel"/>
    <w:lvl w:ilvl="0">
      <w:lvlJc w:val="left"/>
      <w:lvlText w:val="%1:"/>
      <w:numFmt w:val="upperLetter"/>
      <w:start w:val="17"/>
    </w:lvl>
  </w:abstractNum>
  <w:abstractNum w:abstractNumId="12">
    <w:nsid w:val="4C2A7166"/>
    <w:multiLevelType w:val="hybridMultilevel"/>
    <w:lvl w:ilvl="0">
      <w:lvlJc w:val="left"/>
      <w:lvlText w:val="%1:"/>
      <w:numFmt w:val="upperLetter"/>
      <w:start w:val="1"/>
    </w:lvl>
  </w:abstractNum>
  <w:abstractNum w:abstractNumId="13">
    <w:nsid w:val="2E534A82"/>
    <w:multiLevelType w:val="hybridMultilevel"/>
    <w:lvl w:ilvl="0">
      <w:lvlJc w:val="left"/>
      <w:lvlText w:val="%1:"/>
      <w:numFmt w:val="upperLetter"/>
      <w:start w:val="17"/>
    </w:lvl>
  </w:abstractNum>
  <w:abstractNum w:abstractNumId="14">
    <w:nsid w:val="26F2D364"/>
    <w:multiLevelType w:val="hybridMultilevel"/>
    <w:lvl w:ilvl="0">
      <w:lvlJc w:val="left"/>
      <w:lvlText w:val="%1:"/>
      <w:numFmt w:val="upperLetter"/>
      <w:start w:val="1"/>
    </w:lvl>
  </w:abstractNum>
  <w:abstractNum w:abstractNumId="15">
    <w:nsid w:val="71C1AF98"/>
    <w:multiLevelType w:val="hybridMultilevel"/>
    <w:lvl w:ilvl="0">
      <w:lvlJc w:val="left"/>
      <w:lvlText w:val="%1:"/>
      <w:numFmt w:val="upperLetter"/>
      <w:start w:val="17"/>
    </w:lvl>
  </w:abstractNum>
  <w:abstractNum w:abstractNumId="16">
    <w:nsid w:val="3D00B9D9"/>
    <w:multiLevelType w:val="hybridMultilevel"/>
    <w:lvl w:ilvl="0">
      <w:lvlJc w:val="left"/>
      <w:lvlText w:val="%1:"/>
      <w:numFmt w:val="upperLetter"/>
      <w:start w:val="1"/>
    </w:lvl>
  </w:abstractNum>
  <w:abstractNum w:abstractNumId="17">
    <w:nsid w:val="15BCABA8"/>
    <w:multiLevelType w:val="hybridMultilevel"/>
    <w:lvl w:ilvl="0">
      <w:lvlJc w:val="left"/>
      <w:lvlText w:val="%1:"/>
      <w:numFmt w:val="upperLetter"/>
      <w:start w:val="17"/>
    </w:lvl>
  </w:abstractNum>
  <w:abstractNum w:abstractNumId="18">
    <w:nsid w:val="4E0B9A87"/>
    <w:multiLevelType w:val="hybridMultilevel"/>
    <w:lvl w:ilvl="0">
      <w:lvlJc w:val="left"/>
      <w:lvlText w:val="%1:"/>
      <w:numFmt w:val="upperLetter"/>
      <w:start w:val="1"/>
    </w:lvl>
    <w:lvl w:ilvl="1">
      <w:lvlJc w:val="left"/>
      <w:lvlText w:val="•"/>
      <w:numFmt w:val="bullet"/>
      <w:start w:val="1"/>
    </w:lvl>
  </w:abstractNum>
  <w:abstractNum w:abstractNumId="19">
    <w:nsid w:val="434BAE75"/>
    <w:multiLevelType w:val="hybridMultilevel"/>
    <w:lvl w:ilvl="0">
      <w:lvlJc w:val="left"/>
      <w:lvlText w:val="%1:"/>
      <w:numFmt w:val="upperLetter"/>
      <w:start w:val="17"/>
    </w:lvl>
  </w:abstractNum>
  <w:abstractNum w:abstractNumId="20">
    <w:nsid w:val="4F38F265"/>
    <w:multiLevelType w:val="hybridMultilevel"/>
    <w:lvl w:ilvl="0">
      <w:lvlJc w:val="left"/>
      <w:lvlText w:val="%1:"/>
      <w:numFmt w:val="upperLetter"/>
      <w:start w:val="1"/>
    </w:lvl>
  </w:abstractNum>
  <w:abstractNum w:abstractNumId="21">
    <w:nsid w:val="4C502870"/>
    <w:multiLevelType w:val="hybridMultilevel"/>
    <w:lvl w:ilvl="0">
      <w:lvlJc w:val="left"/>
      <w:lvlText w:val="%1:"/>
      <w:numFmt w:val="upperLetter"/>
      <w:start w:val="17"/>
    </w:lvl>
  </w:abstractNum>
  <w:abstractNum w:abstractNumId="22">
    <w:nsid w:val="1DE8725A"/>
    <w:multiLevelType w:val="hybridMultilevel"/>
    <w:lvl w:ilvl="0">
      <w:lvlJc w:val="left"/>
      <w:lvlText w:val="%1:"/>
      <w:numFmt w:val="upperLetter"/>
      <w:start w:val="1"/>
    </w:lvl>
  </w:abstractNum>
  <w:abstractNum w:abstractNumId="23">
    <w:nsid w:val="6A37288A"/>
    <w:multiLevelType w:val="hybridMultilevel"/>
    <w:lvl w:ilvl="0">
      <w:lvlJc w:val="left"/>
      <w:lvlText w:val="%1:"/>
      <w:numFmt w:val="upperLetter"/>
      <w:start w:val="17"/>
    </w:lvl>
  </w:abstractNum>
  <w:abstractNum w:abstractNumId="24">
    <w:nsid w:val="8F8B73F"/>
    <w:multiLevelType w:val="hybridMultilevel"/>
    <w:lvl w:ilvl="0">
      <w:lvlJc w:val="left"/>
      <w:lvlText w:val="%1:"/>
      <w:numFmt w:val="upperLetter"/>
      <w:start w:val="1"/>
    </w:lvl>
  </w:abstractNum>
  <w:abstractNum w:abstractNumId="25">
    <w:nsid w:val="CA6B462"/>
    <w:multiLevelType w:val="hybridMultilevel"/>
    <w:lvl w:ilvl="0">
      <w:lvlJc w:val="left"/>
      <w:lvlText w:val="%1:"/>
      <w:numFmt w:val="upperLetter"/>
      <w:start w:val="17"/>
    </w:lvl>
  </w:abstractNum>
  <w:abstractNum w:abstractNumId="26">
    <w:nsid w:val="763CB680"/>
    <w:multiLevelType w:val="hybridMultilevel"/>
    <w:lvl w:ilvl="0">
      <w:lvlJc w:val="left"/>
      <w:lvlText w:val="%1:"/>
      <w:numFmt w:val="upperLetter"/>
      <w:start w:val="1"/>
    </w:lvl>
  </w:abstractNum>
  <w:abstractNum w:abstractNumId="27">
    <w:nsid w:val="15B71329"/>
    <w:multiLevelType w:val="hybridMultilevel"/>
    <w:lvl w:ilvl="0">
      <w:lvlJc w:val="left"/>
      <w:lvlText w:val="%1:"/>
      <w:numFmt w:val="upperLetter"/>
      <w:start w:val="17"/>
    </w:lvl>
  </w:abstractNum>
  <w:abstractNum w:abstractNumId="28">
    <w:nsid w:val="3DA97044"/>
    <w:multiLevelType w:val="hybridMultilevel"/>
    <w:lvl w:ilvl="0">
      <w:lvlJc w:val="left"/>
      <w:lvlText w:val="%1:"/>
      <w:numFmt w:val="upperLetter"/>
      <w:start w:val="1"/>
    </w:lvl>
  </w:abstractNum>
  <w:abstractNum w:abstractNumId="29">
    <w:nsid w:val="1CDCE2DE"/>
    <w:multiLevelType w:val="hybridMultilevel"/>
    <w:lvl w:ilvl="0">
      <w:lvlJc w:val="left"/>
      <w:lvlText w:val="%1:"/>
      <w:numFmt w:val="upperLetter"/>
      <w:start w:val="17"/>
    </w:lvl>
  </w:abstractNum>
  <w:abstractNum w:abstractNumId="30">
    <w:nsid w:val="69D3947C"/>
    <w:multiLevelType w:val="hybridMultilevel"/>
    <w:lvl w:ilvl="0">
      <w:lvlJc w:val="left"/>
      <w:lvlText w:val="%1:"/>
      <w:numFmt w:val="upperLetter"/>
      <w:start w:val="1"/>
    </w:lvl>
  </w:abstractNum>
  <w:abstractNum w:abstractNumId="31">
    <w:nsid w:val="2539DFA5"/>
    <w:multiLevelType w:val="hybridMultilevel"/>
    <w:lvl w:ilvl="0">
      <w:lvlJc w:val="left"/>
      <w:lvlText w:val="%1:"/>
      <w:numFmt w:val="upperLetter"/>
      <w:start w:val="17"/>
    </w:lvl>
  </w:abstractNum>
  <w:abstractNum w:abstractNumId="32">
    <w:nsid w:val="2DB88089"/>
    <w:multiLevelType w:val="hybridMultilevel"/>
    <w:lvl w:ilvl="0">
      <w:lvlJc w:val="left"/>
      <w:lvlText w:val="%1:"/>
      <w:numFmt w:val="upperLetter"/>
      <w:start w:val="1"/>
    </w:lvl>
  </w:abstractNum>
  <w:abstractNum w:abstractNumId="33">
    <w:nsid w:val="706B674E"/>
    <w:multiLevelType w:val="hybridMultilevel"/>
    <w:lvl w:ilvl="0">
      <w:lvlJc w:val="left"/>
      <w:lvlText w:val="%1:"/>
      <w:numFmt w:val="upperLetter"/>
      <w:start w:val="17"/>
    </w:lvl>
  </w:abstractNum>
  <w:abstractNum w:abstractNumId="34">
    <w:nsid w:val="2C106A57"/>
    <w:multiLevelType w:val="hybridMultilevel"/>
    <w:lvl w:ilvl="0">
      <w:lvlJc w:val="left"/>
      <w:lvlText w:val="%1:"/>
      <w:numFmt w:val="upperLetter"/>
      <w:start w:val="1"/>
    </w:lvl>
  </w:abstractNum>
  <w:abstractNum w:abstractNumId="35">
    <w:nsid w:val="684EED59"/>
    <w:multiLevelType w:val="hybridMultilevel"/>
    <w:lvl w:ilvl="0">
      <w:lvlJc w:val="left"/>
      <w:lvlText w:val="%1:"/>
      <w:numFmt w:val="upperLetter"/>
      <w:start w:val="17"/>
    </w:lvl>
  </w:abstractNum>
  <w:abstractNum w:abstractNumId="36">
    <w:nsid w:val="545EE5D3"/>
    <w:multiLevelType w:val="hybridMultilevel"/>
    <w:lvl w:ilvl="0">
      <w:lvlJc w:val="left"/>
      <w:lvlText w:val="%1:"/>
      <w:numFmt w:val="upperLetter"/>
      <w:start w:val="1"/>
    </w:lvl>
  </w:abstractNum>
  <w:abstractNum w:abstractNumId="37">
    <w:nsid w:val="4A66051"/>
    <w:multiLevelType w:val="hybridMultilevel"/>
    <w:lvl w:ilvl="0">
      <w:lvlJc w:val="left"/>
      <w:lvlText w:val="%1:"/>
      <w:numFmt w:val="upperLetter"/>
      <w:start w:val="17"/>
    </w:lvl>
  </w:abstractNum>
  <w:abstractNum w:abstractNumId="38">
    <w:nsid w:val="20F4BDAD"/>
    <w:multiLevelType w:val="hybridMultilevel"/>
    <w:lvl w:ilvl="0">
      <w:lvlJc w:val="left"/>
      <w:lvlText w:val="%1:"/>
      <w:numFmt w:val="upperLetter"/>
      <w:start w:val="1"/>
    </w:lvl>
  </w:abstractNum>
  <w:abstractNum w:abstractNumId="39">
    <w:nsid w:val="639DEFAC"/>
    <w:multiLevelType w:val="hybridMultilevel"/>
    <w:lvl w:ilvl="0">
      <w:lvlJc w:val="left"/>
      <w:lvlText w:val="%1:"/>
      <w:numFmt w:val="upperLetter"/>
      <w:start w:val="17"/>
    </w:lvl>
  </w:abstractNum>
  <w:abstractNum w:abstractNumId="40">
    <w:nsid w:val="501F9786"/>
    <w:multiLevelType w:val="hybridMultilevel"/>
    <w:lvl w:ilvl="0">
      <w:lvlJc w:val="left"/>
      <w:lvlText w:val="%1:"/>
      <w:numFmt w:val="upperLetter"/>
      <w:start w:val="1"/>
    </w:lvl>
  </w:abstractNum>
  <w:abstractNum w:abstractNumId="41">
    <w:nsid w:val="6B057295"/>
    <w:multiLevelType w:val="hybridMultilevel"/>
    <w:lvl w:ilvl="0">
      <w:lvlJc w:val="left"/>
      <w:lvlText w:val="%1:"/>
      <w:numFmt w:val="upperLetter"/>
      <w:start w:val="17"/>
    </w:lvl>
  </w:abstractNum>
  <w:abstractNum w:abstractNumId="42">
    <w:nsid w:val="2771AC80"/>
    <w:multiLevelType w:val="hybridMultilevel"/>
    <w:lvl w:ilvl="0">
      <w:lvlJc w:val="left"/>
      <w:lvlText w:val="%1:"/>
      <w:numFmt w:val="upperLetter"/>
      <w:start w:val="1"/>
    </w:lvl>
  </w:abstractNum>
  <w:abstractNum w:abstractNumId="43">
    <w:nsid w:val="1C4A08EC"/>
    <w:multiLevelType w:val="hybridMultilevel"/>
    <w:lvl w:ilvl="0">
      <w:lvlJc w:val="left"/>
      <w:lvlText w:val="%1:"/>
      <w:numFmt w:val="upperLetter"/>
      <w:start w:val="17"/>
    </w:lvl>
  </w:abstractNum>
  <w:abstractNum w:abstractNumId="44">
    <w:nsid w:val="1958BD17"/>
    <w:multiLevelType w:val="hybridMultilevel"/>
    <w:lvl w:ilvl="0">
      <w:lvlJc w:val="left"/>
      <w:lvlText w:val="%1:"/>
      <w:numFmt w:val="upperLetter"/>
      <w:start w:val="1"/>
    </w:lvl>
    <w:lvl w:ilvl="1">
      <w:lvlJc w:val="left"/>
      <w:lvlText w:val="•"/>
      <w:numFmt w:val="bullet"/>
      <w:start w:val="1"/>
    </w:lvl>
  </w:abstractNum>
  <w:abstractNum w:abstractNumId="45">
    <w:nsid w:val="4E647FE4"/>
    <w:multiLevelType w:val="hybridMultilevel"/>
    <w:lvl w:ilvl="0">
      <w:lvlJc w:val="left"/>
      <w:lvlText w:val="%1:"/>
      <w:numFmt w:val="upperLetter"/>
      <w:start w:val="17"/>
    </w:lvl>
  </w:abstractNum>
  <w:abstractNum w:abstractNumId="46">
    <w:nsid w:val="E0BB885"/>
    <w:multiLevelType w:val="hybridMultilevel"/>
    <w:lvl w:ilvl="0">
      <w:lvlJc w:val="left"/>
      <w:lvlText w:val="%1:"/>
      <w:numFmt w:val="upperLetter"/>
      <w:start w:val="1"/>
    </w:lvl>
  </w:abstractNum>
  <w:abstractNum w:abstractNumId="47">
    <w:nsid w:val="565976F1"/>
    <w:multiLevelType w:val="hybridMultilevel"/>
    <w:lvl w:ilvl="0">
      <w:lvlJc w:val="left"/>
      <w:lvlText w:val="%1:"/>
      <w:numFmt w:val="upperLetter"/>
      <w:start w:val="17"/>
    </w:lvl>
  </w:abstractNum>
  <w:abstractNum w:abstractNumId="48">
    <w:nsid w:val="64212B8C"/>
    <w:multiLevelType w:val="hybridMultilevel"/>
    <w:lvl w:ilvl="0">
      <w:lvlJc w:val="left"/>
      <w:lvlText w:val="%1:"/>
      <w:numFmt w:val="upperLetter"/>
      <w:start w:val="1"/>
    </w:lvl>
  </w:abstractNum>
  <w:abstractNum w:abstractNumId="49">
    <w:nsid w:val="5C17530C"/>
    <w:multiLevelType w:val="hybridMultilevel"/>
    <w:lvl w:ilvl="0">
      <w:lvlJc w:val="left"/>
      <w:lvlText w:val="%1:"/>
      <w:numFmt w:val="upperLetter"/>
      <w:start w:val="17"/>
    </w:lvl>
  </w:abstractNum>
  <w:abstractNum w:abstractNumId="50">
    <w:nsid w:val="19A52566"/>
    <w:multiLevelType w:val="hybridMultilevel"/>
    <w:lvl w:ilvl="0">
      <w:lvlJc w:val="left"/>
      <w:lvlText w:val="%1:"/>
      <w:numFmt w:val="upperLetter"/>
      <w:start w:val="1"/>
    </w:lvl>
  </w:abstractNum>
  <w:abstractNum w:abstractNumId="51">
    <w:nsid w:val="335A1DF1"/>
    <w:multiLevelType w:val="hybridMultilevel"/>
    <w:lvl w:ilvl="0">
      <w:lvlJc w:val="left"/>
      <w:lvlText w:val="%1:"/>
      <w:numFmt w:val="upperLetter"/>
      <w:start w:val="17"/>
    </w:lvl>
  </w:abstractNum>
  <w:abstractNum w:abstractNumId="52">
    <w:nsid w:val="28677B7C"/>
    <w:multiLevelType w:val="hybridMultilevel"/>
    <w:lvl w:ilvl="0">
      <w:lvlJc w:val="left"/>
      <w:lvlText w:val="%1:"/>
      <w:numFmt w:val="upperLetter"/>
      <w:start w:val="1"/>
    </w:lvl>
  </w:abstractNum>
  <w:abstractNum w:abstractNumId="53">
    <w:nsid w:val="378D97C0"/>
    <w:multiLevelType w:val="hybridMultilevel"/>
    <w:lvl w:ilvl="0">
      <w:lvlJc w:val="left"/>
      <w:lvlText w:val="•"/>
      <w:numFmt w:val="bullet"/>
      <w:start w:val="1"/>
    </w:lvl>
  </w:abstractNum>
  <w:abstractNum w:abstractNumId="54">
    <w:nsid w:val="1D91467C"/>
    <w:multiLevelType w:val="hybridMultilevel"/>
    <w:lvl w:ilvl="0">
      <w:lvlJc w:val="left"/>
      <w:lvlText w:val="•"/>
      <w:numFmt w:val="bullet"/>
      <w:start w:val="1"/>
    </w:lvl>
  </w:abstractNum>
  <w:abstractNum w:abstractNumId="55">
    <w:nsid w:val="316032BB"/>
    <w:multiLevelType w:val="hybridMultilevel"/>
    <w:lvl w:ilvl="0">
      <w:lvlJc w:val="left"/>
      <w:lvlText w:val="•"/>
      <w:numFmt w:val="bullet"/>
      <w:start w:val="1"/>
    </w:lvl>
  </w:abstractNum>
  <w:abstractNum w:abstractNumId="56">
    <w:nsid w:val="44344C22"/>
    <w:multiLevelType w:val="hybridMultilevel"/>
    <w:lvl w:ilvl="0">
      <w:lvlJc w:val="left"/>
      <w:lvlText w:val="•"/>
      <w:numFmt w:val="bullet"/>
      <w:start w:val="1"/>
    </w:lvl>
  </w:abstractNum>
  <w:abstractNum w:abstractNumId="57">
    <w:nsid w:val="13CDFCFC"/>
    <w:multiLevelType w:val="hybridMultilevel"/>
    <w:lvl w:ilvl="0">
      <w:lvlJc w:val="left"/>
      <w:lvlText w:val="•"/>
      <w:numFmt w:val="bullet"/>
      <w:start w:val="1"/>
    </w:lvl>
  </w:abstractNum>
  <w:abstractNum w:abstractNumId="58">
    <w:nsid w:val="471745E4"/>
    <w:multiLevelType w:val="hybridMultilevel"/>
    <w:lvl w:ilvl="0">
      <w:lvlJc w:val="left"/>
      <w:lvlText w:val="•"/>
      <w:numFmt w:val="bullet"/>
      <w:start w:val="1"/>
    </w:lvl>
  </w:abstractNum>
  <w:abstractNum w:abstractNumId="59">
    <w:nsid w:val="1DDBC66"/>
    <w:multiLevelType w:val="hybridMultilevel"/>
    <w:lvl w:ilvl="0">
      <w:lvlJc w:val="left"/>
      <w:lvlText w:val="•"/>
      <w:numFmt w:val="bullet"/>
      <w:start w:val="1"/>
    </w:lvl>
  </w:abstractNum>
  <w:abstractNum w:abstractNumId="60">
    <w:nsid w:val="30AADFDA"/>
    <w:multiLevelType w:val="hybridMultilevel"/>
    <w:lvl w:ilvl="0">
      <w:lvlJc w:val="left"/>
      <w:lvlText w:val="•"/>
      <w:numFmt w:val="bullet"/>
      <w:start w:val="1"/>
    </w:lvl>
  </w:abstractNum>
  <w:abstractNum w:abstractNumId="61">
    <w:nsid w:val="30EADA61"/>
    <w:multiLevelType w:val="hybridMultilevel"/>
    <w:lvl w:ilvl="0">
      <w:lvlJc w:val="left"/>
      <w:lvlText w:val="•"/>
      <w:numFmt w:val="bullet"/>
      <w:start w:val="1"/>
    </w:lvl>
  </w:abstractNum>
  <w:abstractNum w:abstractNumId="62">
    <w:nsid w:val="27179C0B"/>
    <w:multiLevelType w:val="hybridMultilevel"/>
    <w:lvl w:ilvl="0">
      <w:lvlJc w:val="left"/>
      <w:lvlText w:val="•"/>
      <w:numFmt w:val="bullet"/>
      <w:start w:val="1"/>
    </w:lvl>
  </w:abstractNum>
  <w:abstractNum w:abstractNumId="63">
    <w:nsid w:val="5E636063"/>
    <w:multiLevelType w:val="hybridMultilevel"/>
    <w:lvl w:ilvl="0">
      <w:lvlJc w:val="left"/>
      <w:lvlText w:val="•"/>
      <w:numFmt w:val="bullet"/>
      <w:start w:val="1"/>
    </w:lvl>
  </w:abstractNum>
  <w:abstractNum w:abstractNumId="64">
    <w:nsid w:val="215641AF"/>
    <w:multiLevelType w:val="hybridMultilevel"/>
    <w:lvl w:ilvl="0">
      <w:lvlJc w:val="left"/>
      <w:lvlText w:val="(%1)"/>
      <w:numFmt w:val="lowerRoman"/>
      <w:start w:val="2"/>
    </w:lvl>
  </w:abstractNum>
  <w:abstractNum w:abstractNumId="65">
    <w:nsid w:val="53280662"/>
    <w:multiLevelType w:val="hybridMultilevel"/>
    <w:lvl w:ilvl="0">
      <w:lvlJc w:val="left"/>
      <w:lvlText w:val="•"/>
      <w:numFmt w:val="bullet"/>
      <w:start w:val="1"/>
    </w:lvl>
  </w:abstractNum>
  <w:abstractNum w:abstractNumId="66">
    <w:nsid w:val="46B24DBC"/>
    <w:multiLevelType w:val="hybridMultilevel"/>
    <w:lvl w:ilvl="0">
      <w:lvlJc w:val="left"/>
      <w:lvlText w:val="•"/>
      <w:numFmt w:val="bullet"/>
      <w:start w:val="1"/>
    </w:lvl>
  </w:abstractNum>
  <w:abstractNum w:abstractNumId="67">
    <w:nsid w:val="75B52783"/>
    <w:multiLevelType w:val="hybridMultilevel"/>
    <w:lvl w:ilvl="0">
      <w:lvlJc w:val="left"/>
      <w:lvlText w:val="•"/>
      <w:numFmt w:val="bullet"/>
      <w:start w:val="1"/>
    </w:lvl>
  </w:abstractNum>
  <w:abstractNum w:abstractNumId="68">
    <w:nsid w:val="57CE66B4"/>
    <w:multiLevelType w:val="hybridMultilevel"/>
    <w:lvl w:ilvl="0">
      <w:lvlJc w:val="left"/>
      <w:lvlText w:val="•"/>
      <w:numFmt w:val="bullet"/>
      <w:start w:val="1"/>
    </w:lvl>
  </w:abstractNum>
  <w:abstractNum w:abstractNumId="69">
    <w:nsid w:val="67A70B69"/>
    <w:multiLevelType w:val="hybridMultilevel"/>
    <w:lvl w:ilvl="0">
      <w:lvlJc w:val="left"/>
      <w:lvlText w:val="•"/>
      <w:numFmt w:val="bullet"/>
      <w:start w:val="1"/>
    </w:lvl>
  </w:abstractNum>
  <w:abstractNum w:abstractNumId="70">
    <w:nsid w:val="5953172F"/>
    <w:multiLevelType w:val="hybridMultilevel"/>
    <w:lvl w:ilvl="0">
      <w:lvlJc w:val="left"/>
      <w:lvlText w:val="•"/>
      <w:numFmt w:val="bullet"/>
      <w:start w:val="1"/>
    </w:lvl>
    <w:lvl w:ilvl="1">
      <w:lvlJc w:val="left"/>
      <w:lvlText w:val="•"/>
      <w:numFmt w:val="bullet"/>
      <w:start w:val="1"/>
    </w:lvl>
  </w:abstractNum>
  <w:abstractNum w:abstractNumId="71">
    <w:nsid w:val="27EDFE3A"/>
    <w:multiLevelType w:val="hybridMultilevel"/>
    <w:lvl w:ilvl="0">
      <w:lvlJc w:val="left"/>
      <w:lvlText w:val="•"/>
      <w:numFmt w:val="bullet"/>
      <w:start w:val="1"/>
    </w:lvl>
  </w:abstractNum>
  <w:abstractNum w:abstractNumId="72">
    <w:nsid w:val="52AC7DFF"/>
    <w:multiLevelType w:val="hybridMultilevel"/>
    <w:lvl w:ilvl="0">
      <w:lvlJc w:val="left"/>
      <w:lvlText w:val="•"/>
      <w:numFmt w:val="bullet"/>
      <w:start w:val="1"/>
    </w:lvl>
  </w:abstractNum>
  <w:abstractNum w:abstractNumId="73">
    <w:nsid w:val="C4C3AF"/>
    <w:multiLevelType w:val="hybridMultilevel"/>
    <w:lvl w:ilvl="0">
      <w:lvlJc w:val="left"/>
      <w:lvlText w:val="•"/>
      <w:numFmt w:val="bullet"/>
      <w:start w:val="1"/>
    </w:lvl>
  </w:abstractNum>
  <w:abstractNum w:abstractNumId="74">
    <w:nsid w:val="44380727"/>
    <w:multiLevelType w:val="hybridMultilevel"/>
    <w:lvl w:ilvl="0">
      <w:lvlJc w:val="left"/>
      <w:lvlText w:val="•"/>
      <w:numFmt w:val="bullet"/>
      <w:start w:val="1"/>
    </w:lvl>
  </w:abstractNum>
  <w:abstractNum w:abstractNumId="75">
    <w:nsid w:val="6C053B16"/>
    <w:multiLevelType w:val="hybridMultilevel"/>
    <w:lvl w:ilvl="0">
      <w:lvlJc w:val="left"/>
      <w:lvlText w:val="(%1)"/>
      <w:numFmt w:val="decimal"/>
      <w:start w:val="1"/>
    </w:lvl>
  </w:abstractNum>
  <w:abstractNum w:abstractNumId="76">
    <w:nsid w:val="4F294393"/>
    <w:multiLevelType w:val="hybridMultilevel"/>
    <w:lvl w:ilvl="0">
      <w:lvlJc w:val="left"/>
      <w:lvlText w:val="(%1)"/>
      <w:numFmt w:val="decimal"/>
      <w:start w:val="1"/>
    </w:lvl>
  </w:abstractNum>
  <w:abstractNum w:abstractNumId="77">
    <w:nsid w:val="5243BFAC"/>
    <w:multiLevelType w:val="hybridMultilevel"/>
    <w:lvl w:ilvl="0">
      <w:lvlJc w:val="left"/>
      <w:lvlText w:val="(%1)"/>
      <w:numFmt w:val="decimal"/>
      <w:start w:val="2"/>
    </w:lvl>
  </w:abstractNum>
  <w:abstractNum w:abstractNumId="78">
    <w:nsid w:val="425EB207"/>
    <w:multiLevelType w:val="hybridMultilevel"/>
    <w:lvl w:ilvl="0">
      <w:lvlJc w:val="left"/>
      <w:lvlText w:val="(%1)"/>
      <w:numFmt w:val="decimal"/>
      <w:start w:val="1"/>
    </w:lvl>
  </w:abstractNum>
  <w:abstractNum w:abstractNumId="79">
    <w:nsid w:val="334A6F1F"/>
    <w:multiLevelType w:val="hybridMultilevel"/>
    <w:lvl w:ilvl="0">
      <w:lvlJc w:val="left"/>
      <w:lvlText w:val="(%1)"/>
      <w:numFmt w:val="decimal"/>
      <w:start w:val="1"/>
    </w:lvl>
  </w:abstractNum>
  <w:abstractNum w:abstractNumId="80">
    <w:nsid w:val="2E5B12B8"/>
    <w:multiLevelType w:val="hybridMultilevel"/>
    <w:lvl w:ilvl="0">
      <w:lvlJc w:val="left"/>
      <w:lvlText w:val="•"/>
      <w:numFmt w:val="bullet"/>
      <w:start w:val="1"/>
    </w:lvl>
  </w:abstractNum>
  <w:abstractNum w:abstractNumId="81">
    <w:nsid w:val="5C03D76D"/>
    <w:multiLevelType w:val="hybridMultilevel"/>
    <w:lvl w:ilvl="0">
      <w:lvlJc w:val="left"/>
      <w:lvlText w:val="•"/>
      <w:numFmt w:val="bullet"/>
      <w:start w:val="1"/>
    </w:lvl>
  </w:abstractNum>
  <w:abstractNum w:abstractNumId="82">
    <w:nsid w:val="66A48D11"/>
    <w:multiLevelType w:val="hybridMultilevel"/>
    <w:lvl w:ilvl="0">
      <w:lvlJc w:val="left"/>
      <w:lvlText w:val="(%1)"/>
      <w:numFmt w:val="lowerLetter"/>
      <w:start w:val="1"/>
    </w:lvl>
  </w:abstractNum>
  <w:abstractNum w:abstractNumId="83">
    <w:nsid w:val="56C28E34"/>
    <w:multiLevelType w:val="hybridMultilevel"/>
    <w:lvl w:ilvl="0">
      <w:lvlJc w:val="left"/>
      <w:lvlText w:val="•"/>
      <w:numFmt w:val="bullet"/>
      <w:start w:val="1"/>
    </w:lvl>
  </w:abstractNum>
  <w:abstractNum w:abstractNumId="84">
    <w:nsid w:val="13916F2D"/>
    <w:multiLevelType w:val="hybridMultilevel"/>
    <w:lvl w:ilvl="0">
      <w:lvlJc w:val="left"/>
      <w:lvlText w:val="•"/>
      <w:numFmt w:val="bullet"/>
      <w:start w:val="1"/>
    </w:lvl>
  </w:abstractNum>
  <w:abstractNum w:abstractNumId="85">
    <w:nsid w:val="435D38D"/>
    <w:multiLevelType w:val="hybridMultilevel"/>
    <w:lvl w:ilvl="0">
      <w:lvlJc w:val="left"/>
      <w:lvlText w:val="(%1)"/>
      <w:numFmt w:val="lowerLetter"/>
      <w:start w:val="1"/>
    </w:lvl>
  </w:abstractNum>
  <w:abstractNum w:abstractNumId="86">
    <w:nsid w:val="822C0EF"/>
    <w:multiLevelType w:val="hybridMultilevel"/>
    <w:lvl w:ilvl="0">
      <w:lvlJc w:val="left"/>
      <w:lvlText w:val="(%1)"/>
      <w:numFmt w:val="lowerLetter"/>
      <w:start w:val="2"/>
    </w:lvl>
  </w:abstractNum>
  <w:abstractNum w:abstractNumId="87">
    <w:nsid w:val="57C5BB4F"/>
    <w:multiLevelType w:val="hybridMultilevel"/>
    <w:lvl w:ilvl="0">
      <w:lvlJc w:val="left"/>
      <w:lvlText w:val="(%1)"/>
      <w:numFmt w:val="lowerLetter"/>
      <w:start w:val="61"/>
    </w:lvl>
  </w:abstractNum>
  <w:abstractNum w:abstractNumId="88">
    <w:nsid w:val="1803D089"/>
    <w:multiLevelType w:val="hybridMultilevel"/>
    <w:lvl w:ilvl="0">
      <w:lvlJc w:val="left"/>
      <w:lvlText w:val="(%1)"/>
      <w:numFmt w:val="lowerRoman"/>
      <w:start w:val="2"/>
    </w:lvl>
  </w:abstractNum>
  <w:abstractNum w:abstractNumId="89">
    <w:nsid w:val="4F3A06D4"/>
    <w:multiLevelType w:val="hybridMultilevel"/>
    <w:lvl w:ilvl="0">
      <w:lvlJc w:val="left"/>
      <w:lvlText w:val="(%1)"/>
      <w:numFmt w:val="lowerRoman"/>
      <w:start w:val="1"/>
    </w:lvl>
  </w:abstractNum>
  <w:abstractNum w:abstractNumId="90">
    <w:nsid w:val="59A377B6"/>
    <w:multiLevelType w:val="hybridMultilevel"/>
    <w:lvl w:ilvl="0">
      <w:lvlJc w:val="left"/>
      <w:lvlText w:val="•"/>
      <w:numFmt w:val="bullet"/>
      <w:start w:val="1"/>
    </w:lvl>
  </w:abstractNum>
  <w:abstractNum w:abstractNumId="91">
    <w:nsid w:val="48AEB063"/>
    <w:multiLevelType w:val="hybridMultilevel"/>
    <w:lvl w:ilvl="0">
      <w:lvlJc w:val="left"/>
      <w:lvlText w:val="•"/>
      <w:numFmt w:val="bullet"/>
      <w:start w:val="1"/>
    </w:lvl>
  </w:abstractNum>
  <w:abstractNum w:abstractNumId="92">
    <w:nsid w:val="24E135"/>
    <w:multiLevelType w:val="hybridMultilevel"/>
    <w:lvl w:ilvl="0">
      <w:lvlJc w:val="left"/>
      <w:lvlText w:val="•"/>
      <w:numFmt w:val="bullet"/>
      <w:start w:val="1"/>
    </w:lvl>
  </w:abstractNum>
  <w:abstractNum w:abstractNumId="93">
    <w:nsid w:val="BB13C1"/>
    <w:multiLevelType w:val="hybridMultilevel"/>
    <w:lvl w:ilvl="0">
      <w:lvlJc w:val="left"/>
      <w:lvlText w:val="(%1)"/>
      <w:numFmt w:val="lowerLetter"/>
      <w:start w:val="1"/>
    </w:lvl>
  </w:abstractNum>
  <w:abstractNum w:abstractNumId="94">
    <w:nsid w:val="271210C7"/>
    <w:multiLevelType w:val="hybridMultilevel"/>
    <w:lvl w:ilvl="0">
      <w:lvlJc w:val="left"/>
      <w:lvlText w:val="•"/>
      <w:numFmt w:val="bullet"/>
      <w:start w:val="1"/>
    </w:lvl>
  </w:abstractNum>
  <w:abstractNum w:abstractNumId="95">
    <w:nsid w:val="217B22E4"/>
    <w:multiLevelType w:val="hybridMultilevel"/>
    <w:lvl w:ilvl="0">
      <w:lvlJc w:val="left"/>
      <w:lvlText w:val="•"/>
      <w:numFmt w:val="bullet"/>
      <w:start w:val="1"/>
    </w:lvl>
  </w:abstractNum>
  <w:abstractNum w:abstractNumId="96">
    <w:nsid w:val="53E31A24"/>
    <w:multiLevelType w:val="hybridMultilevel"/>
    <w:lvl w:ilvl="0">
      <w:lvlJc w:val="left"/>
      <w:lvlText w:val="(%1)"/>
      <w:numFmt w:val="lowerLetter"/>
      <w:start w:val="2"/>
    </w:lvl>
  </w:abstractNum>
  <w:abstractNum w:abstractNumId="97">
    <w:nsid w:val="6DC45E83"/>
    <w:multiLevelType w:val="hybridMultilevel"/>
    <w:lvl w:ilvl="0">
      <w:lvlJc w:val="left"/>
      <w:lvlText w:val="•"/>
      <w:numFmt w:val="bullet"/>
      <w:start w:val="1"/>
    </w:lvl>
  </w:abstractNum>
  <w:abstractNum w:abstractNumId="98">
    <w:nsid w:val="17304A67"/>
    <w:multiLevelType w:val="hybridMultilevel"/>
    <w:lvl w:ilvl="0">
      <w:lvlJc w:val="left"/>
      <w:lvlText w:val="(%1)"/>
      <w:numFmt w:val="decimal"/>
      <w:start w:val="1"/>
    </w:lvl>
  </w:abstractNum>
  <w:abstractNum w:abstractNumId="99">
    <w:nsid w:val="2BB180D8"/>
    <w:multiLevelType w:val="hybridMultilevel"/>
    <w:lvl w:ilvl="0">
      <w:lvlJc w:val="left"/>
      <w:lvlText w:val="(%1)"/>
      <w:numFmt w:val="upperLetter"/>
      <w:start w:val="1"/>
    </w:lvl>
  </w:abstractNum>
  <w:abstractNum w:abstractNumId="100">
    <w:nsid w:val="556B69ED"/>
    <w:multiLevelType w:val="hybridMultilevel"/>
    <w:lvl w:ilvl="0">
      <w:lvlJc w:val="left"/>
      <w:lvlText w:val="(%1)"/>
      <w:numFmt w:val="upperLetter"/>
      <w:start w:val="10"/>
    </w:lvl>
  </w:abstractNum>
  <w:abstractNum w:abstractNumId="101">
    <w:nsid w:val="70836196"/>
    <w:multiLevelType w:val="hybridMultilevel"/>
    <w:lvl w:ilvl="0">
      <w:lvlJc w:val="left"/>
      <w:lvlText w:val="(%1)"/>
      <w:numFmt w:val="upperLetter"/>
      <w:start w:val="1"/>
    </w:lvl>
  </w:abstractNum>
  <w:abstractNum w:abstractNumId="102">
    <w:nsid w:val="539F7F12"/>
    <w:multiLevelType w:val="hybridMultilevel"/>
    <w:lvl w:ilvl="0">
      <w:lvlJc w:val="left"/>
      <w:lvlText w:val="(%1)"/>
      <w:numFmt w:val="upperLetter"/>
      <w:start w:val="2"/>
    </w:lvl>
  </w:abstractNum>
  <w:abstractNum w:abstractNumId="103">
    <w:nsid w:val="2817E7EC"/>
    <w:multiLevelType w:val="hybridMultilevel"/>
    <w:lvl w:ilvl="0">
      <w:lvlJc w:val="left"/>
      <w:lvlText w:val="(%1)"/>
      <w:numFmt w:val="lowerLetter"/>
      <w:start w:val="23"/>
    </w:lvl>
    <w:lvl w:ilvl="1">
      <w:lvlJc w:val="left"/>
      <w:lvlText w:val="(%2)"/>
      <w:numFmt w:val="upperLetter"/>
      <w:start w:val="1"/>
    </w:lvl>
  </w:abstractNum>
  <w:abstractNum w:abstractNumId="104">
    <w:nsid w:val="71482545"/>
    <w:multiLevelType w:val="hybridMultilevel"/>
    <w:lvl w:ilvl="0">
      <w:lvlJc w:val="left"/>
      <w:lvlText w:val="(%1)"/>
      <w:numFmt w:val="upperLetter"/>
      <w:start w:val="5"/>
    </w:lvl>
  </w:abstractNum>
  <w:abstractNum w:abstractNumId="105">
    <w:nsid w:val="17D78639"/>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8"/>
    </w:lvl>
  </w:abstractNum>
  <w:abstractNum w:abstractNumId="106">
    <w:nsid w:val="141D2302"/>
    <w:multiLevelType w:val="hybridMultilevel"/>
    <w:lvl w:ilvl="0">
      <w:lvlJc w:val="left"/>
      <w:lvlText w:val="(%1)"/>
      <w:numFmt w:val="upperLetter"/>
      <w:start w:val="12"/>
    </w:lvl>
    <w:lvl w:ilvl="1">
      <w:lvlJc w:val="left"/>
      <w:lvlText w:val="(%2)"/>
      <w:numFmt w:val="lowerRoman"/>
      <w:start w:val="3"/>
    </w:lvl>
    <w:lvl w:ilvl="2">
      <w:lvlJc w:val="left"/>
      <w:lvlText w:val="%3"/>
      <w:numFmt w:val="lowerRoman"/>
      <w:start w:val="1"/>
    </w:lvl>
  </w:abstractNum>
  <w:abstractNum w:abstractNumId="107">
    <w:nsid w:val="407168D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08">
    <w:nsid w:val="6A1B45E5"/>
    <w:multiLevelType w:val="hybridMultilevel"/>
    <w:lvl w:ilvl="0">
      <w:lvlJc w:val="left"/>
      <w:lvlText w:val="(%1)"/>
      <w:numFmt w:val="upperLetter"/>
      <w:start w:val="15"/>
    </w:lvl>
    <w:lvl w:ilvl="1">
      <w:lvlJc w:val="left"/>
      <w:lvlText w:val="%2"/>
      <w:numFmt w:val="lowerRoman"/>
      <w:start w:val="1"/>
    </w:lvl>
    <w:lvl w:ilvl="2">
      <w:lvlJc w:val="left"/>
      <w:lvlText w:val="%3"/>
      <w:numFmt w:val="lowerRoman"/>
      <w:start w:val="1"/>
    </w:lvl>
  </w:abstractNum>
  <w:abstractNum w:abstractNumId="109">
    <w:nsid w:val="567BD50A"/>
    <w:multiLevelType w:val="hybridMultilevel"/>
    <w:lvl w:ilvl="0">
      <w:lvlJc w:val="left"/>
      <w:lvlText w:val="(%1)"/>
      <w:numFmt w:val="upperLetter"/>
      <w:start w:val="16"/>
    </w:lvl>
  </w:abstractNum>
  <w:abstractNum w:abstractNumId="110">
    <w:nsid w:val="73BBD7F8"/>
    <w:multiLevelType w:val="hybridMultilevel"/>
    <w:lvl w:ilvl="0">
      <w:lvlJc w:val="left"/>
      <w:lvlText w:val="(%1)"/>
      <w:numFmt w:val="lowerRoman"/>
      <w:start w:val="4"/>
    </w:lvl>
  </w:abstractNum>
  <w:abstractNum w:abstractNumId="111">
    <w:nsid w:val="1876589D"/>
    <w:multiLevelType w:val="hybridMultilevel"/>
    <w:lvl w:ilvl="0">
      <w:lvlJc w:val="left"/>
      <w:lvlText w:val="(%1)"/>
      <w:numFmt w:val="upperLetter"/>
      <w:start w:val="1"/>
    </w:lvl>
  </w:abstractNum>
  <w:abstractNum w:abstractNumId="112">
    <w:nsid w:val="327FAC77"/>
    <w:multiLevelType w:val="hybridMultilevel"/>
    <w:lvl w:ilvl="0">
      <w:lvlJc w:val="left"/>
      <w:lvlText w:val="(%1)"/>
      <w:numFmt w:val="lowerRoman"/>
      <w:start w:val="1"/>
    </w:lvl>
  </w:abstractNum>
  <w:abstractNum w:abstractNumId="113">
    <w:nsid w:val="5A606509"/>
    <w:multiLevelType w:val="hybridMultilevel"/>
    <w:lvl w:ilvl="0">
      <w:lvlJc w:val="left"/>
      <w:lvlText w:val="(%1)"/>
      <w:numFmt w:val="lowerRoman"/>
      <w:start w:val="1"/>
    </w:lvl>
  </w:abstractNum>
  <w:abstractNum w:abstractNumId="114">
    <w:nsid w:val="6F38E6D1"/>
    <w:multiLevelType w:val="hybridMultilevel"/>
    <w:lvl w:ilvl="0">
      <w:lvlJc w:val="left"/>
      <w:lvlText w:val="(%1)"/>
      <w:numFmt w:val="lowerRoman"/>
      <w:start w:val="3"/>
    </w:lvl>
  </w:abstractNum>
  <w:abstractNum w:abstractNumId="115">
    <w:nsid w:val="46111BA5"/>
    <w:multiLevelType w:val="hybridMultilevel"/>
    <w:lvl w:ilvl="0">
      <w:lvlJc w:val="left"/>
      <w:lvlText w:val="(%1)"/>
      <w:numFmt w:val="lowerRoman"/>
      <w:start w:val="2"/>
    </w:lvl>
  </w:abstractNum>
  <w:abstractNum w:abstractNumId="116">
    <w:nsid w:val="5E963896"/>
    <w:multiLevelType w:val="hybridMultilevel"/>
    <w:lvl w:ilvl="0">
      <w:lvlJc w:val="left"/>
      <w:lvlText w:val="(%1)"/>
      <w:numFmt w:val="lowerRoman"/>
      <w:start w:val="1"/>
    </w:lvl>
  </w:abstractNum>
  <w:abstractNum w:abstractNumId="117">
    <w:nsid w:val="775BA7C1"/>
    <w:multiLevelType w:val="hybridMultilevel"/>
    <w:lvl w:ilvl="0">
      <w:lvlJc w:val="left"/>
      <w:lvlText w:val="(%1)"/>
      <w:numFmt w:val="lowerRoman"/>
      <w:start w:val="3"/>
    </w:lvl>
  </w:abstractNum>
  <w:abstractNum w:abstractNumId="118">
    <w:nsid w:val="1DD6D6F4"/>
    <w:multiLevelType w:val="hybridMultilevel"/>
    <w:lvl w:ilvl="0">
      <w:lvlJc w:val="left"/>
      <w:lvlText w:val="(%1)"/>
      <w:numFmt w:val="lowerRoman"/>
      <w:start w:val="1"/>
    </w:lvl>
  </w:abstractNum>
  <w:abstractNum w:abstractNumId="119">
    <w:nsid w:val="769A091F"/>
    <w:multiLevelType w:val="hybridMultilevel"/>
    <w:lvl w:ilvl="0">
      <w:lvlJc w:val="left"/>
      <w:lvlText w:val="(%1)"/>
      <w:numFmt w:val="lowerRoman"/>
      <w:start w:val="2"/>
    </w:lvl>
  </w:abstractNum>
  <w:abstractNum w:abstractNumId="120">
    <w:nsid w:val="4695AE95"/>
    <w:multiLevelType w:val="hybridMultilevel"/>
    <w:lvl w:ilvl="0">
      <w:lvlJc w:val="left"/>
      <w:lvlText w:val="(%1)"/>
      <w:numFmt w:val="lowerLetter"/>
      <w:start w:val="1"/>
    </w:lvl>
  </w:abstractNum>
  <w:abstractNum w:abstractNumId="121">
    <w:nsid w:val="777A4EAA"/>
    <w:multiLevelType w:val="hybridMultilevel"/>
    <w:lvl w:ilvl="0">
      <w:lvlJc w:val="left"/>
      <w:lvlText w:val="(%1)"/>
      <w:numFmt w:val="lowerRoman"/>
      <w:start w:val="2"/>
    </w:lvl>
  </w:abstractNum>
  <w:abstractNum w:abstractNumId="122">
    <w:nsid w:val="3F48B982"/>
    <w:multiLevelType w:val="hybridMultilevel"/>
    <w:lvl w:ilvl="0">
      <w:lvlJc w:val="left"/>
      <w:lvlText w:val="(%1)"/>
      <w:numFmt w:val="lowerRoman"/>
      <w:start w:val="5"/>
    </w:lvl>
  </w:abstractNum>
  <w:abstractNum w:abstractNumId="123">
    <w:nsid w:val="46BA8FCA"/>
    <w:multiLevelType w:val="hybridMultilevel"/>
    <w:lvl w:ilvl="0">
      <w:lvlJc w:val="left"/>
      <w:lvlText w:val="(%1)"/>
      <w:numFmt w:val="lowerRoman"/>
      <w:start w:val="1"/>
    </w:lvl>
  </w:abstractNum>
  <w:abstractNum w:abstractNumId="124">
    <w:nsid w:val="7835626C"/>
    <w:multiLevelType w:val="hybridMultilevel"/>
    <w:lvl w:ilvl="0">
      <w:lvlJc w:val="left"/>
      <w:lvlText w:val="%1"/>
      <w:numFmt w:val="lowerRoman"/>
      <w:start w:val="1"/>
    </w:lvl>
    <w:lvl w:ilvl="1">
      <w:lvlJc w:val="left"/>
      <w:lvlText w:val="(%2)"/>
      <w:numFmt w:val="lowerRoman"/>
      <w:start w:val="4"/>
    </w:lvl>
  </w:abstractNum>
  <w:abstractNum w:abstractNumId="125">
    <w:nsid w:val="665ACA49"/>
    <w:multiLevelType w:val="hybridMultilevel"/>
    <w:lvl w:ilvl="0">
      <w:lvlJc w:val="left"/>
      <w:lvlText w:val="(%1)"/>
      <w:numFmt w:val="lowerRoman"/>
      <w:start w:val="8"/>
    </w:lvl>
    <w:lvl w:ilvl="1">
      <w:lvlJc w:val="left"/>
      <w:lvlText w:val="%2"/>
      <w:numFmt w:val="lowerRoman"/>
      <w:start w:val="1"/>
    </w:lvl>
  </w:abstractNum>
  <w:abstractNum w:abstractNumId="126">
    <w:nsid w:val="6835B2AE"/>
    <w:multiLevelType w:val="hybridMultilevel"/>
    <w:lvl w:ilvl="0">
      <w:lvlJc w:val="left"/>
      <w:lvlText w:val="(%1)"/>
      <w:numFmt w:val="lowerRoman"/>
      <w:start w:val="1"/>
    </w:lvl>
    <w:lvl w:ilvl="1">
      <w:lvlJc w:val="left"/>
      <w:lvlText w:val="%2."/>
      <w:numFmt w:val="lowerLetter"/>
      <w:start w:val="1"/>
    </w:lvl>
  </w:abstractNum>
  <w:abstractNum w:abstractNumId="127">
    <w:nsid w:val="4C187C90"/>
    <w:multiLevelType w:val="hybridMultilevel"/>
    <w:lvl w:ilvl="0">
      <w:lvlJc w:val="left"/>
      <w:lvlText w:val="%1"/>
      <w:numFmt w:val="lowerRoman"/>
      <w:start w:val="1"/>
    </w:lvl>
    <w:lvl w:ilvl="1">
      <w:lvlJc w:val="left"/>
      <w:lvlText w:val="%2."/>
      <w:numFmt w:val="lowerLetter"/>
      <w:start w:val="3"/>
    </w:lvl>
  </w:abstractNum>
  <w:abstractNum w:abstractNumId="128">
    <w:nsid w:val="541F28CD"/>
    <w:multiLevelType w:val="hybridMultilevel"/>
    <w:lvl w:ilvl="0">
      <w:lvlJc w:val="left"/>
      <w:lvlText w:val="(%1)"/>
      <w:numFmt w:val="lowerRoman"/>
      <w:start w:val="3"/>
    </w:lvl>
    <w:lvl w:ilvl="1">
      <w:lvlJc w:val="left"/>
      <w:lvlText w:val="%2."/>
      <w:numFmt w:val="lowerLetter"/>
      <w:start w:val="1"/>
    </w:lvl>
  </w:abstractNum>
  <w:abstractNum w:abstractNumId="129">
    <w:nsid w:val="7F65FD16"/>
    <w:multiLevelType w:val="hybridMultilevel"/>
    <w:lvl w:ilvl="0">
      <w:lvlJc w:val="left"/>
      <w:lvlText w:val="(%1)"/>
      <w:numFmt w:val="lowerRoman"/>
      <w:start w:val="1"/>
    </w:lvl>
  </w:abstractNum>
  <w:abstractNum w:abstractNumId="130">
    <w:nsid w:val="77C9FD68"/>
    <w:multiLevelType w:val="hybridMultilevel"/>
    <w:lvl w:ilvl="0">
      <w:lvlJc w:val="left"/>
      <w:lvlText w:val="(%1)"/>
      <w:numFmt w:val="lowerRoman"/>
      <w:start w:val="1"/>
    </w:lvl>
  </w:abstractNum>
  <w:abstractNum w:abstractNumId="131">
    <w:nsid w:val="298A92BA"/>
    <w:multiLevelType w:val="hybridMultilevel"/>
    <w:lvl w:ilvl="0">
      <w:lvlJc w:val="left"/>
      <w:lvlText w:val="(%1)"/>
      <w:numFmt w:val="lowerRoman"/>
      <w:start w:val="2"/>
    </w:lvl>
  </w:abstractNum>
  <w:abstractNum w:abstractNumId="132">
    <w:nsid w:val="6FE95EAC"/>
    <w:multiLevelType w:val="hybridMultilevel"/>
    <w:lvl w:ilvl="0">
      <w:lvlJc w:val="left"/>
      <w:lvlText w:val="(%1)"/>
      <w:numFmt w:val="lowerRoman"/>
      <w:start w:val="1"/>
    </w:lvl>
  </w:abstractNum>
  <w:abstractNum w:abstractNumId="133">
    <w:nsid w:val="4B697C7A"/>
    <w:multiLevelType w:val="hybridMultilevel"/>
    <w:lvl w:ilvl="0">
      <w:lvlJc w:val="left"/>
      <w:lvlText w:val="%1."/>
      <w:numFmt w:val="decimal"/>
      <w:start w:val="8"/>
    </w:lvl>
  </w:abstractNum>
  <w:abstractNum w:abstractNumId="134">
    <w:nsid w:val="51A27AA6"/>
    <w:multiLevelType w:val="hybridMultilevel"/>
    <w:lvl w:ilvl="0">
      <w:lvlJc w:val="left"/>
      <w:lvlText w:val="•"/>
      <w:numFmt w:val="bullet"/>
      <w:start w:val="1"/>
    </w:lvl>
  </w:abstractNum>
  <w:abstractNum w:abstractNumId="135">
    <w:nsid w:val="613183F2"/>
    <w:multiLevelType w:val="hybridMultilevel"/>
    <w:lvl w:ilvl="0">
      <w:lvlJc w:val="left"/>
      <w:lvlText w:val="•"/>
      <w:numFmt w:val="bullet"/>
      <w:start w:val="1"/>
    </w:lvl>
  </w:abstractNum>
  <w:abstractNum w:abstractNumId="136">
    <w:nsid w:val="634102B4"/>
    <w:multiLevelType w:val="hybridMultilevel"/>
    <w:lvl w:ilvl="0">
      <w:lvlJc w:val="left"/>
      <w:lvlText w:val="(%1)"/>
      <w:numFmt w:val="lowerRoman"/>
      <w:start w:val="1"/>
    </w:lvl>
  </w:abstractNum>
  <w:abstractNum w:abstractNumId="137">
    <w:nsid w:val="65BF9DA8"/>
    <w:multiLevelType w:val="hybridMultilevel"/>
    <w:lvl w:ilvl="0">
      <w:lvlJc w:val="left"/>
      <w:lvlText w:val="(%1)"/>
      <w:numFmt w:val="lowerRoman"/>
      <w:start w:val="1"/>
    </w:lvl>
  </w:abstractNum>
  <w:abstractNum w:abstractNumId="138">
    <w:nsid w:val="21A2ECCA"/>
    <w:multiLevelType w:val="hybridMultilevel"/>
    <w:lvl w:ilvl="0">
      <w:lvlJc w:val="left"/>
      <w:lvlText w:val="•"/>
      <w:numFmt w:val="bullet"/>
      <w:start w:val="1"/>
    </w:lvl>
  </w:abstractNum>
  <w:abstractNum w:abstractNumId="139">
    <w:nsid w:val="4D5C4899"/>
    <w:multiLevelType w:val="hybridMultilevel"/>
    <w:lvl w:ilvl="0">
      <w:lvlJc w:val="left"/>
      <w:lvlText w:val="•"/>
      <w:numFmt w:val="bullet"/>
      <w:start w:val="1"/>
    </w:lvl>
  </w:abstractNum>
  <w:abstractNum w:abstractNumId="140">
    <w:nsid w:val="3C3B72B2"/>
    <w:multiLevelType w:val="hybridMultilevel"/>
    <w:lvl w:ilvl="0">
      <w:lvlJc w:val="left"/>
      <w:lvlText w:val="•"/>
      <w:numFmt w:val="bullet"/>
      <w:start w:val="1"/>
    </w:lvl>
  </w:abstractNum>
  <w:abstractNum w:abstractNumId="141">
    <w:nsid w:val="155EC4C2"/>
    <w:multiLevelType w:val="hybridMultilevel"/>
    <w:lvl w:ilvl="0">
      <w:lvlJc w:val="left"/>
      <w:lvlText w:val="•"/>
      <w:numFmt w:val="bullet"/>
      <w:start w:val="1"/>
    </w:lvl>
  </w:abstractNum>
  <w:abstractNum w:abstractNumId="142">
    <w:nsid w:val="65D2A137"/>
    <w:multiLevelType w:val="hybridMultilevel"/>
    <w:lvl w:ilvl="0">
      <w:lvlJc w:val="left"/>
      <w:lvlText w:val="•"/>
      <w:numFmt w:val="bullet"/>
      <w:start w:val="1"/>
    </w:lvl>
  </w:abstractNum>
  <w:abstractNum w:abstractNumId="143">
    <w:nsid w:val="6EBB1F2A"/>
    <w:multiLevelType w:val="hybridMultilevel"/>
    <w:lvl w:ilvl="0">
      <w:lvlJc w:val="left"/>
      <w:lvlText w:val="•"/>
      <w:numFmt w:val="bullet"/>
      <w:start w:val="1"/>
    </w:lvl>
  </w:abstractNum>
  <w:abstractNum w:abstractNumId="144">
    <w:nsid w:val="6FBF29CB"/>
    <w:multiLevelType w:val="hybridMultilevel"/>
    <w:lvl w:ilvl="0">
      <w:lvlJc w:val="left"/>
      <w:lvlText w:val="•"/>
      <w:numFmt w:val="bullet"/>
      <w:start w:val="1"/>
    </w:lvl>
  </w:abstractNum>
  <w:abstractNum w:abstractNumId="145">
    <w:nsid w:val="550B8808"/>
    <w:multiLevelType w:val="hybridMultilevel"/>
    <w:lvl w:ilvl="0">
      <w:lvlJc w:val="left"/>
      <w:lvlText w:val="•"/>
      <w:numFmt w:val="bullet"/>
      <w:start w:val="1"/>
    </w:lvl>
  </w:abstractNum>
  <w:abstractNum w:abstractNumId="146">
    <w:nsid w:val="34CC3ACF"/>
    <w:multiLevelType w:val="hybridMultilevel"/>
    <w:lvl w:ilvl="0">
      <w:lvlJc w:val="left"/>
      <w:lvlText w:val="•"/>
      <w:numFmt w:val="bullet"/>
      <w:start w:val="1"/>
    </w:lvl>
  </w:abstractNum>
  <w:abstractNum w:abstractNumId="147">
    <w:nsid w:val="4E556261"/>
    <w:multiLevelType w:val="hybridMultilevel"/>
    <w:lvl w:ilvl="0">
      <w:lvlJc w:val="left"/>
      <w:lvlText w:val="•"/>
      <w:numFmt w:val="bullet"/>
      <w:start w:val="1"/>
    </w:lvl>
  </w:abstractNum>
  <w:abstractNum w:abstractNumId="148">
    <w:nsid w:val="4C672FC9"/>
    <w:multiLevelType w:val="hybridMultilevel"/>
    <w:lvl w:ilvl="0">
      <w:lvlJc w:val="left"/>
      <w:lvlText w:val="•"/>
      <w:numFmt w:val="bullet"/>
      <w:start w:val="1"/>
    </w:lvl>
  </w:abstractNum>
  <w:abstractNum w:abstractNumId="149">
    <w:nsid w:val="52A311C3"/>
    <w:multiLevelType w:val="hybridMultilevel"/>
    <w:lvl w:ilvl="0">
      <w:lvlJc w:val="left"/>
      <w:lvlText w:val="•"/>
      <w:numFmt w:val="bullet"/>
      <w:start w:val="1"/>
    </w:lvl>
  </w:abstractNum>
  <w:abstractNum w:abstractNumId="150">
    <w:nsid w:val="44EF6B80"/>
    <w:multiLevelType w:val="hybridMultilevel"/>
    <w:lvl w:ilvl="0">
      <w:lvlJc w:val="left"/>
      <w:lvlText w:val="(%1)"/>
      <w:numFmt w:val="lowerRoman"/>
      <w:start w:val="1"/>
    </w:lvl>
  </w:abstractNum>
  <w:abstractNum w:abstractNumId="151">
    <w:nsid w:val="12FCDE5E"/>
    <w:multiLevelType w:val="hybridMultilevel"/>
    <w:lvl w:ilvl="0">
      <w:lvlJc w:val="left"/>
      <w:lvlText w:val="•"/>
      <w:numFmt w:val="bullet"/>
      <w:start w:val="1"/>
    </w:lvl>
  </w:abstractNum>
  <w:abstractNum w:abstractNumId="152">
    <w:nsid w:val="4A1D606E"/>
    <w:multiLevelType w:val="hybridMultilevel"/>
    <w:lvl w:ilvl="0">
      <w:lvlJc w:val="left"/>
      <w:lvlText w:val="•"/>
      <w:numFmt w:val="bullet"/>
      <w:start w:val="1"/>
    </w:lvl>
  </w:abstractNum>
  <w:abstractNum w:abstractNumId="153">
    <w:nsid w:val="4382503"/>
    <w:multiLevelType w:val="hybridMultilevel"/>
    <w:lvl w:ilvl="0">
      <w:lvlJc w:val="left"/>
      <w:lvlText w:val="•"/>
      <w:numFmt w:val="bullet"/>
      <w:start w:val="1"/>
    </w:lvl>
  </w:abstractNum>
  <w:abstractNum w:abstractNumId="154">
    <w:nsid w:val="59B76E28"/>
    <w:multiLevelType w:val="hybridMultilevel"/>
    <w:lvl w:ilvl="0">
      <w:lvlJc w:val="left"/>
      <w:lvlText w:val="•"/>
      <w:numFmt w:val="bullet"/>
      <w:start w:val="1"/>
    </w:lvl>
  </w:abstractNum>
  <w:abstractNum w:abstractNumId="155">
    <w:nsid w:val="4252C2DA"/>
    <w:multiLevelType w:val="hybridMultilevel"/>
    <w:lvl w:ilvl="0">
      <w:lvlJc w:val="left"/>
      <w:lvlText w:val="•"/>
      <w:numFmt w:val="bullet"/>
      <w:start w:val="1"/>
    </w:lvl>
  </w:abstractNum>
  <w:abstractNum w:abstractNumId="156">
    <w:nsid w:val="6A92EF4C"/>
    <w:multiLevelType w:val="hybridMultilevel"/>
    <w:lvl w:ilvl="0">
      <w:lvlJc w:val="left"/>
      <w:lvlText w:val="•"/>
      <w:numFmt w:val="bullet"/>
      <w:start w:val="1"/>
    </w:lvl>
  </w:abstractNum>
  <w:abstractNum w:abstractNumId="157">
    <w:nsid w:val="41ED20D7"/>
    <w:multiLevelType w:val="hybridMultilevel"/>
    <w:lvl w:ilvl="0">
      <w:lvlJc w:val="left"/>
      <w:lvlText w:val="(%1)"/>
      <w:numFmt w:val="lowerRoman"/>
      <w:start w:val="3"/>
    </w:lvl>
  </w:abstractNum>
  <w:abstractNum w:abstractNumId="158">
    <w:nsid w:val="E6B3F6A"/>
    <w:multiLevelType w:val="hybridMultilevel"/>
    <w:lvl w:ilvl="0">
      <w:lvlJc w:val="left"/>
      <w:lvlText w:val="•"/>
      <w:numFmt w:val="bullet"/>
      <w:start w:val="1"/>
    </w:lvl>
  </w:abstractNum>
  <w:abstractNum w:abstractNumId="159">
    <w:nsid w:val="3EB21819"/>
    <w:multiLevelType w:val="hybridMultilevel"/>
    <w:lvl w:ilvl="0">
      <w:lvlJc w:val="left"/>
      <w:lvlText w:val="(%1)"/>
      <w:numFmt w:val="lowerRoman"/>
      <w:start w:val="2"/>
    </w:lvl>
  </w:abstractNum>
  <w:abstractNum w:abstractNumId="160">
    <w:nsid w:val="41531DED"/>
    <w:multiLevelType w:val="hybridMultilevel"/>
    <w:lvl w:ilvl="0">
      <w:lvlJc w:val="left"/>
      <w:lvlText w:val="•"/>
      <w:numFmt w:val="bullet"/>
      <w:start w:val="1"/>
    </w:lvl>
  </w:abstractNum>
  <w:abstractNum w:abstractNumId="161">
    <w:nsid w:val="6353CD2"/>
    <w:multiLevelType w:val="hybridMultilevel"/>
    <w:lvl w:ilvl="0">
      <w:lvlJc w:val="left"/>
      <w:lvlText w:val="•"/>
      <w:numFmt w:val="bullet"/>
      <w:start w:val="1"/>
    </w:lvl>
  </w:abstractNum>
  <w:abstractNum w:abstractNumId="162">
    <w:nsid w:val="683CAAD3"/>
    <w:multiLevelType w:val="hybridMultilevel"/>
    <w:lvl w:ilvl="0">
      <w:lvlJc w:val="left"/>
      <w:lvlText w:val="•"/>
      <w:numFmt w:val="bullet"/>
      <w:start w:val="1"/>
    </w:lvl>
    <w:lvl w:ilvl="1">
      <w:lvlJc w:val="left"/>
      <w:lvlText w:val="•"/>
      <w:numFmt w:val="bullet"/>
      <w:start w:val="1"/>
    </w:lvl>
  </w:abstractNum>
  <w:abstractNum w:abstractNumId="163">
    <w:nsid w:val="313C7C99"/>
    <w:multiLevelType w:val="hybridMultilevel"/>
    <w:lvl w:ilvl="0">
      <w:lvlJc w:val="left"/>
      <w:lvlText w:val="•"/>
      <w:numFmt w:val="bullet"/>
      <w:start w:val="1"/>
    </w:lvl>
  </w:abstractNum>
  <w:abstractNum w:abstractNumId="164">
    <w:nsid w:val="519EB94C"/>
    <w:multiLevelType w:val="hybridMultilevel"/>
    <w:lvl w:ilvl="0">
      <w:lvlJc w:val="left"/>
      <w:lvlText w:val="•"/>
      <w:numFmt w:val="bullet"/>
      <w:start w:val="1"/>
    </w:lvl>
  </w:abstractNum>
  <w:abstractNum w:abstractNumId="165">
    <w:nsid w:val="39DF2579"/>
    <w:multiLevelType w:val="hybridMultilevel"/>
    <w:lvl w:ilvl="0">
      <w:lvlJc w:val="left"/>
      <w:lvlText w:val="•"/>
      <w:numFmt w:val="bullet"/>
      <w:start w:val="1"/>
    </w:lvl>
  </w:abstractNum>
  <w:abstractNum w:abstractNumId="166">
    <w:nsid w:val="126E008B"/>
    <w:multiLevelType w:val="hybridMultilevel"/>
    <w:lvl w:ilvl="0">
      <w:lvlJc w:val="left"/>
      <w:lvlText w:val="•"/>
      <w:numFmt w:val="bullet"/>
      <w:start w:val="1"/>
    </w:lvl>
  </w:abstractNum>
  <w:abstractNum w:abstractNumId="167">
    <w:nsid w:val="34DFBC00"/>
    <w:multiLevelType w:val="hybridMultilevel"/>
    <w:lvl w:ilvl="0">
      <w:lvlJc w:val="left"/>
      <w:lvlText w:val="(%1)"/>
      <w:numFmt w:val="decimal"/>
      <w:start w:val="10"/>
    </w:lvl>
  </w:abstractNum>
  <w:abstractNum w:abstractNumId="168">
    <w:nsid w:val="1F9EC322"/>
    <w:multiLevelType w:val="hybridMultilevel"/>
    <w:lvl w:ilvl="0">
      <w:lvlJc w:val="left"/>
      <w:lvlText w:val="(%1)"/>
      <w:numFmt w:val="upperLetter"/>
      <w:start w:val="2"/>
    </w:lvl>
  </w:abstractNum>
  <w:abstractNum w:abstractNumId="169">
    <w:nsid w:val="3410ED56"/>
    <w:multiLevelType w:val="hybridMultilevel"/>
    <w:lvl w:ilvl="0">
      <w:lvlJc w:val="left"/>
      <w:lvlText w:val="(%1)"/>
      <w:numFmt w:val="lowerRoman"/>
      <w:start w:val="2"/>
    </w:lvl>
  </w:abstractNum>
  <w:abstractNum w:abstractNumId="170">
    <w:nsid w:val="23C049A"/>
    <w:multiLevelType w:val="hybridMultilevel"/>
    <w:lvl w:ilvl="0">
      <w:lvlJc w:val="left"/>
      <w:lvlText w:val="(%1)"/>
      <w:numFmt w:val="lowerRoman"/>
      <w:start w:val="3"/>
    </w:lvl>
  </w:abstractNum>
  <w:abstractNum w:abstractNumId="171">
    <w:nsid w:val="5BDA35D4"/>
    <w:multiLevelType w:val="hybridMultilevel"/>
    <w:lvl w:ilvl="0">
      <w:lvlJc w:val="left"/>
      <w:lvlText w:val="(%1)"/>
      <w:numFmt w:val="lowerLetter"/>
      <w:start w:val="1"/>
    </w:lvl>
  </w:abstractNum>
  <w:abstractNum w:abstractNumId="172">
    <w:nsid w:val="496FB2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3">
    <w:nsid w:val="680EA5D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74">
    <w:nsid w:val="4A9554FE"/>
    <w:multiLevelType w:val="hybridMultilevel"/>
    <w:lvl w:ilvl="0">
      <w:lvlJc w:val="left"/>
      <w:lvlText w:val="%1"/>
      <w:numFmt w:val="lowerLetter"/>
      <w:start w:val="1"/>
    </w:lvl>
    <w:lvl w:ilvl="1">
      <w:lvlJc w:val="left"/>
      <w:lvlText w:val="(%2)"/>
      <w:numFmt w:val="lowerRoman"/>
      <w:start w:val="3"/>
    </w:lvl>
  </w:abstractNum>
  <w:abstractNum w:abstractNumId="175">
    <w:nsid w:val="392EDBE4"/>
    <w:multiLevelType w:val="hybridMultilevel"/>
    <w:lvl w:ilvl="0">
      <w:lvlJc w:val="left"/>
      <w:lvlText w:val="(%1)"/>
      <w:numFmt w:val="lowerLetter"/>
      <w:start w:val="6"/>
    </w:lvl>
    <w:lvl w:ilvl="1">
      <w:lvlJc w:val="left"/>
      <w:lvlText w:val="%2"/>
      <w:numFmt w:val="lowerRoman"/>
      <w:start w:val="1"/>
    </w:lvl>
  </w:abstractNum>
  <w:abstractNum w:abstractNumId="176">
    <w:nsid w:val="3D1A2DD9"/>
    <w:multiLevelType w:val="hybridMultilevel"/>
    <w:lvl w:ilvl="0">
      <w:lvlJc w:val="left"/>
      <w:lvlText w:val="(%1)"/>
      <w:numFmt w:val="lowerLetter"/>
      <w:start w:val="7"/>
    </w:lvl>
  </w:abstractNum>
  <w:abstractNum w:abstractNumId="177">
    <w:nsid w:val="7F618FCD"/>
    <w:multiLevelType w:val="hybridMultilevel"/>
    <w:lvl w:ilvl="0">
      <w:lvlJc w:val="left"/>
      <w:lvlText w:val="%1"/>
      <w:numFmt w:val="upperLetter"/>
      <w:start w:val="1"/>
    </w:lvl>
    <w:lvl w:ilvl="1">
      <w:lvlJc w:val="left"/>
      <w:lvlText w:val="(%2)"/>
      <w:numFmt w:val="lowerLetter"/>
      <w:start w:val="10"/>
    </w:lvl>
  </w:abstractNum>
  <w:abstractNum w:abstractNumId="178">
    <w:nsid w:val="7843E45"/>
    <w:multiLevelType w:val="hybridMultilevel"/>
    <w:lvl w:ilvl="0">
      <w:lvlJc w:val="left"/>
      <w:lvlText w:val="(%1)"/>
      <w:numFmt w:val="upperLetter"/>
      <w:start w:val="2"/>
    </w:lvl>
    <w:lvl w:ilvl="1">
      <w:lvlJc w:val="left"/>
      <w:lvlText w:val="(%2)"/>
      <w:numFmt w:val="lowerLetter"/>
      <w:start w:val="11"/>
    </w:lvl>
  </w:abstractNum>
  <w:abstractNum w:abstractNumId="179">
    <w:nsid w:val="9815DA3"/>
    <w:multiLevelType w:val="hybridMultilevel"/>
    <w:lvl w:ilvl="0">
      <w:lvlJc w:val="left"/>
      <w:lvlText w:val="%1"/>
      <w:numFmt w:val="decimal"/>
      <w:start w:val="1"/>
    </w:lvl>
    <w:lvl w:ilvl="1">
      <w:lvlJc w:val="left"/>
      <w:lvlText w:val="(%2)"/>
      <w:numFmt w:val="lowerLetter"/>
      <w:start w:val="1"/>
    </w:lvl>
  </w:abstractNum>
  <w:abstractNum w:abstractNumId="180">
    <w:nsid w:val="5204A191"/>
    <w:multiLevelType w:val="hybridMultilevel"/>
    <w:lvl w:ilvl="0">
      <w:lvlJc w:val="left"/>
      <w:lvlText w:val="(%1)"/>
      <w:numFmt w:val="decimal"/>
      <w:start w:val="5"/>
    </w:lvl>
    <w:lvl w:ilvl="1">
      <w:lvlJc w:val="left"/>
      <w:lvlText w:val="(%2)"/>
      <w:numFmt w:val="lowerLetter"/>
      <w:start w:val="2"/>
    </w:lvl>
  </w:abstractNum>
  <w:abstractNum w:abstractNumId="181">
    <w:nsid w:val="4C73A9C6"/>
    <w:multiLevelType w:val="hybridMultilevel"/>
    <w:lvl w:ilvl="0">
      <w:lvlJc w:val="left"/>
      <w:lvlText w:val="%1"/>
      <w:numFmt w:val="lowerLetter"/>
      <w:start w:val="1"/>
    </w:lvl>
    <w:lvl w:ilvl="1">
      <w:lvlJc w:val="left"/>
      <w:lvlText w:val="(%2)"/>
      <w:numFmt w:val="lowerLetter"/>
      <w:start w:val="1"/>
    </w:lvl>
  </w:abstractNum>
  <w:abstractNum w:abstractNumId="182">
    <w:nsid w:val="1C7E3C01"/>
    <w:multiLevelType w:val="hybridMultilevel"/>
    <w:lvl w:ilvl="0">
      <w:lvlJc w:val="left"/>
      <w:lvlText w:val="(%1)"/>
      <w:numFmt w:val="lowerLetter"/>
      <w:start w:val="35"/>
    </w:lvl>
    <w:lvl w:ilvl="1">
      <w:lvlJc w:val="left"/>
      <w:lvlText w:val="(%2)"/>
      <w:numFmt w:val="lowerLetter"/>
      <w:start w:val="2"/>
    </w:lvl>
  </w:abstractNum>
  <w:abstractNum w:abstractNumId="183">
    <w:nsid w:val="1C2201FF"/>
    <w:multiLevelType w:val="hybridMultilevel"/>
    <w:lvl w:ilvl="0">
      <w:lvlJc w:val="left"/>
      <w:lvlText w:val="(%1)"/>
      <w:numFmt w:val="lowerLetter"/>
      <w:start w:val="6"/>
    </w:lvl>
  </w:abstractNum>
  <w:abstractNum w:abstractNumId="184">
    <w:nsid w:val="50ABCEC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85">
    <w:nsid w:val="7635AA2A"/>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86">
    <w:nsid w:val="5E74C4D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187">
    <w:nsid w:val="3B3EBE1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188">
    <w:nsid w:val="3822CB01"/>
    <w:multiLevelType w:val="hybridMultilevel"/>
    <w:lvl w:ilvl="0">
      <w:lvlJc w:val="left"/>
      <w:lvlText w:val="(%1)"/>
      <w:numFmt w:val="lowerLetter"/>
      <w:start w:val="3"/>
    </w:lvl>
  </w:abstractNum>
  <w:abstractNum w:abstractNumId="189">
    <w:nsid w:val="6CE00443"/>
    <w:multiLevelType w:val="hybridMultilevel"/>
    <w:lvl w:ilvl="0">
      <w:lvlJc w:val="left"/>
      <w:lvlText w:val="(%1)"/>
      <w:numFmt w:val="lowerLetter"/>
      <w:start w:val="1"/>
    </w:lvl>
  </w:abstractNum>
  <w:abstractNum w:abstractNumId="190">
    <w:nsid w:val="79F0D62F"/>
    <w:multiLevelType w:val="hybridMultilevel"/>
    <w:lvl w:ilvl="0">
      <w:lvlJc w:val="left"/>
      <w:lvlText w:val="(%1)"/>
      <w:numFmt w:val="lowerLetter"/>
      <w:start w:val="2"/>
    </w:lvl>
    <w:lvl w:ilvl="1">
      <w:lvlJc w:val="left"/>
      <w:lvlText w:val="(%2)"/>
      <w:numFmt w:val="lowerRoman"/>
      <w:start w:val="1"/>
    </w:lvl>
  </w:abstractNum>
  <w:abstractNum w:abstractNumId="191">
    <w:nsid w:val="7975E8EE"/>
    <w:multiLevelType w:val="hybridMultilevel"/>
    <w:lvl w:ilvl="0">
      <w:lvlJc w:val="left"/>
      <w:lvlText w:val="(%1)"/>
      <w:numFmt w:val="lowerLetter"/>
      <w:start w:val="8"/>
    </w:lvl>
    <w:lvl w:ilvl="1">
      <w:lvlJc w:val="left"/>
      <w:lvlText w:val="(%2)"/>
      <w:numFmt w:val="lowerRoman"/>
      <w:start w:val="1"/>
    </w:lvl>
  </w:abstractNum>
  <w:abstractNum w:abstractNumId="192">
    <w:nsid w:val="73154115"/>
    <w:multiLevelType w:val="hybridMultilevel"/>
    <w:lvl w:ilvl="0">
      <w:lvlJc w:val="left"/>
      <w:lvlText w:val="(%1)"/>
      <w:numFmt w:val="lowerLetter"/>
      <w:start w:val="1"/>
    </w:lvl>
  </w:abstractNum>
  <w:abstractNum w:abstractNumId="193">
    <w:nsid w:val="622D8102"/>
    <w:multiLevelType w:val="hybridMultilevel"/>
    <w:lvl w:ilvl="0">
      <w:lvlJc w:val="left"/>
      <w:lvlText w:val="(%1)"/>
      <w:numFmt w:val="lowerLetter"/>
      <w:start w:val="1"/>
    </w:lvl>
    <w:lvl w:ilvl="1">
      <w:lvlJc w:val="left"/>
      <w:lvlText w:val="(%2)"/>
      <w:numFmt w:val="lowerLetter"/>
      <w:start w:val="9"/>
    </w:lvl>
  </w:abstractNum>
  <w:abstractNum w:abstractNumId="194">
    <w:nsid w:val="2AB26587"/>
    <w:multiLevelType w:val="hybridMultilevel"/>
    <w:lvl w:ilvl="0">
      <w:lvlJc w:val="left"/>
      <w:lvlText w:val="(%1)"/>
      <w:numFmt w:val="lowerRoman"/>
      <w:start w:val="2"/>
    </w:lvl>
  </w:abstractNum>
  <w:abstractNum w:abstractNumId="195">
    <w:nsid w:val="44B3FA61"/>
    <w:multiLevelType w:val="hybridMultilevel"/>
    <w:lvl w:ilvl="0">
      <w:lvlJc w:val="left"/>
      <w:lvlText w:val="(%1)"/>
      <w:numFmt w:val="lowerLetter"/>
      <w:start w:val="3"/>
    </w:lvl>
  </w:abstractNum>
  <w:abstractNum w:abstractNumId="196">
    <w:nsid w:val="1C0CA67C"/>
    <w:multiLevelType w:val="hybridMultilevel"/>
    <w:lvl w:ilvl="0">
      <w:lvlJc w:val="left"/>
      <w:lvlText w:val="%1"/>
      <w:numFmt w:val="lowerLetter"/>
      <w:start w:val="1"/>
    </w:lvl>
    <w:lvl w:ilvl="1">
      <w:lvlJc w:val="left"/>
      <w:lvlText w:val="(%2)"/>
      <w:numFmt w:val="lowerLetter"/>
      <w:start w:val="1"/>
    </w:lvl>
  </w:abstractNum>
  <w:abstractNum w:abstractNumId="197">
    <w:nsid w:val="3D206613"/>
    <w:multiLevelType w:val="hybridMultilevel"/>
    <w:lvl w:ilvl="0">
      <w:lvlJc w:val="left"/>
      <w:lvlText w:val="(%1)"/>
      <w:numFmt w:val="lowerLetter"/>
      <w:start w:val="61"/>
    </w:lvl>
    <w:lvl w:ilvl="1">
      <w:lvlJc w:val="left"/>
      <w:lvlText w:val="%2"/>
      <w:numFmt w:val="lowerLetter"/>
      <w:start w:val="1"/>
    </w:lvl>
  </w:abstractNum>
  <w:abstractNum w:abstractNumId="198">
    <w:nsid w:val="7993B662"/>
    <w:multiLevelType w:val="hybridMultilevel"/>
    <w:lvl w:ilvl="0">
      <w:lvlJc w:val="left"/>
      <w:lvlText w:val="(%1)"/>
      <w:numFmt w:val="lowerLetter"/>
      <w:start w:val="5"/>
    </w:lvl>
  </w:abstractNum>
  <w:abstractNum w:abstractNumId="199">
    <w:nsid w:val="3BAB699E"/>
    <w:multiLevelType w:val="hybridMultilevel"/>
    <w:lvl w:ilvl="0">
      <w:lvlJc w:val="left"/>
      <w:lvlText w:val="(%1)"/>
      <w:numFmt w:val="lowerRoman"/>
      <w:start w:val="10"/>
    </w:lvl>
  </w:abstractNum>
  <w:abstractNum w:abstractNumId="200">
    <w:nsid w:val="71315369"/>
    <w:multiLevelType w:val="hybridMultilevel"/>
    <w:lvl w:ilvl="0">
      <w:lvlJc w:val="left"/>
      <w:lvlText w:val="%1"/>
      <w:numFmt w:val="lowerLetter"/>
      <w:start w:val="1"/>
    </w:lvl>
    <w:lvl w:ilvl="1">
      <w:lvlJc w:val="left"/>
      <w:lvlText w:val="(%2)"/>
      <w:numFmt w:val="lowerLetter"/>
      <w:start w:val="1"/>
    </w:lvl>
  </w:abstractNum>
  <w:abstractNum w:abstractNumId="201">
    <w:nsid w:val="7BCFBAFC"/>
    <w:multiLevelType w:val="hybridMultilevel"/>
    <w:lvl w:ilvl="0">
      <w:lvlJc w:val="left"/>
      <w:lvlText w:val="(%1)"/>
      <w:numFmt w:val="lowerLetter"/>
      <w:start w:val="61"/>
    </w:lvl>
    <w:lvl w:ilvl="1">
      <w:lvlJc w:val="left"/>
      <w:lvlText w:val="(%2)"/>
      <w:numFmt w:val="lowerLetter"/>
      <w:start w:val="2"/>
    </w:lvl>
  </w:abstractNum>
  <w:abstractNum w:abstractNumId="202">
    <w:nsid w:val="17859F72"/>
    <w:multiLevelType w:val="hybridMultilevel"/>
    <w:lvl w:ilvl="0">
      <w:lvlJc w:val="left"/>
      <w:lvlText w:val="(%1)"/>
      <w:numFmt w:val="lowerLetter"/>
      <w:start w:val="1"/>
    </w:lvl>
  </w:abstractNum>
  <w:abstractNum w:abstractNumId="203">
    <w:nsid w:val="3AA10581"/>
    <w:multiLevelType w:val="hybridMultilevel"/>
    <w:lvl w:ilvl="0">
      <w:lvlJc w:val="left"/>
      <w:lvlText w:val="%1"/>
      <w:numFmt w:val="lowerRoman"/>
      <w:start w:val="1"/>
    </w:lvl>
    <w:lvl w:ilvl="1">
      <w:lvlJc w:val="left"/>
      <w:lvlText w:val="(%2)"/>
      <w:numFmt w:val="lowerLetter"/>
      <w:start w:val="4"/>
    </w:lvl>
  </w:abstractNum>
  <w:abstractNum w:abstractNumId="204">
    <w:nsid w:val="63DE60CD"/>
    <w:multiLevelType w:val="hybridMultilevel"/>
    <w:lvl w:ilvl="0">
      <w:lvlJc w:val="left"/>
      <w:lvlText w:val="(%1)"/>
      <w:numFmt w:val="lowerRoman"/>
      <w:start w:val="4"/>
    </w:lvl>
    <w:lvl w:ilvl="1">
      <w:lvlJc w:val="left"/>
      <w:lvlText w:val="(%2)"/>
      <w:numFmt w:val="lowerLetter"/>
      <w:start w:val="5"/>
    </w:lvl>
  </w:abstractNum>
  <w:abstractNum w:abstractNumId="205">
    <w:nsid w:val="621AF471"/>
    <w:multiLevelType w:val="hybridMultilevel"/>
    <w:lvl w:ilvl="0">
      <w:lvlJc w:val="left"/>
      <w:lvlText w:val="(%1)"/>
      <w:numFmt w:val="lowerLetter"/>
      <w:start w:val="6"/>
    </w:lvl>
  </w:abstractNum>
  <w:abstractNum w:abstractNumId="206">
    <w:nsid w:val="73CFE165"/>
    <w:multiLevelType w:val="hybridMultilevel"/>
    <w:lvl w:ilvl="0">
      <w:lvlJc w:val="left"/>
      <w:lvlText w:val="(%1)"/>
      <w:numFmt w:val="lowerLetter"/>
      <w:start w:val="1"/>
    </w:lvl>
  </w:abstractNum>
  <w:abstractNum w:abstractNumId="207">
    <w:nsid w:val="20F88EA6"/>
    <w:multiLevelType w:val="hybridMultilevel"/>
    <w:lvl w:ilvl="0">
      <w:lvlJc w:val="left"/>
      <w:lvlText w:val="(%1)"/>
      <w:numFmt w:val="lowerLetter"/>
      <w:start w:val="1"/>
    </w:lvl>
  </w:abstractNum>
  <w:abstractNum w:abstractNumId="208">
    <w:nsid w:val="617C843E"/>
    <w:multiLevelType w:val="hybridMultilevel"/>
    <w:lvl w:ilvl="0">
      <w:lvlJc w:val="left"/>
      <w:lvlText w:val="(%1)"/>
      <w:numFmt w:val="lowerLetter"/>
      <w:start w:val="2"/>
    </w:lvl>
  </w:abstractNum>
  <w:abstractNum w:abstractNumId="209">
    <w:nsid w:val="7B541FAB"/>
    <w:multiLevelType w:val="hybridMultilevel"/>
    <w:lvl w:ilvl="0">
      <w:lvlJc w:val="left"/>
      <w:lvlText w:val="(%1)"/>
      <w:numFmt w:val="lowerLetter"/>
      <w:start w:val="1"/>
    </w:lvl>
    <w:lvl w:ilvl="1">
      <w:lvlJc w:val="left"/>
      <w:lvlText w:val="(%2)"/>
      <w:numFmt w:val="lowerRoman"/>
      <w:start w:val="1"/>
    </w:lvl>
  </w:abstractNum>
  <w:abstractNum w:abstractNumId="210">
    <w:nsid w:val="2A79EC49"/>
    <w:multiLevelType w:val="hybridMultilevel"/>
    <w:lvl w:ilvl="0">
      <w:lvlJc w:val="left"/>
      <w:lvlText w:val="(%1)"/>
      <w:numFmt w:val="lowerLetter"/>
      <w:start w:val="2"/>
    </w:lvl>
  </w:abstractNum>
  <w:abstractNum w:abstractNumId="211">
    <w:nsid w:val="338125CF"/>
    <w:multiLevelType w:val="hybridMultilevel"/>
    <w:lvl w:ilvl="0">
      <w:lvlJc w:val="left"/>
      <w:lvlText w:val="(%1)"/>
      <w:numFmt w:val="lowerLetter"/>
      <w:start w:val="4"/>
    </w:lvl>
  </w:abstractNum>
  <w:abstractNum w:abstractNumId="212">
    <w:nsid w:val="47C7C971"/>
    <w:multiLevelType w:val="hybridMultilevel"/>
    <w:lvl w:ilvl="0">
      <w:lvlJc w:val="left"/>
      <w:lvlText w:val="%1"/>
      <w:numFmt w:val="lowerLetter"/>
      <w:start w:val="1"/>
    </w:lvl>
    <w:lvl w:ilvl="1">
      <w:lvlJc w:val="left"/>
      <w:lvlText w:val="(%2)"/>
      <w:numFmt w:val="lowerLetter"/>
      <w:start w:val="1"/>
    </w:lvl>
  </w:abstractNum>
  <w:abstractNum w:abstractNumId="213">
    <w:nsid w:val="46F8284B"/>
    <w:multiLevelType w:val="hybridMultilevel"/>
    <w:lvl w:ilvl="0">
      <w:lvlJc w:val="left"/>
      <w:lvlText w:val="(%1)"/>
      <w:numFmt w:val="lowerLetter"/>
      <w:start w:val="9"/>
    </w:lvl>
    <w:lvl w:ilvl="1">
      <w:lvlJc w:val="left"/>
      <w:lvlText w:val="(%2)"/>
      <w:numFmt w:val="lowerLetter"/>
      <w:start w:val="2"/>
    </w:lvl>
  </w:abstractNum>
  <w:abstractNum w:abstractNumId="214">
    <w:nsid w:val="4FA327CE"/>
    <w:multiLevelType w:val="hybridMultilevel"/>
    <w:lvl w:ilvl="0">
      <w:lvlJc w:val="left"/>
      <w:lvlText w:val="(%1)"/>
      <w:numFmt w:val="lowerLetter"/>
      <w:start w:val="1"/>
    </w:lvl>
  </w:abstractNum>
  <w:abstractNum w:abstractNumId="215">
    <w:nsid w:val="1873983A"/>
    <w:multiLevelType w:val="hybridMultilevel"/>
    <w:lvl w:ilvl="0">
      <w:lvlJc w:val="left"/>
      <w:lvlText w:val="(%1)"/>
      <w:numFmt w:val="lowerLetter"/>
      <w:start w:val="1"/>
    </w:lvl>
  </w:abstractNum>
  <w:abstractNum w:abstractNumId="216">
    <w:nsid w:val="3D2DD275"/>
    <w:multiLevelType w:val="hybridMultilevel"/>
    <w:lvl w:ilvl="0">
      <w:lvlJc w:val="left"/>
      <w:lvlText w:val="(%1)"/>
      <w:numFmt w:val="lowerLetter"/>
      <w:start w:val="1"/>
    </w:lvl>
    <w:lvl w:ilvl="1">
      <w:lvlJc w:val="left"/>
      <w:lvlText w:val="(%2)"/>
      <w:numFmt w:val="lowerRoman"/>
      <w:start w:val="1"/>
    </w:lvl>
  </w:abstractNum>
  <w:abstractNum w:abstractNumId="217">
    <w:nsid w:val="2E17ECA7"/>
    <w:multiLevelType w:val="hybridMultilevel"/>
    <w:lvl w:ilvl="0">
      <w:lvlJc w:val="left"/>
      <w:lvlText w:val="%1"/>
      <w:numFmt w:val="lowerLetter"/>
      <w:start w:val="1"/>
    </w:lvl>
    <w:lvl w:ilvl="1">
      <w:lvlJc w:val="left"/>
      <w:lvlText w:val="(%2)"/>
      <w:numFmt w:val="lowerLetter"/>
      <w:start w:val="1"/>
    </w:lvl>
  </w:abstractNum>
  <w:abstractNum w:abstractNumId="218">
    <w:nsid w:val="53B2564F"/>
    <w:multiLevelType w:val="hybridMultilevel"/>
    <w:lvl w:ilvl="0">
      <w:lvlJc w:val="left"/>
      <w:lvlText w:val="(%1)"/>
      <w:numFmt w:val="lowerLetter"/>
      <w:start w:val="35"/>
    </w:lvl>
    <w:lvl w:ilvl="1">
      <w:lvlJc w:val="left"/>
      <w:lvlText w:val="%2"/>
      <w:numFmt w:val="lowerLetter"/>
      <w:start w:val="1"/>
    </w:lvl>
  </w:abstractNum>
  <w:abstractNum w:abstractNumId="219">
    <w:nsid w:val="75509D76"/>
    <w:multiLevelType w:val="hybridMultilevel"/>
    <w:lvl w:ilvl="0">
      <w:lvlJc w:val="left"/>
      <w:lvlText w:val="(%1)"/>
      <w:numFmt w:val="lowerLetter"/>
      <w:start w:val="5"/>
    </w:lvl>
  </w:abstractNum>
  <w:abstractNum w:abstractNumId="220">
    <w:nsid w:val="1AF7F0EA"/>
    <w:multiLevelType w:val="hybridMultilevel"/>
    <w:lvl w:ilvl="0">
      <w:lvlJc w:val="left"/>
      <w:lvlText w:val="(%1)"/>
      <w:numFmt w:val="lowerLetter"/>
      <w:start w:val="1"/>
    </w:lvl>
  </w:abstractNum>
  <w:abstractNum w:abstractNumId="221">
    <w:nsid w:val="4DA32C7E"/>
    <w:multiLevelType w:val="hybridMultilevel"/>
    <w:lvl w:ilvl="0">
      <w:lvlJc w:val="left"/>
      <w:lvlText w:val="(%1)"/>
      <w:numFmt w:val="lowerLetter"/>
      <w:start w:val="3"/>
    </w:lvl>
  </w:abstractNum>
  <w:abstractNum w:abstractNumId="222">
    <w:nsid w:val="6EC686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3">
    <w:nsid w:val="E0D31F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224">
    <w:nsid w:val="2FD0AD81"/>
    <w:multiLevelType w:val="hybridMultilevel"/>
    <w:lvl w:ilvl="0">
      <w:lvlJc w:val="left"/>
      <w:lvlText w:val="%1"/>
      <w:numFmt w:val="upperLetter"/>
      <w:start w:val="1"/>
    </w:lvl>
    <w:lvl w:ilvl="1">
      <w:lvlJc w:val="left"/>
      <w:lvlText w:val="(%2)"/>
      <w:numFmt w:val="lowerRoman"/>
      <w:start w:val="3"/>
    </w:lvl>
  </w:abstractNum>
  <w:abstractNum w:abstractNumId="225">
    <w:nsid w:val="1978EBEB"/>
    <w:multiLevelType w:val="hybridMultilevel"/>
    <w:lvl w:ilvl="0">
      <w:lvlJc w:val="left"/>
      <w:lvlText w:val="(%1)"/>
      <w:numFmt w:val="upperLetter"/>
      <w:start w:val="4"/>
    </w:lvl>
    <w:lvl w:ilvl="1">
      <w:lvlJc w:val="left"/>
      <w:lvlText w:val="(%2)"/>
      <w:numFmt w:val="lowerRoman"/>
      <w:start w:val="4"/>
    </w:lvl>
  </w:abstractNum>
  <w:abstractNum w:abstractNumId="226">
    <w:nsid w:val="52C12C61"/>
    <w:multiLevelType w:val="hybridMultilevel"/>
    <w:lvl w:ilvl="0">
      <w:lvlJc w:val="left"/>
      <w:lvlText w:val="(%1)"/>
      <w:numFmt w:val="lowerRoman"/>
      <w:start w:val="7"/>
    </w:lvl>
  </w:abstractNum>
  <w:abstractNum w:abstractNumId="227">
    <w:nsid w:val="4BDD53FD"/>
    <w:multiLevelType w:val="hybridMultilevel"/>
    <w:lvl w:ilvl="0">
      <w:lvlJc w:val="left"/>
      <w:lvlText w:val="(%1)"/>
      <w:numFmt w:val="lowerRoman"/>
      <w:start w:val="11"/>
    </w:lvl>
  </w:abstractNum>
  <w:abstractNum w:abstractNumId="228">
    <w:nsid w:val="569951FE"/>
    <w:multiLevelType w:val="hybridMultilevel"/>
    <w:lvl w:ilvl="0">
      <w:lvlJc w:val="left"/>
      <w:lvlText w:val="(%1)"/>
      <w:numFmt w:val="lowerLetter"/>
      <w:start w:val="2"/>
    </w:lvl>
    <w:lvl w:ilvl="1">
      <w:lvlJc w:val="left"/>
      <w:lvlText w:val="(%2)"/>
      <w:numFmt w:val="lowerRoman"/>
      <w:start w:val="1"/>
    </w:lvl>
  </w:abstractNum>
  <w:abstractNum w:abstractNumId="229">
    <w:nsid w:val="4C54E2C3"/>
    <w:multiLevelType w:val="hybridMultilevel"/>
    <w:lvl w:ilvl="0">
      <w:lvlJc w:val="left"/>
      <w:lvlText w:val="(%1)"/>
      <w:numFmt w:val="lowerLetter"/>
      <w:start w:val="1"/>
    </w:lvl>
  </w:abstractNum>
  <w:abstractNum w:abstractNumId="230">
    <w:nsid w:val="788BD9B"/>
    <w:multiLevelType w:val="hybridMultilevel"/>
    <w:lvl w:ilvl="0">
      <w:lvlJc w:val="left"/>
      <w:lvlText w:val="(%1)"/>
      <w:numFmt w:val="lowerRoman"/>
      <w:start w:val="2"/>
    </w:lvl>
  </w:abstractNum>
  <w:abstractNum w:abstractNumId="231">
    <w:nsid w:val="47CAA56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232">
    <w:nsid w:val="48249DBF"/>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233">
    <w:nsid w:val="1F0E5D0D"/>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234">
    <w:nsid w:val="26BAAE9"/>
    <w:multiLevelType w:val="hybridMultilevel"/>
    <w:lvl w:ilvl="0">
      <w:lvlJc w:val="left"/>
      <w:lvlText w:val="(%1)"/>
      <w:numFmt w:val="lowerLetter"/>
      <w:start w:val="6"/>
    </w:lvl>
  </w:abstractNum>
  <w:abstractNum w:abstractNumId="235">
    <w:nsid w:val="2C02FE8C"/>
    <w:multiLevelType w:val="hybridMultilevel"/>
    <w:lvl w:ilvl="0">
      <w:lvlJc w:val="left"/>
      <w:lvlText w:val="%1"/>
      <w:numFmt w:val="upperLetter"/>
      <w:start w:val="1"/>
    </w:lvl>
    <w:lvl w:ilvl="1">
      <w:lvlJc w:val="left"/>
      <w:lvlText w:val="(%2)"/>
      <w:numFmt w:val="lowerLetter"/>
      <w:start w:val="1"/>
    </w:lvl>
  </w:abstractNum>
  <w:abstractNum w:abstractNumId="236">
    <w:nsid w:val="129517E"/>
    <w:multiLevelType w:val="hybridMultilevel"/>
    <w:lvl w:ilvl="0">
      <w:lvlJc w:val="left"/>
      <w:lvlText w:val="(%1)"/>
      <w:numFmt w:val="upperLetter"/>
      <w:start w:val="6"/>
    </w:lvl>
    <w:lvl w:ilvl="1">
      <w:lvlJc w:val="left"/>
      <w:lvlText w:val="(%2)"/>
      <w:numFmt w:val="lowerLetter"/>
      <w:start w:val="3"/>
    </w:lvl>
  </w:abstractNum>
  <w:abstractNum w:abstractNumId="237">
    <w:nsid w:val="763B8C4E"/>
    <w:multiLevelType w:val="hybridMultilevel"/>
    <w:lvl w:ilvl="0">
      <w:lvlJc w:val="left"/>
      <w:lvlText w:val="%1"/>
      <w:numFmt w:val="lowerLetter"/>
      <w:start w:val="1"/>
    </w:lvl>
    <w:lvl w:ilvl="1">
      <w:lvlJc w:val="left"/>
      <w:lvlText w:val="(%2)"/>
      <w:numFmt w:val="lowerLetter"/>
      <w:start w:val="1"/>
    </w:lvl>
  </w:abstractNum>
  <w:abstractNum w:abstractNumId="238">
    <w:nsid w:val="4CFB8D32"/>
    <w:multiLevelType w:val="hybridMultilevel"/>
    <w:lvl w:ilvl="0">
      <w:lvlJc w:val="left"/>
      <w:lvlText w:val="(%1)"/>
      <w:numFmt w:val="lowerLetter"/>
      <w:start w:val="9"/>
    </w:lvl>
    <w:lvl w:ilvl="1">
      <w:lvlJc w:val="left"/>
      <w:lvlText w:val="(%2)"/>
      <w:numFmt w:val="lowerLetter"/>
      <w:start w:val="3"/>
    </w:lvl>
  </w:abstractNum>
  <w:abstractNum w:abstractNumId="239">
    <w:nsid w:val="62A5D5BD"/>
    <w:multiLevelType w:val="hybridMultilevel"/>
    <w:lvl w:ilvl="0">
      <w:lvlJc w:val="left"/>
      <w:lvlText w:val="%1"/>
      <w:numFmt w:val="decimal"/>
      <w:start w:val="1"/>
    </w:lvl>
    <w:lvl w:ilvl="1">
      <w:lvlJc w:val="left"/>
      <w:lvlText w:val="(%2)"/>
      <w:numFmt w:val="lowerLetter"/>
      <w:start w:val="4"/>
    </w:lvl>
  </w:abstractNum>
  <w:abstractNum w:abstractNumId="240">
    <w:nsid w:val="718FABF9"/>
    <w:multiLevelType w:val="hybridMultilevel"/>
    <w:lvl w:ilvl="0">
      <w:lvlJc w:val="left"/>
      <w:lvlText w:val="(%1)"/>
      <w:numFmt w:val="decimal"/>
      <w:start w:val="6"/>
    </w:lvl>
    <w:lvl w:ilvl="1">
      <w:lvlJc w:val="left"/>
      <w:lvlText w:val="(%2)"/>
      <w:numFmt w:val="lowerLetter"/>
      <w:start w:val="5"/>
    </w:lvl>
  </w:abstractNum>
  <w:abstractNum w:abstractNumId="241">
    <w:nsid w:val="7775797C"/>
    <w:multiLevelType w:val="hybridMultilevel"/>
    <w:lvl w:ilvl="0">
      <w:lvlJc w:val="left"/>
      <w:lvlText w:val="(%1)"/>
      <w:numFmt w:val="lowerLetter"/>
      <w:start w:val="1"/>
    </w:lvl>
  </w:abstractNum>
  <w:abstractNum w:abstractNumId="242">
    <w:nsid w:val="1626FB8C"/>
    <w:multiLevelType w:val="hybridMultilevel"/>
    <w:lvl w:ilvl="0">
      <w:lvlJc w:val="left"/>
      <w:lvlText w:val="(%1)"/>
      <w:numFmt w:val="lowerLetter"/>
      <w:start w:val="5"/>
    </w:lvl>
  </w:abstractNum>
  <w:abstractNum w:abstractNumId="243">
    <w:nsid w:val="3957756A"/>
    <w:multiLevelType w:val="hybridMultilevel"/>
    <w:lvl w:ilvl="0">
      <w:lvlJc w:val="left"/>
      <w:lvlText w:val="(%1)"/>
      <w:numFmt w:val="lowerLetter"/>
      <w:start w:val="1"/>
    </w:lvl>
    <w:lvl w:ilvl="1">
      <w:lvlJc w:val="left"/>
      <w:lvlText w:val="(%2)"/>
      <w:numFmt w:val="lowerRoman"/>
      <w:start w:val="1"/>
    </w:lvl>
  </w:abstractNum>
  <w:abstractNum w:abstractNumId="244">
    <w:nsid w:val="3E6DA1C7"/>
    <w:multiLevelType w:val="hybridMultilevel"/>
    <w:lvl w:ilvl="0">
      <w:lvlJc w:val="left"/>
      <w:lvlText w:val="(%1)"/>
      <w:numFmt w:val="lowerLetter"/>
      <w:start w:val="1"/>
    </w:lvl>
    <w:lvl w:ilvl="1">
      <w:lvlJc w:val="left"/>
      <w:lvlText w:val="(%2)"/>
      <w:numFmt w:val="lowerRoman"/>
      <w:start w:val="1"/>
    </w:lvl>
  </w:abstractNum>
  <w:abstractNum w:abstractNumId="245">
    <w:nsid w:val="65CA235B"/>
    <w:multiLevelType w:val="hybridMultilevel"/>
    <w:lvl w:ilvl="0">
      <w:lvlJc w:val="left"/>
      <w:lvlText w:val="(%1)"/>
      <w:numFmt w:val="lowerRoman"/>
      <w:start w:val="4"/>
    </w:lvl>
  </w:abstractNum>
  <w:abstractNum w:abstractNumId="246">
    <w:nsid w:val="51CB0DA4"/>
    <w:multiLevelType w:val="hybridMultilevel"/>
    <w:lvl w:ilvl="0">
      <w:lvlJc w:val="left"/>
      <w:lvlText w:val="%1"/>
      <w:numFmt w:val="lowerLetter"/>
      <w:start w:val="1"/>
    </w:lvl>
    <w:lvl w:ilvl="1">
      <w:lvlJc w:val="left"/>
      <w:lvlText w:val="(%2)"/>
      <w:numFmt w:val="lowerRoman"/>
      <w:start w:val="13"/>
    </w:lvl>
  </w:abstractNum>
  <w:abstractNum w:abstractNumId="247">
    <w:nsid w:val="7B9B743C"/>
    <w:multiLevelType w:val="hybridMultilevel"/>
    <w:lvl w:ilvl="0">
      <w:lvlJc w:val="left"/>
      <w:lvlText w:val="(%1)"/>
      <w:numFmt w:val="lowerLetter"/>
      <w:start w:val="2"/>
    </w:lvl>
    <w:lvl w:ilvl="1">
      <w:lvlJc w:val="left"/>
      <w:lvlText w:val="%2"/>
      <w:numFmt w:val="lowerRoman"/>
      <w:start w:val="1"/>
    </w:lvl>
  </w:abstractNum>
  <w:abstractNum w:abstractNumId="248">
    <w:nsid w:val="13E21002"/>
    <w:multiLevelType w:val="hybridMultilevel"/>
    <w:lvl w:ilvl="0">
      <w:lvlJc w:val="left"/>
      <w:lvlText w:val="(%1)"/>
      <w:numFmt w:val="lowerLetter"/>
      <w:start w:val="2"/>
    </w:lvl>
  </w:abstractNum>
  <w:abstractNum w:abstractNumId="249">
    <w:nsid w:val="257D63F4"/>
    <w:multiLevelType w:val="hybridMultilevel"/>
    <w:lvl w:ilvl="0">
      <w:lvlJc w:val="left"/>
      <w:lvlText w:val="(%1)"/>
      <w:numFmt w:val="lowerRoman"/>
      <w:start w:val="2"/>
    </w:lvl>
  </w:abstractNum>
  <w:abstractNum w:abstractNumId="250">
    <w:nsid w:val="70EC11B2"/>
    <w:multiLevelType w:val="hybridMultilevel"/>
    <w:lvl w:ilvl="0">
      <w:lvlJc w:val="left"/>
      <w:lvlText w:val="(%1)"/>
      <w:numFmt w:val="lowerLetter"/>
      <w:start w:val="1"/>
    </w:lvl>
  </w:abstractNum>
  <w:abstractNum w:abstractNumId="251">
    <w:nsid w:val="2EDA00ED"/>
    <w:multiLevelType w:val="hybridMultilevel"/>
    <w:lvl w:ilvl="0">
      <w:lvlJc w:val="left"/>
      <w:lvlText w:val="%1"/>
      <w:numFmt w:val="upperLetter"/>
      <w:start w:val="1"/>
    </w:lvl>
    <w:lvl w:ilvl="1">
      <w:lvlJc w:val="left"/>
      <w:lvlText w:val="(%2)"/>
      <w:numFmt w:val="lowerLetter"/>
      <w:start w:val="1"/>
    </w:lvl>
  </w:abstractNum>
  <w:abstractNum w:abstractNumId="252">
    <w:nsid w:val="73209072"/>
    <w:multiLevelType w:val="hybridMultilevel"/>
    <w:lvl w:ilvl="0">
      <w:lvlJc w:val="left"/>
      <w:lvlText w:val="(%1)"/>
      <w:numFmt w:val="upperLetter"/>
      <w:start w:val="2"/>
    </w:lvl>
    <w:lvl w:ilvl="1">
      <w:lvlJc w:val="left"/>
      <w:lvlText w:val="(%2)"/>
      <w:numFmt w:val="lowerLetter"/>
      <w:start w:val="2"/>
    </w:lvl>
  </w:abstractNum>
  <w:abstractNum w:abstractNumId="253">
    <w:nsid w:val="5FB29816"/>
    <w:multiLevelType w:val="hybridMultilevel"/>
    <w:lvl w:ilvl="0">
      <w:lvlJc w:val="left"/>
      <w:lvlText w:val="(%1)"/>
      <w:numFmt w:val="lowerLetter"/>
      <w:start w:val="1"/>
    </w:lvl>
  </w:abstractNum>
  <w:abstractNum w:abstractNumId="254">
    <w:nsid w:val="3CE732EC"/>
    <w:multiLevelType w:val="hybridMultilevel"/>
    <w:lvl w:ilvl="0">
      <w:lvlJc w:val="left"/>
      <w:lvlText w:val="(%1)"/>
      <w:numFmt w:val="lowerLetter"/>
      <w:start w:val="4"/>
    </w:lvl>
  </w:abstractNum>
  <w:abstractNum w:abstractNumId="255">
    <w:nsid w:val="22F13DF3"/>
    <w:multiLevelType w:val="hybridMultilevel"/>
    <w:lvl w:ilvl="0">
      <w:lvlJc w:val="left"/>
      <w:lvlText w:val="(%1)"/>
      <w:numFmt w:val="lowerLetter"/>
      <w:start w:val="1"/>
    </w:lvl>
    <w:lvl w:ilvl="1">
      <w:lvlJc w:val="left"/>
      <w:lvlText w:val="(%2)"/>
      <w:numFmt w:val="lowerRoman"/>
      <w:start w:val="1"/>
    </w:lvl>
  </w:abstractNum>
  <w:abstractNum w:abstractNumId="256">
    <w:nsid w:val="792B8401"/>
    <w:multiLevelType w:val="hybridMultilevel"/>
    <w:lvl w:ilvl="0">
      <w:lvlJc w:val="left"/>
      <w:lvlText w:val="(%1)"/>
      <w:numFmt w:val="lowerLetter"/>
      <w:start w:val="2"/>
    </w:lvl>
  </w:abstractNum>
  <w:abstractNum w:abstractNumId="257">
    <w:nsid w:val="FA85F4D"/>
    <w:multiLevelType w:val="hybridMultilevel"/>
    <w:lvl w:ilvl="0">
      <w:lvlJc w:val="left"/>
      <w:lvlText w:val="%1"/>
      <w:numFmt w:val="lowerLetter"/>
      <w:start w:val="1"/>
    </w:lvl>
    <w:lvl w:ilvl="1">
      <w:lvlJc w:val="left"/>
      <w:lvlText w:val="(%2)"/>
      <w:numFmt w:val="lowerLetter"/>
      <w:start w:val="1"/>
    </w:lvl>
  </w:abstractNum>
  <w:abstractNum w:abstractNumId="258">
    <w:nsid w:val="6ECE91F0"/>
    <w:multiLevelType w:val="hybridMultilevel"/>
    <w:lvl w:ilvl="0">
      <w:lvlJc w:val="left"/>
      <w:lvlText w:val="(%1)"/>
      <w:numFmt w:val="lowerLetter"/>
      <w:start w:val="9"/>
    </w:lvl>
    <w:lvl w:ilvl="1">
      <w:lvlJc w:val="left"/>
      <w:lvlText w:val="(%2)"/>
      <w:numFmt w:val="lowerLetter"/>
      <w:start w:val="2"/>
    </w:lvl>
  </w:abstractNum>
  <w:abstractNum w:abstractNumId="259">
    <w:nsid w:val="4FC4D600"/>
    <w:multiLevelType w:val="hybridMultilevel"/>
    <w:lvl w:ilvl="0">
      <w:lvlJc w:val="left"/>
      <w:lvlText w:val="(%1)"/>
      <w:numFmt w:val="lowerLetter"/>
      <w:start w:val="3"/>
    </w:lvl>
  </w:abstractNum>
  <w:abstractNum w:abstractNumId="260">
    <w:nsid w:val="5BFD4210"/>
    <w:multiLevelType w:val="hybridMultilevel"/>
    <w:lvl w:ilvl="0">
      <w:lvlJc w:val="left"/>
      <w:lvlText w:val="(%1)"/>
      <w:numFmt w:val="lowerLetter"/>
      <w:start w:val="1"/>
    </w:lvl>
  </w:abstractNum>
  <w:abstractNum w:abstractNumId="261">
    <w:nsid w:val="76574F8B"/>
    <w:multiLevelType w:val="hybridMultilevel"/>
    <w:lvl w:ilvl="0">
      <w:lvlJc w:val="left"/>
      <w:lvlText w:val="(%1)"/>
      <w:numFmt w:val="lowerLetter"/>
      <w:start w:val="1"/>
    </w:lvl>
  </w:abstractNum>
  <w:abstractNum w:abstractNumId="262">
    <w:nsid w:val="178F7B67"/>
    <w:multiLevelType w:val="hybridMultilevel"/>
    <w:lvl w:ilvl="0">
      <w:lvlJc w:val="left"/>
      <w:lvlText w:val="(%1)"/>
      <w:numFmt w:val="lowerLetter"/>
      <w:start w:val="1"/>
    </w:lvl>
    <w:lvl w:ilvl="1">
      <w:lvlJc w:val="left"/>
      <w:lvlText w:val="(%2)"/>
      <w:numFmt w:val="lowerRoman"/>
      <w:start w:val="1"/>
    </w:lvl>
  </w:abstractNum>
  <w:abstractNum w:abstractNumId="263">
    <w:nsid w:val="2421DFCF"/>
    <w:multiLevelType w:val="hybridMultilevel"/>
    <w:lvl w:ilvl="0">
      <w:lvlJc w:val="left"/>
      <w:lvlText w:val="%1"/>
      <w:numFmt w:val="lowerLetter"/>
      <w:start w:val="1"/>
    </w:lvl>
    <w:lvl w:ilvl="1">
      <w:lvlJc w:val="left"/>
      <w:lvlText w:val="(%2)"/>
      <w:numFmt w:val="lowerRoman"/>
      <w:start w:val="3"/>
    </w:lvl>
  </w:abstractNum>
  <w:abstractNum w:abstractNumId="264">
    <w:nsid w:val="1565AC99"/>
    <w:multiLevelType w:val="hybridMultilevel"/>
    <w:lvl w:ilvl="0">
      <w:lvlJc w:val="left"/>
      <w:lvlText w:val="(%1)"/>
      <w:numFmt w:val="lowerLetter"/>
      <w:start w:val="2"/>
    </w:lvl>
    <w:lvl w:ilvl="1">
      <w:lvlJc w:val="left"/>
      <w:lvlText w:val="%2"/>
      <w:numFmt w:val="lowerRoman"/>
      <w:start w:val="1"/>
    </w:lvl>
  </w:abstractNum>
  <w:abstractNum w:abstractNumId="265">
    <w:nsid w:val="19FB2650"/>
    <w:multiLevelType w:val="hybridMultilevel"/>
    <w:lvl w:ilvl="0">
      <w:lvlJc w:val="left"/>
      <w:lvlText w:val="(%1)"/>
      <w:numFmt w:val="lowerLetter"/>
      <w:start w:val="2"/>
    </w:lvl>
  </w:abstractNum>
  <w:abstractNum w:abstractNumId="266">
    <w:nsid w:val="5024DE5B"/>
    <w:multiLevelType w:val="hybridMultilevel"/>
    <w:lvl w:ilvl="0">
      <w:lvlJc w:val="left"/>
      <w:lvlText w:val="(%1)"/>
      <w:numFmt w:val="lowerLetter"/>
      <w:start w:val="1"/>
    </w:lvl>
  </w:abstractNum>
  <w:abstractNum w:abstractNumId="267">
    <w:nsid w:val="168EFE17"/>
    <w:multiLevelType w:val="hybridMultilevel"/>
    <w:lvl w:ilvl="0">
      <w:lvlJc w:val="left"/>
      <w:lvlText w:val="(%1)"/>
      <w:numFmt w:val="lowerLetter"/>
      <w:start w:val="2"/>
    </w:lvl>
  </w:abstractNum>
  <w:abstractNum w:abstractNumId="268">
    <w:nsid w:val="1036B29F"/>
    <w:multiLevelType w:val="hybridMultilevel"/>
    <w:lvl w:ilvl="0">
      <w:lvlJc w:val="left"/>
      <w:lvlText w:val="(%1)"/>
      <w:numFmt w:val="lowerLetter"/>
      <w:start w:val="21"/>
    </w:lvl>
    <w:lvl w:ilvl="1">
      <w:lvlJc w:val="left"/>
      <w:lvlText w:val="(%2)"/>
      <w:numFmt w:val="lowerLetter"/>
      <w:start w:val="1"/>
    </w:lvl>
  </w:abstractNum>
  <w:abstractNum w:abstractNumId="269">
    <w:nsid w:val="1D206B8E"/>
    <w:multiLevelType w:val="hybridMultilevel"/>
    <w:lvl w:ilvl="0">
      <w:lvlJc w:val="left"/>
      <w:lvlText w:val="(%1)"/>
      <w:numFmt w:val="lowerLetter"/>
      <w:start w:val="61"/>
    </w:lvl>
    <w:lvl w:ilvl="1">
      <w:lvlJc w:val="left"/>
      <w:lvlText w:val="(%2)"/>
      <w:numFmt w:val="lowerLetter"/>
      <w:start w:val="3"/>
    </w:lvl>
  </w:abstractNum>
  <w:abstractNum w:abstractNumId="270">
    <w:nsid w:val="7934D3D4"/>
    <w:multiLevelType w:val="hybridMultilevel"/>
    <w:lvl w:ilvl="0">
      <w:lvlJc w:val="left"/>
      <w:lvlText w:val="(%1)"/>
      <w:numFmt w:val="lowerLetter"/>
      <w:start w:val="4"/>
    </w:lvl>
  </w:abstractNum>
  <w:abstractNum w:abstractNumId="271">
    <w:nsid w:val="1C65E98"/>
    <w:multiLevelType w:val="hybridMultilevel"/>
    <w:lvl w:ilvl="0">
      <w:lvlJc w:val="left"/>
      <w:lvlText w:val="%1"/>
      <w:numFmt w:val="lowerLetter"/>
      <w:start w:val="1"/>
    </w:lvl>
    <w:lvl w:ilvl="1">
      <w:lvlJc w:val="left"/>
      <w:lvlText w:val="(%2)"/>
      <w:numFmt w:val="lowerLetter"/>
      <w:start w:val="9"/>
    </w:lvl>
  </w:abstractNum>
  <w:abstractNum w:abstractNumId="272">
    <w:nsid w:val="1495E50A"/>
    <w:multiLevelType w:val="hybridMultilevel"/>
    <w:lvl w:ilvl="0">
      <w:lvlJc w:val="left"/>
      <w:lvlText w:val="(%1)"/>
      <w:numFmt w:val="lowerLetter"/>
      <w:start w:val="9"/>
    </w:lvl>
    <w:lvl w:ilvl="1">
      <w:lvlJc w:val="left"/>
      <w:lvlText w:val="(%2)"/>
      <w:numFmt w:val="lowerLetter"/>
      <w:start w:val="12"/>
    </w:lvl>
  </w:abstractNum>
  <w:abstractNum w:abstractNumId="273">
    <w:nsid w:val="F5BCF61"/>
    <w:multiLevelType w:val="hybridMultilevel"/>
    <w:lvl w:ilvl="0">
      <w:lvlJc w:val="left"/>
      <w:lvlText w:val="(%1)"/>
      <w:numFmt w:val="lowerLetter"/>
      <w:start w:val="61"/>
    </w:lvl>
    <w:lvl w:ilvl="1">
      <w:lvlJc w:val="left"/>
      <w:lvlText w:val="%2"/>
      <w:numFmt w:val="lowerLetter"/>
      <w:start w:val="1"/>
    </w:lvl>
  </w:abstractNum>
  <w:abstractNum w:abstractNumId="274">
    <w:nsid w:val="3B1DD403"/>
    <w:multiLevelType w:val="hybridMultilevel"/>
    <w:lvl w:ilvl="0">
      <w:lvlJc w:val="left"/>
      <w:lvlText w:val="%1"/>
      <w:numFmt w:val="lowerLetter"/>
      <w:start w:val="1"/>
    </w:lvl>
    <w:lvl w:ilvl="1">
      <w:lvlJc w:val="left"/>
      <w:lvlText w:val="(%2)"/>
      <w:numFmt w:val="lowerLetter"/>
      <w:start w:val="14"/>
    </w:lvl>
  </w:abstractNum>
  <w:abstractNum w:abstractNumId="275">
    <w:nsid w:val="530386D1"/>
    <w:multiLevelType w:val="hybridMultilevel"/>
    <w:lvl w:ilvl="0">
      <w:lvlJc w:val="left"/>
      <w:lvlText w:val="(%1)"/>
      <w:numFmt w:val="lowerLetter"/>
      <w:start w:val="9"/>
    </w:lvl>
    <w:lvl w:ilvl="1">
      <w:lvlJc w:val="left"/>
      <w:lvlText w:val="(%2)"/>
      <w:numFmt w:val="lowerLetter"/>
      <w:start w:val="15"/>
    </w:lvl>
  </w:abstractNum>
  <w:abstractNum w:abstractNumId="276">
    <w:nsid w:val="7525F2BC"/>
    <w:multiLevelType w:val="hybridMultilevel"/>
    <w:lvl w:ilvl="0">
      <w:lvlJc w:val="left"/>
      <w:lvlText w:val="(%1)"/>
      <w:numFmt w:val="lowerRoman"/>
      <w:start w:val="5"/>
    </w:lvl>
  </w:abstractNum>
  <w:abstractNum w:abstractNumId="277">
    <w:nsid w:val="CE8E1A7"/>
    <w:multiLevelType w:val="hybridMultilevel"/>
    <w:lvl w:ilvl="0">
      <w:lvlJc w:val="left"/>
      <w:lvlText w:val="%1"/>
      <w:numFmt w:val="upperLetter"/>
      <w:start w:val="1"/>
    </w:lvl>
    <w:lvl w:ilvl="1">
      <w:lvlJc w:val="left"/>
      <w:lvlText w:val="(%2)"/>
      <w:numFmt w:val="lowerLetter"/>
      <w:start w:val="1"/>
    </w:lvl>
  </w:abstractNum>
  <w:abstractNum w:abstractNumId="278">
    <w:nsid w:val="4E9EFB0D"/>
    <w:multiLevelType w:val="hybridMultilevel"/>
    <w:lvl w:ilvl="0">
      <w:lvlJc w:val="left"/>
      <w:lvlText w:val="(%1)"/>
      <w:numFmt w:val="upperLetter"/>
      <w:start w:val="1"/>
    </w:lvl>
    <w:lvl w:ilvl="1">
      <w:lvlJc w:val="left"/>
      <w:lvlText w:val="(%2)"/>
      <w:numFmt w:val="lowerLetter"/>
      <w:start w:val="2"/>
    </w:lvl>
  </w:abstractNum>
  <w:abstractNum w:abstractNumId="279">
    <w:nsid w:val="90802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0">
    <w:nsid w:val="3266459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81">
    <w:nsid w:val="3F8B0CBF"/>
    <w:multiLevelType w:val="hybridMultilevel"/>
    <w:lvl w:ilvl="0">
      <w:lvlJc w:val="left"/>
      <w:lvlText w:val="%1"/>
      <w:numFmt w:val="lowerLetter"/>
      <w:start w:val="1"/>
    </w:lvl>
    <w:lvl w:ilvl="1">
      <w:lvlJc w:val="left"/>
      <w:lvlText w:val="(%2)"/>
      <w:numFmt w:val="lowerLetter"/>
      <w:start w:val="35"/>
    </w:lvl>
  </w:abstractNum>
  <w:abstractNum w:abstractNumId="282">
    <w:nsid w:val="37E203AB"/>
    <w:multiLevelType w:val="hybridMultilevel"/>
    <w:lvl w:ilvl="0">
      <w:lvlJc w:val="left"/>
      <w:lvlText w:val="(%1)"/>
      <w:numFmt w:val="lowerLetter"/>
      <w:start w:val="3"/>
    </w:lvl>
    <w:lvl w:ilvl="1">
      <w:lvlJc w:val="left"/>
      <w:lvlText w:val="(%2)"/>
      <w:numFmt w:val="lowerLetter"/>
      <w:start w:val="9"/>
    </w:lvl>
  </w:abstractNum>
  <w:abstractNum w:abstractNumId="283">
    <w:nsid w:val="2586D60E"/>
    <w:multiLevelType w:val="hybridMultilevel"/>
    <w:lvl w:ilvl="0">
      <w:lvlJc w:val="left"/>
      <w:lvlText w:val="%1"/>
      <w:numFmt w:val="lowerLetter"/>
      <w:start w:val="1"/>
    </w:lvl>
    <w:lvl w:ilvl="1">
      <w:lvlJc w:val="left"/>
      <w:lvlText w:val="(%2)"/>
      <w:numFmt w:val="lowerLetter"/>
      <w:start w:val="35"/>
    </w:lvl>
  </w:abstractNum>
  <w:abstractNum w:abstractNumId="284">
    <w:nsid w:val="1F3DA4D5"/>
    <w:multiLevelType w:val="hybridMultilevel"/>
    <w:lvl w:ilvl="0">
      <w:lvlJc w:val="left"/>
      <w:lvlText w:val="(%1)"/>
      <w:numFmt w:val="lowerLetter"/>
      <w:start w:val="5"/>
    </w:lvl>
    <w:lvl w:ilvl="1">
      <w:lvlJc w:val="left"/>
      <w:lvlText w:val="%2"/>
      <w:numFmt w:val="lowerLetter"/>
      <w:start w:val="1"/>
    </w:lvl>
  </w:abstractNum>
  <w:abstractNum w:abstractNumId="285">
    <w:nsid w:val="74C936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6">
    <w:nsid w:val="48781401"/>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287">
    <w:nsid w:val="186928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8">
    <w:nsid w:val="47195E5"/>
    <w:multiLevelType w:val="hybridMultilevel"/>
    <w:lvl w:ilvl="0">
      <w:lvlJc w:val="left"/>
      <w:lvlText w:val="(%1)"/>
      <w:numFmt w:val="lowerLetter"/>
      <w:start w:val="35"/>
    </w:lvl>
    <w:lvl w:ilvl="1">
      <w:lvlJc w:val="left"/>
      <w:lvlText w:val="(%2)"/>
      <w:numFmt w:val="lowerLetter"/>
      <w:start w:val="7"/>
    </w:lvl>
  </w:abstractNum>
  <w:abstractNum w:abstractNumId="289">
    <w:nsid w:val="3746A5F2"/>
    <w:multiLevelType w:val="hybridMultilevel"/>
    <w:lvl w:ilvl="0">
      <w:lvlJc w:val="left"/>
      <w:lvlText w:val="(%1)"/>
      <w:numFmt w:val="lowerLetter"/>
      <w:start w:val="2"/>
    </w:lvl>
  </w:abstractNum>
  <w:abstractNum w:abstractNumId="290">
    <w:nsid w:val="682DFED6"/>
    <w:multiLevelType w:val="hybridMultilevel"/>
    <w:lvl w:ilvl="0">
      <w:lvlJc w:val="left"/>
      <w:lvlText w:val="(%1)"/>
      <w:numFmt w:val="lowerLetter"/>
      <w:start w:val="2"/>
    </w:lvl>
  </w:abstractNum>
  <w:abstractNum w:abstractNumId="291">
    <w:nsid w:val="606ED7F6"/>
    <w:multiLevelType w:val="hybridMultilevel"/>
    <w:lvl w:ilvl="0">
      <w:lvlJc w:val="left"/>
      <w:lvlText w:val="(%1)"/>
      <w:numFmt w:val="lowerLetter"/>
      <w:start w:val="1"/>
    </w:lvl>
  </w:abstractNum>
  <w:abstractNum w:abstractNumId="292">
    <w:nsid w:val="2D9DF57D"/>
    <w:multiLevelType w:val="hybridMultilevel"/>
    <w:lvl w:ilvl="0">
      <w:lvlJc w:val="left"/>
      <w:lvlText w:val="%1"/>
      <w:numFmt w:val="lowerLetter"/>
      <w:start w:val="1"/>
    </w:lvl>
    <w:lvl w:ilvl="1">
      <w:lvlJc w:val="left"/>
      <w:lvlText w:val="(%2)"/>
      <w:numFmt w:val="lowerLetter"/>
      <w:start w:val="3"/>
    </w:lvl>
  </w:abstractNum>
  <w:abstractNum w:abstractNumId="293">
    <w:nsid w:val="7FBD7A3E"/>
    <w:multiLevelType w:val="hybridMultilevel"/>
    <w:lvl w:ilvl="0">
      <w:lvlJc w:val="left"/>
      <w:lvlText w:val="(%1)"/>
      <w:numFmt w:val="lowerLetter"/>
      <w:start w:val="35"/>
    </w:lvl>
    <w:lvl w:ilvl="1">
      <w:lvlJc w:val="left"/>
      <w:lvlText w:val="(%2)"/>
      <w:numFmt w:val="lowerLetter"/>
      <w:start w:val="4"/>
    </w:lvl>
  </w:abstractNum>
  <w:abstractNum w:abstractNumId="294">
    <w:nsid w:val="490B7C5"/>
    <w:multiLevelType w:val="hybridMultilevel"/>
    <w:lvl w:ilvl="0">
      <w:lvlJc w:val="left"/>
      <w:lvlText w:val="(%1)"/>
      <w:numFmt w:val="lowerLetter"/>
      <w:start w:val="1"/>
    </w:lvl>
  </w:abstractNum>
  <w:abstractNum w:abstractNumId="295">
    <w:nsid w:val="4303A216"/>
    <w:multiLevelType w:val="hybridMultilevel"/>
    <w:lvl w:ilvl="0">
      <w:lvlJc w:val="left"/>
      <w:lvlText w:val="(%1)"/>
      <w:numFmt w:val="lowerLetter"/>
      <w:start w:val="4"/>
    </w:lvl>
  </w:abstractNum>
  <w:abstractNum w:abstractNumId="296">
    <w:nsid w:val="19B8A08E"/>
    <w:multiLevelType w:val="hybridMultilevel"/>
    <w:lvl w:ilvl="0">
      <w:lvlJc w:val="left"/>
      <w:lvlText w:val="(%1)"/>
      <w:numFmt w:val="lowerLetter"/>
      <w:start w:val="35"/>
    </w:lvl>
    <w:lvl w:ilvl="1">
      <w:lvlJc w:val="left"/>
      <w:lvlText w:val="(%2)"/>
      <w:numFmt w:val="lowerLetter"/>
      <w:start w:val="1"/>
    </w:lvl>
  </w:abstractNum>
  <w:abstractNum w:abstractNumId="297">
    <w:nsid w:val="54B59621"/>
    <w:multiLevelType w:val="hybridMultilevel"/>
    <w:lvl w:ilvl="0">
      <w:lvlJc w:val="left"/>
      <w:lvlText w:val="(%1)"/>
      <w:numFmt w:val="lowerLetter"/>
      <w:start w:val="4"/>
    </w:lvl>
  </w:abstractNum>
  <w:abstractNum w:abstractNumId="298">
    <w:nsid w:val="5992A02E"/>
    <w:multiLevelType w:val="hybridMultilevel"/>
    <w:lvl w:ilvl="0">
      <w:lvlJc w:val="left"/>
      <w:lvlText w:val="(%1)"/>
      <w:numFmt w:val="lowerLetter"/>
      <w:start w:val="1"/>
    </w:lvl>
  </w:abstractNum>
  <w:abstractNum w:abstractNumId="299">
    <w:nsid w:val="29EF532D"/>
    <w:multiLevelType w:val="hybridMultilevel"/>
    <w:lvl w:ilvl="0">
      <w:lvlJc w:val="left"/>
      <w:lvlText w:val="%1"/>
      <w:numFmt w:val="lowerLetter"/>
      <w:start w:val="1"/>
    </w:lvl>
    <w:lvl w:ilvl="1">
      <w:lvlJc w:val="left"/>
      <w:lvlText w:val="(%2)"/>
      <w:numFmt w:val="lowerLetter"/>
      <w:start w:val="1"/>
    </w:lvl>
  </w:abstractNum>
  <w:abstractNum w:abstractNumId="300">
    <w:nsid w:val="71D601AF"/>
    <w:multiLevelType w:val="hybridMultilevel"/>
    <w:lvl w:ilvl="0">
      <w:lvlJc w:val="left"/>
      <w:lvlText w:val="(%1)"/>
      <w:numFmt w:val="lowerLetter"/>
      <w:start w:val="35"/>
    </w:lvl>
    <w:lvl w:ilvl="1">
      <w:lvlJc w:val="left"/>
      <w:lvlText w:val="(%2)"/>
      <w:numFmt w:val="lowerLetter"/>
      <w:start w:val="2"/>
    </w:lvl>
  </w:abstractNum>
  <w:abstractNum w:abstractNumId="301">
    <w:nsid w:val="52C77402"/>
    <w:multiLevelType w:val="hybridMultilevel"/>
    <w:lvl w:ilvl="0">
      <w:lvlJc w:val="left"/>
      <w:lvlText w:val="(%1)"/>
      <w:numFmt w:val="lowerLetter"/>
      <w:start w:val="3"/>
    </w:lvl>
  </w:abstractNum>
  <w:abstractNum w:abstractNumId="302">
    <w:nsid w:val="2BB5B1C6"/>
    <w:multiLevelType w:val="hybridMultilevel"/>
    <w:lvl w:ilvl="0">
      <w:lvlJc w:val="left"/>
      <w:lvlText w:val="(%1)"/>
      <w:numFmt w:val="lowerLetter"/>
      <w:start w:val="7"/>
    </w:lvl>
  </w:abstractNum>
  <w:abstractNum w:abstractNumId="303">
    <w:nsid w:val="66BE6B9"/>
    <w:multiLevelType w:val="hybridMultilevel"/>
    <w:lvl w:ilvl="0">
      <w:lvlJc w:val="left"/>
      <w:lvlText w:val="%1"/>
      <w:numFmt w:val="upperLetter"/>
      <w:start w:val="1"/>
    </w:lvl>
    <w:lvl w:ilvl="1">
      <w:lvlJc w:val="left"/>
      <w:lvlText w:val="(%2)"/>
      <w:numFmt w:val="lowerLetter"/>
      <w:start w:val="1"/>
    </w:lvl>
  </w:abstractNum>
  <w:abstractNum w:abstractNumId="304">
    <w:nsid w:val="62234363"/>
    <w:multiLevelType w:val="hybridMultilevel"/>
    <w:lvl w:ilvl="0">
      <w:lvlJc w:val="left"/>
      <w:lvlText w:val="(%1)"/>
      <w:numFmt w:val="upperLetter"/>
      <w:start w:val="2"/>
    </w:lvl>
    <w:lvl w:ilvl="1">
      <w:lvlJc w:val="left"/>
      <w:lvlText w:val="%2"/>
      <w:numFmt w:val="lowerLetter"/>
      <w:start w:val="1"/>
    </w:lvl>
  </w:abstractNum>
  <w:abstractNum w:abstractNumId="305">
    <w:nsid w:val="66D385C9"/>
    <w:multiLevelType w:val="hybridMultilevel"/>
    <w:lvl w:ilvl="0">
      <w:lvlJc w:val="left"/>
      <w:lvlText w:val="(%1)"/>
      <w:numFmt w:val="lowerLetter"/>
      <w:start w:val="1"/>
    </w:lvl>
  </w:abstractNum>
  <w:abstractNum w:abstractNumId="306">
    <w:nsid w:val="596F6D8A"/>
    <w:multiLevelType w:val="hybridMultilevel"/>
    <w:lvl w:ilvl="0">
      <w:lvlJc w:val="left"/>
      <w:lvlText w:val="(%1)"/>
      <w:numFmt w:val="lowerLetter"/>
      <w:start w:val="1"/>
    </w:lvl>
  </w:abstractNum>
  <w:abstractNum w:abstractNumId="307">
    <w:nsid w:val="5749361F"/>
    <w:multiLevelType w:val="hybridMultilevel"/>
    <w:lvl w:ilvl="0">
      <w:lvlJc w:val="left"/>
      <w:lvlText w:val="(%1)"/>
      <w:numFmt w:val="lowerLetter"/>
      <w:start w:val="1"/>
    </w:lvl>
    <w:lvl w:ilvl="1">
      <w:lvlJc w:val="left"/>
      <w:lvlText w:val="(%2)"/>
      <w:numFmt w:val="lowerRoman"/>
      <w:start w:val="1"/>
    </w:lvl>
  </w:abstractNum>
  <w:abstractNum w:abstractNumId="308">
    <w:nsid w:val="73BC6770"/>
    <w:multiLevelType w:val="hybridMultilevel"/>
    <w:lvl w:ilvl="0">
      <w:lvlJc w:val="left"/>
      <w:lvlText w:val="(%1)"/>
      <w:numFmt w:val="lowerRoman"/>
      <w:start w:val="3"/>
    </w:lvl>
  </w:abstractNum>
  <w:abstractNum w:abstractNumId="309">
    <w:nsid w:val="280E6897"/>
    <w:multiLevelType w:val="hybridMultilevel"/>
    <w:lvl w:ilvl="0">
      <w:lvlJc w:val="left"/>
      <w:lvlText w:val="(%1)"/>
      <w:numFmt w:val="lowerLetter"/>
      <w:start w:val="3"/>
    </w:lvl>
    <w:lvl w:ilvl="1">
      <w:lvlJc w:val="left"/>
      <w:lvlText w:val="(%2)"/>
      <w:numFmt w:val="lowerRoman"/>
      <w:start w:val="1"/>
    </w:lvl>
  </w:abstractNum>
  <w:abstractNum w:abstractNumId="310">
    <w:nsid w:val="605138DE"/>
    <w:multiLevelType w:val="hybridMultilevel"/>
    <w:lvl w:ilvl="0">
      <w:lvlJc w:val="left"/>
      <w:lvlText w:val="(%1)"/>
      <w:numFmt w:val="lowerLetter"/>
      <w:start w:val="2"/>
    </w:lvl>
  </w:abstractNum>
  <w:abstractNum w:abstractNumId="311">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2">
    <w:nsid w:val="6799755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3">
    <w:nsid w:val="18333C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14">
    <w:nsid w:val="4BA9831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15">
    <w:nsid w:val="6D71A2B"/>
    <w:multiLevelType w:val="hybridMultilevel"/>
    <w:lvl w:ilvl="0">
      <w:lvlJc w:val="left"/>
      <w:lvlText w:val="(%1)"/>
      <w:numFmt w:val="lowerLetter"/>
      <w:start w:val="2"/>
    </w:lvl>
  </w:abstractNum>
  <w:abstractNum w:abstractNumId="316">
    <w:nsid w:val="CFC7321"/>
    <w:multiLevelType w:val="hybridMultilevel"/>
    <w:lvl w:ilvl="0">
      <w:lvlJc w:val="left"/>
      <w:lvlText w:val=" "/>
      <w:numFmt w:val="bullet"/>
      <w:start w:val="1"/>
    </w:lvl>
  </w:abstractNum>
  <w:abstractNum w:abstractNumId="317">
    <w:nsid w:val="1421971B"/>
    <w:multiLevelType w:val="hybridMultilevel"/>
    <w:lvl w:ilvl="0">
      <w:lvlJc w:val="left"/>
      <w:lvlText w:val="%1"/>
      <w:numFmt w:val="decimal"/>
      <w:start w:val="395"/>
    </w:lvl>
  </w:abstractNum>
  <w:abstractNum w:abstractNumId="318">
    <w:nsid w:val="1F404301"/>
    <w:multiLevelType w:val="hybridMultilevel"/>
    <w:lvl w:ilvl="0">
      <w:lvlJc w:val="left"/>
      <w:lvlText w:val=" "/>
      <w:numFmt w:val="bullet"/>
      <w:start w:val="1"/>
    </w:lvl>
  </w:abstractNum>
  <w:abstractNum w:abstractNumId="319">
    <w:nsid w:val="116E0907"/>
    <w:multiLevelType w:val="hybridMultilevel"/>
    <w:lvl w:ilvl="0">
      <w:lvlJc w:val="left"/>
      <w:lvlText w:val="(%1)"/>
      <w:numFmt w:val="lowerLetter"/>
      <w:start w:val="1"/>
    </w:lvl>
  </w:abstractNum>
  <w:abstractNum w:abstractNumId="320">
    <w:nsid w:val="4B683D0D"/>
    <w:multiLevelType w:val="hybridMultilevel"/>
    <w:lvl w:ilvl="0">
      <w:lvlJc w:val="left"/>
      <w:lvlText w:val="(%1)"/>
      <w:numFmt w:val="lowerRoman"/>
      <w:start w:val="1"/>
    </w:lvl>
  </w:abstractNum>
  <w:abstractNum w:abstractNumId="321">
    <w:nsid w:val="76E41D8"/>
    <w:multiLevelType w:val="hybridMultilevel"/>
    <w:lvl w:ilvl="0">
      <w:lvlJc w:val="left"/>
      <w:lvlText w:val="(%1)"/>
      <w:numFmt w:val="lowerLetter"/>
      <w:start w:val="1"/>
    </w:lvl>
  </w:abstractNum>
  <w:abstractNum w:abstractNumId="322">
    <w:nsid w:val="71DCE0FD"/>
    <w:multiLevelType w:val="hybridMultilevel"/>
    <w:lvl w:ilvl="0">
      <w:lvlJc w:val="left"/>
      <w:lvlText w:val="(%1)"/>
      <w:numFmt w:val="lowerRoman"/>
      <w:start w:val="1"/>
    </w:lvl>
  </w:abstractNum>
  <w:abstractNum w:abstractNumId="323">
    <w:nsid w:val="7906328B"/>
    <w:multiLevelType w:val="hybridMultilevel"/>
    <w:lvl w:ilvl="0">
      <w:lvlJc w:val="left"/>
      <w:lvlText w:val="%1"/>
      <w:numFmt w:val="lowerLetter"/>
      <w:start w:val="1"/>
    </w:lvl>
    <w:lvl w:ilvl="1">
      <w:lvlJc w:val="left"/>
      <w:lvlText w:val="(%2)"/>
      <w:numFmt w:val="lowerRoman"/>
      <w:start w:val="4"/>
    </w:lvl>
  </w:abstractNum>
  <w:abstractNum w:abstractNumId="324">
    <w:nsid w:val="72BBC16"/>
    <w:multiLevelType w:val="hybridMultilevel"/>
    <w:lvl w:ilvl="0">
      <w:lvlJc w:val="left"/>
      <w:lvlText w:val="(%1)"/>
      <w:numFmt w:val="lowerLetter"/>
      <w:start w:val="3"/>
    </w:lvl>
    <w:lvl w:ilvl="1">
      <w:lvlJc w:val="left"/>
      <w:lvlText w:val="%2"/>
      <w:numFmt w:val="lowerRoman"/>
      <w:start w:val="1"/>
    </w:lvl>
  </w:abstractNum>
  <w:abstractNum w:abstractNumId="325">
    <w:nsid w:val="766D98C2"/>
    <w:multiLevelType w:val="hybridMultilevel"/>
    <w:lvl w:ilvl="0">
      <w:lvlJc w:val="left"/>
      <w:lvlText w:val="(%1)"/>
      <w:numFmt w:val="lowerRoman"/>
      <w:start w:val="3"/>
    </w:lvl>
    <w:lvl w:ilvl="1">
      <w:lvlJc w:val="left"/>
      <w:lvlText w:val="%2."/>
      <w:numFmt w:val="upperLetter"/>
      <w:start w:val="5"/>
    </w:lvl>
  </w:abstractNum>
  <w:abstractNum w:abstractNumId="326">
    <w:nsid w:val="3C09D4A1"/>
    <w:multiLevelType w:val="hybridMultilevel"/>
    <w:lvl w:ilvl="0">
      <w:lvlJc w:val="left"/>
      <w:lvlText w:val="%1."/>
      <w:numFmt w:val="decimal"/>
      <w:start w:val="1"/>
    </w:lvl>
  </w:abstractNum>
  <w:abstractNum w:abstractNumId="327">
    <w:nsid w:val="20E45CA4"/>
    <w:multiLevelType w:val="hybridMultilevel"/>
    <w:lvl w:ilvl="0">
      <w:lvlJc w:val="left"/>
      <w:lvlText w:val="(%1)"/>
      <w:numFmt w:val="lowerLetter"/>
      <w:start w:val="2"/>
    </w:lvl>
  </w:abstractNum>
  <w:abstractNum w:abstractNumId="328">
    <w:nsid w:val="4B232EE3"/>
    <w:multiLevelType w:val="hybridMultilevel"/>
    <w:lvl w:ilvl="0">
      <w:lvlJc w:val="left"/>
      <w:lvlText w:val="%1."/>
      <w:numFmt w:val="decimal"/>
      <w:start w:val="2"/>
    </w:lvl>
  </w:abstractNum>
  <w:abstractNum w:abstractNumId="329">
    <w:nsid w:val="159C74CF"/>
    <w:multiLevelType w:val="hybridMultilevel"/>
    <w:lvl w:ilvl="0">
      <w:lvlJc w:val="left"/>
      <w:lvlText w:val="(%1)"/>
      <w:numFmt w:val="lowerLetter"/>
      <w:start w:val="1"/>
    </w:lvl>
  </w:abstractNum>
  <w:abstractNum w:abstractNumId="330">
    <w:nsid w:val="4AD3AFD2"/>
    <w:multiLevelType w:val="hybridMultilevel"/>
    <w:lvl w:ilvl="0">
      <w:lvlJc w:val="left"/>
      <w:lvlText w:val="%1."/>
      <w:numFmt w:val="decimal"/>
      <w:start w:val="3"/>
    </w:lvl>
  </w:abstractNum>
  <w:abstractNum w:abstractNumId="331">
    <w:nsid w:val="3CF93092"/>
    <w:multiLevelType w:val="hybridMultilevel"/>
    <w:lvl w:ilvl="0">
      <w:lvlJc w:val="left"/>
      <w:lvlText w:val="(%1)"/>
      <w:numFmt w:val="lowerRoman"/>
      <w:start w:val="1"/>
    </w:lvl>
  </w:abstractNum>
  <w:abstractNum w:abstractNumId="332">
    <w:nsid w:val="6863E8D2"/>
    <w:multiLevelType w:val="hybridMultilevel"/>
    <w:lvl w:ilvl="0">
      <w:lvlJc w:val="left"/>
      <w:lvlText w:val="%1."/>
      <w:numFmt w:val="decimal"/>
      <w:start w:val="5"/>
    </w:lvl>
  </w:abstractNum>
  <w:abstractNum w:abstractNumId="333">
    <w:nsid w:val="76896198"/>
    <w:multiLevelType w:val="hybridMultilevel"/>
    <w:lvl w:ilvl="0">
      <w:lvlJc w:val="left"/>
      <w:lvlText w:val="%1."/>
      <w:numFmt w:val="decimal"/>
      <w:start w:val="7"/>
    </w:lvl>
  </w:abstractNum>
  <w:abstractNum w:abstractNumId="334">
    <w:nsid w:val="4365174B"/>
    <w:multiLevelType w:val="hybridMultilevel"/>
    <w:lvl w:ilvl="0">
      <w:lvlJc w:val="left"/>
      <w:lvlText w:val="%1."/>
      <w:numFmt w:val="decimal"/>
      <w:start w:val="8"/>
    </w:lvl>
  </w:abstractNum>
  <w:abstractNum w:abstractNumId="335">
    <w:nsid w:val="4A872C35"/>
    <w:multiLevelType w:val="hybridMultilevel"/>
    <w:lvl w:ilvl="0">
      <w:lvlJc w:val="left"/>
      <w:lvlText w:val="%1."/>
      <w:numFmt w:val="decimal"/>
      <w:start w:val="9"/>
    </w:lvl>
  </w:abstractNum>
  <w:abstractNum w:abstractNumId="336">
    <w:nsid w:val="5D5CE761"/>
    <w:multiLevelType w:val="hybridMultilevel"/>
    <w:lvl w:ilvl="0">
      <w:lvlJc w:val="left"/>
      <w:lvlText w:val="%1."/>
      <w:numFmt w:val="decimal"/>
      <w:start w:val="13"/>
    </w:lvl>
  </w:abstractNum>
  <w:abstractNum w:abstractNumId="337">
    <w:nsid w:val="1CD484D5"/>
    <w:multiLevelType w:val="hybridMultilevel"/>
    <w:lvl w:ilvl="0">
      <w:lvlJc w:val="left"/>
      <w:lvlText w:val="%1."/>
      <w:numFmt w:val="decimal"/>
      <w:start w:val="14"/>
    </w:lvl>
    <w:lvl w:ilvl="1">
      <w:lvlJc w:val="left"/>
      <w:lvlText w:val="(%2)"/>
      <w:numFmt w:val="lowerLetter"/>
      <w:start w:val="1"/>
    </w:lvl>
  </w:abstractNum>
  <w:abstractNum w:abstractNumId="338">
    <w:nsid w:val="21D06255"/>
    <w:multiLevelType w:val="hybridMultilevel"/>
    <w:lvl w:ilvl="0">
      <w:lvlJc w:val="left"/>
      <w:lvlText w:val="%1"/>
      <w:numFmt w:val="lowerRoman"/>
      <w:start w:val="1"/>
    </w:lvl>
    <w:lvl w:ilvl="1">
      <w:lvlJc w:val="left"/>
      <w:lvlText w:val="(%2)"/>
      <w:numFmt w:val="lowerLetter"/>
      <w:start w:val="2"/>
    </w:lvl>
  </w:abstractNum>
  <w:abstractNum w:abstractNumId="339">
    <w:nsid w:val="51194ED1"/>
    <w:multiLevelType w:val="hybridMultilevel"/>
    <w:lvl w:ilvl="0">
      <w:lvlJc w:val="left"/>
      <w:lvlText w:val="(%1)"/>
      <w:numFmt w:val="lowerRoman"/>
      <w:start w:val="1"/>
    </w:lvl>
    <w:lvl w:ilvl="1">
      <w:lvlJc w:val="left"/>
      <w:lvlText w:val="(%2)"/>
      <w:numFmt w:val="lowerLetter"/>
      <w:start w:val="3"/>
    </w:lvl>
  </w:abstractNum>
  <w:abstractNum w:abstractNumId="340">
    <w:nsid w:val="44E2ED6C"/>
    <w:multiLevelType w:val="hybridMultilevel"/>
    <w:lvl w:ilvl="0">
      <w:lvlJc w:val="left"/>
      <w:lvlText w:val="%1."/>
      <w:numFmt w:val="decimal"/>
      <w:start w:val="17"/>
    </w:lvl>
  </w:abstractNum>
  <w:abstractNum w:abstractNumId="341">
    <w:nsid w:val="2219B33"/>
    <w:multiLevelType w:val="hybridMultilevel"/>
    <w:lvl w:ilvl="0">
      <w:lvlJc w:val="left"/>
      <w:lvlText w:val="%1."/>
      <w:numFmt w:val="decimal"/>
      <w:start w:val="23"/>
    </w:lvl>
  </w:abstractNum>
  <w:abstractNum w:abstractNumId="342">
    <w:nsid w:val="773BFBDD"/>
    <w:multiLevelType w:val="hybridMultilevel"/>
    <w:lvl w:ilvl="0">
      <w:lvlJc w:val="left"/>
      <w:lvlText w:val="*"/>
      <w:numFmt w:val="bullet"/>
      <w:start w:val="1"/>
    </w:lvl>
  </w:abstractNum>
  <w:abstractNum w:abstractNumId="343">
    <w:nsid w:val="2C7C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4">
    <w:nsid w:val="1A54D7BC"/>
    <w:multiLevelType w:val="hybridMultilevel"/>
    <w:lvl w:ilvl="0">
      <w:lvlJc w:val="left"/>
      <w:lvlText w:val="%1"/>
      <w:numFmt w:val="lowerLetter"/>
      <w:start w:val="1"/>
    </w:lvl>
    <w:lvl w:ilvl="1">
      <w:lvlJc w:val="left"/>
      <w:lvlText w:val="(%2)"/>
      <w:numFmt w:val="decimal"/>
      <w:start w:val="6"/>
    </w:lvl>
  </w:abstractNum>
  <w:abstractNum w:abstractNumId="345">
    <w:nsid w:val="42E57EF7"/>
    <w:multiLevelType w:val="hybridMultilevel"/>
    <w:lvl w:ilvl="0">
      <w:lvlJc w:val="left"/>
      <w:lvlText w:val="(%1)"/>
      <w:numFmt w:val="lowerLetter"/>
      <w:start w:val="2"/>
    </w:lvl>
    <w:lvl w:ilvl="1">
      <w:lvlJc w:val="left"/>
      <w:lvlText w:val="%2"/>
      <w:numFmt w:val="decimal"/>
      <w:start w:val="1"/>
    </w:lvl>
  </w:abstractNum>
  <w:abstractNum w:abstractNumId="346">
    <w:nsid w:val="33537CED"/>
    <w:multiLevelType w:val="hybridMultilevel"/>
    <w:lvl w:ilvl="0">
      <w:lvlJc w:val="left"/>
      <w:lvlText w:val="(%1)"/>
      <w:numFmt w:val="lowerRoman"/>
      <w:start w:val="2"/>
    </w:lvl>
  </w:abstractNum>
  <w:abstractNum w:abstractNumId="347">
    <w:nsid w:val="27514ADE"/>
    <w:multiLevelType w:val="hybridMultilevel"/>
    <w:lvl w:ilvl="0">
      <w:lvlJc w:val="left"/>
      <w:lvlText w:val="%1."/>
      <w:numFmt w:val="decimal"/>
      <w:start w:val="1"/>
    </w:lvl>
  </w:abstractNum>
  <w:abstractNum w:abstractNumId="348">
    <w:nsid w:val="57071613"/>
    <w:multiLevelType w:val="hybridMultilevel"/>
    <w:lvl w:ilvl="0">
      <w:lvlJc w:val="left"/>
      <w:lvlText w:val="%1."/>
      <w:numFmt w:val="decimal"/>
      <w:start w:val="1"/>
    </w:lvl>
  </w:abstractNum>
  <w:abstractNum w:abstractNumId="349">
    <w:nsid w:val="5293BFEF"/>
    <w:multiLevelType w:val="hybridMultilevel"/>
    <w:lvl w:ilvl="0">
      <w:lvlJc w:val="left"/>
      <w:lvlText w:val="%1."/>
      <w:numFmt w:val="decimal"/>
      <w:start w:val="1"/>
    </w:lvl>
  </w:abstractNum>
  <w:abstractNum w:abstractNumId="350">
    <w:nsid w:val="38BF53E5"/>
    <w:multiLevelType w:val="hybridMultilevel"/>
    <w:lvl w:ilvl="0">
      <w:lvlJc w:val="left"/>
      <w:lvlText w:val="%1."/>
      <w:numFmt w:val="decimal"/>
      <w:start w:val="6"/>
    </w:lvl>
  </w:abstractNum>
  <w:abstractNum w:abstractNumId="351">
    <w:nsid w:val="226F5320"/>
    <w:multiLevelType w:val="hybridMultilevel"/>
    <w:lvl w:ilvl="0">
      <w:lvlJc w:val="left"/>
      <w:lvlText w:val="(%1)"/>
      <w:numFmt w:val="lowerRoman"/>
      <w:start w:val="1"/>
    </w:lvl>
  </w:abstractNum>
  <w:abstractNum w:abstractNumId="352">
    <w:nsid w:val="5A0201C7"/>
    <w:multiLevelType w:val="hybridMultilevel"/>
    <w:lvl w:ilvl="0">
      <w:lvlJc w:val="left"/>
      <w:lvlText w:val="(%1)"/>
      <w:numFmt w:val="lowerRoman"/>
      <w:start w:val="6"/>
    </w:lvl>
  </w:abstractNum>
  <w:abstractNum w:abstractNumId="353">
    <w:nsid w:val="2A9C34E2"/>
    <w:multiLevelType w:val="hybridMultilevel"/>
    <w:lvl w:ilvl="0">
      <w:lvlJc w:val="left"/>
      <w:lvlText w:val="(%1)"/>
      <w:numFmt w:val="lowerRoman"/>
      <w:start w:val="7"/>
    </w:lvl>
  </w:abstractNum>
  <w:abstractNum w:abstractNumId="354">
    <w:nsid w:val="1B7585AB"/>
    <w:multiLevelType w:val="hybridMultilevel"/>
    <w:lvl w:ilvl="0">
      <w:lvlJc w:val="left"/>
      <w:lvlText w:val="(%1)"/>
      <w:numFmt w:val="lowerRoman"/>
      <w:start w:val="9"/>
    </w:lvl>
  </w:abstractNum>
  <w:abstractNum w:abstractNumId="355">
    <w:nsid w:val="612DBDDD"/>
    <w:multiLevelType w:val="hybridMultilevel"/>
    <w:lvl w:ilvl="0">
      <w:lvlJc w:val="left"/>
      <w:lvlText w:val="%1."/>
      <w:numFmt w:val="decimal"/>
      <w:start w:val="1"/>
    </w:lvl>
  </w:abstractNum>
  <w:abstractNum w:abstractNumId="356">
    <w:nsid w:val="2109CDA4"/>
    <w:multiLevelType w:val="hybridMultilevel"/>
    <w:lvl w:ilvl="0">
      <w:lvlJc w:val="left"/>
      <w:lvlText w:val="%1."/>
      <w:numFmt w:val="decimal"/>
      <w:start w:val="2"/>
    </w:lvl>
  </w:abstractNum>
  <w:abstractNum w:abstractNumId="357">
    <w:nsid w:val="577F5A4D"/>
    <w:multiLevelType w:val="hybridMultilevel"/>
    <w:lvl w:ilvl="0">
      <w:lvlJc w:val="left"/>
      <w:lvlText w:val="(%1)"/>
      <w:numFmt w:val="lowerRoman"/>
      <w:start w:val="1"/>
    </w:lvl>
  </w:abstractNum>
  <w:abstractNum w:abstractNumId="358">
    <w:nsid w:val="2121A81"/>
    <w:multiLevelType w:val="hybridMultilevel"/>
    <w:lvl w:ilvl="0">
      <w:lvlJc w:val="left"/>
      <w:lvlText w:val="(%1)"/>
      <w:numFmt w:val="lowerRoman"/>
      <w:start w:val="2"/>
    </w:lvl>
  </w:abstractNum>
  <w:abstractNum w:abstractNumId="359">
    <w:nsid w:val="6C2CFC88"/>
    <w:multiLevelType w:val="hybridMultilevel"/>
    <w:lvl w:ilvl="0">
      <w:lvlJc w:val="left"/>
      <w:lvlText w:val="%1."/>
      <w:numFmt w:val="decimal"/>
      <w:start w:val="4"/>
    </w:lvl>
  </w:abstractNum>
  <w:abstractNum w:abstractNumId="360">
    <w:nsid w:val="6D1BCF1C"/>
    <w:multiLevelType w:val="hybridMultilevel"/>
    <w:lvl w:ilvl="0">
      <w:lvlJc w:val="left"/>
      <w:lvlText w:val="%1."/>
      <w:numFmt w:val="decimal"/>
      <w:start w:val="5"/>
    </w:lvl>
  </w:abstractNum>
  <w:abstractNum w:abstractNumId="361">
    <w:nsid w:val="4CE5CA53"/>
    <w:multiLevelType w:val="hybridMultilevel"/>
    <w:lvl w:ilvl="0">
      <w:lvlJc w:val="left"/>
      <w:lvlText w:val="%1."/>
      <w:numFmt w:val="decimal"/>
      <w:start w:val="8"/>
    </w:lvl>
  </w:abstractNum>
  <w:abstractNum w:abstractNumId="362">
    <w:nsid w:val="29262D1A"/>
    <w:multiLevelType w:val="hybridMultilevel"/>
    <w:lvl w:ilvl="0">
      <w:lvlJc w:val="left"/>
      <w:lvlText w:val="%1."/>
      <w:numFmt w:val="decimal"/>
      <w:start w:val="9"/>
    </w:lvl>
  </w:abstractNum>
  <w:abstractNum w:abstractNumId="363">
    <w:nsid w:val="557FB7EE"/>
    <w:multiLevelType w:val="hybridMultilevel"/>
    <w:lvl w:ilvl="0">
      <w:lvlJc w:val="left"/>
      <w:lvlText w:val="%1."/>
      <w:numFmt w:val="decimal"/>
      <w:start w:val="1"/>
    </w:lvl>
  </w:abstractNum>
  <w:abstractNum w:abstractNumId="364">
    <w:nsid w:val="436F2BEB"/>
    <w:multiLevelType w:val="hybridMultilevel"/>
    <w:lvl w:ilvl="0">
      <w:lvlJc w:val="left"/>
      <w:lvlText w:val="•"/>
      <w:numFmt w:val="bullet"/>
      <w:start w:val="1"/>
    </w:lvl>
  </w:abstractNum>
  <w:abstractNum w:abstractNumId="365">
    <w:nsid w:val="6C8B4466"/>
    <w:multiLevelType w:val="hybridMultilevel"/>
    <w:lvl w:ilvl="0">
      <w:lvlJc w:val="left"/>
      <w:lvlText w:val="%1."/>
      <w:numFmt w:val="decimal"/>
      <w:start w:val="1"/>
    </w:lvl>
  </w:abstractNum>
  <w:abstractNum w:abstractNumId="366">
    <w:nsid w:val="2006E424"/>
    <w:multiLevelType w:val="hybridMultilevel"/>
    <w:lvl w:ilvl="0">
      <w:lvlJc w:val="left"/>
      <w:lvlText w:val="•"/>
      <w:numFmt w:val="bullet"/>
      <w:start w:val="1"/>
    </w:lvl>
  </w:abstractNum>
  <w:abstractNum w:abstractNumId="367">
    <w:nsid w:val="20CC134C"/>
    <w:multiLevelType w:val="hybridMultilevel"/>
    <w:lvl w:ilvl="0">
      <w:lvlJc w:val="left"/>
      <w:lvlText w:val="•"/>
      <w:numFmt w:val="bullet"/>
      <w:start w:val="1"/>
    </w:lvl>
  </w:abstractNum>
  <w:abstractNum w:abstractNumId="368">
    <w:nsid w:val="95FC93B"/>
    <w:multiLevelType w:val="hybridMultilevel"/>
    <w:lvl w:ilvl="0">
      <w:lvlJc w:val="left"/>
      <w:lvlText w:val="%1."/>
      <w:numFmt w:val="decimal"/>
      <w:start w:val="1"/>
    </w:lvl>
  </w:abstractNum>
  <w:abstractNum w:abstractNumId="369">
    <w:nsid w:val="41D74679"/>
    <w:multiLevelType w:val="hybridMultilevel"/>
    <w:lvl w:ilvl="0">
      <w:lvlJc w:val="left"/>
      <w:lvlText w:val="%1."/>
      <w:numFmt w:val="decimal"/>
      <w:start w:val="1"/>
    </w:lvl>
  </w:abstractNum>
  <w:abstractNum w:abstractNumId="370">
    <w:nsid w:val="71E5621E"/>
    <w:multiLevelType w:val="hybridMultilevel"/>
    <w:lvl w:ilvl="0">
      <w:lvlJc w:val="left"/>
      <w:lvlText w:val="•"/>
      <w:numFmt w:val="bullet"/>
      <w:start w:val="1"/>
    </w:lvl>
  </w:abstractNum>
  <w:abstractNum w:abstractNumId="371">
    <w:nsid w:val="4E42B6A8"/>
    <w:multiLevelType w:val="hybridMultilevel"/>
    <w:lvl w:ilvl="0">
      <w:lvlJc w:val="left"/>
      <w:lvlText w:val="•"/>
      <w:numFmt w:val="bullet"/>
      <w:start w:val="1"/>
    </w:lvl>
  </w:abstractNum>
  <w:abstractNum w:abstractNumId="372">
    <w:nsid w:val="43F8E1AC"/>
    <w:multiLevelType w:val="hybridMultilevel"/>
    <w:lvl w:ilvl="0">
      <w:lvlJc w:val="left"/>
      <w:lvlText w:val="•"/>
      <w:numFmt w:val="bullet"/>
      <w:start w:val="1"/>
    </w:lvl>
  </w:abstractNum>
  <w:abstractNum w:abstractNumId="373">
    <w:nsid w:val="69215DFB"/>
    <w:multiLevelType w:val="hybridMultilevel"/>
    <w:lvl w:ilvl="0">
      <w:lvlJc w:val="left"/>
      <w:lvlText w:val="1"/>
      <w:numFmt w:val="bullet"/>
      <w:start w:val="1"/>
    </w:lvl>
  </w:abstractNum>
  <w:abstractNum w:abstractNumId="374">
    <w:nsid w:val="7ABF196A"/>
    <w:multiLevelType w:val="hybridMultilevel"/>
    <w:lvl w:ilvl="0">
      <w:lvlJc w:val="left"/>
      <w:lvlText w:val="2"/>
      <w:numFmt w:val="bullet"/>
      <w:start w:val="1"/>
    </w:lvl>
  </w:abstractNum>
  <w:abstractNum w:abstractNumId="375">
    <w:nsid w:val="5E4DB968"/>
    <w:multiLevelType w:val="hybridMultilevel"/>
    <w:lvl w:ilvl="0">
      <w:lvlJc w:val="left"/>
      <w:lvlText w:val="%1."/>
      <w:numFmt w:val="decimal"/>
      <w:start w:val="1"/>
    </w:lvl>
  </w:abstractNum>
  <w:abstractNum w:abstractNumId="376">
    <w:nsid w:val="2C06DCF3"/>
    <w:multiLevelType w:val="hybridMultilevel"/>
    <w:lvl w:ilvl="0">
      <w:lvlJc w:val="left"/>
      <w:lvlText w:val="%1."/>
      <w:numFmt w:val="decimal"/>
      <w:start w:val="5"/>
    </w:lvl>
  </w:abstractNum>
  <w:abstractNum w:abstractNumId="377">
    <w:nsid w:val="2E129658"/>
    <w:multiLevelType w:val="hybridMultilevel"/>
    <w:lvl w:ilvl="0">
      <w:lvlJc w:val="left"/>
      <w:lvlText w:val="1"/>
      <w:numFmt w:val="bullet"/>
      <w:start w:val="1"/>
    </w:lvl>
  </w:abstractNum>
  <w:abstractNum w:abstractNumId="378">
    <w:nsid w:val="59F0446"/>
    <w:multiLevelType w:val="hybridMultilevel"/>
    <w:lvl w:ilvl="0">
      <w:lvlJc w:val="left"/>
      <w:lvlText w:val="2"/>
      <w:numFmt w:val="bullet"/>
      <w:start w:val="1"/>
    </w:lvl>
  </w:abstractNum>
  <w:abstractNum w:abstractNumId="379">
    <w:nsid w:val="30DF306"/>
    <w:multiLevelType w:val="hybridMultilevel"/>
    <w:lvl w:ilvl="0">
      <w:lvlJc w:val="left"/>
      <w:lvlText w:val="3"/>
      <w:numFmt w:val="bullet"/>
      <w:start w:val="1"/>
    </w:lvl>
  </w:abstractNum>
  <w:abstractNum w:abstractNumId="380">
    <w:nsid w:val="A65647"/>
    <w:multiLevelType w:val="hybridMultilevel"/>
    <w:lvl w:ilvl="0">
      <w:lvlJc w:val="left"/>
      <w:lvlText w:val="4"/>
      <w:numFmt w:val="bullet"/>
      <w:start w:val="1"/>
    </w:lvl>
  </w:abstractNum>
  <w:abstractNum w:abstractNumId="381">
    <w:nsid w:val="3E5E582B"/>
    <w:multiLevelType w:val="hybridMultilevel"/>
    <w:lvl w:ilvl="0">
      <w:lvlJc w:val="left"/>
      <w:lvlText w:val="**"/>
      <w:numFmt w:val="bullet"/>
      <w:start w:val="1"/>
    </w:lvl>
  </w:abstractNum>
  <w:abstractNum w:abstractNumId="382">
    <w:nsid w:val="257D4626"/>
    <w:multiLevelType w:val="hybridMultilevel"/>
    <w:lvl w:ilvl="0">
      <w:lvlJc w:val="left"/>
      <w:lvlText w:val="•"/>
      <w:numFmt w:val="bullet"/>
      <w:start w:val="1"/>
    </w:lvl>
  </w:abstractNum>
  <w:abstractNum w:abstractNumId="383">
    <w:nsid w:val="5AA8580E"/>
    <w:multiLevelType w:val="hybridMultilevel"/>
    <w:lvl w:ilvl="0">
      <w:lvlJc w:val="left"/>
      <w:lvlText w:val="\emdash "/>
      <w:numFmt w:val="bullet"/>
      <w:start w:val="1"/>
    </w:lvl>
  </w:abstractNum>
  <w:abstractNum w:abstractNumId="384">
    <w:nsid w:val="68FA8D0D"/>
    <w:multiLevelType w:val="hybridMultilevel"/>
    <w:lvl w:ilvl="0">
      <w:lvlJc w:val="left"/>
      <w:lvlText w:val="%1."/>
      <w:numFmt w:val="decimal"/>
      <w:start w:val="1"/>
    </w:lvl>
  </w:abstractNum>
  <w:abstractNum w:abstractNumId="385">
    <w:nsid w:val="40F2CBD2"/>
    <w:multiLevelType w:val="hybridMultilevel"/>
    <w:lvl w:ilvl="0">
      <w:lvlJc w:val="left"/>
      <w:lvlText w:val="(%1)"/>
      <w:numFmt w:val="lowerRoman"/>
      <w:start w:val="2"/>
    </w:lvl>
  </w:abstractNum>
  <w:abstractNum w:abstractNumId="386">
    <w:nsid w:val="3BD615EB"/>
    <w:multiLevelType w:val="hybridMultilevel"/>
    <w:lvl w:ilvl="0">
      <w:lvlJc w:val="left"/>
      <w:lvlText w:val="%1."/>
      <w:numFmt w:val="decimal"/>
      <w:start w:val="1"/>
    </w:lvl>
  </w:abstractNum>
  <w:abstractNum w:abstractNumId="387">
    <w:nsid w:val="A045AB2"/>
    <w:multiLevelType w:val="hybridMultilevel"/>
    <w:lvl w:ilvl="0">
      <w:lvlJc w:val="left"/>
      <w:lvlText w:val="%1."/>
      <w:numFmt w:val="decimal"/>
      <w:start w:val="2"/>
    </w:lvl>
  </w:abstractNum>
  <w:abstractNum w:abstractNumId="388">
    <w:nsid w:val="1872261F"/>
    <w:multiLevelType w:val="hybridMultilevel"/>
    <w:lvl w:ilvl="0">
      <w:lvlJc w:val="left"/>
      <w:lvlText w:val="%1."/>
      <w:numFmt w:val="decimal"/>
      <w:start w:val="3"/>
    </w:lvl>
  </w:abstractNum>
  <w:abstractNum w:abstractNumId="389">
    <w:nsid w:val="3DE8306C"/>
    <w:multiLevelType w:val="hybridMultilevel"/>
    <w:lvl w:ilvl="0">
      <w:lvlJc w:val="left"/>
      <w:lvlText w:val="(%1)"/>
      <w:numFmt w:val="lowerRoman"/>
      <w:start w:val="2"/>
    </w:lvl>
  </w:abstractNum>
  <w:abstractNum w:abstractNumId="390">
    <w:nsid w:val="7631573A"/>
    <w:multiLevelType w:val="hybridMultilevel"/>
    <w:lvl w:ilvl="0">
      <w:lvlJc w:val="left"/>
      <w:lvlText w:val="*"/>
      <w:numFmt w:val="bullet"/>
      <w:start w:val="1"/>
    </w:lvl>
  </w:abstractNum>
  <w:abstractNum w:abstractNumId="391">
    <w:nsid w:val="58DF5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42"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7"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415" Type="http://schemas.openxmlformats.org/officeDocument/2006/relationships/image" Target="media/image367.png"/><Relationship Id="rId416" Type="http://schemas.openxmlformats.org/officeDocument/2006/relationships/image" Target="media/image368.png"/><Relationship Id="rId417"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0" Type="http://schemas.openxmlformats.org/officeDocument/2006/relationships/image" Target="media/image372.png"/><Relationship Id="rId421" Type="http://schemas.openxmlformats.org/officeDocument/2006/relationships/image" Target="media/image373.png"/><Relationship Id="rId422" Type="http://schemas.openxmlformats.org/officeDocument/2006/relationships/image" Target="media/image374.png"/><Relationship Id="rId423" Type="http://schemas.openxmlformats.org/officeDocument/2006/relationships/image" Target="media/image375.png"/><Relationship Id="rId424" Type="http://schemas.openxmlformats.org/officeDocument/2006/relationships/image" Target="media/image376.png"/><Relationship Id="rId425" Type="http://schemas.openxmlformats.org/officeDocument/2006/relationships/image" Target="media/image377.png"/><Relationship Id="rId426" Type="http://schemas.openxmlformats.org/officeDocument/2006/relationships/image" Target="media/image378.png"/><Relationship Id="rId427" Type="http://schemas.openxmlformats.org/officeDocument/2006/relationships/image" Target="media/image379.png"/><Relationship Id="rId428" Type="http://schemas.openxmlformats.org/officeDocument/2006/relationships/image" Target="media/image380.png"/><Relationship Id="rId429" Type="http://schemas.openxmlformats.org/officeDocument/2006/relationships/image" Target="media/image381.png"/><Relationship Id="rId430" Type="http://schemas.openxmlformats.org/officeDocument/2006/relationships/image" Target="media/image382.png"/><Relationship Id="rId431" Type="http://schemas.openxmlformats.org/officeDocument/2006/relationships/image" Target="media/image383.png"/><Relationship Id="rId432" Type="http://schemas.openxmlformats.org/officeDocument/2006/relationships/image" Target="media/image384.png"/><Relationship Id="rId433"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453" Type="http://schemas.openxmlformats.org/officeDocument/2006/relationships/image" Target="media/image405.png"/><Relationship Id="rId222" Type="http://schemas.openxmlformats.org/officeDocument/2006/relationships/hyperlink" Target="http://www.sec.gov/ix?doc=/Archives/edgar/data/0001776985/000177698525000013/bntx-20241231.htm" TargetMode="External"/><Relationship Id="rId223" Type="http://schemas.openxmlformats.org/officeDocument/2006/relationships/hyperlink" Target="http://www.sec.gov/Archives/edgar/data/1776985/000177698525000004/form6-kbiotheusacquisition.htm" TargetMode="External"/><Relationship Id="rId224" Type="http://schemas.openxmlformats.org/officeDocument/2006/relationships/hyperlink" Target="http://www.sec.gov/Archives/edgar/data/1776985/000177698525000006/form6-kbnt165e4mar2025.htm" TargetMode="External"/><Relationship Id="rId225" Type="http://schemas.openxmlformats.org/officeDocument/2006/relationships/hyperlink" Target="http://www.sec.gov/Archives/edgar/data/1776985/000177698525000017/form6-kpennagreements2apr2.htm" TargetMode="External"/><Relationship Id="rId226" Type="http://schemas.openxmlformats.org/officeDocument/2006/relationships/hyperlink" Target="http://www.sec.gov/Archives/edgar/data/1776985/000177698525000019/form6-kagm2025invitation4a.htm" TargetMode="External"/><Relationship Id="rId227" Type="http://schemas.openxmlformats.org/officeDocument/2006/relationships/hyperlink" Target="http://www.sec.gov/Archives/edgar/data/1776985/000177698525000029/form6-kq12025quarterlyrepo.htm" TargetMode="External"/><Relationship Id="rId228" Type="http://schemas.openxmlformats.org/officeDocument/2006/relationships/hyperlink" Target="http://www.sec.gov/Archives/edgar/data/1776985/000177698525000033/form6-k2025agm16may2025.htm" TargetMode="External"/><Relationship Id="rId229" Type="http://schemas.openxmlformats.org/officeDocument/2006/relationships/hyperlink" Target="http://www.sec.gov/Archives/edgar/data/1776985/000177698525000035/form6-kukgrant20may2025.htm" TargetMode="External"/><Relationship Id="rId230" Type="http://schemas.openxmlformats.org/officeDocument/2006/relationships/hyperlink" Target="http://www.sec.gov/Archives/edgar/data/1776985/000177698525000039/form6-kbnt3272jun2025.htm" TargetMode="External"/><Relationship Id="rId231" Type="http://schemas.openxmlformats.org/officeDocument/2006/relationships/hyperlink" Target="http://www.sec.gov/Archives/edgar/data/1776985/000119312525139910/d40967d6k.htm" TargetMode="External"/><Relationship Id="rId232" Type="http://schemas.openxmlformats.org/officeDocument/2006/relationships/hyperlink" Target="http://www.sec.gov/Archives/edgar/data/1776985/000119312525142077/d43024d6k.htm" TargetMode="External"/><Relationship Id="rId233" Type="http://schemas.openxmlformats.org/officeDocument/2006/relationships/hyperlink" Target="http://www.sec.gov/Archives/edgar/data/1776985/000177698525000043/form6-karticlesofassociati.htm" TargetMode="External"/><Relationship Id="rId234" Type="http://schemas.openxmlformats.org/officeDocument/2006/relationships/hyperlink" Target="http://www.sec.gov/Archives/edgar/data/1776985/000177698525000045/form6-kcsoannouncement17ju.htm" TargetMode="External"/><Relationship Id="rId235" Type="http://schemas.openxmlformats.org/officeDocument/2006/relationships/hyperlink" Target="http://www.sec.gov/Archives/edgar/data/1776985/000177698525000047/form6-kchmpopinion25jul2025.htm" TargetMode="External"/><Relationship Id="rId236" Type="http://schemas.openxmlformats.org/officeDocument/2006/relationships/hyperlink" Target="http://www.sec.gov/Archives/edgar/data/1776985/000177698525000051/form6-kq22025quarterlyrepo.htm" TargetMode="External"/><Relationship Id="rId237" Type="http://schemas.openxmlformats.org/officeDocument/2006/relationships/hyperlink" Target="http://www.sec.gov/Archives/edgar/data/1776985/000119312525177415/d74857d6k.htm" TargetMode="External"/><Relationship Id="rId238" Type="http://schemas.openxmlformats.org/officeDocument/2006/relationships/hyperlink" Target="http://www.sec.gov/Archives/edgar/data/1776985/000177698525000053/form6-klp81xadaptedfdaappr.htm" TargetMode="External"/><Relationship Id="rId239" Type="http://schemas.openxmlformats.org/officeDocument/2006/relationships/hyperlink" Target="http://www.sec.gov/Archives/edgar/data/1776985/000177698525000055/form6-kbnt3235sep2025.htm" TargetMode="External"/><Relationship Id="rId240" Type="http://schemas.openxmlformats.org/officeDocument/2006/relationships/hyperlink" Target="http://www.sec.gov/Archives/edgar/data/1776985/000177698525000057/form6-kbmsagreement8sep2025.htm" TargetMode="External"/><Relationship Id="rId241" Type="http://schemas.openxmlformats.org/officeDocument/2006/relationships/hyperlink" Target="http://www.sec.gov/Archives/edgar/data/1776985/000177698525000059/form6-kbnt327esxsclc8sep20.htm" TargetMode="External"/><Relationship Id="rId243" Type="http://schemas.openxmlformats.org/officeDocument/2006/relationships/hyperlink" Target="http://www.sec.gov/Archives/edgar/data/1809122/000141057825000692/cvac-20241231x20f.htm" TargetMode="External"/><Relationship Id="rId244" Type="http://schemas.openxmlformats.org/officeDocument/2006/relationships/hyperlink" Target="http://www.sec.gov/Archives/edgar/data/1809122/000110465925028798/tm2510706d1_6k.htm" TargetMode="External"/><Relationship Id="rId245" Type="http://schemas.openxmlformats.org/officeDocument/2006/relationships/hyperlink" Target="http://www.sec.gov/Archives/edgar/data/1809122/000110465925032611/tm2511714d1_6k.htm" TargetMode="External"/><Relationship Id="rId246" Type="http://schemas.openxmlformats.org/officeDocument/2006/relationships/hyperlink" Target="http://www.sec.gov/Archives/edgar/data/1809122/000110465925049433/tm2515273d1_6k.htm" TargetMode="External"/><Relationship Id="rId247" Type="http://schemas.openxmlformats.org/officeDocument/2006/relationships/hyperlink" Target="http://www.sec.gov/Archives/edgar/data/1809122/000141057825001369/cvac-20250331x6k.htm" TargetMode="External"/><Relationship Id="rId248" Type="http://schemas.openxmlformats.org/officeDocument/2006/relationships/hyperlink" Target="http://www.sec.gov/Archives/edgar/data/1809122/000110465925052416/tm2515968d1_6k.htm" TargetMode="External"/><Relationship Id="rId249" Type="http://schemas.openxmlformats.org/officeDocument/2006/relationships/hyperlink" Target="http://www.sec.gov/Archives/edgar/data/1809122/000110465925058873/tm2517876d1_6k.htm" TargetMode="External"/><Relationship Id="rId250" Type="http://schemas.openxmlformats.org/officeDocument/2006/relationships/hyperlink" Target="http://www.sec.gov/Archives/edgar/data/1809122/000110465925059879/tm2517876d3_6k.htm" TargetMode="External"/><Relationship Id="rId251" Type="http://schemas.openxmlformats.org/officeDocument/2006/relationships/hyperlink" Target="http://www.sec.gov/Archives/edgar/data/1809122/000110465925062143/tm2518794d1_6k.htm" TargetMode="External"/><Relationship Id="rId252" Type="http://schemas.openxmlformats.org/officeDocument/2006/relationships/hyperlink" Target="http://www.sec.gov/Archives/edgar/data/1809122/000110465925063026/tm2519249d1_6k.htm" TargetMode="External"/><Relationship Id="rId253" Type="http://schemas.openxmlformats.org/officeDocument/2006/relationships/hyperlink" Target="http://www.sec.gov/Archives/edgar/data/1809122/000110465925075352/tm2522930d1_6k.htm" TargetMode="External"/><Relationship Id="rId254" Type="http://schemas.openxmlformats.org/officeDocument/2006/relationships/hyperlink" Target="http://www.sec.gov/ix?doc=/Archives/edgar/data/1809122/000141057825001834/cvac-20250630x6k.htm" TargetMode="External"/><Relationship Id="rId380" Type="http://schemas.openxmlformats.org/officeDocument/2006/relationships/hyperlink" Target="http://www.sec.gov/Archives/edgar/data/1776985/000119312525177520/d847647df4.htm#anxa" TargetMode="External"/><Relationship Id="rId381" Type="http://schemas.openxmlformats.org/officeDocument/2006/relationships/hyperlink" Target="http://www.sec.gov/Archives/edgar/data/1776985/000177698525000043/a991biontechsearticlesofas.htm" TargetMode="External"/><Relationship Id="rId382" Type="http://schemas.openxmlformats.org/officeDocument/2006/relationships/hyperlink" Target="http://www.sec.gov/Archives/edgar/data/1201935/000101915519000234/biontechdep.htm" TargetMode="External"/><Relationship Id="rId383" Type="http://schemas.openxmlformats.org/officeDocument/2006/relationships/hyperlink" Target="http://www.sec.gov/Archives/edgar/data/0001776985/000119312525198333/d847647dex51.htm" TargetMode="External"/><Relationship Id="rId384" Type="http://schemas.openxmlformats.org/officeDocument/2006/relationships/hyperlink" Target="http://www.sec.gov/Archives/edgar/data/1776985/000119312525177520/d847647dex81.htm" TargetMode="External"/><Relationship Id="rId385" Type="http://schemas.openxmlformats.org/officeDocument/2006/relationships/hyperlink" Target="http://www.sec.gov/Archives/edgar/data/1776985/000119312525177520/d847647df4.htm#anxb" TargetMode="External"/><Relationship Id="rId386" Type="http://schemas.openxmlformats.org/officeDocument/2006/relationships/hyperlink" Target="http://www.sec.gov/Archives/edgar/data/1776985/000177698525000013/exhibit8subsidiariesfy2024.htm" TargetMode="External"/><Relationship Id="rId388" Type="http://schemas.openxmlformats.org/officeDocument/2006/relationships/hyperlink" Target="http://www.sec.gov/Archives/edgar/data/1776985/000119312525177520/d847647df4.htm#poa" TargetMode="External"/><Relationship Id="rId389" Type="http://schemas.openxmlformats.org/officeDocument/2006/relationships/hyperlink" Target="http://www.sec.gov/ix?doc=/Archives/edgar/data/1776985/000119312525198333/d847647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2025-10-21T15:19:11Z</dcterms:created>
  <dcterms:modified xsi:type="dcterms:W3CDTF">2025-10-21T15:19:11Z</dcterms:modified>
</cp:coreProperties>
</file>