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863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6346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Zapata Gomez Ramon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BIONTECH SE</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 DER GOLDGRUBE 12</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BioNTech SE</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BNTX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7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MAINZ</w:t>
            </w:r>
          </w:p>
        </w:tc>
        <w:tc>
          <w:tcPr>
            <w:tcW w:w="80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2M</w:t>
            </w:r>
          </w:p>
        </w:tc>
        <w:tc>
          <w:tcPr>
            <w:tcW w:w="880" w:type="dxa"/>
            <w:vAlign w:val="bottom"/>
          </w:tcPr>
          <w:p>
            <w:pPr>
              <w:spacing w:after="0"/>
              <w:rPr>
                <w:sz w:val="9"/>
                <w:szCs w:val="9"/>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D-55131</w:t>
            </w: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4"/>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4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gridSpan w:val="5"/>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spacing w:after="0"/>
              <w:rPr>
                <w:sz w:val="20"/>
                <w:szCs w:val="20"/>
                <w:color w:val="auto"/>
              </w:rPr>
            </w:pPr>
            <w:r>
              <w:rPr>
                <w:rFonts w:ascii="Arial" w:cs="Arial" w:eastAsia="Arial" w:hAnsi="Arial"/>
                <w:sz w:val="11"/>
                <w:szCs w:val="11"/>
                <w:b w:val="1"/>
                <w:bCs w:val="1"/>
                <w:color w:val="auto"/>
              </w:rPr>
              <w:t>4.</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3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21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spacing w:after="0"/>
              <w:rPr>
                <w:sz w:val="20"/>
                <w:szCs w:val="20"/>
                <w:color w:val="auto"/>
              </w:rPr>
            </w:pPr>
            <w:r>
              <w:rPr>
                <w:rFonts w:ascii="Arial" w:cs="Arial" w:eastAsia="Arial" w:hAnsi="Arial"/>
                <w:sz w:val="11"/>
                <w:szCs w:val="11"/>
                <w:b w:val="1"/>
                <w:bCs w:val="1"/>
                <w:color w:val="auto"/>
              </w:rPr>
              <w:t>8)</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0000FF"/>
                <w:w w:val="97"/>
              </w:rPr>
              <w:t>05/12/2030</w:t>
            </w:r>
            <w:r>
              <w:rPr>
                <w:rFonts w:ascii="Times New Roman" w:cs="Times New Roman" w:eastAsia="Times New Roman" w:hAnsi="Times New Roman"/>
                <w:sz w:val="21"/>
                <w:szCs w:val="21"/>
                <w:color w:val="008000"/>
                <w:w w:val="97"/>
                <w:vertAlign w:val="superscript"/>
              </w:rPr>
              <w:t>(2)</w:t>
            </w:r>
          </w:p>
        </w:tc>
        <w:tc>
          <w:tcPr>
            <w:tcW w:w="66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1"/>
              </w:rPr>
              <w:t>Ordinary</w:t>
            </w:r>
            <w:r>
              <w:rPr>
                <w:rFonts w:ascii="Times New Roman" w:cs="Times New Roman" w:eastAsia="Times New Roman" w:hAnsi="Times New Roman"/>
                <w:sz w:val="21"/>
                <w:szCs w:val="21"/>
                <w:color w:val="008000"/>
                <w:w w:val="91"/>
                <w:vertAlign w:val="subscript"/>
              </w:rPr>
              <w:t>(3)</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18,879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2"/>
                <w:szCs w:val="12"/>
                <w:color w:val="auto"/>
              </w:rPr>
            </w:pPr>
          </w:p>
        </w:tc>
        <w:tc>
          <w:tcPr>
            <w:tcW w:w="880" w:type="dxa"/>
            <w:vAlign w:val="bottom"/>
          </w:tcPr>
          <w:p>
            <w:pPr>
              <w:jc w:val="right"/>
              <w:ind w:right="16"/>
              <w:spacing w:after="0" w:line="140" w:lineRule="exact"/>
              <w:rPr>
                <w:sz w:val="20"/>
                <w:szCs w:val="20"/>
                <w:color w:val="auto"/>
              </w:rPr>
            </w:pPr>
            <w:r>
              <w:rPr>
                <w:rFonts w:ascii="Times New Roman" w:cs="Times New Roman" w:eastAsia="Times New Roman" w:hAnsi="Times New Roman"/>
                <w:sz w:val="13"/>
                <w:szCs w:val="13"/>
                <w:color w:val="0000FF"/>
              </w:rPr>
              <w:t>05/12/2026</w:t>
            </w: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18,879</w:t>
            </w:r>
          </w:p>
        </w:tc>
        <w:tc>
          <w:tcPr>
            <w:tcW w:w="3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05/12/2036</w:t>
            </w: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3"/>
                <w:szCs w:val="13"/>
                <w:color w:val="0000FF"/>
              </w:rPr>
              <w:t>18,879</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05/12/2026</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15,103</w:t>
            </w:r>
          </w:p>
        </w:tc>
        <w:tc>
          <w:tcPr>
            <w:tcW w:w="320" w:type="dxa"/>
            <w:vAlign w:val="bottom"/>
          </w:tcPr>
          <w:p>
            <w:pPr>
              <w:spacing w:after="0"/>
              <w:rPr>
                <w:sz w:val="15"/>
                <w:szCs w:val="15"/>
                <w:color w:val="auto"/>
              </w:rPr>
            </w:pPr>
          </w:p>
        </w:tc>
        <w:tc>
          <w:tcPr>
            <w:tcW w:w="880" w:type="dxa"/>
            <w:vAlign w:val="bottom"/>
            <w:gridSpan w:val="2"/>
          </w:tcPr>
          <w:p>
            <w:pPr>
              <w:jc w:val="right"/>
              <w:ind w:right="63"/>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05/12/2036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15,103</w:t>
            </w:r>
          </w:p>
        </w:tc>
        <w:tc>
          <w:tcPr>
            <w:tcW w:w="40" w:type="dxa"/>
            <w:vAlign w:val="bottom"/>
          </w:tcPr>
          <w:p>
            <w:pPr>
              <w:spacing w:after="0"/>
              <w:rPr>
                <w:sz w:val="15"/>
                <w:szCs w:val="15"/>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15,103</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7"/>
                <w:szCs w:val="7"/>
                <w:color w:val="0000FF"/>
              </w:rPr>
              <w:t>Share Unit</w:t>
            </w:r>
          </w:p>
        </w:tc>
        <w:tc>
          <w:tcPr>
            <w:tcW w:w="80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gridSpan w:val="2"/>
          </w:tcPr>
          <w:p>
            <w:pPr>
              <w:jc w:val="right"/>
              <w:ind w:right="203"/>
              <w:spacing w:after="0" w:line="64" w:lineRule="exact"/>
              <w:rPr>
                <w:sz w:val="20"/>
                <w:szCs w:val="20"/>
                <w:color w:val="auto"/>
              </w:rPr>
            </w:pPr>
            <w:r>
              <w:rPr>
                <w:rFonts w:ascii="Times New Roman" w:cs="Times New Roman" w:eastAsia="Times New Roman" w:hAnsi="Times New Roman"/>
                <w:sz w:val="7"/>
                <w:szCs w:val="7"/>
                <w:color w:val="0000FF"/>
              </w:rPr>
              <w:t>05/12/2030</w:t>
            </w:r>
          </w:p>
        </w:tc>
        <w:tc>
          <w:tcPr>
            <w:tcW w:w="660" w:type="dxa"/>
            <w:vAlign w:val="bottom"/>
            <w:vMerge w:val="continue"/>
          </w:tcPr>
          <w:p>
            <w:pPr>
              <w:spacing w:after="0"/>
              <w:rPr>
                <w:sz w:val="5"/>
                <w:szCs w:val="5"/>
                <w:color w:val="auto"/>
              </w:rPr>
            </w:pPr>
          </w:p>
        </w:tc>
        <w:tc>
          <w:tcPr>
            <w:tcW w:w="660" w:type="dxa"/>
            <w:vAlign w:val="bottom"/>
          </w:tcPr>
          <w:p>
            <w:pPr>
              <w:ind w:left="60"/>
              <w:spacing w:after="0" w:line="64" w:lineRule="exact"/>
              <w:rPr>
                <w:sz w:val="20"/>
                <w:szCs w:val="20"/>
                <w:color w:val="auto"/>
              </w:rPr>
            </w:pPr>
            <w:r>
              <w:rPr>
                <w:rFonts w:ascii="Times New Roman" w:cs="Times New Roman" w:eastAsia="Times New Roman" w:hAnsi="Times New Roman"/>
                <w:sz w:val="6"/>
                <w:szCs w:val="6"/>
                <w:color w:val="0000FF"/>
              </w:rPr>
              <w:t>Shares</w:t>
            </w:r>
            <w:r>
              <w:rPr>
                <w:rFonts w:ascii="Times New Roman" w:cs="Times New Roman" w:eastAsia="Times New Roman" w:hAnsi="Times New Roman"/>
                <w:sz w:val="7"/>
                <w:szCs w:val="7"/>
                <w:color w:val="008000"/>
                <w:vertAlign w:val="superscript"/>
              </w:rPr>
              <w:t>(4)</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-2257425</wp:posOffset>
            </wp:positionV>
            <wp:extent cx="28575" cy="2262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625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price of this option is EUR 89.38. Subject to adjustment such that the trading price of an American Depositary Share ("ADS") as of an exercise date does not exceed 800% of the grant date exercise price.</w:t>
      </w:r>
    </w:p>
    <w:p>
      <w:pPr>
        <w:spacing w:after="0" w:line="19"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annually in equal installments over four years commencing on the first anniversary of the grant date and becomes exercisable four years after the grant date, subject to certain performance-based and other conditions.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may be settled in ordinary shares, ADSs and/or cash at the election of the supervisory board.</w:t>
      </w:r>
    </w:p>
    <w:p>
      <w:pPr>
        <w:spacing w:after="0" w:line="41" w:lineRule="exact"/>
        <w:rPr>
          <w:rFonts w:ascii="Times New Roman" w:cs="Times New Roman" w:eastAsia="Times New Roman" w:hAnsi="Times New Roman"/>
          <w:sz w:val="13"/>
          <w:szCs w:val="13"/>
          <w:color w:val="008000"/>
        </w:rPr>
      </w:pPr>
    </w:p>
    <w:p>
      <w:pPr>
        <w:ind w:left="40" w:right="18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share unit ("PSU") is the economic equivalent of one ordinary share of the Issuer and represents a right to receive, at the Issuer's option, one ordinary share, one ADS representing one ordinary share, or a cash payment or another form of settlement equal to the economic value thereof. PSUs vest annually in equal installments over four years commencing on the first anniversary of the grant date and become exercisable four years after the grant date, subject to the achievement of certain performance targets based on the market price of the Issuer's ordinary shares relative to the Nasdaq Biotechnology Index (or a comparable successor index) and the Reporting Person's continued service through each such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Humza Bokhari,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05/13/2026</w:t>
            </w:r>
          </w:p>
        </w:tc>
        <w:tc>
          <w:tcPr>
            <w:tcW w:w="0" w:type="dxa"/>
            <w:vAlign w:val="bottom"/>
          </w:tcPr>
          <w:p>
            <w:pPr>
              <w:spacing w:after="0"/>
              <w:rPr>
                <w:sz w:val="1"/>
                <w:szCs w:val="1"/>
                <w:color w:val="auto"/>
              </w:rPr>
            </w:pPr>
          </w:p>
        </w:tc>
      </w:tr>
      <w:tr>
        <w:trPr>
          <w:trHeight w:val="87"/>
        </w:trPr>
        <w:tc>
          <w:tcPr>
            <w:tcW w:w="46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1"/>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6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3980" TargetMode="External"/><Relationship Id="rId14" Type="http://schemas.openxmlformats.org/officeDocument/2006/relationships/hyperlink" Target="http://www.sec.gov/cgi-bin/browse-edgar?action=getcompany&amp;CIK=0001776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2026-05-13T15:17:50Z</dcterms:created>
  <dcterms:modified xsi:type="dcterms:W3CDTF">2026-05-13T15:17:50Z</dcterms:modified>
</cp:coreProperties>
</file>