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BioNTech SE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001-39081)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CureVac N.V.</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001-39446)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333-289468</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following communication is being filed in connection with the proposed acquisition of CureVac N.V. by BioNTech 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2785745" cy="5597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85745" cy="5597525"/>
                    </a:xfrm>
                    <a:prstGeom prst="rect">
                      <a:avLst/>
                    </a:prstGeom>
                    <a:noFill/>
                  </pic:spPr>
                </pic:pic>
              </a:graphicData>
            </a:graphic>
          </wp:anchor>
        </w:drawing>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Statement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document includes “forward-looking statements.”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SE to complete its previously announced exchange offer (the “Offer”) to acquire all of the outstanding shares of CureVac N.V. (“CureVac”) and other transactions contemplated by the Purchase Agreement, dated as of June 12, 2025, by and between BioNTech and CureVac (the “Purchase Agreement”) (including the parties’ ability to satisfy the conditions to the consummation of the Offer contemplated thereby and the other conditions set forth in the Purchase Agreement), the expected timetable for completing the transactions, the benefits sought to be achieved in the proposed transactions, the potential and capacity of BioNTech following the transaction, and the potential effects of the proposed transactions on BioNTech and CureVac. Many of these risks and uncertainties are beyond the control of BioNTech or CureVac. Investors are cautioned that any such forward-looking statements are based on BioNTech’s or CureVac’s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Offer and the subsequent corporate reorganization of CureVac; uncertainties as to how many of CureVac’s shareholders will tender their shares in the Offer; the risk that competing offers or acquisition proposals will be made; the possibility that various conditions to the consummation of the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BioNTech’s and/or CureVac’s business, including their relationships with employees, business partners or governmental entities; the risk that the Offer or the other transactions contemplated by the Purchase Agreement may be more expensive to complete than anticipated; the risk that litigation in connection with the Offer or the other transactions contemplated by the Purchase Agreement may result in significant costs of defense, indemnification and liability; a diversion of management’s attention from ongoing business operations and opportunities as a result of the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 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pacing w:after="0" w:line="19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Neither BioNTech nor CureVac undertakes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SEC, available on the SEC’s website at www.sec.gov.</w:t>
      </w:r>
    </w:p>
    <w:p>
      <w:pPr>
        <w:sectPr>
          <w:pgSz w:w="11900" w:h="16838" w:orient="portrait"/>
          <w:cols w:equalWidth="0" w:num="1">
            <w:col w:w="10960"/>
          </w:cols>
          <w:pgMar w:left="440" w:top="26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 to Investors and Security Holders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Offer, BioNTech has filed a Registration Statement on Form F-4 and amendments thereto (as so amended, the “Registration Statement”) with the SEC, including an offer to exchange/prospectus (the “Exchange Offer Prospectus”), to register under the Securities Act of 1933, as amended, the issuance of BioNTech ADSs. Such Registration Statement has not yet been declared effective by the SEC. In addition, BioNTech has filed with the SEC a tender offer statement on Schedule TO (the “Schedule TO”), which includes, as exhibits, the Exchange Offer Prospectus, a form of letter of transmittal, and other customary ancillary documents and CureVac has filed with the SEC a solicitation/recommendation statement on Schedule 14D-9 (the “Schedule 14D-9”). The Offer has commenced. The solicitation and offer to exchange CureVac Shares is being made only pursuant to the Schedule TO and related Exchange Offer Prospectus or the EU Prospectus or the UK exemption document (each as referred to below). This material is not a substitute for the Exchange Offer Prospectus, the Schedule TO, the Schedule 14D-9, the Registration Statement or for any other document that BioNTech or CureVac has filed or may file with the SEC and has sent or will send to CureVac’s shareholders in connection with the proposed transactions.</w:t>
      </w:r>
    </w:p>
    <w:p>
      <w:pPr>
        <w:spacing w:after="0" w:line="190"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BEFORE MAKING ANY INVESTMENT DECISION OR DECISION WITH RESPECT TO THE OFFER, WE URGE INVESTORS OF CUREVAC TO READ THE REGISTRATION STATEMENT, EXCHANGE OFFER PROSPECTUS, SCHEDULE TO (INCLUDING THE EXCHANGE OFFER PROSPECTUS, RELATED LETTER OF TRANSMITTAL, AND OTHER OFFER DOCUMENTS) AND SCHEDULE 14D-9, THE EU PROSPECTUS (IF RELEVANT), THE UK EXEMPTION DOCUMENT (IF RELEVANT), AS EACH MAY BE AMENDED OR SUPPLEMENTED FROM TIME TO TIME, AND OTHER RELEVANT DOCUMENTS CAREFULLY BECAUSE THEY CONTAIN IMPORTANT INFORMATION ABOUT BIONTECH, CUREVAC AND THE PROPOSED TRANSACTIONS THAT HOLDERS SHOULD CONSIDER.</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Investors can obtain free copies of the Registration Statement, Exchange Offer Prospectus, Schedule TO and Schedule 14D-9, as each may be amended from time to time, and other relevant documents filed by BioNTech and CureVac with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the SEC’s website, or free of charge from BioNTech’s website (</w:t>
      </w:r>
      <w:r>
        <w:rPr>
          <w:rFonts w:ascii="Times New Roman" w:cs="Times New Roman" w:eastAsia="Times New Roman" w:hAnsi="Times New Roman"/>
          <w:sz w:val="18"/>
          <w:szCs w:val="18"/>
          <w:u w:val="single" w:color="auto"/>
          <w:color w:val="auto"/>
        </w:rPr>
        <w:t>https://www.biontech.com</w:t>
      </w:r>
      <w:r>
        <w:rPr>
          <w:rFonts w:ascii="Times New Roman" w:cs="Times New Roman" w:eastAsia="Times New Roman" w:hAnsi="Times New Roman"/>
          <w:sz w:val="18"/>
          <w:szCs w:val="18"/>
          <w:color w:val="auto"/>
        </w:rPr>
        <w:t xml:space="preserve">) or by contacting BioNTech’s Investor Relations Department at </w:t>
      </w:r>
      <w:r>
        <w:rPr>
          <w:rFonts w:ascii="Times New Roman" w:cs="Times New Roman" w:eastAsia="Times New Roman" w:hAnsi="Times New Roman"/>
          <w:sz w:val="18"/>
          <w:szCs w:val="18"/>
          <w:u w:val="single" w:color="auto"/>
          <w:color w:val="auto"/>
        </w:rPr>
        <w:t>Investors@biontech.de</w:t>
      </w:r>
      <w:r>
        <w:rPr>
          <w:rFonts w:ascii="Times New Roman" w:cs="Times New Roman" w:eastAsia="Times New Roman" w:hAnsi="Times New Roman"/>
          <w:sz w:val="18"/>
          <w:szCs w:val="18"/>
          <w:color w:val="auto"/>
        </w:rPr>
        <w:t>. These documents are also available free of charge from CureVac’s website (</w:t>
      </w:r>
      <w:r>
        <w:rPr>
          <w:rFonts w:ascii="Times New Roman" w:cs="Times New Roman" w:eastAsia="Times New Roman" w:hAnsi="Times New Roman"/>
          <w:sz w:val="18"/>
          <w:szCs w:val="18"/>
          <w:u w:val="single" w:color="auto"/>
          <w:color w:val="auto"/>
        </w:rPr>
        <w:t>https://www.curevac.com</w:t>
      </w:r>
      <w:r>
        <w:rPr>
          <w:rFonts w:ascii="Times New Roman" w:cs="Times New Roman" w:eastAsia="Times New Roman" w:hAnsi="Times New Roman"/>
          <w:sz w:val="18"/>
          <w:szCs w:val="18"/>
          <w:color w:val="auto"/>
        </w:rPr>
        <w:t xml:space="preserve">) or by contacting CureVac’s Investor Relations Department at </w:t>
      </w:r>
      <w:r>
        <w:rPr>
          <w:rFonts w:ascii="Times New Roman" w:cs="Times New Roman" w:eastAsia="Times New Roman" w:hAnsi="Times New Roman"/>
          <w:sz w:val="18"/>
          <w:szCs w:val="18"/>
          <w:u w:val="single" w:color="auto"/>
          <w:color w:val="auto"/>
        </w:rPr>
        <w:t>communications@curevac.com</w:t>
      </w:r>
      <w:r>
        <w:rPr>
          <w:rFonts w:ascii="Times New Roman" w:cs="Times New Roman" w:eastAsia="Times New Roman" w:hAnsi="Times New Roman"/>
          <w:sz w:val="18"/>
          <w:szCs w:val="18"/>
          <w:color w:val="auto"/>
        </w:rPr>
        <w:t xml:space="preserve">. All documents are also available from Georgeson, LLC, the information agent for the Offer, at +1 888 686-7195 (toll free), +1 732 353-1948 (collect) or </w:t>
      </w:r>
      <w:r>
        <w:rPr>
          <w:rFonts w:ascii="Times New Roman" w:cs="Times New Roman" w:eastAsia="Times New Roman" w:hAnsi="Times New Roman"/>
          <w:sz w:val="18"/>
          <w:szCs w:val="18"/>
          <w:u w:val="single" w:color="auto"/>
          <w:color w:val="auto"/>
        </w:rPr>
        <w:t>Curevacoffer@georgeson.com</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EEA</w:t>
      </w:r>
    </w:p>
    <w:p>
      <w:pPr>
        <w:spacing w:after="0" w:line="11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the public offering of BioNTech ADSs to the shareholders of CureVac in Austria, Germany, France, Italy, the Netherlands and Spain, this document is an advertisement for the purposes of Regulation (EU) 2017/1129, as amended (the “Prospectus Regulation”). With respect to the public offering of BioNTech ADSs to shareholders of CureVac in Switzerland, this document constitutes advertising in accordance with article 68 Swiss Financial Services Act of 15 June 2018 (the “FinSA”). This document does not constitute an offer to purchase any BioNTech ADSs or shares in BioNTech and does not replace the securities prospectus (the “EU Prospectus”) which is be available free of charge, together with the relevant translation(s) of the summary and any supplements thereto, if any, from BioNTech’s website (</w:t>
      </w:r>
      <w:r>
        <w:rPr>
          <w:rFonts w:ascii="Times New Roman" w:cs="Times New Roman" w:eastAsia="Times New Roman" w:hAnsi="Times New Roman"/>
          <w:sz w:val="18"/>
          <w:szCs w:val="18"/>
          <w:u w:val="single" w:color="auto"/>
          <w:color w:val="auto"/>
        </w:rPr>
        <w:t>https://investors.biontech.de/eea-switzerland-disclaimer</w:t>
      </w:r>
      <w:r>
        <w:rPr>
          <w:rFonts w:ascii="Times New Roman" w:cs="Times New Roman" w:eastAsia="Times New Roman" w:hAnsi="Times New Roman"/>
          <w:sz w:val="18"/>
          <w:szCs w:val="18"/>
          <w:color w:val="auto"/>
        </w:rPr>
        <w:t>). The EU Prospectus has been approved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and is, therefore, considered approved in Switzerland by the review body of SIX Exchange Regulation Ltd. pursuant to the FinSA. The approval of the securities prospectus by the German Federal Financial Supervisory Authority (</w:t>
      </w:r>
      <w:r>
        <w:rPr>
          <w:rFonts w:ascii="Times New Roman" w:cs="Times New Roman" w:eastAsia="Times New Roman" w:hAnsi="Times New Roman"/>
          <w:sz w:val="18"/>
          <w:szCs w:val="18"/>
          <w:i w:val="1"/>
          <w:iCs w:val="1"/>
          <w:color w:val="auto"/>
        </w:rPr>
        <w:t>Bundesanstalt für Finanzdienstleistungsaufsicht</w:t>
      </w:r>
      <w:r>
        <w:rPr>
          <w:rFonts w:ascii="Times New Roman" w:cs="Times New Roman" w:eastAsia="Times New Roman" w:hAnsi="Times New Roman"/>
          <w:sz w:val="18"/>
          <w:szCs w:val="18"/>
          <w:color w:val="auto"/>
        </w:rPr>
        <w:t>) should not be understood as an endorsement of the investment in any BioNTech ADSs or shares in BioNTech.</w:t>
      </w:r>
    </w:p>
    <w:p>
      <w:pPr>
        <w:sectPr>
          <w:pgSz w:w="11900" w:h="16838" w:orient="portrait"/>
          <w:cols w:equalWidth="0" w:num="1">
            <w:col w:w="11020"/>
          </w:cols>
          <w:pgMar w:left="440" w:top="266" w:right="439" w:bottom="1440" w:gutter="0" w:footer="0" w:header="0"/>
        </w:sectPr>
      </w:pPr>
    </w:p>
    <w:bookmarkStart w:id="3" w:name="page4"/>
    <w:bookmarkEnd w:id="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relation to each state which is a party to the agreement relating to the European Economic Area (a “Relevant Member State”) the offer to exchange all of the CureVac shares for BioNTech ADSs contemplated by the EU Prospectus is not made in that Relevant Member State, except as set out below. No BioNTech ADSs have been offered or will be offered to the public in a Relevant Member State other than in Austria, Germany, France, Italy, the Netherlands and Spain, in each case based on the EU Prospectus, except that BioNTech ADSs may be offered to the public in a Relevant Member State at any time under the following exemptions under the Prospectus Regulation: (i) to any qualified investor as defined in Article 2 lit. (e) of the Prospectus Regulation, (ii) to fewer than 150 natural or legal persons (other than qualified investors as defined in Article 2 lit. (e) the Prospectus Regulation), or</w:t>
      </w:r>
    </w:p>
    <w:p>
      <w:pPr>
        <w:spacing w:after="0" w:line="5" w:lineRule="exact"/>
        <w:rPr>
          <w:sz w:val="20"/>
          <w:szCs w:val="20"/>
          <w:color w:val="auto"/>
        </w:rPr>
      </w:pPr>
    </w:p>
    <w:p>
      <w:pPr>
        <w:ind w:left="4" w:hanging="4"/>
        <w:spacing w:after="0" w:line="255" w:lineRule="auto"/>
        <w:tabs>
          <w:tab w:leader="none" w:pos="3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186" w:lineRule="exact"/>
        <w:rPr>
          <w:sz w:val="20"/>
          <w:szCs w:val="20"/>
          <w:color w:val="auto"/>
        </w:rPr>
      </w:pPr>
    </w:p>
    <w:p>
      <w:pPr>
        <w:jc w:val="both"/>
        <w:ind w:left="4" w:right="140"/>
        <w:spacing w:after="0" w:line="266" w:lineRule="auto"/>
        <w:rPr>
          <w:sz w:val="20"/>
          <w:szCs w:val="20"/>
          <w:color w:val="auto"/>
        </w:rPr>
      </w:pPr>
      <w:r>
        <w:rPr>
          <w:rFonts w:ascii="Times New Roman" w:cs="Times New Roman" w:eastAsia="Times New Roman" w:hAnsi="Times New Roman"/>
          <w:sz w:val="18"/>
          <w:szCs w:val="18"/>
          <w:color w:val="auto"/>
        </w:rPr>
        <w:t>In relation to Switzerland, the offer of BioNTech ADSs to the public in Switzerland is based on the EU Prospectus, which is considered to be approved by and has been registered and filed with the review body of SIX Exchange Regulation Ltd., or otherwise under the exemptions specified in the FinSA and the Swiss Financial Services Ordinance of 6 November 2019.</w:t>
      </w:r>
    </w:p>
    <w:p>
      <w:pPr>
        <w:spacing w:after="0" w:line="280" w:lineRule="exact"/>
        <w:rPr>
          <w:sz w:val="20"/>
          <w:szCs w:val="20"/>
          <w:color w:val="auto"/>
        </w:rPr>
      </w:pPr>
    </w:p>
    <w:p>
      <w:pPr>
        <w:ind w:left="4" w:right="100"/>
        <w:spacing w:after="0" w:line="257" w:lineRule="auto"/>
        <w:rPr>
          <w:sz w:val="20"/>
          <w:szCs w:val="20"/>
          <w:color w:val="auto"/>
        </w:rPr>
      </w:pPr>
      <w:r>
        <w:rPr>
          <w:rFonts w:ascii="Times New Roman" w:cs="Times New Roman" w:eastAsia="Times New Roman" w:hAnsi="Times New Roman"/>
          <w:sz w:val="18"/>
          <w:szCs w:val="18"/>
          <w:b w:val="1"/>
          <w:bCs w:val="1"/>
          <w:color w:val="auto"/>
        </w:rPr>
        <w:t>Investors in Austria, Germany, France, Italy, the Netherlands and Spain as well as investors in Switzerland should acquire BioNTech ADSs solely on the basis of the EU Prospectus (including the documents incorporated by reference therein and any supplements thereto, if any) relating to the BioNTech ADSs and should read the EU Prospectus (including any documents incorporated by reference therein and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2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UK</w:t>
      </w:r>
    </w:p>
    <w:p>
      <w:pPr>
        <w:spacing w:after="0" w:line="117" w:lineRule="exact"/>
        <w:rPr>
          <w:sz w:val="20"/>
          <w:szCs w:val="20"/>
          <w:color w:val="auto"/>
        </w:rPr>
      </w:pPr>
    </w:p>
    <w:p>
      <w:pPr>
        <w:ind w:left="4" w:right="140"/>
        <w:spacing w:after="0" w:line="281" w:lineRule="auto"/>
        <w:rPr>
          <w:sz w:val="20"/>
          <w:szCs w:val="20"/>
          <w:color w:val="auto"/>
        </w:rPr>
      </w:pPr>
      <w:r>
        <w:rPr>
          <w:rFonts w:ascii="Times New Roman" w:cs="Times New Roman" w:eastAsia="Times New Roman" w:hAnsi="Times New Roman"/>
          <w:sz w:val="17"/>
          <w:szCs w:val="17"/>
          <w:color w:val="auto"/>
        </w:rPr>
        <w:t>With respect to the public offering of BioNTech ADSs to CureVac shareholders in the United Kingdom (the “UK”), BioNTech has published a UK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exemption document which is available free of charge from BioNTech’s website (</w:t>
      </w:r>
      <w:r>
        <w:rPr>
          <w:rFonts w:ascii="Times New Roman" w:cs="Times New Roman" w:eastAsia="Times New Roman" w:hAnsi="Times New Roman"/>
          <w:sz w:val="17"/>
          <w:szCs w:val="17"/>
          <w:u w:val="single" w:color="auto"/>
          <w:color w:val="auto"/>
        </w:rPr>
        <w:t>https://investors.biontech.de/uk-disclaimer</w:t>
      </w:r>
      <w:r>
        <w:rPr>
          <w:rFonts w:ascii="Times New Roman" w:cs="Times New Roman" w:eastAsia="Times New Roman" w:hAnsi="Times New Roman"/>
          <w:sz w:val="17"/>
          <w:szCs w:val="17"/>
          <w:color w:val="auto"/>
        </w:rPr>
        <w:t>).</w:t>
      </w:r>
    </w:p>
    <w:p>
      <w:pPr>
        <w:spacing w:after="0" w:line="268" w:lineRule="exact"/>
        <w:rPr>
          <w:sz w:val="20"/>
          <w:szCs w:val="20"/>
          <w:color w:val="auto"/>
        </w:rPr>
      </w:pPr>
    </w:p>
    <w:p>
      <w:pPr>
        <w:ind w:left="4" w:right="120"/>
        <w:spacing w:after="0" w:line="259" w:lineRule="auto"/>
        <w:rPr>
          <w:sz w:val="20"/>
          <w:szCs w:val="20"/>
          <w:color w:val="auto"/>
        </w:rPr>
      </w:pPr>
      <w:r>
        <w:rPr>
          <w:rFonts w:ascii="Times New Roman" w:cs="Times New Roman" w:eastAsia="Times New Roman" w:hAnsi="Times New Roman"/>
          <w:sz w:val="18"/>
          <w:szCs w:val="18"/>
          <w:b w:val="1"/>
          <w:bCs w:val="1"/>
          <w:color w:val="auto"/>
        </w:rPr>
        <w:t>Investors in the UK should acquire BioNTech ADSs solely on the basis of the UK exemption document (including the documents incorporated by reference therein and any updates thereto, if any) relating to the BioNTech ADSs and should read the UK exemption document (including the documents incorporated by reference therein and any updates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2025-10-22T15:14:15Z</dcterms:created>
  <dcterms:modified xsi:type="dcterms:W3CDTF">2025-10-22T15:14:15Z</dcterms:modified>
</cp:coreProperties>
</file>