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MAY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May 22, 2026, BioNTech SE announced that it will present new clinical data and trial updates from its late-stage oncology pipeline and innovative combination programs at the 2026 American Society of Clinical Oncology (ASCO) Annual Meeting to be held in Chicago, IL, from May 29 to June 2. The press release is attached as Exhibit 99.1.</w:t>
      </w:r>
    </w:p>
    <w:p>
      <w:pPr>
        <w:sectPr>
          <w:pgSz w:w="11900" w:h="16838" w:orient="portrait"/>
          <w:cols w:equalWidth="0" w:num="1">
            <w:col w:w="11000"/>
          </w:cols>
          <w:pgMar w:left="320" w:top="1094" w:right="5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22,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3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to Showcase Progress Across Late-Stage Oncology Pipeline at the 2026 ASCO Annual Meeting</w:t>
            </w:r>
          </w:p>
        </w:tc>
      </w:tr>
    </w:tbl>
    <w:p>
      <w:pPr>
        <w:sectPr>
          <w:pgSz w:w="11900" w:h="16838" w:orient="portrait"/>
          <w:cols w:equalWidth="0" w:num="1">
            <w:col w:w="10460"/>
          </w:cols>
          <w:pgMar w:left="360" w:top="1094"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line="309" w:lineRule="auto"/>
        <w:rPr>
          <w:sz w:val="20"/>
          <w:szCs w:val="20"/>
          <w:color w:val="auto"/>
        </w:rPr>
      </w:pPr>
      <w:r>
        <w:rPr>
          <w:rFonts w:ascii="Arial" w:cs="Arial" w:eastAsia="Arial" w:hAnsi="Arial"/>
          <w:sz w:val="25"/>
          <w:szCs w:val="25"/>
          <w:b w:val="1"/>
          <w:bCs w:val="1"/>
          <w:color w:val="auto"/>
        </w:rPr>
        <w:t>BioNTech to Showcase Progress Across Late-Stage Oncology Pipeline at the 2026 ASCO Annual Meeting</w:t>
      </w:r>
    </w:p>
    <w:p>
      <w:pPr>
        <w:spacing w:after="0" w:line="131" w:lineRule="exact"/>
        <w:rPr>
          <w:sz w:val="20"/>
          <w:szCs w:val="20"/>
          <w:color w:val="auto"/>
        </w:rPr>
      </w:pPr>
    </w:p>
    <w:p>
      <w:pPr>
        <w:ind w:left="400" w:hanging="392"/>
        <w:spacing w:after="0" w:line="262" w:lineRule="auto"/>
        <w:tabs>
          <w:tab w:leader="none" w:pos="39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Pumitamig data from the ongoing Phase 2/3 ROSETTA Lung-02 trial in first-line non-small cell lung cancer mark the third global data set to consistently show encouraging anti-tumor activity for pumitamig in combination with chemotherapy</w:t>
      </w:r>
    </w:p>
    <w:p>
      <w:pPr>
        <w:ind w:left="400" w:hanging="392"/>
        <w:spacing w:after="0" w:line="262" w:lineRule="auto"/>
        <w:tabs>
          <w:tab w:leader="none" w:pos="39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Gotistobart Phase 2 overall survival data in patients with platinum-resistant ovarian cancer add to the growing body of evidence supporting its potential as a chemotherapy-free treatment option</w:t>
      </w:r>
    </w:p>
    <w:p>
      <w:pPr>
        <w:spacing w:after="0" w:line="1" w:lineRule="exact"/>
        <w:rPr>
          <w:rFonts w:ascii="Times New Roman" w:cs="Times New Roman" w:eastAsia="Times New Roman" w:hAnsi="Times New Roman"/>
          <w:sz w:val="18"/>
          <w:szCs w:val="18"/>
          <w:color w:val="auto"/>
        </w:rPr>
      </w:pPr>
    </w:p>
    <w:p>
      <w:pPr>
        <w:ind w:left="400" w:right="20" w:hanging="392"/>
        <w:spacing w:after="0" w:line="281" w:lineRule="auto"/>
        <w:tabs>
          <w:tab w:leader="none" w:pos="39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Continued advancement of late-stage oncology pipeline with 25+ Phase 2 and Phase 3 clinical trials, including 13 ongoing pivotal trials as well as novel-novel combination trials across major cancer types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MAINZ, Germany, May 22, 2026 </w:t>
      </w:r>
      <w:r>
        <w:rPr>
          <w:rFonts w:ascii="Arial" w:cs="Arial" w:eastAsia="Arial" w:hAnsi="Arial"/>
          <w:sz w:val="18"/>
          <w:szCs w:val="18"/>
          <w:color w:val="auto"/>
        </w:rPr>
        <w:t>– BioNTech SE (Nasdaq: BNTX, “BioNTech” or “the Company”) will present new clinical data and trial</w:t>
      </w:r>
      <w:r>
        <w:rPr>
          <w:rFonts w:ascii="Arial" w:cs="Arial" w:eastAsia="Arial" w:hAnsi="Arial"/>
          <w:sz w:val="18"/>
          <w:szCs w:val="18"/>
          <w:b w:val="1"/>
          <w:bCs w:val="1"/>
          <w:color w:val="auto"/>
        </w:rPr>
        <w:t xml:space="preserve"> </w:t>
      </w:r>
      <w:r>
        <w:rPr>
          <w:rFonts w:ascii="Arial" w:cs="Arial" w:eastAsia="Arial" w:hAnsi="Arial"/>
          <w:sz w:val="18"/>
          <w:szCs w:val="18"/>
          <w:color w:val="auto"/>
        </w:rPr>
        <w:t>updates from its late-stage oncology pipeline and innovative combination programs at the 2026 American Society of Clinical Oncology (“ASCO”) Annual Meeting held in Chicago, from May 29 to June 02. Two oral presentations will highlight new data for key strategic assets pumitamig and gotistobart. In addition, four trial in progress poster presentations will illustrate advancement of the Company’s ongoing pivotal trials and novel-novel combination trials, including antibody-drug conjugates (“ADC”).</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“Achieving more for patients with cancer through translating science into innovative therapies is our unwavering ambition at BioNTech,” said </w:t>
      </w:r>
      <w:r>
        <w:rPr>
          <w:rFonts w:ascii="Arial" w:cs="Arial" w:eastAsia="Arial" w:hAnsi="Arial"/>
          <w:sz w:val="18"/>
          <w:szCs w:val="18"/>
          <w:b w:val="1"/>
          <w:bCs w:val="1"/>
          <w:color w:val="auto"/>
        </w:rPr>
        <w:t>Prof. Özlem Türeci, M.D., Co-Founder and Chief Medical Officer at BioNTech</w:t>
      </w:r>
      <w:r>
        <w:rPr>
          <w:rFonts w:ascii="Arial" w:cs="Arial" w:eastAsia="Arial" w:hAnsi="Arial"/>
          <w:sz w:val="18"/>
          <w:szCs w:val="18"/>
          <w:color w:val="auto"/>
        </w:rPr>
        <w:t>. “At this year’s ASCO, our presentations underscore our</w:t>
      </w:r>
      <w:r>
        <w:rPr>
          <w:rFonts w:ascii="Arial" w:cs="Arial" w:eastAsia="Arial" w:hAnsi="Arial"/>
          <w:sz w:val="18"/>
          <w:szCs w:val="18"/>
          <w:b w:val="1"/>
          <w:bCs w:val="1"/>
          <w:color w:val="auto"/>
        </w:rPr>
        <w:t xml:space="preserve"> </w:t>
      </w:r>
      <w:r>
        <w:rPr>
          <w:rFonts w:ascii="Arial" w:cs="Arial" w:eastAsia="Arial" w:hAnsi="Arial"/>
          <w:sz w:val="18"/>
          <w:szCs w:val="18"/>
          <w:color w:val="auto"/>
        </w:rPr>
        <w:t>oncology strategy of building a diversified portfolio of complementary modalities delivering differentiated therapeutic profiles across tumor types with high unmet medical need. We are focused on accelerating key strategic programs, both as monotherapies and combinations with standard of care treatments, to deliver our first wave of oncology innovations to patients. Simultaneously, and building on this momentum, we are advancing novel-novel combination approaches, including ADC-based regimens, to unlock the full synergistic potential of our pipeline.”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BioNTech’s late-stage oncology programs to be presented at ASCO 2026:</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Pumitamig (BNT327/BMS986545) – an investigational bispecific immunomodulator combining PD-L1 checkpoint inhibition and VEGF-A neutralization, developed in collaboration with Bristol Myers Squibb Company (“BMS”):</w:t>
      </w:r>
    </w:p>
    <w:p>
      <w:pPr>
        <w:jc w:val="both"/>
        <w:ind w:left="660" w:hanging="328"/>
        <w:spacing w:after="0" w:line="265"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1L NSCLC: </w:t>
      </w:r>
      <w:r>
        <w:rPr>
          <w:rFonts w:ascii="Arial" w:cs="Arial" w:eastAsia="Arial" w:hAnsi="Arial"/>
          <w:sz w:val="18"/>
          <w:szCs w:val="18"/>
          <w:color w:val="auto"/>
        </w:rPr>
        <w:t>Data from the interim analysis of the Phase 2 dose-optimization part of the global Phase 2/3 ROSETTA Lung-02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(NCT06712316) showed encouraging anti-tumor activity in first-line (“1L”) non-small cell lung cancer (“NSCLC”). The trial evaluated pumitamig plus chemotherapy in patients with non-squamous and squamous NSCLC without actionable genomic alterations and across PD-L1 expression levels. These data mark the third global data set to consistently show encouraging anti-tumor activity for pumitamig plus chemotherapy, adding to the reported global data in small cell lung cancer and triple-negative breast cancer. The results inform the ongoing pivotal Phase 3 part of ROSETTA Lung-02 evaluating pumitamig plus chemotherapy versus pembrolizumab plus chemotherapy. Updated data from a later cut-off date will be presented in a rapid oral presentation.</w:t>
      </w: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Gotistobart (BNT316/ONC-392) – an investigational tumor microenvironment-selective regulatory T cell depletion candidate targeting CTLA-4, developed in collaboration with OncoC4, Inc. (“OncoC4”):</w:t>
      </w:r>
    </w:p>
    <w:p>
      <w:pPr>
        <w:spacing w:after="0" w:line="1" w:lineRule="exact"/>
        <w:rPr>
          <w:sz w:val="20"/>
          <w:szCs w:val="20"/>
          <w:color w:val="auto"/>
        </w:rPr>
      </w:pPr>
    </w:p>
    <w:p>
      <w:pPr>
        <w:jc w:val="both"/>
        <w:ind w:left="660" w:hanging="328"/>
        <w:spacing w:after="0" w:line="270" w:lineRule="auto"/>
        <w:tabs>
          <w:tab w:leader="none" w:pos="65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PROC</w:t>
      </w:r>
      <w:r>
        <w:rPr>
          <w:rFonts w:ascii="Arial" w:cs="Arial" w:eastAsia="Arial" w:hAnsi="Arial"/>
          <w:sz w:val="18"/>
          <w:szCs w:val="18"/>
          <w:color w:val="auto"/>
        </w:rPr>
        <w:t>: Data from the Phase 2 PRESERVE-004 clinical trial (NCT05446298) evaluating gotistobart plus pembrolizumab in heavily</w:t>
      </w:r>
      <w:r>
        <w:rPr>
          <w:rFonts w:ascii="Arial" w:cs="Arial" w:eastAsia="Arial" w:hAnsi="Arial"/>
          <w:sz w:val="18"/>
          <w:szCs w:val="18"/>
          <w:b w:val="1"/>
          <w:bCs w:val="1"/>
          <w:color w:val="auto"/>
        </w:rPr>
        <w:t xml:space="preserve"> </w:t>
      </w:r>
      <w:r>
        <w:rPr>
          <w:rFonts w:ascii="Arial" w:cs="Arial" w:eastAsia="Arial" w:hAnsi="Arial"/>
          <w:sz w:val="18"/>
          <w:szCs w:val="18"/>
          <w:color w:val="auto"/>
        </w:rPr>
        <w:t>pre-treated patients with platinum-resistant ovarian cancer (“PROC”) showed durable anti-tumor activity and clinically meaningful overall survival outcomes. Together with a manageable safety profile, the results add to the growing body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5" w:name="page6"/>
    <w:bookmarkEnd w:id="5"/>
    <w:p>
      <w:pPr>
        <w:ind w:left="660" w:right="20"/>
        <w:spacing w:after="0" w:line="30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evidence supporting gotistobart’s potential as a chemotherapy-free treatment option, complementing the recently announced data in second and later line squamous non-small cell lung cancer.</w:t>
      </w:r>
    </w:p>
    <w:p>
      <w:pPr>
        <w:spacing w:after="0" w:line="166"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BioNTech is advancing a diversified oncology pipeline spanning next-generation immunomodulators, ADCs, and mRNA cancer immunotherapies, both as monotherapies and novel treatment combination approaches. With more than 25 Phase 2 and Phase 3 clinical trials, including 13 ongoing pivotal trials as well as novel-novel combination trials, BioNTech is focused on developing innovative approaches to address the challenges of cancer treatment among the Company’s tumor focus areas from early to late-stage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All abstracts are available on the ASCO website. Further information on BioNTech’s late-stage oncology portfolio can be accessed here.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presentation details: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5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Medicine</w:t>
            </w:r>
          </w:p>
        </w:tc>
        <w:tc>
          <w:tcPr>
            <w:tcW w:w="4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Abstract Title</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Abstract Number/Presentation Details</w:t>
            </w:r>
          </w:p>
        </w:tc>
      </w:tr>
      <w:tr>
        <w:trPr>
          <w:trHeight w:val="28"/>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1"/>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Pumitamig</w:t>
            </w: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Phase 2 data from ROSETTA Lung-02, a global</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Abstract #8513</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randomized Phase 2/3 trial of pumitamig (PDL1 ×</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Rapid Oral Abstract Session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VEGF-A bsAb) + chemotherapy in 1L NSCLC</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Lung Cancer - Non-Small Cell Metastatic</w:t>
            </w:r>
          </w:p>
        </w:tc>
      </w:tr>
      <w:tr>
        <w:trPr>
          <w:trHeight w:val="239"/>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May 30, 2026, 1:15 - 2:45pm CDT</w:t>
            </w:r>
          </w:p>
        </w:tc>
      </w:tr>
      <w:tr>
        <w:trPr>
          <w:trHeight w:val="198"/>
        </w:trPr>
        <w:tc>
          <w:tcPr>
            <w:tcW w:w="2580" w:type="dxa"/>
            <w:vAlign w:val="bottom"/>
            <w:tcBorders>
              <w:left w:val="single" w:sz="8" w:color="auto"/>
              <w:right w:val="single" w:sz="8" w:color="auto"/>
            </w:tcBorders>
          </w:tcPr>
          <w:p>
            <w:pPr>
              <w:spacing w:after="0"/>
              <w:rPr>
                <w:sz w:val="17"/>
                <w:szCs w:val="17"/>
                <w:color w:val="auto"/>
              </w:rPr>
            </w:pPr>
          </w:p>
        </w:tc>
        <w:tc>
          <w:tcPr>
            <w:tcW w:w="4260" w:type="dxa"/>
            <w:vAlign w:val="bottom"/>
            <w:tcBorders>
              <w:bottom w:val="single" w:sz="8" w:color="auto"/>
              <w:right w:val="single" w:sz="8" w:color="auto"/>
            </w:tcBorders>
          </w:tcPr>
          <w:p>
            <w:pPr>
              <w:spacing w:after="0"/>
              <w:rPr>
                <w:sz w:val="17"/>
                <w:szCs w:val="17"/>
                <w:color w:val="auto"/>
              </w:rPr>
            </w:pPr>
          </w:p>
        </w:tc>
        <w:tc>
          <w:tcPr>
            <w:tcW w:w="4420" w:type="dxa"/>
            <w:vAlign w:val="bottom"/>
            <w:tcBorders>
              <w:bottom w:val="single" w:sz="8" w:color="auto"/>
              <w:right w:val="single" w:sz="8" w:color="auto"/>
            </w:tcBorders>
          </w:tcPr>
          <w:p>
            <w:pPr>
              <w:spacing w:after="0"/>
              <w:rPr>
                <w:sz w:val="17"/>
                <w:szCs w:val="17"/>
                <w:color w:val="auto"/>
              </w:rPr>
            </w:pPr>
          </w:p>
        </w:tc>
      </w:tr>
      <w:tr>
        <w:trPr>
          <w:trHeight w:val="231"/>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Phase 2/3 trial of pumitamig (PD-L1 ×VEGF-A</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Abstract #TPS3672</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bsab) plus chemotherapy versus bevacizumab plus</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Session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chemotherapy in previously untreated,</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Genitourinary Cancer - Prostate, Testicular, and</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unresectable, or metastatic colorectal cancer</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Penile</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(ROSETTA CRC-203)</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Board: 229a</w:t>
            </w:r>
          </w:p>
        </w:tc>
      </w:tr>
      <w:tr>
        <w:trPr>
          <w:trHeight w:val="239"/>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May 31, 2026: 9:00am-12:00pm CDT</w:t>
            </w:r>
          </w:p>
        </w:tc>
      </w:tr>
      <w:tr>
        <w:trPr>
          <w:trHeight w:val="212"/>
        </w:trPr>
        <w:tc>
          <w:tcPr>
            <w:tcW w:w="2580" w:type="dxa"/>
            <w:vAlign w:val="bottom"/>
            <w:tcBorders>
              <w:left w:val="single" w:sz="8" w:color="auto"/>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4420" w:type="dxa"/>
            <w:vAlign w:val="bottom"/>
            <w:tcBorders>
              <w:bottom w:val="single" w:sz="8" w:color="auto"/>
              <w:right w:val="single" w:sz="8" w:color="auto"/>
            </w:tcBorders>
          </w:tcPr>
          <w:p>
            <w:pPr>
              <w:spacing w:after="0"/>
              <w:rPr>
                <w:sz w:val="18"/>
                <w:szCs w:val="18"/>
                <w:color w:val="auto"/>
              </w:rPr>
            </w:pPr>
          </w:p>
        </w:tc>
      </w:tr>
      <w:tr>
        <w:trPr>
          <w:trHeight w:val="231"/>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Gotistobart</w:t>
            </w: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Overall survival for patients with pre-treated</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Abstract #5511</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platinum-resistant ovarian cancer receiving</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Rapid Oral Abstract session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gotistobart in combination with pembrolizumab</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Gynecologic Cancer</w:t>
            </w:r>
          </w:p>
        </w:tc>
      </w:tr>
      <w:tr>
        <w:trPr>
          <w:trHeight w:val="239"/>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May 30, 2026: 8:00 - 9:30am CDT</w:t>
            </w:r>
          </w:p>
        </w:tc>
      </w:tr>
      <w:tr>
        <w:trPr>
          <w:trHeight w:val="36"/>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c>
          <w:tcPr>
            <w:tcW w:w="4420" w:type="dxa"/>
            <w:vAlign w:val="bottom"/>
            <w:tcBorders>
              <w:bottom w:val="single" w:sz="8" w:color="auto"/>
              <w:right w:val="single" w:sz="8" w:color="auto"/>
            </w:tcBorders>
          </w:tcPr>
          <w:p>
            <w:pPr>
              <w:spacing w:after="0"/>
              <w:rPr>
                <w:sz w:val="3"/>
                <w:szCs w:val="3"/>
                <w:color w:val="auto"/>
              </w:rPr>
            </w:pPr>
          </w:p>
        </w:tc>
      </w:tr>
      <w:tr>
        <w:trPr>
          <w:trHeight w:val="231"/>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BNT326/YL202</w:t>
            </w: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BNT326-01: A Phase 1b/2 trial of BNT326/YL202</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Abstract #TPS3160</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(HER3 ADC) as monotherapy and in combination</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Session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pumitamig (anti-PD-L1 × VEGF bsAb) in</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Developmental Therapeutics -Molecularly Targeted</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patients with advanced solid tumors</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Agents and Tumor Biology</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Board: 294b</w:t>
            </w:r>
          </w:p>
        </w:tc>
      </w:tr>
      <w:tr>
        <w:trPr>
          <w:trHeight w:val="239"/>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May 30, 2026: 1:30 - 4:30pm CDT</w:t>
            </w: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1417" w:right="319" w:bottom="1440" w:gutter="0" w:footer="0" w:header="0"/>
        </w:sectPr>
      </w:pPr>
    </w:p>
    <w:bookmarkStart w:id="6" w:name="page7"/>
    <w:bookmarkEnd w:id="6"/>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1"/>
        </w:trPr>
        <w:tc>
          <w:tcPr>
            <w:tcW w:w="25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BNT324/DB-1311</w:t>
            </w:r>
          </w:p>
        </w:tc>
        <w:tc>
          <w:tcPr>
            <w:tcW w:w="4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BNT324-03: A Phase 3, randomized, open-label</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Abstract #TPS5137</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trial of BNT324/DB-1311, a B7H3 ADC, versus</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Session</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docetaxel in patients with taxane-naïve metastatic</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Genitourinary Cancer - Prostate, Testicular, and</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castration-resistant prostate cancer (mCRPC)</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Penile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26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Board: 229a</w:t>
            </w:r>
          </w:p>
        </w:tc>
      </w:tr>
      <w:tr>
        <w:trPr>
          <w:trHeight w:val="239"/>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May 31, 2026: 9:00am - 12:00pm CDT</w:t>
            </w:r>
          </w:p>
        </w:tc>
      </w:tr>
      <w:tr>
        <w:trPr>
          <w:trHeight w:val="37"/>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c>
          <w:tcPr>
            <w:tcW w:w="4420" w:type="dxa"/>
            <w:vAlign w:val="bottom"/>
            <w:tcBorders>
              <w:bottom w:val="single" w:sz="8" w:color="auto"/>
              <w:right w:val="single" w:sz="8" w:color="auto"/>
            </w:tcBorders>
          </w:tcPr>
          <w:p>
            <w:pPr>
              <w:spacing w:after="0"/>
              <w:rPr>
                <w:sz w:val="3"/>
                <w:szCs w:val="3"/>
                <w:color w:val="auto"/>
              </w:rPr>
            </w:pPr>
          </w:p>
        </w:tc>
      </w:tr>
      <w:tr>
        <w:trPr>
          <w:trHeight w:val="231"/>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Trastuzumab pamirtecan</w:t>
            </w: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Fern-EC-01 (BNT323-01): A phase 3 trial of</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Abstract #TPS5645</w:t>
            </w:r>
          </w:p>
        </w:tc>
      </w:tr>
      <w:tr>
        <w:trPr>
          <w:trHeight w:val="216"/>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(BNT323/DB-1303)</w:t>
            </w: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trastuzumab pamirtecan (HER2 ADC) versus</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Session</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investigator’s choice of chemotherapy in patients</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Gynecologic Cancer</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previously treated, HER2-expressing,</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Poster Board: 302b</w:t>
            </w:r>
          </w:p>
        </w:tc>
      </w:tr>
      <w:tr>
        <w:trPr>
          <w:trHeight w:val="239"/>
        </w:trPr>
        <w:tc>
          <w:tcPr>
            <w:tcW w:w="2580" w:type="dxa"/>
            <w:vAlign w:val="bottom"/>
            <w:tcBorders>
              <w:left w:val="single" w:sz="8" w:color="auto"/>
              <w:right w:val="single" w:sz="8" w:color="auto"/>
            </w:tcBorders>
          </w:tcPr>
          <w:p>
            <w:pPr>
              <w:spacing w:after="0"/>
              <w:rPr>
                <w:sz w:val="20"/>
                <w:szCs w:val="20"/>
                <w:color w:val="auto"/>
              </w:rPr>
            </w:pPr>
          </w:p>
        </w:tc>
        <w:tc>
          <w:tcPr>
            <w:tcW w:w="4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recurrent endometrial cancer (EC)</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June 1, 2026: 9:00am - 12:00pm CDT</w:t>
            </w: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r>
        <w:rPr>
          <w:rFonts w:ascii="Arial" w:cs="Arial" w:eastAsia="Arial" w:hAnsi="Arial"/>
          <w:sz w:val="18"/>
          <w:szCs w:val="18"/>
          <w:color w:val="181010"/>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and clinical trials in oncology, including the investigational bispecific immunomodulator pumitamig (BNT327/BMS986545) in multiple indications, the investigational anti-CTLA-4 antibody gotistobart (BNT316/ONC-392) in multiple indications, the investigational B7H3-targeted ADC BNT324/DB-1311 in metastatic castration-resistant prostate cancer, the investigational HER2-targeted ADC trastuzumab pamirtecan (BNT323/DB-1303) in recurrent endometrial cancer, and the investigational HER3-targeted ADC BNT326/YL202 as monotherapy and in combination with pumitamig in NSCLC and advanced solid tumors;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the ability of BioNTech’s mRNA technology to demonstrate clinical efficacy outside of BioNTech’s infectious disease platform;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440" w:right="31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the impact of tariffs and escalations in trade policy;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March 31,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2026-05-22T07:05:04Z</dcterms:created>
  <dcterms:modified xsi:type="dcterms:W3CDTF">2026-05-22T07:05:04Z</dcterms:modified>
</cp:coreProperties>
</file>