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17dsctota.htm"/>
      <w:bookmarkStart w:id="1" w:name="ksd11117dsctot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(Rule 14d-100)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CureVac N.V.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BioNTech SE </w:t>
      </w:r>
    </w:p>
    <w:p>
      <w:pPr>
        <w:pStyle w:val="TextBody"/>
        <w:bidi w:val="0"/>
        <w:spacing w:before="0" w:after="0"/>
        <w:jc w:val="center"/>
        <w:rPr>
          <w:rFonts w:ascii="Times New Roman" w:hAnsi="Times New Roman"/>
          <w:b/>
          <w:sz w:val="16"/>
        </w:rPr>
      </w:pPr>
      <w:r>
        <w:rPr>
          <w:rFonts w:ascii="Times New Roman" w:hAnsi="Times New Roman"/>
          <w:b/>
          <w:sz w:val="16"/>
        </w:rPr>
        <w:t xml:space="preserve">(Name of Filing Person (Offeror))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Shares, 0.12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N2451R105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Prof. Ugur Sahin, M.D. </w:t>
      </w:r>
    </w:p>
    <w:p>
      <w:pPr>
        <w:pStyle w:val="TextBody"/>
        <w:bidi w:val="0"/>
        <w:spacing w:before="0" w:after="0"/>
        <w:jc w:val="center"/>
        <w:rPr>
          <w:rFonts w:ascii="Times New Roman" w:hAnsi="Times New Roman"/>
          <w:b/>
          <w:sz w:val="20"/>
        </w:rPr>
      </w:pPr>
      <w:r>
        <w:rPr>
          <w:rFonts w:ascii="Times New Roman" w:hAnsi="Times New Roman"/>
          <w:b/>
          <w:sz w:val="20"/>
        </w:rPr>
        <w:t xml:space="preserve">An der Goldgrube 12 </w:t>
      </w:r>
    </w:p>
    <w:p>
      <w:pPr>
        <w:pStyle w:val="TextBody"/>
        <w:bidi w:val="0"/>
        <w:spacing w:before="0" w:after="0"/>
        <w:jc w:val="center"/>
        <w:rPr>
          <w:rFonts w:ascii="Times New Roman" w:hAnsi="Times New Roman"/>
          <w:b/>
          <w:sz w:val="20"/>
        </w:rPr>
      </w:pPr>
      <w:r>
        <w:rPr>
          <w:rFonts w:ascii="Times New Roman" w:hAnsi="Times New Roman"/>
          <w:b/>
          <w:sz w:val="20"/>
        </w:rPr>
        <w:t xml:space="preserve">D-55131 Mainz </w:t>
      </w:r>
    </w:p>
    <w:p>
      <w:pPr>
        <w:pStyle w:val="TextBody"/>
        <w:bidi w:val="0"/>
        <w:spacing w:before="0" w:after="0"/>
        <w:jc w:val="center"/>
        <w:rPr>
          <w:rFonts w:ascii="Times New Roman" w:hAnsi="Times New Roman"/>
          <w:b/>
          <w:sz w:val="20"/>
        </w:rPr>
      </w:pPr>
      <w:r>
        <w:rPr>
          <w:rFonts w:ascii="Times New Roman" w:hAnsi="Times New Roman"/>
          <w:b/>
          <w:sz w:val="20"/>
        </w:rPr>
        <w:t xml:space="preserve">Germany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+49 6131-9084-0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Paul Claydon</w:t>
            </w:r>
          </w:p>
          <w:p>
            <w:pPr>
              <w:pStyle w:val="TableContents"/>
              <w:bidi w:val="0"/>
              <w:spacing w:before="0" w:after="0"/>
              <w:jc w:val="center"/>
              <w:rPr>
                <w:rFonts w:ascii="Times New Roman" w:hAnsi="Times New Roman"/>
                <w:b/>
                <w:sz w:val="20"/>
              </w:rPr>
            </w:pPr>
            <w:r>
              <w:rPr>
                <w:rFonts w:ascii="Times New Roman" w:hAnsi="Times New Roman"/>
                <w:b/>
                <w:sz w:val="20"/>
              </w:rPr>
              <w:t>Jack S. Bodner</w:t>
            </w:r>
          </w:p>
          <w:p>
            <w:pPr>
              <w:pStyle w:val="TableContents"/>
              <w:bidi w:val="0"/>
              <w:spacing w:before="0" w:after="0"/>
              <w:jc w:val="center"/>
              <w:rPr>
                <w:rFonts w:ascii="Times New Roman" w:hAnsi="Times New Roman"/>
                <w:b/>
                <w:sz w:val="20"/>
              </w:rPr>
            </w:pPr>
            <w:r>
              <w:rPr>
                <w:rFonts w:ascii="Times New Roman" w:hAnsi="Times New Roman"/>
                <w:b/>
                <w:sz w:val="20"/>
              </w:rPr>
              <w:t>Matthew T. Gehl</w:t>
            </w:r>
          </w:p>
          <w:p>
            <w:pPr>
              <w:pStyle w:val="TableContents"/>
              <w:bidi w:val="0"/>
              <w:spacing w:before="0" w:after="0"/>
              <w:jc w:val="center"/>
              <w:rPr>
                <w:rFonts w:ascii="Times New Roman" w:hAnsi="Times New Roman"/>
                <w:b/>
                <w:sz w:val="20"/>
              </w:rPr>
            </w:pPr>
            <w:r>
              <w:rPr>
                <w:rFonts w:ascii="Times New Roman" w:hAnsi="Times New Roman"/>
                <w:b/>
                <w:sz w:val="20"/>
              </w:rPr>
              <w:t>Charles A. Dobb</w:t>
            </w:r>
          </w:p>
          <w:p>
            <w:pPr>
              <w:pStyle w:val="TableContents"/>
              <w:bidi w:val="0"/>
              <w:spacing w:before="0" w:after="0"/>
              <w:jc w:val="center"/>
              <w:rPr>
                <w:rFonts w:ascii="Times New Roman" w:hAnsi="Times New Roman"/>
                <w:b/>
                <w:sz w:val="20"/>
              </w:rPr>
            </w:pPr>
            <w:r>
              <w:rPr>
                <w:rFonts w:ascii="Times New Roman" w:hAnsi="Times New Roman"/>
                <w:b/>
                <w:sz w:val="20"/>
              </w:rPr>
              <w:t>Brian K. Rosenzweig</w:t>
            </w:r>
          </w:p>
          <w:p>
            <w:pPr>
              <w:pStyle w:val="TableContents"/>
              <w:bidi w:val="0"/>
              <w:spacing w:before="0" w:after="0"/>
              <w:jc w:val="center"/>
              <w:rPr>
                <w:rFonts w:ascii="Times New Roman" w:hAnsi="Times New Roman"/>
                <w:b/>
                <w:sz w:val="20"/>
              </w:rPr>
            </w:pPr>
            <w:r>
              <w:rPr>
                <w:rFonts w:ascii="Times New Roman" w:hAnsi="Times New Roman"/>
                <w:b/>
                <w:sz w:val="20"/>
              </w:rPr>
              <w:t>Covington &amp; Burling LLP</w:t>
            </w:r>
          </w:p>
          <w:p>
            <w:pPr>
              <w:pStyle w:val="TableContents"/>
              <w:bidi w:val="0"/>
              <w:spacing w:before="0" w:after="0"/>
              <w:jc w:val="center"/>
              <w:rPr>
                <w:rFonts w:ascii="Times New Roman" w:hAnsi="Times New Roman"/>
                <w:b/>
                <w:sz w:val="20"/>
              </w:rPr>
            </w:pPr>
            <w:r>
              <w:rPr>
                <w:rFonts w:ascii="Times New Roman" w:hAnsi="Times New Roman"/>
                <w:b/>
                <w:sz w:val="20"/>
              </w:rPr>
              <w:t>30 Hudson Yards</w:t>
            </w:r>
          </w:p>
          <w:p>
            <w:pPr>
              <w:pStyle w:val="TableContents"/>
              <w:bidi w:val="0"/>
              <w:spacing w:before="0" w:after="0"/>
              <w:jc w:val="center"/>
              <w:rPr>
                <w:rFonts w:ascii="Times New Roman" w:hAnsi="Times New Roman"/>
                <w:b/>
                <w:sz w:val="20"/>
              </w:rPr>
            </w:pPr>
            <w:r>
              <w:rPr>
                <w:rFonts w:ascii="Times New Roman" w:hAnsi="Times New Roman"/>
                <w:b/>
                <w:sz w:val="20"/>
              </w:rPr>
              <w:t>New York, New York 10001-2170</w:t>
            </w:r>
          </w:p>
          <w:p>
            <w:pPr>
              <w:pStyle w:val="TableContents"/>
              <w:bidi w:val="0"/>
              <w:spacing w:before="0" w:after="20"/>
              <w:jc w:val="center"/>
              <w:rPr>
                <w:rFonts w:ascii="Times New Roman" w:hAnsi="Times New Roman"/>
                <w:b/>
                <w:sz w:val="20"/>
              </w:rPr>
            </w:pPr>
            <w:r>
              <w:rPr>
                <w:rFonts w:ascii="Times New Roman" w:hAnsi="Times New Roman"/>
                <w:b/>
                <w:sz w:val="20"/>
              </w:rPr>
              <w:t>Telephone: (212) 841-1000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Howard L. Ellin</w:t>
            </w:r>
          </w:p>
          <w:p>
            <w:pPr>
              <w:pStyle w:val="TableContents"/>
              <w:bidi w:val="0"/>
              <w:spacing w:before="0" w:after="0"/>
              <w:jc w:val="center"/>
              <w:rPr>
                <w:rFonts w:ascii="Times New Roman" w:hAnsi="Times New Roman"/>
                <w:b/>
                <w:sz w:val="20"/>
              </w:rPr>
            </w:pPr>
            <w:r>
              <w:rPr>
                <w:rFonts w:ascii="Times New Roman" w:hAnsi="Times New Roman"/>
                <w:b/>
                <w:sz w:val="20"/>
              </w:rPr>
              <w:t>June S. Dipchand</w:t>
            </w:r>
          </w:p>
          <w:p>
            <w:pPr>
              <w:pStyle w:val="TableContents"/>
              <w:bidi w:val="0"/>
              <w:spacing w:before="0" w:after="0"/>
              <w:jc w:val="center"/>
              <w:rPr>
                <w:rFonts w:ascii="Times New Roman" w:hAnsi="Times New Roman"/>
                <w:b/>
                <w:sz w:val="20"/>
              </w:rPr>
            </w:pPr>
            <w:r>
              <w:rPr>
                <w:rFonts w:ascii="Times New Roman" w:hAnsi="Times New Roman"/>
                <w:b/>
                <w:sz w:val="20"/>
              </w:rPr>
              <w:t>Stephan Hutter</w:t>
            </w:r>
          </w:p>
          <w:p>
            <w:pPr>
              <w:pStyle w:val="TableContents"/>
              <w:bidi w:val="0"/>
              <w:spacing w:before="0" w:after="0"/>
              <w:jc w:val="center"/>
              <w:rPr>
                <w:rFonts w:ascii="Times New Roman" w:hAnsi="Times New Roman"/>
                <w:b/>
                <w:sz w:val="20"/>
              </w:rPr>
            </w:pPr>
            <w:r>
              <w:rPr>
                <w:rFonts w:ascii="Times New Roman" w:hAnsi="Times New Roman"/>
                <w:b/>
                <w:sz w:val="20"/>
              </w:rPr>
              <w:t>Holger Hofmeister</w:t>
            </w:r>
          </w:p>
          <w:p>
            <w:pPr>
              <w:pStyle w:val="TableContents"/>
              <w:bidi w:val="0"/>
              <w:spacing w:before="0" w:after="0"/>
              <w:jc w:val="center"/>
              <w:rPr>
                <w:rFonts w:ascii="Times New Roman" w:hAnsi="Times New Roman"/>
                <w:b/>
                <w:sz w:val="20"/>
              </w:rPr>
            </w:pPr>
            <w:r>
              <w:rPr>
                <w:rFonts w:ascii="Times New Roman" w:hAnsi="Times New Roman"/>
                <w:b/>
                <w:sz w:val="20"/>
              </w:rPr>
              <w:t>Skadden, Arps, Slate, Meagher &amp; Flom LLP</w:t>
            </w:r>
          </w:p>
          <w:p>
            <w:pPr>
              <w:pStyle w:val="TableContents"/>
              <w:bidi w:val="0"/>
              <w:spacing w:before="0" w:after="0"/>
              <w:jc w:val="center"/>
              <w:rPr>
                <w:rFonts w:ascii="Times New Roman" w:hAnsi="Times New Roman"/>
                <w:b/>
                <w:sz w:val="20"/>
              </w:rPr>
            </w:pPr>
            <w:r>
              <w:rPr>
                <w:rFonts w:ascii="Times New Roman" w:hAnsi="Times New Roman"/>
                <w:b/>
                <w:sz w:val="20"/>
              </w:rPr>
              <w:t>One Manhattan West</w:t>
            </w:r>
          </w:p>
          <w:p>
            <w:pPr>
              <w:pStyle w:val="TableContents"/>
              <w:bidi w:val="0"/>
              <w:spacing w:before="0" w:after="0"/>
              <w:jc w:val="center"/>
              <w:rPr>
                <w:rFonts w:ascii="Times New Roman" w:hAnsi="Times New Roman"/>
                <w:b/>
                <w:sz w:val="20"/>
              </w:rPr>
            </w:pPr>
            <w:r>
              <w:rPr>
                <w:rFonts w:ascii="Times New Roman" w:hAnsi="Times New Roman"/>
                <w:b/>
                <w:sz w:val="20"/>
              </w:rPr>
              <w:t>395 Ninth Avenue</w:t>
            </w:r>
          </w:p>
          <w:p>
            <w:pPr>
              <w:pStyle w:val="TableContents"/>
              <w:bidi w:val="0"/>
              <w:spacing w:before="0" w:after="0"/>
              <w:jc w:val="center"/>
              <w:rPr>
                <w:rFonts w:ascii="Times New Roman" w:hAnsi="Times New Roman"/>
                <w:b/>
                <w:sz w:val="20"/>
              </w:rPr>
            </w:pPr>
            <w:r>
              <w:rPr>
                <w:rFonts w:ascii="Times New Roman" w:hAnsi="Times New Roman"/>
                <w:b/>
                <w:sz w:val="20"/>
              </w:rPr>
              <w:t>New York, New York 10001</w:t>
            </w:r>
          </w:p>
          <w:p>
            <w:pPr>
              <w:pStyle w:val="TableContents"/>
              <w:bidi w:val="0"/>
              <w:spacing w:before="0" w:after="20"/>
              <w:jc w:val="center"/>
              <w:rPr>
                <w:rFonts w:ascii="Times New Roman" w:hAnsi="Times New Roman"/>
                <w:b/>
                <w:sz w:val="20"/>
              </w:rPr>
            </w:pPr>
            <w:r>
              <w:rPr>
                <w:rFonts w:ascii="Times New Roman" w:hAnsi="Times New Roman"/>
                <w:b/>
                <w:sz w:val="20"/>
              </w:rPr>
              <w:t>Telephone: (212) 735-3000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Amendment No. 1 amends and supplements the Tender Offer Statement on Schedule TO filed by BioNTech SE, a European stock corporation (</w:t>
      </w:r>
      <w:r>
        <w:rPr>
          <w:rFonts w:ascii="Times New Roman" w:hAnsi="Times New Roman"/>
          <w:i/>
          <w:sz w:val="20"/>
        </w:rPr>
        <w:t>Societas Europaea</w:t>
      </w:r>
      <w:r>
        <w:rPr>
          <w:rFonts w:ascii="Times New Roman" w:hAnsi="Times New Roman"/>
          <w:sz w:val="20"/>
        </w:rPr>
        <w:t>, or SE) organized under the laws of Germany and the European Union (“</w:t>
      </w:r>
      <w:r>
        <w:rPr>
          <w:rFonts w:ascii="Times New Roman" w:hAnsi="Times New Roman"/>
          <w:i/>
          <w:sz w:val="20"/>
        </w:rPr>
        <w:t>BioNTech</w:t>
      </w:r>
      <w:r>
        <w:rPr>
          <w:rFonts w:ascii="Times New Roman" w:hAnsi="Times New Roman"/>
          <w:sz w:val="20"/>
        </w:rPr>
        <w:t>”), on October 21, 2025 (the “</w:t>
      </w:r>
      <w:r>
        <w:rPr>
          <w:rFonts w:ascii="Times New Roman" w:hAnsi="Times New Roman"/>
          <w:i/>
          <w:sz w:val="20"/>
        </w:rPr>
        <w:t>Schedule TO</w:t>
      </w:r>
      <w:r>
        <w:rPr>
          <w:rFonts w:ascii="Times New Roman" w:hAnsi="Times New Roman"/>
          <w:sz w:val="20"/>
        </w:rPr>
        <w:t>”). The Schedule TO relates to the offer by BioNTech to exchange American Depositary Shares, each representing one ordinary share, no par value, with a notional amount attributable to each ordinary share of 1, of BioNTech, for all of the outstanding ordinary shares, par value 0.12 per share, of CureVac N.V., a public limited liability company (</w:t>
      </w:r>
      <w:r>
        <w:rPr>
          <w:rFonts w:ascii="Times New Roman" w:hAnsi="Times New Roman"/>
          <w:i/>
          <w:sz w:val="20"/>
        </w:rPr>
        <w:t>naamloze vennootschap</w:t>
      </w:r>
      <w:r>
        <w:rPr>
          <w:rFonts w:ascii="Times New Roman" w:hAnsi="Times New Roman"/>
          <w:sz w:val="20"/>
        </w:rPr>
        <w:t xml:space="preserve">) incorporated under the laws of the Netherlands, upon the terms and subject to the conditions set forth in the Exchange Offer Prospectus and the related Letter of Transmittal, each as defined in the Schedule TO. The Exchange Offer Prospectus and Letter of Transmittal are incorporated by reference to Exhibit (a)(1)(A) and (a)(4) of the Schedule 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Exchange Offer Prospectus, including all annexes thereto, is hereby expressly incorporated by reference in response to all of the items of the Schedule TO, and is supplemented by the information specifically provided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12. Exhibits. </w:t>
      </w:r>
    </w:p>
    <w:p>
      <w:pPr>
        <w:pStyle w:val="TextBody"/>
        <w:bidi w:val="0"/>
        <w:spacing w:before="120" w:after="0"/>
        <w:jc w:val="left"/>
        <w:rPr>
          <w:rFonts w:ascii="Times New Roman" w:hAnsi="Times New Roman"/>
          <w:sz w:val="20"/>
        </w:rPr>
      </w:pPr>
      <w:r>
        <w:rPr>
          <w:rFonts w:ascii="Times New Roman" w:hAnsi="Times New Roman"/>
          <w:sz w:val="20"/>
        </w:rPr>
        <w:t xml:space="preserve">Item 12 of the Schedule TO is hereby amended and supplemented by adding the following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5"/>
        <w:gridCol w:w="414"/>
        <w:gridCol w:w="8586"/>
      </w:tblGrid>
      <w:tr>
        <w:trPr/>
        <w:tc>
          <w:tcPr>
            <w:tcW w:w="120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8586"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414" w:type="dxa"/>
            <w:tcBorders/>
            <w:vAlign w:val="bottom"/>
          </w:tcPr>
          <w:p>
            <w:pPr>
              <w:pStyle w:val="TableContents"/>
              <w:bidi w:val="0"/>
              <w:spacing w:before="0" w:after="283"/>
              <w:jc w:val="left"/>
              <w:rPr/>
            </w:pPr>
            <w:r>
              <w:rPr/>
              <w:t>  </w:t>
            </w:r>
          </w:p>
        </w:tc>
        <w:tc>
          <w:tcPr>
            <w:tcW w:w="858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(a)(5)(K)</w:t>
            </w:r>
          </w:p>
        </w:tc>
        <w:tc>
          <w:tcPr>
            <w:tcW w:w="414" w:type="dxa"/>
            <w:tcBorders/>
            <w:vAlign w:val="bottom"/>
          </w:tcPr>
          <w:p>
            <w:pPr>
              <w:pStyle w:val="TableContents"/>
              <w:bidi w:val="0"/>
              <w:spacing w:before="0" w:after="283"/>
              <w:jc w:val="left"/>
              <w:rPr/>
            </w:pPr>
            <w:r>
              <w:rPr/>
              <w:t>  </w:t>
            </w:r>
          </w:p>
        </w:tc>
        <w:tc>
          <w:tcPr>
            <w:tcW w:w="8586" w:type="dxa"/>
            <w:tcBorders/>
          </w:tcPr>
          <w:p>
            <w:pPr>
              <w:pStyle w:val="TableContents"/>
              <w:bidi w:val="0"/>
              <w:spacing w:before="0" w:after="283"/>
              <w:jc w:val="left"/>
              <w:rPr/>
            </w:pPr>
            <w:hyperlink r:id="rId2">
              <w:r>
                <w:rPr>
                  <w:rStyle w:val="InternetLink"/>
                </w:rPr>
                <w:t xml:space="preserve">Press Release issued by BioNTech SE, dated October 22, 2025 (incorporated by reference to Exhibit 99.1 to the Report on Form 6-K filed by BioNTech SE with the SEC on October 22, 2025). </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(a)(5)(L)</w:t>
            </w:r>
          </w:p>
        </w:tc>
        <w:tc>
          <w:tcPr>
            <w:tcW w:w="414" w:type="dxa"/>
            <w:tcBorders/>
            <w:vAlign w:val="bottom"/>
          </w:tcPr>
          <w:p>
            <w:pPr>
              <w:pStyle w:val="TableContents"/>
              <w:bidi w:val="0"/>
              <w:spacing w:before="0" w:after="283"/>
              <w:jc w:val="left"/>
              <w:rPr/>
            </w:pPr>
            <w:r>
              <w:rPr/>
              <w:t>  </w:t>
            </w:r>
          </w:p>
        </w:tc>
        <w:tc>
          <w:tcPr>
            <w:tcW w:w="8586" w:type="dxa"/>
            <w:tcBorders/>
          </w:tcPr>
          <w:p>
            <w:pPr>
              <w:pStyle w:val="TableContents"/>
              <w:bidi w:val="0"/>
              <w:spacing w:before="0" w:after="283"/>
              <w:jc w:val="left"/>
              <w:rPr/>
            </w:pPr>
            <w:hyperlink r:id="rId3">
              <w:r>
                <w:rPr>
                  <w:rStyle w:val="InternetLink"/>
                </w:rPr>
                <w:t xml:space="preserve">BioNTech SE Social Media Post (LinkedIn), dated October  22, 2025 (incorporated by reference to BioNTech’s filing with the SEC pursuant to Rule 425 on October 22, 2025).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Dated: October 22, 2025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BioNTech SE</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Prof. Ugur Sahin, M.D.</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Prof. Ugur Sahin, M.D.</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76985/000119312525246740/d42810dex991.htm" TargetMode="External"/><Relationship Id="rId3" Type="http://schemas.openxmlformats.org/officeDocument/2006/relationships/hyperlink" Target="http://www.sec.gov/Archives/edgar/data/1809122/000119312525246761/d941455d425.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604</Words>
  <Characters>3216</Characters>
  <CharactersWithSpaces>3827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TO-T/A</dc:title>
</cp:coreProperties>
</file>