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26, 2025, BioNTech SE (the “Company”) issued a press release announcing the results of the CureVac N.V. (“CureVac”) extraordinary general meeting and the calculation of the exchange ratio in connection with its exchange offer for all outstanding shares of CureVac. A copy of the press release is attached hereto as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filed and incorporated by reference in the Company’s registration statement on Form F-4 (File</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No. 333-289468) and to be part thereof from the date on which this report is filed, to the extent not superseded by documents or reports subsequently filed.</w:t>
      </w:r>
    </w:p>
    <w:p>
      <w:pPr>
        <w:sectPr>
          <w:pgSz w:w="11900" w:h="16838" w:orient="portrait"/>
          <w:cols w:equalWidth="0" w:num="1">
            <w:col w:w="10760"/>
          </w:cols>
          <w:pgMar w:left="440" w:top="266"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00"/>
          </w:cols>
          <w:pgMar w:left="440" w:top="266" w:right="75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Prof. Dr. Ugur Sahin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Prof. Dr. Ugur Sahin</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Dr. Sierk Poetting</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Operating Officer</w:t>
      </w:r>
    </w:p>
    <w:p>
      <w:pPr>
        <w:sectPr>
          <w:pgSz w:w="11900" w:h="16838" w:orient="portrait"/>
          <w:cols w:equalWidth="0" w:num="2">
            <w:col w:w="5140" w:space="720"/>
            <w:col w:w="4840"/>
          </w:cols>
          <w:pgMar w:left="440" w:top="266" w:right="759" w:bottom="1440" w:gutter="0" w:footer="0" w:header="0"/>
          <w:type w:val="continuous"/>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BioNTech Shares Progress on Exchange Offer for CureVac Shares and Highlights December 3, 2025 at 9:00 a.m. Eastern Time Expiration</w:t>
      </w:r>
    </w:p>
    <w:p>
      <w:pPr>
        <w:sectPr>
          <w:pgSz w:w="11900" w:h="16838" w:orient="portrait"/>
          <w:cols w:equalWidth="0" w:num="1">
            <w:col w:w="10800"/>
          </w:cols>
          <w:pgMar w:left="440" w:top="266"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399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99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Shares Progress on Exchange Offer for CureVac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Highlights December 3, 2025 at 9:00 a.m. Eastern Time Expiration</w:t>
      </w:r>
    </w:p>
    <w:p>
      <w:pPr>
        <w:spacing w:after="0" w:line="232" w:lineRule="exact"/>
        <w:rPr>
          <w:sz w:val="20"/>
          <w:szCs w:val="20"/>
          <w:color w:val="auto"/>
        </w:rPr>
      </w:pPr>
    </w:p>
    <w:p>
      <w:pPr>
        <w:ind w:left="960" w:right="260" w:hanging="424"/>
        <w:spacing w:after="0" w:line="284"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Offer set to expire at 9:00 am Eastern Time on December 3, 2025, with CureVac shareholders advised to tender their shares by 6:00 pm Eastern Time on December 2, 2025, due to operational deadlines.</w:t>
      </w:r>
    </w:p>
    <w:p>
      <w:pPr>
        <w:spacing w:after="0" w:line="63" w:lineRule="exact"/>
        <w:rPr>
          <w:rFonts w:ascii="Times New Roman" w:cs="Times New Roman" w:eastAsia="Times New Roman" w:hAnsi="Times New Roman"/>
          <w:sz w:val="18"/>
          <w:szCs w:val="18"/>
          <w:i w:val="1"/>
          <w:iCs w:val="1"/>
          <w:color w:val="auto"/>
        </w:rPr>
      </w:pPr>
    </w:p>
    <w:p>
      <w:pPr>
        <w:ind w:left="960" w:right="100" w:hanging="424"/>
        <w:spacing w:after="0" w:line="284"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Exchange ratio of 0.05363 of a BioNTech American Depositary Share (“ADS”) for each CureVac share, determined based on the volume-weighted average price of BioNTech ADSs over the 10 trading days ending November 25, 2025.</w:t>
      </w:r>
    </w:p>
    <w:p>
      <w:pPr>
        <w:spacing w:after="0" w:line="63" w:lineRule="exact"/>
        <w:rPr>
          <w:rFonts w:ascii="Times New Roman" w:cs="Times New Roman" w:eastAsia="Times New Roman" w:hAnsi="Times New Roman"/>
          <w:sz w:val="18"/>
          <w:szCs w:val="18"/>
          <w:i w:val="1"/>
          <w:iCs w:val="1"/>
          <w:color w:val="auto"/>
        </w:rPr>
      </w:pPr>
    </w:p>
    <w:p>
      <w:pPr>
        <w:ind w:left="960" w:right="20" w:hanging="424"/>
        <w:spacing w:after="0" w:line="284"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CureVac shareholders approved matters related to BioNTech’s exchange offer at their extraordinary general meeting held on November 25, 2025.</w:t>
      </w:r>
    </w:p>
    <w:p>
      <w:pPr>
        <w:spacing w:after="0" w:line="15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MAINZ, Germany, November 26, 2025 – </w:t>
      </w:r>
      <w:r>
        <w:rPr>
          <w:rFonts w:ascii="Times New Roman" w:cs="Times New Roman" w:eastAsia="Times New Roman" w:hAnsi="Times New Roman"/>
          <w:sz w:val="18"/>
          <w:szCs w:val="18"/>
          <w:u w:val="single" w:color="auto"/>
          <w:color w:val="auto"/>
        </w:rPr>
        <w:t>BioNTech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BNTX, “BioNTech”) today announced the approval of matters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offer (the “Offer”) for all outstanding shares of CureVac N.V. (Nasdaq: CVAC, “CureVac”) at the extraordinary general meeting (“EGM”) held by CureVac on November 25, 2025. At the EGM, over 99.16% of votes cast by CureVac shareholders were in favor of the proposals relating to the Offer. BioNTech expects to complete the pending Offer as soon as reasonably practicable.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CureVac shareholders are advised to tender their shares by 6:00 p.m. Eastern Time on Tuesday, December 2, 2025, to ensure processing before the scheduled expiration time of 9:00 a.m. Eastern Time on Wednesday, December 3,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Although the Offer technically expires at 9:00 a.m. Eastern Time on December 3, 2025, operational deadlines at the Depository Trust Company and the exchange agent require shares to be tendered by 6:00 p.m. Eastern Time on December 2, 2025. No guaranteed delivery procedures apply.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Assuming that the Offer expires at 9:00 a.m. Eastern Time on December 3, 2025, the exchange ratio (the “Exchange Ratio”) is 0.05363 of a BioNTech ADS per CureVac share.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calculation of the Exchange Ratio is based on the volume weighted average price of a BioNTech ADS as reported on Nasdaq for each of the 10 consecutive trading days ending on, and including, November 25, 2025, or $101.88. If the Offer is extended, BioNTech will recalculate the Exchange Ratio based on the later expected final expiration time and announce the new exchange ratio by issuing a press release.</w:t>
      </w:r>
    </w:p>
    <w:p>
      <w:pPr>
        <w:spacing w:after="0" w:line="1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 xml:space="preserve">Shareholders of CureVac who hold shares through a brokerage firm, bank or other nominee should tender their shares by providing instructions to their broker, bank or other nominee. Other CureVac shareholders may tender their shares by following the instructions provided in the Letter of Transmittal circulated on October 21, 2025. CureVac shareholders who have questions or requests for assistance should contact Georgeson LLC, the Information Agent for the Offer, by phone at +1 (888) 686-7195 (toll free) or +1 (732) 353-1948 (collect), or via email at </w:t>
      </w:r>
      <w:r>
        <w:rPr>
          <w:rFonts w:ascii="Times New Roman" w:cs="Times New Roman" w:eastAsia="Times New Roman" w:hAnsi="Times New Roman"/>
          <w:sz w:val="17"/>
          <w:szCs w:val="17"/>
          <w:u w:val="single" w:color="auto"/>
          <w:color w:val="auto"/>
        </w:rPr>
        <w:t>Curevacoffer@georgeson.com</w:t>
      </w:r>
      <w:r>
        <w:rPr>
          <w:rFonts w:ascii="Times New Roman" w:cs="Times New Roman" w:eastAsia="Times New Roman" w:hAnsi="Times New Roman"/>
          <w:sz w:val="17"/>
          <w:szCs w:val="17"/>
          <w:color w:val="auto"/>
        </w:rPr>
        <w:t>. Following the time of acceptance for exchange of tendered CureVac shares by BioNTech in connection with the Offer, BioNTech will provide a subsequent offering period in accordance with Rule 14d-11 promulgated under the Securities Exchange Act of 1934 (as amended, the “Exchange Act”), of not less than 10 business days (calculated in accordance with Rule 14d-1(g)(3) under the Exchange Act) (the “Subsequent Offering Period”).</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Offer is conditioned upon receipt by BioNTech of a number of CureVac shares having been validly tendered and not properly withdrawn that would allow BioNTech to acquire at least 80% of the issued and outstanding CureVac shares at the closing of the Offer (the “Minimum Condition”). If all of the Offer conditions have been met besides the Minimum Condition, and BioNTech has extended the Offer on four or more occasions, BioNTech may elect to reduce the Minimum Condition to 75% of the issued and outstanding CureVac shares, in which case the Offer shall be extended for at least ten business days.</w:t>
      </w:r>
    </w:p>
    <w:p>
      <w:pPr>
        <w:sectPr>
          <w:pgSz w:w="11900" w:h="16838" w:orient="portrait"/>
          <w:cols w:equalWidth="0" w:num="1">
            <w:col w:w="11020"/>
          </w:cols>
          <w:pgMar w:left="440" w:top="117" w:right="439" w:bottom="1440" w:gutter="0" w:footer="0" w:header="0"/>
        </w:sectPr>
      </w:pPr>
    </w:p>
    <w:bookmarkStart w:id="5" w:name="page6"/>
    <w:bookmarkEnd w:id="5"/>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As promptly as practicable following the expiration of the Subsequent Offering Period, the parties shall initiate the post-offer reorganization. If all conditions are satisfied or waived, the post-offer reorganization will result in non-tendering holders of CureVac shares receiving BioNTech ADSs (and/or cash in lieu of fractional BioNTech ADSs) pursuant to the post-offer reorganization (rather than the Offer). Non-tendering holders of CureVac shares who receive BioNTech ADSs (and/or cash in lieu of fractional BioNTech ADSs) pursuant to the post-offer reorganization generally will be subject to a 15% Dutch dividend withholding tax.</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made under the EU Prospectus (as referred to below), the announcement of the Exchange Ratio constitutes a pricing notice for the purposes of Article 17 of Regulation (EU) 2017/1129, as amended.</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refer to the Exchange Offer Prospectus, the EU Prospectus, or the UK exemption document (each as referred to below) for more information and a full description of the summaries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BioNTech</w:t>
      </w:r>
    </w:p>
    <w:p>
      <w:pPr>
        <w:spacing w:after="0" w:line="121"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Offer and other transactions contemplated by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w:t>
      </w:r>
    </w:p>
    <w:p>
      <w:pPr>
        <w:sectPr>
          <w:pgSz w:w="11900" w:h="16838" w:orient="portrait"/>
          <w:cols w:equalWidth="0" w:num="1">
            <w:col w:w="10960"/>
          </w:cols>
          <w:pgMar w:left="440" w:top="837" w:right="499" w:bottom="1440" w:gutter="0" w:footer="0" w:header="0"/>
        </w:sectPr>
      </w:pPr>
    </w:p>
    <w:bookmarkStart w:id="6" w:name="page7"/>
    <w:bookmarkEnd w:id="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The Registration Statement has become effective.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or by contacting BioNTech’s Investor Relations</w:t>
      </w:r>
    </w:p>
    <w:p>
      <w:pPr>
        <w:sectPr>
          <w:pgSz w:w="11900" w:h="16838" w:orient="portrait"/>
          <w:cols w:equalWidth="0" w:num="1">
            <w:col w:w="11000"/>
          </w:cols>
          <w:pgMar w:left="440" w:top="837" w:right="459" w:bottom="1440" w:gutter="0" w:footer="0" w:header="0"/>
        </w:sectPr>
      </w:pPr>
    </w:p>
    <w:bookmarkStart w:id="7" w:name="page8"/>
    <w:bookmarkEnd w:id="7"/>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 xml:space="preserve">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EEA</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available free of charge, together with the relevant translation(s) of the summary and any supplements thereto, if any, from BioNTech’s website (</w:t>
      </w:r>
      <w:r>
        <w:rPr>
          <w:rFonts w:ascii="Times New Roman" w:cs="Times New Roman" w:eastAsia="Times New Roman" w:hAnsi="Times New Roman"/>
          <w:sz w:val="18"/>
          <w:szCs w:val="18"/>
          <w:u w:val="single" w:color="auto"/>
          <w:color w:val="auto"/>
        </w:rPr>
        <w:t>https://investors.biontech.de/eea-switzerland-disclaimer</w:t>
      </w:r>
      <w:r>
        <w:rPr>
          <w:rFonts w:ascii="Times New Roman" w:cs="Times New Roman" w:eastAsia="Times New Roman" w:hAnsi="Times New Roman"/>
          <w:sz w:val="18"/>
          <w:szCs w:val="18"/>
          <w:color w:val="auto"/>
        </w:rPr>
        <w:t>). The EU Prospectus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should not be understood as an endorsement of the investment in any BioNTech ADSs or shares in BioNTech.</w:t>
      </w:r>
    </w:p>
    <w:p>
      <w:pPr>
        <w:spacing w:after="0" w:line="194"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 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w:t>
      </w:r>
    </w:p>
    <w:p>
      <w:pPr>
        <w:spacing w:after="0" w:line="5" w:lineRule="exact"/>
        <w:rPr>
          <w:sz w:val="20"/>
          <w:szCs w:val="20"/>
          <w:color w:val="auto"/>
        </w:rPr>
      </w:pPr>
    </w:p>
    <w:p>
      <w:pPr>
        <w:ind w:left="4" w:right="20" w:hanging="4"/>
        <w:spacing w:after="0" w:line="255"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6"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172"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8"/>
          <w:szCs w:val="18"/>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UK</w:t>
      </w:r>
    </w:p>
    <w:p>
      <w:pPr>
        <w:spacing w:after="0" w:line="117"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7"/>
          <w:szCs w:val="17"/>
          <w:u w:val="single" w:color="auto"/>
          <w:color w:val="auto"/>
        </w:rPr>
        <w:t>https://investors.biontech.de/uk-disclaimer</w:t>
      </w:r>
      <w:r>
        <w:rPr>
          <w:rFonts w:ascii="Times New Roman" w:cs="Times New Roman" w:eastAsia="Times New Roman" w:hAnsi="Times New Roman"/>
          <w:sz w:val="17"/>
          <w:szCs w:val="17"/>
          <w:color w:val="auto"/>
        </w:rPr>
        <w:t>).</w:t>
      </w:r>
    </w:p>
    <w:p>
      <w:pPr>
        <w:sectPr>
          <w:pgSz w:w="11900" w:h="16838" w:orient="portrait"/>
          <w:cols w:equalWidth="0" w:num="1">
            <w:col w:w="11024"/>
          </w:cols>
          <w:pgMar w:left="436" w:top="837" w:right="439" w:bottom="1440" w:gutter="0" w:footer="0" w:header="0"/>
        </w:sectPr>
      </w:pPr>
    </w:p>
    <w:bookmarkStart w:id="8" w:name="page9"/>
    <w:bookmarkEnd w:id="8"/>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Investors@BioNTech.de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Media@BioNTech.de</w:t>
      </w:r>
    </w:p>
    <w:sectPr>
      <w:pgSz w:w="11900" w:h="16838" w:orient="portrait"/>
      <w:cols w:equalWidth="0" w:num="1">
        <w:col w:w="10880"/>
      </w:cols>
      <w:pgMar w:left="440" w:top="83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2025-11-26T16:19:31Z</dcterms:created>
  <dcterms:modified xsi:type="dcterms:W3CDTF">2025-11-26T16:19:31Z</dcterms:modified>
</cp:coreProperties>
</file>