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Jeggle Helmut Wolfgang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8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BioNTech SE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0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BIONTECH SE</w:t>
            </w:r>
          </w:p>
        </w:tc>
        <w:tc>
          <w:tcPr>
            <w:tcW w:w="12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AN DER GOLDGRUBE 12</w:t>
            </w:r>
          </w:p>
        </w:tc>
      </w:tr>
      <w:tr>
        <w:trPr>
          <w:trHeight w:val="177"/>
        </w:trPr>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MAINZ</w:t>
            </w:r>
          </w:p>
        </w:tc>
        <w:tc>
          <w:tcPr>
            <w:tcW w:w="1020" w:type="dxa"/>
            <w:vAlign w:val="bottom"/>
          </w:tcPr>
          <w:p>
            <w:pPr>
              <w:spacing w:after="0"/>
              <w:rPr>
                <w:sz w:val="23"/>
                <w:szCs w:val="23"/>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D-55131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00" w:type="dxa"/>
            <w:vAlign w:val="bottom"/>
          </w:tcPr>
          <w:p>
            <w:pPr>
              <w:ind w:left="520"/>
              <w:spacing w:after="0"/>
              <w:rPr>
                <w:sz w:val="20"/>
                <w:szCs w:val="20"/>
                <w:color w:val="auto"/>
              </w:rPr>
            </w:pPr>
            <w:r>
              <w:rPr>
                <w:rFonts w:ascii="Times New Roman" w:cs="Times New Roman" w:eastAsia="Times New Roman" w:hAnsi="Times New Roman"/>
                <w:sz w:val="20"/>
                <w:szCs w:val="20"/>
                <w:color w:val="0000FF"/>
              </w:rPr>
              <w:t>332,316</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656,951</w:t>
            </w:r>
          </w:p>
        </w:tc>
        <w:tc>
          <w:tcPr>
            <w:tcW w:w="106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are held by Salvia GmbH. The Reporting Person is the Chief Executive Officer of Salvia GmbH and may be deemed to beneficially own the ordinary shares held by Salvia GmbH.</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Humza Bokhari,</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SEC REPORTING OBLIGATIONS</w:t>
      </w: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Zoey Neuenschwander, Stefanie Lutze, and Humza Bokhari, signing singly and each acting individually, as the undersigned’s true and lawful attorney-in-fact with full power and authority as hereinafter described to:</w:t>
      </w:r>
    </w:p>
    <w:p>
      <w:pPr>
        <w:spacing w:after="0" w:line="218" w:lineRule="exact"/>
        <w:rPr>
          <w:sz w:val="20"/>
          <w:szCs w:val="20"/>
          <w:color w:val="auto"/>
        </w:rPr>
      </w:pPr>
    </w:p>
    <w:p>
      <w:pPr>
        <w:jc w:val="both"/>
        <w:spacing w:after="0" w:line="250" w:lineRule="auto"/>
        <w:tabs>
          <w:tab w:leader="none" w:pos="407"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submit to the U.S. Securities and Exchange Commission (the “SEC”) a Form ID Application and/or Passphrase Update Application or any other application materials to enable the undersigned to gain or maintain access to the Electronic Data Gathering, Analysis and Retrieval system of the SEC;</w:t>
      </w:r>
    </w:p>
    <w:p>
      <w:pPr>
        <w:spacing w:after="0" w:line="218" w:lineRule="exact"/>
        <w:rPr>
          <w:rFonts w:ascii="Times New Roman" w:cs="Times New Roman" w:eastAsia="Times New Roman" w:hAnsi="Times New Roman"/>
          <w:sz w:val="24"/>
          <w:szCs w:val="24"/>
          <w:color w:val="auto"/>
        </w:rPr>
      </w:pPr>
    </w:p>
    <w:p>
      <w:pPr>
        <w:jc w:val="both"/>
        <w:spacing w:after="0" w:line="242" w:lineRule="auto"/>
        <w:tabs>
          <w:tab w:leader="none" w:pos="353"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w:t>
      </w:r>
    </w:p>
    <w:p>
      <w:pPr>
        <w:spacing w:after="0" w:line="1" w:lineRule="exact"/>
        <w:rPr>
          <w:rFonts w:ascii="Times New Roman" w:cs="Times New Roman" w:eastAsia="Times New Roman" w:hAnsi="Times New Roman"/>
          <w:sz w:val="24"/>
          <w:szCs w:val="24"/>
          <w:color w:val="auto"/>
        </w:rPr>
      </w:pPr>
    </w:p>
    <w:p>
      <w:pPr>
        <w:spacing w:after="0" w:line="24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behalf of the undersigned pursuant to this Limited Power of Attorney shall be in such form and shall contain such terms and conditions as such attorney-in-fact may approve in such attorney-in-fact’s discretion;</w:t>
      </w:r>
    </w:p>
    <w:p>
      <w:pPr>
        <w:spacing w:after="0" w:line="225" w:lineRule="exact"/>
        <w:rPr>
          <w:rFonts w:ascii="Times New Roman" w:cs="Times New Roman" w:eastAsia="Times New Roman" w:hAnsi="Times New Roman"/>
          <w:sz w:val="24"/>
          <w:szCs w:val="24"/>
          <w:color w:val="auto"/>
        </w:rPr>
      </w:pPr>
    </w:p>
    <w:p>
      <w:pPr>
        <w:jc w:val="both"/>
        <w:spacing w:after="0" w:line="250" w:lineRule="auto"/>
        <w:tabs>
          <w:tab w:leader="none" w:pos="362"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BioNTech SE (the “Company”), filings under Section 16 of the Securities Exchange Act of 1934, Forms 144, and Schedules 13D and 13G, each including any amendments thereto;</w:t>
      </w:r>
    </w:p>
    <w:p>
      <w:pPr>
        <w:spacing w:after="0" w:line="218" w:lineRule="exact"/>
        <w:rPr>
          <w:rFonts w:ascii="Times New Roman" w:cs="Times New Roman" w:eastAsia="Times New Roman" w:hAnsi="Times New Roman"/>
          <w:sz w:val="24"/>
          <w:szCs w:val="24"/>
          <w:color w:val="auto"/>
        </w:rPr>
      </w:pPr>
    </w:p>
    <w:p>
      <w:pPr>
        <w:jc w:val="both"/>
        <w:spacing w:after="0" w:line="250" w:lineRule="auto"/>
        <w:tabs>
          <w:tab w:leader="none" w:pos="349"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prepare, complete and execute any such filings, prepare, complete and execute any amendment or amendments thereto, and timely deliver and file such form with the SEC and any stock exchange or similar authority; and</w:t>
      </w:r>
    </w:p>
    <w:p>
      <w:pPr>
        <w:spacing w:after="0" w:line="218" w:lineRule="exact"/>
        <w:rPr>
          <w:rFonts w:ascii="Times New Roman" w:cs="Times New Roman" w:eastAsia="Times New Roman" w:hAnsi="Times New Roman"/>
          <w:sz w:val="24"/>
          <w:szCs w:val="24"/>
          <w:color w:val="auto"/>
        </w:rPr>
      </w:pPr>
    </w:p>
    <w:p>
      <w:pPr>
        <w:jc w:val="both"/>
        <w:spacing w:after="0" w:line="245" w:lineRule="auto"/>
        <w:tabs>
          <w:tab w:leader="none" w:pos="369"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973455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to comply with filing obligations pursuant to Form 144, Schedule 13D, Schedule 13G, Form 3, Form 4, or Form</w:t>
      </w:r>
    </w:p>
    <w:p>
      <w:pPr>
        <w:spacing w:after="0" w:line="20" w:lineRule="exact"/>
        <w:rPr>
          <w:sz w:val="20"/>
          <w:szCs w:val="20"/>
          <w:color w:val="auto"/>
        </w:rPr>
      </w:pPr>
    </w:p>
    <w:p>
      <w:pPr>
        <w:jc w:val="both"/>
        <w:spacing w:after="0" w:line="238" w:lineRule="auto"/>
        <w:tabs>
          <w:tab w:leader="none" w:pos="265"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undersigned acknowledges that neither the Company nor the foregoing attorneys-in-fact assume (i) any liability for the undersigned’s responsibility to comply with the beneficial ownership and transaction reporting requirements associated with the foregoing filings or (ii) any liability of the undersigned for any failure to comply with such requirements.</w:t>
      </w:r>
    </w:p>
    <w:p>
      <w:pPr>
        <w:spacing w:after="0" w:line="23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4"/>
          <w:szCs w:val="24"/>
          <w:color w:val="auto"/>
        </w:rPr>
        <w:t>This Limited Power of Attorney shall remain in full force and effect until the undersigned is no longer required to file any such with respect to the undersigned’s beneficial ownership of and transactions in securities issued by the Company, unless earlier revoked by the undersigned in a signed writing delivered to the foregoing attorneys-in-fact.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993775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3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Limited Power of Attorney to be executed as of this 25th day of February, 2026.</w:t>
      </w:r>
    </w:p>
    <w:p>
      <w:pPr>
        <w:spacing w:after="0" w:line="200" w:lineRule="exact"/>
        <w:rPr>
          <w:sz w:val="20"/>
          <w:szCs w:val="20"/>
          <w:color w:val="auto"/>
        </w:rPr>
      </w:pPr>
    </w:p>
    <w:p>
      <w:pPr>
        <w:spacing w:after="0" w:line="26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4"/>
          <w:szCs w:val="24"/>
          <w:color w:val="auto"/>
        </w:rPr>
        <w:t>/s/ Helmut Jeggle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15240</wp:posOffset>
            </wp:positionV>
            <wp:extent cx="21824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82495" cy="9525"/>
                    </a:xfrm>
                    <a:prstGeom prst="rect">
                      <a:avLst/>
                    </a:prstGeom>
                    <a:noFill/>
                  </pic:spPr>
                </pic:pic>
              </a:graphicData>
            </a:graphic>
          </wp:anchor>
        </w:drawing>
      </w:r>
    </w:p>
    <w:p>
      <w:pPr>
        <w:spacing w:after="0" w:line="1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4"/>
          <w:szCs w:val="24"/>
          <w:color w:val="auto"/>
        </w:rPr>
        <w:t>Name: Helmut Jeggle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File No. 989 /2026 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I hereby certify, that the above signature are the true signature, subscribed in my presence, of</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Mr. Helmut Jeggle,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born [***],</w:t>
      </w:r>
    </w:p>
    <w:p>
      <w:pPr>
        <w:spacing w:after="0" w:line="234" w:lineRule="auto"/>
        <w:rPr>
          <w:sz w:val="20"/>
          <w:szCs w:val="20"/>
          <w:color w:val="auto"/>
        </w:rPr>
      </w:pPr>
      <w:r>
        <w:rPr>
          <w:rFonts w:ascii="Times New Roman" w:cs="Times New Roman" w:eastAsia="Times New Roman" w:hAnsi="Times New Roman"/>
          <w:sz w:val="24"/>
          <w:szCs w:val="24"/>
          <w:color w:val="auto"/>
        </w:rPr>
        <w:t>business adress: 55131 Mainz, An der Goldgrube 12</w:t>
      </w:r>
    </w:p>
    <w:p>
      <w:pPr>
        <w:spacing w:after="0" w:line="1" w:lineRule="exact"/>
        <w:rPr>
          <w:sz w:val="20"/>
          <w:szCs w:val="20"/>
          <w:color w:val="auto"/>
        </w:rPr>
      </w:pPr>
    </w:p>
    <w:p>
      <w:pPr>
        <w:ind w:right="7880"/>
        <w:spacing w:after="0" w:line="462" w:lineRule="auto"/>
        <w:tabs>
          <w:tab w:leader="none" w:pos="140"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personally known to me – Mainz, 25th of February 2026 [SEAL]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/s/ Mascha Diefenbach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Diefenbach, Notary public</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26D0989.docx</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APOSTILLE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(Convention de La Haye du 5 octobre 1961)</w:t>
      </w:r>
    </w:p>
    <w:p>
      <w:pPr>
        <w:spacing w:after="0" w:line="264" w:lineRule="exact"/>
        <w:rPr>
          <w:sz w:val="20"/>
          <w:szCs w:val="20"/>
          <w:color w:val="auto"/>
        </w:rPr>
      </w:pPr>
    </w:p>
    <w:p>
      <w:pPr>
        <w:ind w:right="6460"/>
        <w:spacing w:after="0" w:line="469" w:lineRule="auto"/>
        <w:tabs>
          <w:tab w:leader="none" w:pos="240"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Country: Federal Republic of Germany This public document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224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2. has been signed by</w:t>
            </w:r>
          </w:p>
        </w:tc>
        <w:tc>
          <w:tcPr>
            <w:tcW w:w="400" w:type="dxa"/>
            <w:vAlign w:val="bottom"/>
          </w:tcPr>
          <w:p>
            <w:pPr>
              <w:spacing w:after="0"/>
              <w:rPr>
                <w:sz w:val="24"/>
                <w:szCs w:val="24"/>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24"/>
                <w:szCs w:val="24"/>
                <w:color w:val="auto"/>
              </w:rPr>
              <w:t>Mascha Diefenbach</w:t>
            </w:r>
          </w:p>
        </w:tc>
      </w:tr>
      <w:tr>
        <w:trPr>
          <w:trHeight w:val="540"/>
        </w:trPr>
        <w:tc>
          <w:tcPr>
            <w:tcW w:w="26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3. acting in the capacity of</w:t>
            </w:r>
          </w:p>
        </w:tc>
        <w:tc>
          <w:tcPr>
            <w:tcW w:w="4820" w:type="dxa"/>
            <w:vAlign w:val="bottom"/>
          </w:tcPr>
          <w:p>
            <w:pPr>
              <w:ind w:left="240"/>
              <w:spacing w:after="0"/>
              <w:rPr>
                <w:sz w:val="20"/>
                <w:szCs w:val="20"/>
                <w:color w:val="auto"/>
              </w:rPr>
            </w:pPr>
            <w:r>
              <w:rPr>
                <w:rFonts w:ascii="Times New Roman" w:cs="Times New Roman" w:eastAsia="Times New Roman" w:hAnsi="Times New Roman"/>
                <w:sz w:val="24"/>
                <w:szCs w:val="24"/>
                <w:color w:val="auto"/>
              </w:rPr>
              <w:t>notary public</w:t>
            </w:r>
          </w:p>
        </w:tc>
      </w:tr>
      <w:tr>
        <w:trPr>
          <w:trHeight w:val="540"/>
        </w:trPr>
        <w:tc>
          <w:tcPr>
            <w:tcW w:w="26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4. bears the seal/stamp of</w:t>
            </w:r>
          </w:p>
        </w:tc>
        <w:tc>
          <w:tcPr>
            <w:tcW w:w="4820" w:type="dxa"/>
            <w:vAlign w:val="bottom"/>
          </w:tcPr>
          <w:p>
            <w:pPr>
              <w:ind w:left="240"/>
              <w:spacing w:after="0"/>
              <w:rPr>
                <w:sz w:val="20"/>
                <w:szCs w:val="20"/>
                <w:color w:val="auto"/>
              </w:rPr>
            </w:pPr>
            <w:r>
              <w:rPr>
                <w:rFonts w:ascii="Times New Roman" w:cs="Times New Roman" w:eastAsia="Times New Roman" w:hAnsi="Times New Roman"/>
                <w:sz w:val="24"/>
                <w:szCs w:val="24"/>
                <w:color w:val="auto"/>
                <w:w w:val="99"/>
              </w:rPr>
              <w:t>Mascha Diefenbach - Notarin in Mainz [SEAL]</w:t>
            </w:r>
          </w:p>
        </w:tc>
      </w:tr>
      <w:tr>
        <w:trPr>
          <w:trHeight w:val="810"/>
        </w:trPr>
        <w:tc>
          <w:tcPr>
            <w:tcW w:w="900" w:type="dxa"/>
            <w:vAlign w:val="bottom"/>
          </w:tcPr>
          <w:p>
            <w:pPr>
              <w:spacing w:after="0"/>
              <w:rPr>
                <w:sz w:val="20"/>
                <w:szCs w:val="20"/>
                <w:color w:val="auto"/>
              </w:rPr>
            </w:pPr>
            <w:r>
              <w:rPr>
                <w:rFonts w:ascii="Times New Roman" w:cs="Times New Roman" w:eastAsia="Times New Roman" w:hAnsi="Times New Roman"/>
                <w:sz w:val="24"/>
                <w:szCs w:val="24"/>
                <w:color w:val="auto"/>
              </w:rPr>
              <w:t>Certified</w:t>
            </w: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24"/>
                <w:szCs w:val="24"/>
                <w:color w:val="auto"/>
              </w:rPr>
              <w:t>5. at</w:t>
            </w:r>
          </w:p>
        </w:tc>
        <w:tc>
          <w:tcPr>
            <w:tcW w:w="1340" w:type="dxa"/>
            <w:vAlign w:val="bottom"/>
          </w:tcPr>
          <w:p>
            <w:pPr>
              <w:ind w:left="60"/>
              <w:spacing w:after="0"/>
              <w:rPr>
                <w:sz w:val="20"/>
                <w:szCs w:val="20"/>
                <w:color w:val="auto"/>
              </w:rPr>
            </w:pPr>
            <w:r>
              <w:rPr>
                <w:rFonts w:ascii="Times New Roman" w:cs="Times New Roman" w:eastAsia="Times New Roman" w:hAnsi="Times New Roman"/>
                <w:sz w:val="24"/>
                <w:szCs w:val="24"/>
                <w:color w:val="auto"/>
              </w:rPr>
              <w:t>Mainz</w:t>
            </w:r>
          </w:p>
        </w:tc>
        <w:tc>
          <w:tcPr>
            <w:tcW w:w="40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6.</w:t>
            </w:r>
          </w:p>
        </w:tc>
        <w:tc>
          <w:tcPr>
            <w:tcW w:w="4820" w:type="dxa"/>
            <w:vAlign w:val="bottom"/>
          </w:tcPr>
          <w:p>
            <w:pPr>
              <w:ind w:left="60"/>
              <w:spacing w:after="0"/>
              <w:rPr>
                <w:sz w:val="20"/>
                <w:szCs w:val="20"/>
                <w:color w:val="auto"/>
              </w:rPr>
            </w:pPr>
            <w:r>
              <w:rPr>
                <w:rFonts w:ascii="Times New Roman" w:cs="Times New Roman" w:eastAsia="Times New Roman" w:hAnsi="Times New Roman"/>
                <w:sz w:val="24"/>
                <w:szCs w:val="24"/>
                <w:color w:val="auto"/>
              </w:rPr>
              <w:t>the   27.02.2026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1123315</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760"/>
          </w:cols>
          <w:pgMar w:left="480" w:top="1440" w:right="659" w:bottom="1440" w:gutter="0" w:footer="0" w:header="0"/>
        </w:sectPr>
      </w:pPr>
    </w:p>
    <w:bookmarkStart w:id="4" w:name="page5"/>
    <w:bookmarkEnd w:id="4"/>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90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7. by the</w:t>
            </w:r>
          </w:p>
        </w:tc>
        <w:tc>
          <w:tcPr>
            <w:tcW w:w="10040" w:type="dxa"/>
            <w:vAlign w:val="bottom"/>
            <w:gridSpan w:val="3"/>
          </w:tcPr>
          <w:p>
            <w:pPr>
              <w:ind w:left="60"/>
              <w:spacing w:after="0"/>
              <w:rPr>
                <w:sz w:val="20"/>
                <w:szCs w:val="20"/>
                <w:color w:val="auto"/>
              </w:rPr>
            </w:pPr>
            <w:r>
              <w:rPr>
                <w:rFonts w:ascii="Times New Roman" w:cs="Times New Roman" w:eastAsia="Times New Roman" w:hAnsi="Times New Roman"/>
                <w:sz w:val="24"/>
                <w:szCs w:val="24"/>
                <w:color w:val="auto"/>
              </w:rPr>
              <w:t>President of the District Court</w:t>
            </w:r>
          </w:p>
        </w:tc>
      </w:tr>
      <w:tr>
        <w:trPr>
          <w:trHeight w:val="540"/>
        </w:trPr>
        <w:tc>
          <w:tcPr>
            <w:tcW w:w="220" w:type="dxa"/>
            <w:vAlign w:val="bottom"/>
          </w:tcPr>
          <w:p>
            <w:pPr>
              <w:spacing w:after="0"/>
              <w:rPr>
                <w:sz w:val="20"/>
                <w:szCs w:val="20"/>
                <w:color w:val="auto"/>
              </w:rPr>
            </w:pPr>
            <w:r>
              <w:rPr>
                <w:rFonts w:ascii="Times New Roman" w:cs="Times New Roman" w:eastAsia="Times New Roman" w:hAnsi="Times New Roman"/>
                <w:sz w:val="24"/>
                <w:szCs w:val="24"/>
                <w:color w:val="auto"/>
              </w:rPr>
              <w:t>8.</w:t>
            </w:r>
          </w:p>
        </w:tc>
        <w:tc>
          <w:tcPr>
            <w:tcW w:w="680" w:type="dxa"/>
            <w:vAlign w:val="bottom"/>
          </w:tcPr>
          <w:p>
            <w:pPr>
              <w:ind w:left="20"/>
              <w:spacing w:after="0"/>
              <w:rPr>
                <w:sz w:val="20"/>
                <w:szCs w:val="20"/>
                <w:color w:val="auto"/>
              </w:rPr>
            </w:pPr>
            <w:r>
              <w:rPr>
                <w:rFonts w:ascii="Times New Roman" w:cs="Times New Roman" w:eastAsia="Times New Roman" w:hAnsi="Times New Roman"/>
                <w:sz w:val="24"/>
                <w:szCs w:val="24"/>
                <w:color w:val="auto"/>
              </w:rPr>
              <w:t>No</w:t>
            </w:r>
          </w:p>
        </w:tc>
        <w:tc>
          <w:tcPr>
            <w:tcW w:w="3420" w:type="dxa"/>
            <w:vAlign w:val="bottom"/>
            <w:gridSpan w:val="2"/>
          </w:tcPr>
          <w:p>
            <w:pPr>
              <w:jc w:val="right"/>
              <w:ind w:right="1860"/>
              <w:spacing w:after="0"/>
              <w:rPr>
                <w:sz w:val="20"/>
                <w:szCs w:val="20"/>
                <w:color w:val="auto"/>
              </w:rPr>
            </w:pPr>
            <w:r>
              <w:rPr>
                <w:rFonts w:ascii="Times New Roman" w:cs="Times New Roman" w:eastAsia="Times New Roman" w:hAnsi="Times New Roman"/>
                <w:sz w:val="24"/>
                <w:szCs w:val="24"/>
                <w:color w:val="auto"/>
              </w:rPr>
              <w:t>263/2026</w:t>
            </w:r>
          </w:p>
        </w:tc>
        <w:tc>
          <w:tcPr>
            <w:tcW w:w="6620" w:type="dxa"/>
            <w:vAlign w:val="bottom"/>
          </w:tcPr>
          <w:p>
            <w:pPr>
              <w:spacing w:after="0"/>
              <w:rPr>
                <w:sz w:val="24"/>
                <w:szCs w:val="24"/>
                <w:color w:val="auto"/>
              </w:rPr>
            </w:pPr>
          </w:p>
        </w:tc>
      </w:tr>
      <w:tr>
        <w:trPr>
          <w:trHeight w:val="498"/>
        </w:trPr>
        <w:tc>
          <w:tcPr>
            <w:tcW w:w="220" w:type="dxa"/>
            <w:vAlign w:val="bottom"/>
          </w:tcPr>
          <w:p>
            <w:pPr>
              <w:spacing w:after="0"/>
              <w:rPr>
                <w:sz w:val="20"/>
                <w:szCs w:val="20"/>
                <w:color w:val="auto"/>
              </w:rPr>
            </w:pPr>
            <w:r>
              <w:rPr>
                <w:rFonts w:ascii="Times New Roman" w:cs="Times New Roman" w:eastAsia="Times New Roman" w:hAnsi="Times New Roman"/>
                <w:sz w:val="24"/>
                <w:szCs w:val="24"/>
                <w:color w:val="auto"/>
              </w:rPr>
              <w:t>9.</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Stamp: [SEAL]</w:t>
            </w:r>
          </w:p>
        </w:tc>
        <w:tc>
          <w:tcPr>
            <w:tcW w:w="874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10. Signature:</w:t>
            </w:r>
          </w:p>
        </w:tc>
      </w:tr>
      <w:tr>
        <w:trPr>
          <w:trHeight w:val="255"/>
        </w:trPr>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120" w:type="dxa"/>
            <w:vAlign w:val="bottom"/>
            <w:tcBorders>
              <w:bottom w:val="single" w:sz="8" w:color="auto"/>
            </w:tcBorders>
          </w:tcPr>
          <w:p>
            <w:pPr>
              <w:spacing w:after="0" w:line="255" w:lineRule="exact"/>
              <w:rPr>
                <w:sz w:val="20"/>
                <w:szCs w:val="20"/>
                <w:color w:val="auto"/>
              </w:rPr>
            </w:pPr>
            <w:r>
              <w:rPr>
                <w:rFonts w:ascii="Times New Roman" w:cs="Times New Roman" w:eastAsia="Times New Roman" w:hAnsi="Times New Roman"/>
                <w:sz w:val="24"/>
                <w:szCs w:val="24"/>
                <w:color w:val="auto"/>
                <w:w w:val="99"/>
              </w:rPr>
              <w:t>/s/ Thomas Bergmann</w:t>
            </w:r>
          </w:p>
        </w:tc>
        <w:tc>
          <w:tcPr>
            <w:tcW w:w="6620" w:type="dxa"/>
            <w:vAlign w:val="bottom"/>
          </w:tcPr>
          <w:p>
            <w:pPr>
              <w:spacing w:after="0"/>
              <w:rPr>
                <w:sz w:val="22"/>
                <w:szCs w:val="22"/>
                <w:color w:val="auto"/>
              </w:rPr>
            </w:pPr>
          </w:p>
        </w:tc>
      </w:tr>
      <w:tr>
        <w:trPr>
          <w:trHeight w:val="307"/>
        </w:trPr>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Thomas Bergmann</w:t>
            </w:r>
          </w:p>
        </w:tc>
      </w:tr>
      <w:tr>
        <w:trPr>
          <w:trHeight w:val="2069"/>
        </w:trPr>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982614" TargetMode="External"/><Relationship Id="rId11" Type="http://schemas.openxmlformats.org/officeDocument/2006/relationships/hyperlink" Target="http://www.sec.gov/cgi-bin/browse-edgar?action=getcompany&amp;CIK=0001776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2026-03-18T16:45:48Z</dcterms:created>
  <dcterms:modified xsi:type="dcterms:W3CDTF">2026-03-18T16:45:48Z</dcterms:modified>
</cp:coreProperties>
</file>