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7647d424b3.htm"/>
        <w:bookmarkStart w:id="1" w:name="ksd847647d424b3"/>
        <w:bookmarkEnd w:id="0"/>
        <w:bookmarkEnd w:id="1"/>
        <w:r>
          <w:rPr>
            <w:rStyle w:val="InternetLink"/>
            <w:b/>
            <w:sz w:val="20"/>
          </w:rPr>
          <w:t>Table of Contents</w:t>
        </w:r>
      </w:hyperlink>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Registration No. 333-289468</w:t>
      </w:r>
    </w:p>
    <w:p>
      <w:pPr>
        <w:pStyle w:val="TextBody"/>
        <w:bidi w:val="0"/>
        <w:spacing w:before="0" w:after="0"/>
        <w:jc w:val="left"/>
        <w:rPr>
          <w:rFonts w:ascii="Times New Roman" w:hAnsi="Times New Roman"/>
          <w:b/>
          <w:sz w:val="20"/>
        </w:rPr>
      </w:pPr>
      <w:r>
        <w:rPr>
          <w:rFonts w:ascii="Times New Roman" w:hAnsi="Times New Roman"/>
          <w:b/>
          <w:sz w:val="20"/>
        </w:rPr>
        <w:t xml:space="preserve">Offer to Exchange/Prospectus </w:t>
      </w:r>
    </w:p>
    <w:p>
      <w:pPr>
        <w:pStyle w:val="TextBody"/>
        <w:bidi w:val="0"/>
        <w:spacing w:before="240" w:after="0"/>
        <w:jc w:val="center"/>
        <w:rPr>
          <w:rFonts w:ascii="Times New Roman" w:hAnsi="Times New Roman"/>
          <w:b/>
          <w:sz w:val="24"/>
        </w:rPr>
      </w:pPr>
      <w:r>
        <w:rPr>
          <w:rFonts w:ascii="Times New Roman" w:hAnsi="Times New Roman"/>
          <w:b/>
          <w:sz w:val="24"/>
        </w:rPr>
        <w:t xml:space="preserve">Offer to Exchange </w:t>
      </w:r>
    </w:p>
    <w:p>
      <w:pPr>
        <w:pStyle w:val="TextBody"/>
        <w:bidi w:val="0"/>
        <w:spacing w:before="0" w:after="0"/>
        <w:jc w:val="center"/>
        <w:rPr>
          <w:rFonts w:ascii="Times New Roman" w:hAnsi="Times New Roman"/>
          <w:b/>
          <w:sz w:val="24"/>
        </w:rPr>
      </w:pPr>
      <w:r>
        <w:rPr>
          <w:rFonts w:ascii="Times New Roman" w:hAnsi="Times New Roman"/>
          <w:b/>
          <w:sz w:val="24"/>
        </w:rPr>
        <w:t xml:space="preserve">each outstanding ordinary share of </w:t>
      </w:r>
    </w:p>
    <w:p>
      <w:pPr>
        <w:pStyle w:val="TextBody"/>
        <w:bidi w:val="0"/>
        <w:spacing w:before="240" w:after="0"/>
        <w:jc w:val="center"/>
        <w:rPr>
          <w:rFonts w:ascii="Times New Roman" w:hAnsi="Times New Roman"/>
          <w:b/>
          <w:sz w:val="48"/>
        </w:rPr>
      </w:pPr>
      <w:r>
        <w:rPr>
          <w:rFonts w:ascii="Times New Roman" w:hAnsi="Times New Roman"/>
          <w:b/>
          <w:sz w:val="48"/>
        </w:rPr>
        <w:t xml:space="preserve">CureVac N.V. </w:t>
      </w:r>
    </w:p>
    <w:p>
      <w:pPr>
        <w:pStyle w:val="TextBody"/>
        <w:bidi w:val="0"/>
        <w:spacing w:before="0" w:after="0"/>
        <w:jc w:val="center"/>
        <w:rPr>
          <w:rFonts w:ascii="Times New Roman" w:hAnsi="Times New Roman"/>
          <w:b/>
          <w:sz w:val="24"/>
        </w:rPr>
      </w:pPr>
      <w:r>
        <w:rPr>
          <w:rFonts w:ascii="Times New Roman" w:hAnsi="Times New Roman"/>
          <w:b/>
          <w:sz w:val="24"/>
        </w:rPr>
        <w:t xml:space="preserve">for $5.4641 of American Depositary Shares of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7745" cy="261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7745" cy="2616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(subject to a collar and calculated </w:t>
      </w:r>
    </w:p>
    <w:p>
      <w:pPr>
        <w:pStyle w:val="TextBody"/>
        <w:bidi w:val="0"/>
        <w:spacing w:before="0" w:after="0"/>
        <w:jc w:val="center"/>
        <w:rPr>
          <w:rFonts w:ascii="Times New Roman" w:hAnsi="Times New Roman"/>
          <w:b/>
          <w:sz w:val="24"/>
        </w:rPr>
      </w:pPr>
      <w:r>
        <w:rPr>
          <w:rFonts w:ascii="Times New Roman" w:hAnsi="Times New Roman"/>
          <w:b/>
          <w:sz w:val="24"/>
        </w:rPr>
        <w:t xml:space="preserve">as described in this offer to exchange/prospectus)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OFFER AND THE WITHDRAWAL RIGHTS WILL EXPIRE AT 9:00 A.M. (NEW YORK CITY TIME) ON DECEMBER 3, 2025, UNLESS THE OFFER IS EXTENDED OR TERMINATED IN ACCORDANCE WITH THE PURCHASE AGREEMENT. </w:t>
      </w:r>
    </w:p>
    <w:p>
      <w:pPr>
        <w:pStyle w:val="TextBody"/>
        <w:bidi w:val="0"/>
        <w:spacing w:before="240" w:after="0"/>
        <w:jc w:val="left"/>
        <w:rPr>
          <w:rFonts w:ascii="Times New Roman" w:hAnsi="Times New Roman"/>
          <w:sz w:val="20"/>
        </w:rPr>
      </w:pPr>
      <w:r>
        <w:rPr>
          <w:rFonts w:ascii="Times New Roman" w:hAnsi="Times New Roman"/>
          <w:sz w:val="20"/>
        </w:rPr>
        <w:t>The supervisory board and management board, which we refer to together as the BioNTech boards, of BioNTech SE, a European stock corporation (</w:t>
      </w:r>
      <w:r>
        <w:rPr>
          <w:rFonts w:ascii="Times New Roman" w:hAnsi="Times New Roman"/>
          <w:i/>
          <w:sz w:val="20"/>
        </w:rPr>
        <w:t>Societas Europaea</w:t>
      </w:r>
      <w:r>
        <w:rPr>
          <w:rFonts w:ascii="Times New Roman" w:hAnsi="Times New Roman"/>
          <w:sz w:val="20"/>
        </w:rPr>
        <w:t>, or SE) organized under the laws of Germany and the European Union, which we refer to as BioNTech, have unanimously approved a Purchase Agreement, dated as of June 12, 2025, which we refer to as the Purchase Agreement, by and between BioNTech and CureVac N.V., a public limited liability company (</w:t>
      </w:r>
      <w:r>
        <w:rPr>
          <w:rFonts w:ascii="Times New Roman" w:hAnsi="Times New Roman"/>
          <w:i/>
          <w:sz w:val="20"/>
        </w:rPr>
        <w:t>naamloze vennootschap</w:t>
      </w:r>
      <w:r>
        <w:rPr>
          <w:rFonts w:ascii="Times New Roman" w:hAnsi="Times New Roman"/>
          <w:sz w:val="20"/>
        </w:rPr>
        <w:t xml:space="preserve">) incorporated under the laws of the Netherlands, which we refer to as CureVac. Pursuant to the Purchase Agreement, BioNTech will commence an exchange offer, which we refer to as the offer, to acquire all of the outstanding ordinary shares, par value 0.12 per share, of CureVac, which we refer to as the CureVac shares. In exchange for each CureVac share, the tendering CureVac shareholder will receive a number of American Depositary Shares, taken to five decimal places, each representing one ordinary share, no par value, with a notional amount attributable to each ordinary share of 1, of BioNTech, which we refer to as BioNTech ADSs,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which we refer to as the BioNTech ADS VWAP. We refer to the ratio of BioNTech ADSs to be received per CureVac share tendered pursuant to the foregoing as the exchange ratio and the BioNTech ADS received per CureVac share as the offer consideration. In the event the BioNTech ADS VWAP is greater than or equal to $126.55, the exchange ratio will be 0.04318 and in the event the BioNTech ADS VWAP is less than or equal to $84.37, the exchange ratio will be 0.06476.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 </w:t>
      </w:r>
    </w:p>
    <w:p>
      <w:pPr>
        <w:pStyle w:val="TextBody"/>
        <w:bidi w:val="0"/>
        <w:spacing w:before="240" w:after="0"/>
        <w:jc w:val="left"/>
        <w:rPr>
          <w:rFonts w:ascii="Times New Roman" w:hAnsi="Times New Roman"/>
          <w:sz w:val="20"/>
        </w:rPr>
      </w:pPr>
      <w:r>
        <w:rPr>
          <w:rFonts w:ascii="Times New Roman" w:hAnsi="Times New Roman"/>
          <w:sz w:val="20"/>
        </w:rPr>
        <w:t xml:space="preserve">The offer will initially remain open until 9:00 a.m. (New York City time) on December 3, 2025, unless the offer is extended or terminated in accordance with the Purchase Agreement. We refer to the time at which the offer expires as the expiration time. Following the time of acceptance for exchange of tendered CureVac shares by BioNTech in connection with the offer, which we refer to as the acceptance time, BioNTech will provide a subsequent offering period in accordance with Rule 14d-11 promulgated under the Securities Exchange Act of 1934, as amended, which we refer to as the Exchange Act, of not less than 10 business days (calculated in accordance with Rule 14d-1(g)(3) under the Exchange Act), which we refer to as the subsequent offering period.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BioNTech’s obligation to acquire CureVac shares validly tendered and not properly withdrawn pursuant to the offer is subject to the satisfaction or waiver of various closing conditions, including (i) at least 80% of CureVac’s issued and outstanding capital immediately prior to the expiration time having been validly tendered and not properly withdrawn immediately prior to the expiration time, which we refer to as the minimum condition; provided that, BioNTech may reduce the minimum condition to 75% of CureVac’s issued and outstanding capital under certain circumstances; (ii) certain necessary antitrust and other regulatory approvals shall have been received, or be deemed to have been received due to the expiry or termination of their relevant waiting periods or applicable statutory deadlines (and any extension thereof), and be in full force and effect; (iii) the absence of any applicable law or order of a governmental authority prohibiting, rendering illegal, or enjoining the consummation of the offer or the other transactions contemplated by the Purchase Agreement, including the post-offer reorganization (as defined below); (iv) the accuracy of the representations and warranties of CureVac contained in the Purchase Agreement (subject to certain materiality standards); (v) CureVac’s material compliance with its covenants contained in the Purchase Agreement; (vi) there having not been any material adverse effect on CureVac following the execution of the Purchase Agreement, which is continuing (subject to certain exceptions); (vii) there having not been any material adverse effect on BioNTech following the execution of the Purchase Agreement, which is continuing (subject to certain exceptions); (viii) the adoption of resolutions at the extraordinary general meeting of CureVac, which we refer to as the EGM, providing for (a) the appointment of BioNTech designees to the management board and supervisory board of CureVac, which we refer to as the CureVac boards, to replace the resigning members effective upon the closing of the offer (as defined below), which we refer to as the governance resolutions, and (b) the approval of the post-offer reorganization, which we refer to as the post-offer reorganization resolutions and, together with the governance resolutions, as the required resolutions; (ix) a certificate of CureVac having been delivered to BioNTech certifying as to the satisfaction of certain offer conditions; (x) there being no stop order suspending the effectiveness of the registration statement of which this offer to exchange/prospectus forms a part, which we refer to as the registration statement; and (xi) the Purchase Agreement not having been terminated in accordance with its terms. If BioNTech makes a material change in the terms of the offer or the information concerning the offer, or if it waives a material condition to the offer, BioNTech will disseminate additional offer materials and extend the offer by five or 10 business days, to the extent required by Rules 14d-4(d), 14d-6(c), and 14e-1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following the expiration of the subsequent offering period, BioNTech and CureVac will effectuate a corporate reorganization of CureVac and its subsidiaries, which we refer to as the post-offer reorganization. The post-offer reorganization will be comprised of a Dutch legal downstream merger of CureVac into New Topco (as defined below), which we refer to as the legal downstream merger, followed by the sale by New Topco to BioNTech of all outstanding ordinary shares in the capital of CureVac’s subsidiary, CureVac SE (which holds the CureVac business), which we refer to as the post-downstream merger share sale, followed by the cancellation of all New Topco A shares (as defined below), which we refer to as the cancellation. Pursuant to the legal downstream merger, New Topco will allot (i) New Topco A shares to the holders of CureVac shares that were not tendered pursuant to the offer or in the subsequent offering period, which we refer to as the minority shareholders, and (ii) New Topco B shares (as defined below) to BioNTech. Pursuant to the cancellation, New Topco will cancel all New Topco A shares held by the minority shareholders against payment of the cancellation consideration consisting of BioNTech ADSs and cash in lieu of fractional BioNTech ADSs such that each holder of New Topco A shares receives a number of BioNTech ADSs equal to the product of (a) the offer consideration and (b) the number of New Topco A shares held by such holder immediately before the post-downstream merger share sale, without interest and subject to any applicable Dutch dividend withholding tax. Effective one day following the cancellation, BioNTech will cause New Topco to elect to be disregarded as an entity separate from BioNTech for U.S. federal income tax purposes, which we refer to as the New Topco U.S. tax election.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any holders of CureVac shares who do not participate in the offer, including the subsequent offering period, will receive the same consideration as such shareholder would have received had it participated in the offer. However, BioNTech ADSs (and cash in lieu of fractional BioNTech ADSs) received pursuant to the post-offer reorganization may be subject to Dutch dividend withholding tax at a rate of 15%, whereas no Dutch dividend withholding tax is applicable to the offer consideration received in exchange for the CureVac shares tendered in the offer, including during the subsequent offering period. The exchange agent (as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below) may withhold and sell BioNTech ADSs to satisfy any such withholding tax and any such withholding tax shall be treated for all purposes as having been paid to the relevant holder of CureVac shares who did not participate in the offer. See “The Offer — The Post-Offer Reorganization and the New Topco U.S. Tax Election” beginning on page 59.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following the expiration of the subsequent offering period,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 </w:t>
      </w:r>
    </w:p>
    <w:p>
      <w:pPr>
        <w:pStyle w:val="TextBody"/>
        <w:bidi w:val="0"/>
        <w:spacing w:before="240" w:after="0"/>
        <w:jc w:val="left"/>
        <w:rPr>
          <w:rFonts w:ascii="Times New Roman" w:hAnsi="Times New Roman"/>
          <w:sz w:val="20"/>
        </w:rPr>
      </w:pPr>
      <w:r>
        <w:rPr>
          <w:rFonts w:ascii="Times New Roman" w:hAnsi="Times New Roman"/>
          <w:sz w:val="20"/>
        </w:rPr>
        <w:t xml:space="preserve">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If, at the scheduled expiration time, any of the offer conditions have not been satisfied or waived by BioNTech, BioNTech must extend the offer on one or more occasions in consecutive periods of up to 10 business days each (or such other duration as may be agreed to by BioNTech and CureVac) in order to permit the satisfaction of such offer conditions; provided that, BioNTech may extend the offer for up to 20 business days if it is not reasonably likely that, within such 10 business day extension period, a required antitrust approval will be obtained, or deemed to be obtained, and/or a legal restraint will not be removed. BioNTech is not required to extend the offer on more than four occasions in consecutive periods of up to 10 business days each if the sole unsatisfied condition is the minimum condition. BioNTech is not required to extend the offer beyond March 12, 2026, provided that, if all conditions to the offer, other than the required antitrust approvals, are satisfied or capable of being satisfied, the outside date will be automatically extended for up to two additional 90-day periods. Under the Purchase Agreement, if any of the resolutions of CureVac that are a condition to the closing of the offer are not approved and adopted at the EGM, a subsequent EGM may be held to obtain the approval of the remaining outstanding resolutions, which we refer to as a subsequent EGM.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asking you for a proxy and you are requested not to send us a proxy. </w:t>
      </w:r>
    </w:p>
    <w:p>
      <w:pPr>
        <w:pStyle w:val="TextBody"/>
        <w:bidi w:val="0"/>
        <w:spacing w:before="240" w:after="0"/>
        <w:jc w:val="left"/>
        <w:rPr>
          <w:rFonts w:ascii="Times New Roman" w:hAnsi="Times New Roman"/>
          <w:sz w:val="20"/>
        </w:rPr>
      </w:pPr>
      <w:r>
        <w:rPr>
          <w:rFonts w:ascii="Times New Roman" w:hAnsi="Times New Roman"/>
          <w:sz w:val="20"/>
        </w:rPr>
        <w:t xml:space="preserve">The BioNTech ADSs are listed on Nasdaq under the trading symbol “BNTX”. On October 20, 2025, the closing price of BioNTech ADSs on Nasdaq was $107.95 per ADS. CureVac shares are listed on Nasdaq under the trading symbol “CVAC”. On October 20, 2025, the closing price of CureVac shares on Nasdaq was $5.36 per share. CureVac shareholders are urged to obtain current market quotations for BioNTech ADSs and CureVac shares. </w:t>
      </w:r>
    </w:p>
    <w:p>
      <w:pPr>
        <w:pStyle w:val="TextBody"/>
        <w:bidi w:val="0"/>
        <w:spacing w:before="240" w:after="0"/>
        <w:jc w:val="left"/>
        <w:rPr/>
      </w:pPr>
      <w:r>
        <w:rPr>
          <w:rFonts w:ascii="Times New Roman" w:hAnsi="Times New Roman"/>
          <w:sz w:val="24"/>
        </w:rPr>
        <w:t>FOR A DISCUSSION OF RISKS AND OTHER FACTORS THAT YOU SHOULD CONSIDER IN CONNECTION WITH THE OFFER, PLEASE CAREFULLY READ THE SECTION OF THIS OFFER TO EXCHANGE/PROSPECTUS ENTITLED “</w:t>
      </w:r>
      <w:hyperlink w:anchor="toc847647_32">
        <w:r>
          <w:rPr>
            <w:rStyle w:val="InternetLink"/>
            <w:rFonts w:ascii="Times New Roman" w:hAnsi="Times New Roman"/>
            <w:sz w:val="24"/>
          </w:rPr>
          <w:t>RISK FACTORS</w:t>
        </w:r>
      </w:hyperlink>
      <w:r>
        <w:rPr>
          <w:rFonts w:ascii="Times New Roman" w:hAnsi="Times New Roman"/>
          <w:sz w:val="24"/>
        </w:rPr>
        <w:t xml:space="preserve">” BEGINNING ON PAGE 28.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regulatory authority has approved or disapproved of the offer or the securities to be issued under this offer to exchange/prospectus or has passed upon the adequacy or accuracy of the disclosure in this offer to exchange/prospectus.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OFFER TO EXCHANGE/PROSPECTUS IS NOT AN OFFER TO SELL SECURITIES AND IT IS NOT A SOLICITATION OF AN OFFER TO BUY SECURITIES, NOR SHALL THERE BE ANY SALE OR PURCHASE OF SECURITIES PURSUANT HERETO, IN ANY JURISDICTION IN WHICH SUCH OFFER, SOLICITATION OR SALE IS NOT PERMITTED OR WOULD BE UNLAWFUL PRIOR TO REGISTRATION OR QUALIFICATION UNDER THE LAWS OF ANY SUCH JURISDICTION. IF YOU ARE IN ANY DOUBT AS TO YOUR ELIGIBILITY TO PARTICIPATE IN THE OFFER, YOU SHOULD CONTACT YOUR PROFESSIONAL ADVISOR IMMEDIATELY.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offer to exchange/prospectus is November 14,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95"/>
        <w:gridCol w:w="224"/>
        <w:gridCol w:w="60"/>
        <w:gridCol w:w="264"/>
        <w:gridCol w:w="62"/>
      </w:tblGrid>
      <w:tr>
        <w:trPr/>
        <w:tc>
          <w:tcPr>
            <w:tcW w:w="959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95" w:type="dxa"/>
            <w:tcBorders/>
            <w:vAlign w:val="bottom"/>
          </w:tcPr>
          <w:p>
            <w:pPr>
              <w:pStyle w:val="TableContents"/>
              <w:bidi w:val="0"/>
              <w:spacing w:before="0" w:after="0"/>
              <w:jc w:val="left"/>
              <w:rPr/>
            </w:pPr>
            <w:hyperlink w:anchor="toc847647_1">
              <w:r>
                <w:rPr>
                  <w:rStyle w:val="InternetLink"/>
                  <w:rFonts w:ascii="Times New Roman" w:hAnsi="Times New Roman"/>
                  <w:sz w:val="20"/>
                </w:rPr>
                <w:t>QUESTIONS AND ANSWERS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2">
              <w:r>
                <w:rPr>
                  <w:rStyle w:val="InternetLink"/>
                  <w:rFonts w:ascii="Times New Roman" w:hAnsi="Times New Roman"/>
                  <w:sz w:val="20"/>
                </w:rPr>
                <w:t>SUMMARY</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
              <w:r>
                <w:rPr>
                  <w:rStyle w:val="InternetLink"/>
                  <w:rFonts w:ascii="Times New Roman" w:hAnsi="Times New Roman"/>
                  <w:sz w:val="20"/>
                </w:rPr>
                <w:t>The Companies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
              <w:r>
                <w:rPr>
                  <w:rStyle w:val="InternetLink"/>
                  <w:rFonts w:ascii="Times New Roman" w:hAnsi="Times New Roman"/>
                  <w:sz w:val="20"/>
                </w:rPr>
                <w:t>The Offer and the Purchase Agreement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5">
              <w:r>
                <w:rPr>
                  <w:rStyle w:val="InternetLink"/>
                  <w:rFonts w:ascii="Times New Roman" w:hAnsi="Times New Roman"/>
                  <w:sz w:val="20"/>
                </w:rPr>
                <w:t>The Tender and Support Agreements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6">
              <w:r>
                <w:rPr>
                  <w:rStyle w:val="InternetLink"/>
                  <w:rFonts w:ascii="Times New Roman" w:hAnsi="Times New Roman"/>
                  <w:sz w:val="20"/>
                </w:rPr>
                <w:t>BioNTech’s Reasons for the Offer and the Transactions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7">
              <w:r>
                <w:rPr>
                  <w:rStyle w:val="InternetLink"/>
                  <w:rFonts w:ascii="Times New Roman" w:hAnsi="Times New Roman"/>
                  <w:sz w:val="20"/>
                </w:rPr>
                <w:t>Summary of Risks Related to the Transactions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8">
              <w:r>
                <w:rPr>
                  <w:rStyle w:val="InternetLink"/>
                  <w:rFonts w:ascii="Times New Roman" w:hAnsi="Times New Roman"/>
                  <w:sz w:val="20"/>
                </w:rPr>
                <w:t>Directors and Management of BioNTech and CureVac or New Topco, as applicable, following the Closing of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9">
              <w:r>
                <w:rPr>
                  <w:rStyle w:val="InternetLink"/>
                  <w:rFonts w:ascii="Times New Roman" w:hAnsi="Times New Roman"/>
                  <w:sz w:val="20"/>
                </w:rPr>
                <w:t>Interests of BioNTech’s Supervisory and Management Directors in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0">
              <w:r>
                <w:rPr>
                  <w:rStyle w:val="InternetLink"/>
                  <w:rFonts w:ascii="Times New Roman" w:hAnsi="Times New Roman"/>
                  <w:sz w:val="20"/>
                </w:rPr>
                <w:t>Interests of CureVac’s Supervisory and Management Directors in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1">
              <w:r>
                <w:rPr>
                  <w:rStyle w:val="InternetLink"/>
                  <w:rFonts w:ascii="Times New Roman" w:hAnsi="Times New Roman"/>
                  <w:sz w:val="20"/>
                </w:rPr>
                <w:t>Treatment of CureVac Equity Awards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2">
              <w:r>
                <w:rPr>
                  <w:rStyle w:val="InternetLink"/>
                  <w:rFonts w:ascii="Times New Roman" w:hAnsi="Times New Roman"/>
                  <w:sz w:val="20"/>
                </w:rPr>
                <w:t>Extension of the Offer Period</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3">
              <w:r>
                <w:rPr>
                  <w:rStyle w:val="InternetLink"/>
                  <w:rFonts w:ascii="Times New Roman" w:hAnsi="Times New Roman"/>
                  <w:sz w:val="20"/>
                </w:rPr>
                <w:t>Subsequent Offering Period</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4">
              <w:r>
                <w:rPr>
                  <w:rStyle w:val="InternetLink"/>
                  <w:rFonts w:ascii="Times New Roman" w:hAnsi="Times New Roman"/>
                  <w:sz w:val="20"/>
                </w:rPr>
                <w:t>The Post-Offer Reorganization and the New Topco U.S. Tax Election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5">
              <w:r>
                <w:rPr>
                  <w:rStyle w:val="InternetLink"/>
                  <w:rFonts w:ascii="Times New Roman" w:hAnsi="Times New Roman"/>
                  <w:sz w:val="20"/>
                </w:rPr>
                <w:t>Appraisal Rights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01">
              <w:r>
                <w:rPr>
                  <w:rStyle w:val="InternetLink"/>
                  <w:rFonts w:ascii="Times New Roman" w:hAnsi="Times New Roman"/>
                  <w:sz w:val="20"/>
                </w:rPr>
                <w:t xml:space="preserve">Recent Developments </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6">
              <w:r>
                <w:rPr>
                  <w:rStyle w:val="InternetLink"/>
                  <w:rFonts w:ascii="Times New Roman" w:hAnsi="Times New Roman"/>
                  <w:sz w:val="20"/>
                </w:rPr>
                <w:t>Conditions to Closing of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7">
              <w:r>
                <w:rPr>
                  <w:rStyle w:val="InternetLink"/>
                  <w:rFonts w:ascii="Times New Roman" w:hAnsi="Times New Roman"/>
                  <w:sz w:val="20"/>
                </w:rPr>
                <w:t>Procedures for Tendering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8">
              <w:r>
                <w:rPr>
                  <w:rStyle w:val="InternetLink"/>
                  <w:rFonts w:ascii="Times New Roman" w:hAnsi="Times New Roman"/>
                  <w:sz w:val="20"/>
                </w:rPr>
                <w:t>Withdrawal Rights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19">
              <w:r>
                <w:rPr>
                  <w:rStyle w:val="InternetLink"/>
                  <w:rFonts w:ascii="Times New Roman" w:hAnsi="Times New Roman"/>
                  <w:sz w:val="20"/>
                </w:rPr>
                <w:t>Acceptance for Exchange of CureVac Shares; Delivery of BioNTech ADSs; Capital Increases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0">
              <w:r>
                <w:rPr>
                  <w:rStyle w:val="InternetLink"/>
                  <w:rFonts w:ascii="Times New Roman" w:hAnsi="Times New Roman"/>
                  <w:sz w:val="20"/>
                </w:rPr>
                <w:t>Antitrust Approvals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1">
              <w:r>
                <w:rPr>
                  <w:rStyle w:val="InternetLink"/>
                  <w:rFonts w:ascii="Times New Roman" w:hAnsi="Times New Roman"/>
                  <w:sz w:val="20"/>
                </w:rPr>
                <w:t>Other Regulatory Approvals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2">
              <w:r>
                <w:rPr>
                  <w:rStyle w:val="InternetLink"/>
                  <w:rFonts w:ascii="Times New Roman" w:hAnsi="Times New Roman"/>
                  <w:sz w:val="20"/>
                </w:rPr>
                <w:t>No Solicitation and Adverse Recommendation Change</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3">
              <w:r>
                <w:rPr>
                  <w:rStyle w:val="InternetLink"/>
                  <w:rFonts w:ascii="Times New Roman" w:hAnsi="Times New Roman"/>
                  <w:sz w:val="20"/>
                </w:rPr>
                <w:t>Termination of the Purchase Agreement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4">
              <w:r>
                <w:rPr>
                  <w:rStyle w:val="InternetLink"/>
                  <w:rFonts w:ascii="Times New Roman" w:hAnsi="Times New Roman"/>
                  <w:sz w:val="20"/>
                </w:rPr>
                <w:t>Termination Payments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5">
              <w:r>
                <w:rPr>
                  <w:rStyle w:val="InternetLink"/>
                  <w:rFonts w:ascii="Times New Roman" w:hAnsi="Times New Roman"/>
                  <w:sz w:val="20"/>
                </w:rPr>
                <w:t>Material United States Federal Income Tax Considerations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6">
              <w:r>
                <w:rPr>
                  <w:rStyle w:val="InternetLink"/>
                  <w:rFonts w:ascii="Times New Roman" w:hAnsi="Times New Roman"/>
                  <w:sz w:val="20"/>
                </w:rPr>
                <w:t>Material German Tax Considerations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7">
              <w:r>
                <w:rPr>
                  <w:rStyle w:val="InternetLink"/>
                  <w:rFonts w:ascii="Times New Roman" w:hAnsi="Times New Roman"/>
                  <w:sz w:val="20"/>
                </w:rPr>
                <w:t>Material Dutch Tax Considerations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8">
              <w:r>
                <w:rPr>
                  <w:rStyle w:val="InternetLink"/>
                  <w:rFonts w:ascii="Times New Roman" w:hAnsi="Times New Roman"/>
                  <w:sz w:val="20"/>
                </w:rPr>
                <w:t>Accounting Treatment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29">
              <w:r>
                <w:rPr>
                  <w:rStyle w:val="InternetLink"/>
                  <w:rFonts w:ascii="Times New Roman" w:hAnsi="Times New Roman"/>
                  <w:sz w:val="20"/>
                </w:rPr>
                <w:t>Comparison of Rights of BioNTech Shareholders and CureVac Shareholders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0">
              <w:r>
                <w:rPr>
                  <w:rStyle w:val="InternetLink"/>
                  <w:rFonts w:ascii="Times New Roman" w:hAnsi="Times New Roman"/>
                  <w:sz w:val="20"/>
                </w:rPr>
                <w:t>Comparative Per Share Market Price Information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1">
              <w:r>
                <w:rPr>
                  <w:rStyle w:val="InternetLink"/>
                  <w:rFonts w:ascii="Times New Roman" w:hAnsi="Times New Roman"/>
                  <w:sz w:val="20"/>
                </w:rPr>
                <w:t>Comparative Share Prices and Dividends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32">
              <w:r>
                <w:rPr>
                  <w:rStyle w:val="InternetLink"/>
                  <w:rFonts w:ascii="Times New Roman" w:hAnsi="Times New Roman"/>
                  <w:sz w:val="20"/>
                </w:rPr>
                <w:t>RISK FACTORS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33">
              <w:r>
                <w:rPr>
                  <w:rStyle w:val="InternetLink"/>
                  <w:rFonts w:ascii="Times New Roman" w:hAnsi="Times New Roman"/>
                  <w:sz w:val="20"/>
                </w:rPr>
                <w:t>CAUTIONARY STATEMENT CONCERNING FORWARD-LOOKING STATEMENTS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34">
              <w:r>
                <w:rPr>
                  <w:rStyle w:val="InternetLink"/>
                  <w:rFonts w:ascii="Times New Roman" w:hAnsi="Times New Roman"/>
                  <w:sz w:val="20"/>
                </w:rPr>
                <w:t>THE COMPANIES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35">
              <w:r>
                <w:rPr>
                  <w:rStyle w:val="InternetLink"/>
                  <w:rFonts w:ascii="Times New Roman" w:hAnsi="Times New Roman"/>
                  <w:sz w:val="20"/>
                </w:rPr>
                <w:t>BACKGROUND OF THE TRANSACTIONS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6">
              <w:r>
                <w:rPr>
                  <w:rStyle w:val="InternetLink"/>
                  <w:rFonts w:ascii="Times New Roman" w:hAnsi="Times New Roman"/>
                  <w:sz w:val="20"/>
                </w:rPr>
                <w:t>Background of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7">
              <w:r>
                <w:rPr>
                  <w:rStyle w:val="InternetLink"/>
                  <w:rFonts w:ascii="Times New Roman" w:hAnsi="Times New Roman"/>
                  <w:sz w:val="20"/>
                </w:rPr>
                <w:t>CureVac Background of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8">
              <w:r>
                <w:rPr>
                  <w:rStyle w:val="InternetLink"/>
                  <w:rFonts w:ascii="Times New Roman" w:hAnsi="Times New Roman"/>
                  <w:sz w:val="20"/>
                </w:rPr>
                <w:t>BioNTech’s Reasons for the Offer and the Transactions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39">
              <w:r>
                <w:rPr>
                  <w:rStyle w:val="InternetLink"/>
                  <w:rFonts w:ascii="Times New Roman" w:hAnsi="Times New Roman"/>
                  <w:sz w:val="20"/>
                </w:rPr>
                <w:t>CureVac’s Reasons for the Offer and the Transactions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0">
              <w:r>
                <w:rPr>
                  <w:rStyle w:val="InternetLink"/>
                  <w:rFonts w:ascii="Times New Roman" w:hAnsi="Times New Roman"/>
                  <w:sz w:val="20"/>
                </w:rPr>
                <w:t>Certain Financial Projections Provided by CureVac to BioNTech</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1">
              <w:r>
                <w:rPr>
                  <w:rStyle w:val="InternetLink"/>
                  <w:rFonts w:ascii="Times New Roman" w:hAnsi="Times New Roman"/>
                  <w:sz w:val="20"/>
                </w:rPr>
                <w:t>Directors and Management of BioNTech and CureVac or New Topco, as applicable, following the Closing of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2">
              <w:r>
                <w:rPr>
                  <w:rStyle w:val="InternetLink"/>
                  <w:rFonts w:ascii="Times New Roman" w:hAnsi="Times New Roman"/>
                  <w:sz w:val="20"/>
                </w:rPr>
                <w:t>Interests of BioNTech’s Supervisory and Management Directors in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3">
              <w:r>
                <w:rPr>
                  <w:rStyle w:val="InternetLink"/>
                  <w:rFonts w:ascii="Times New Roman" w:hAnsi="Times New Roman"/>
                  <w:sz w:val="20"/>
                </w:rPr>
                <w:t>Interests of CureVac’s Supervisory and Management Directors in 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595" w:type="dxa"/>
            <w:tcBorders/>
            <w:vAlign w:val="bottom"/>
          </w:tcPr>
          <w:p>
            <w:pPr>
              <w:pStyle w:val="TableContents"/>
              <w:bidi w:val="0"/>
              <w:spacing w:before="0" w:after="0"/>
              <w:jc w:val="left"/>
              <w:rPr/>
            </w:pPr>
            <w:hyperlink w:anchor="toc847647_44">
              <w:r>
                <w:rPr>
                  <w:rStyle w:val="InternetLink"/>
                  <w:rFonts w:ascii="Times New Roman" w:hAnsi="Times New Roman"/>
                  <w:sz w:val="20"/>
                </w:rPr>
                <w:t>THE OFFER</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5">
              <w:r>
                <w:rPr>
                  <w:rStyle w:val="InternetLink"/>
                  <w:rFonts w:ascii="Times New Roman" w:hAnsi="Times New Roman"/>
                  <w:sz w:val="20"/>
                </w:rPr>
                <w:t>Offer Consideration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6">
              <w:r>
                <w:rPr>
                  <w:rStyle w:val="InternetLink"/>
                  <w:rFonts w:ascii="Times New Roman" w:hAnsi="Times New Roman"/>
                  <w:sz w:val="20"/>
                </w:rPr>
                <w:t>Sample Calculation of the Offer Consideration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7">
              <w:r>
                <w:rPr>
                  <w:rStyle w:val="InternetLink"/>
                  <w:rFonts w:ascii="Times New Roman" w:hAnsi="Times New Roman"/>
                  <w:sz w:val="20"/>
                </w:rPr>
                <w:t>Treatment of CureVac Equity Awards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847647_48">
              <w:r>
                <w:rPr>
                  <w:rStyle w:val="InternetLink"/>
                  <w:rFonts w:ascii="Times New Roman" w:hAnsi="Times New Roman"/>
                  <w:sz w:val="20"/>
                </w:rPr>
                <w:t>Procedures for Tendering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31"/>
        <w:gridCol w:w="247"/>
        <w:gridCol w:w="60"/>
        <w:gridCol w:w="405"/>
        <w:gridCol w:w="62"/>
      </w:tblGrid>
      <w:tr>
        <w:trPr/>
        <w:tc>
          <w:tcPr>
            <w:tcW w:w="94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31" w:type="dxa"/>
            <w:tcBorders/>
          </w:tcPr>
          <w:p>
            <w:pPr>
              <w:pStyle w:val="TableContents"/>
              <w:bidi w:val="0"/>
              <w:spacing w:before="0" w:after="0"/>
              <w:jc w:val="left"/>
              <w:rPr/>
            </w:pPr>
            <w:hyperlink w:anchor="toc847647_49">
              <w:r>
                <w:rPr>
                  <w:rStyle w:val="InternetLink"/>
                  <w:rFonts w:ascii="Times New Roman" w:hAnsi="Times New Roman"/>
                  <w:sz w:val="20"/>
                </w:rPr>
                <w:t>No Guaranteed Delivery</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0">
              <w:r>
                <w:rPr>
                  <w:rStyle w:val="InternetLink"/>
                  <w:rFonts w:ascii="Times New Roman" w:hAnsi="Times New Roman"/>
                  <w:sz w:val="20"/>
                </w:rPr>
                <w:t>Acceptance for Exchange of CureVac Shares; Delivery of BioNTech ADSs; Capital Increases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1">
              <w:r>
                <w:rPr>
                  <w:rStyle w:val="InternetLink"/>
                  <w:rFonts w:ascii="Times New Roman" w:hAnsi="Times New Roman"/>
                  <w:sz w:val="20"/>
                </w:rPr>
                <w:t>Effect of Tenders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2">
              <w:r>
                <w:rPr>
                  <w:rStyle w:val="InternetLink"/>
                  <w:rFonts w:ascii="Times New Roman" w:hAnsi="Times New Roman"/>
                  <w:sz w:val="20"/>
                </w:rPr>
                <w:t>Determination of Validity</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3">
              <w:r>
                <w:rPr>
                  <w:rStyle w:val="InternetLink"/>
                  <w:rFonts w:ascii="Times New Roman" w:hAnsi="Times New Roman"/>
                  <w:sz w:val="20"/>
                </w:rPr>
                <w:t>Extension of the Offer Period</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4">
              <w:r>
                <w:rPr>
                  <w:rStyle w:val="InternetLink"/>
                  <w:rFonts w:ascii="Times New Roman" w:hAnsi="Times New Roman"/>
                  <w:sz w:val="20"/>
                </w:rPr>
                <w:t>Subsequent Offering Period</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5">
              <w:r>
                <w:rPr>
                  <w:rStyle w:val="InternetLink"/>
                  <w:rFonts w:ascii="Times New Roman" w:hAnsi="Times New Roman"/>
                  <w:sz w:val="20"/>
                </w:rPr>
                <w:t>The Post-Offer Reorganization and the New Topco U.S. Tax Election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6">
              <w:r>
                <w:rPr>
                  <w:rStyle w:val="InternetLink"/>
                  <w:rFonts w:ascii="Times New Roman" w:hAnsi="Times New Roman"/>
                  <w:sz w:val="20"/>
                </w:rPr>
                <w:t>Withdrawal Rights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7">
              <w:r>
                <w:rPr>
                  <w:rStyle w:val="InternetLink"/>
                  <w:rFonts w:ascii="Times New Roman" w:hAnsi="Times New Roman"/>
                  <w:sz w:val="20"/>
                </w:rPr>
                <w:t>Antitrust Approvals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8">
              <w:r>
                <w:rPr>
                  <w:rStyle w:val="InternetLink"/>
                  <w:rFonts w:ascii="Times New Roman" w:hAnsi="Times New Roman"/>
                  <w:sz w:val="20"/>
                </w:rPr>
                <w:t>Other Regulatory Approvals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9">
              <w:r>
                <w:rPr>
                  <w:rStyle w:val="InternetLink"/>
                  <w:rFonts w:ascii="Times New Roman" w:hAnsi="Times New Roman"/>
                  <w:sz w:val="20"/>
                </w:rPr>
                <w:t>Appraisal Rights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102">
              <w:r>
                <w:rPr>
                  <w:rStyle w:val="InternetLink"/>
                  <w:rFonts w:ascii="Times New Roman" w:hAnsi="Times New Roman"/>
                  <w:sz w:val="20"/>
                </w:rPr>
                <w:t xml:space="preserve">Recent Developments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0">
              <w:r>
                <w:rPr>
                  <w:rStyle w:val="InternetLink"/>
                  <w:rFonts w:ascii="Times New Roman" w:hAnsi="Times New Roman"/>
                  <w:sz w:val="20"/>
                </w:rPr>
                <w:t>Accounting Treatment of the Transaction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59a">
              <w:r>
                <w:rPr>
                  <w:rStyle w:val="InternetLink"/>
                  <w:rFonts w:ascii="Times New Roman" w:hAnsi="Times New Roman"/>
                  <w:sz w:val="20"/>
                </w:rPr>
                <w:t xml:space="preserve">Fees and Expenses </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1">
              <w:r>
                <w:rPr>
                  <w:rStyle w:val="InternetLink"/>
                  <w:rFonts w:ascii="Times New Roman" w:hAnsi="Times New Roman"/>
                  <w:sz w:val="20"/>
                </w:rPr>
                <w:t>Restriction on Resales of BioNTech ADSs Received in the Offer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1a">
              <w:r>
                <w:rPr>
                  <w:rStyle w:val="InternetLink"/>
                  <w:rFonts w:ascii="Times New Roman" w:hAnsi="Times New Roman"/>
                  <w:sz w:val="20"/>
                </w:rPr>
                <w:t>Foreign Jurisdictions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62">
              <w:r>
                <w:rPr>
                  <w:rStyle w:val="InternetLink"/>
                  <w:rFonts w:ascii="Times New Roman" w:hAnsi="Times New Roman"/>
                  <w:sz w:val="20"/>
                </w:rPr>
                <w:t>MATERIAL UNITED STATES FEDERAL INCOME TAX CONSIDERATIONS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63">
              <w:r>
                <w:rPr>
                  <w:rStyle w:val="InternetLink"/>
                  <w:rFonts w:ascii="Times New Roman" w:hAnsi="Times New Roman"/>
                  <w:sz w:val="20"/>
                </w:rPr>
                <w:t>MATERIAL GERMAN TAX CONSIDERATIONS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64">
              <w:r>
                <w:rPr>
                  <w:rStyle w:val="InternetLink"/>
                  <w:rFonts w:ascii="Times New Roman" w:hAnsi="Times New Roman"/>
                  <w:sz w:val="20"/>
                </w:rPr>
                <w:t>MATERIAL DUTCH TAX CONSIDERATIONS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65">
              <w:r>
                <w:rPr>
                  <w:rStyle w:val="InternetLink"/>
                  <w:rFonts w:ascii="Times New Roman" w:hAnsi="Times New Roman"/>
                  <w:sz w:val="20"/>
                </w:rPr>
                <w:t>MAJOR SHAREHOLDERS OF BIONTECH</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66">
              <w:r>
                <w:rPr>
                  <w:rStyle w:val="InternetLink"/>
                  <w:rFonts w:ascii="Times New Roman" w:hAnsi="Times New Roman"/>
                  <w:sz w:val="20"/>
                </w:rPr>
                <w:t>THE PURCHASE AGREEMENT</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7">
              <w:r>
                <w:rPr>
                  <w:rStyle w:val="InternetLink"/>
                  <w:rFonts w:ascii="Times New Roman" w:hAnsi="Times New Roman"/>
                  <w:sz w:val="20"/>
                </w:rPr>
                <w:t>The Offer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8">
              <w:r>
                <w:rPr>
                  <w:rStyle w:val="InternetLink"/>
                  <w:rFonts w:ascii="Times New Roman" w:hAnsi="Times New Roman"/>
                  <w:sz w:val="20"/>
                </w:rPr>
                <w:t>The Post-Offer Reorganization and the New Topco U.S. Tax Election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69">
              <w:r>
                <w:rPr>
                  <w:rStyle w:val="InternetLink"/>
                  <w:rFonts w:ascii="Times New Roman" w:hAnsi="Times New Roman"/>
                  <w:sz w:val="20"/>
                </w:rPr>
                <w:t>Representations and Warranties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70">
              <w:r>
                <w:rPr>
                  <w:rStyle w:val="InternetLink"/>
                  <w:rFonts w:ascii="Times New Roman" w:hAnsi="Times New Roman"/>
                  <w:sz w:val="20"/>
                </w:rPr>
                <w:t>Covenants and Agreements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71">
              <w:r>
                <w:rPr>
                  <w:rStyle w:val="InternetLink"/>
                  <w:rFonts w:ascii="Times New Roman" w:hAnsi="Times New Roman"/>
                  <w:sz w:val="20"/>
                </w:rPr>
                <w:t>Conditions to Closing of the Offer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72">
              <w:r>
                <w:rPr>
                  <w:rStyle w:val="InternetLink"/>
                  <w:rFonts w:ascii="Times New Roman" w:hAnsi="Times New Roman"/>
                  <w:sz w:val="20"/>
                </w:rPr>
                <w:t>Termination of the Purchase Agreement</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r>
        <w:trPr/>
        <w:tc>
          <w:tcPr>
            <w:tcW w:w="9431" w:type="dxa"/>
            <w:tcBorders/>
          </w:tcPr>
          <w:p>
            <w:pPr>
              <w:pStyle w:val="TableContents"/>
              <w:bidi w:val="0"/>
              <w:spacing w:before="0" w:after="0"/>
              <w:jc w:val="left"/>
              <w:rPr/>
            </w:pPr>
            <w:hyperlink w:anchor="toc847647_73">
              <w:r>
                <w:rPr>
                  <w:rStyle w:val="InternetLink"/>
                  <w:rFonts w:ascii="Times New Roman" w:hAnsi="Times New Roman"/>
                  <w:sz w:val="20"/>
                </w:rPr>
                <w:t>Miscellaneous Provisions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119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4">
              <w:r>
                <w:rPr>
                  <w:rStyle w:val="InternetLink"/>
                  <w:rFonts w:ascii="Times New Roman" w:hAnsi="Times New Roman"/>
                  <w:sz w:val="20"/>
                </w:rPr>
                <w:t>THE TENDER AND SUPPORT AGREEMENTS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5">
              <w:r>
                <w:rPr>
                  <w:rStyle w:val="InternetLink"/>
                  <w:rFonts w:ascii="Times New Roman" w:hAnsi="Times New Roman"/>
                  <w:sz w:val="20"/>
                </w:rPr>
                <w:t>DESCRIPTION OF BIONTECH CAPITAL STOCK</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6">
              <w:r>
                <w:rPr>
                  <w:rStyle w:val="InternetLink"/>
                  <w:rFonts w:ascii="Times New Roman" w:hAnsi="Times New Roman"/>
                  <w:sz w:val="20"/>
                </w:rPr>
                <w:t>COMPARISON OF RIGHTS OF BIONTECH SHAREHOLDERS AND CUREVAC SHAREHOLDERS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144</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7">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8">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79">
              <w:r>
                <w:rPr>
                  <w:rStyle w:val="InternetLink"/>
                  <w:rFonts w:ascii="Times New Roman" w:hAnsi="Times New Roman"/>
                  <w:sz w:val="20"/>
                </w:rPr>
                <w:t>SERVICE OF PROCESS AND ENFORCEMENT OF LIABILITIES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166</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80">
              <w:r>
                <w:rPr>
                  <w:rStyle w:val="InternetLink"/>
                  <w:rFonts w:ascii="Times New Roman" w:hAnsi="Times New Roman"/>
                  <w:sz w:val="20"/>
                </w:rPr>
                <w:t>WHERE YOU CAN FIND MORE INFORMATION AND INCORPORATION BY REFERENCE</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81">
              <w:r>
                <w:rPr>
                  <w:rStyle w:val="InternetLink"/>
                  <w:rFonts w:ascii="Times New Roman" w:hAnsi="Times New Roman"/>
                  <w:sz w:val="20"/>
                </w:rPr>
                <w:t>Annex A – Purchase Agreement</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847647_82">
              <w:r>
                <w:rPr>
                  <w:rStyle w:val="InternetLink"/>
                  <w:rFonts w:ascii="Times New Roman" w:hAnsi="Times New Roman"/>
                  <w:sz w:val="20"/>
                </w:rPr>
                <w:t>Annex B – Form of Tender and Support Agreement</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47647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answers to some questions that CureVac shareholders may have regarding the proposed transaction between BioNTech and CureVac. BioNTech urges you to read carefully this entire offer to exchange/prospectus, including the Annexes, and the documents incorporated by reference into this offer to exchange/prospectus, as well as the Tender Offer Statement on Schedule TO to be filed by BioNTech in connection with the commencement of the offer, which we refer to as the Schedule TO, and the Solicitation/Recommendation Statement on Schedule 14D-9 to be filed by CureVac shortly thereafter, which we refer to as the Schedule 14D-9, as each may be amended or supplemented from time to time, and other relevant documents filed by BioNTech and CureVac with the Securities and Exchange Commission, which we refer to as the SEC, because the information in this section does not provide all the information that might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all references in this offer to exchange/prospectus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time” are to the time BioNTech accepts for exchange CureVac shares tendered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BioNTech” are to BioNTech SE, a European stock corporation (</w:t>
            </w:r>
            <w:r>
              <w:rPr>
                <w:rFonts w:ascii="Times New Roman" w:hAnsi="Times New Roman"/>
                <w:i/>
                <w:sz w:val="20"/>
              </w:rPr>
              <w:t>Societas Europaea</w:t>
            </w:r>
            <w:r>
              <w:rPr>
                <w:rFonts w:ascii="Times New Roman" w:hAnsi="Times New Roman"/>
                <w:sz w:val="20"/>
              </w:rPr>
              <w:t xml:space="preserve">) organized under the laws of Germany and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BioNTech ADSs” are to the American Depositary Shares of BioNTech, each representing one BioNTech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“BioNTech ADS VWAP” are to the volume-weighted average of the price per BioNTech ADS over the period of 10 consecutive trading days ending on, and including, the fifth trading day immediately preceding the expiration time, taken to four decimal 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“BioNTech boards” are to the supervisory board and management board of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BioNTech ordinary shares” mean the ordinary shares, no par value, with a notional amount attributable to each ordinary share of 1, of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BioNTech shareholders” are to those persons who beneficially own BioNTech shares, whether directly or indirectly through beneficial ownership of BioNTech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“cancellation” are to the cancellation (</w:t>
            </w:r>
            <w:r>
              <w:rPr>
                <w:rFonts w:ascii="Times New Roman" w:hAnsi="Times New Roman"/>
                <w:i/>
                <w:sz w:val="20"/>
              </w:rPr>
              <w:t>intrekking</w:t>
            </w:r>
            <w:r>
              <w:rPr>
                <w:rFonts w:ascii="Times New Roman" w:hAnsi="Times New Roman"/>
                <w:sz w:val="20"/>
              </w:rPr>
              <w:t xml:space="preserve">) of all New Topco A shares issued and outstanding as of the cancellation effective time, pursuant to a resolution of the general meeting of New Topco, whereby each such New Topco A share is cancelled against the cancellation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“cancellation consideration” are to the consideration received by holders of New Topco A shares upon the cancellation thereof, which will be a payment in kind equal to (i) the product of (a) the offer consideration and (b) the number of New Topco A shares held by such holders immediately before the post-downstream merger share sale (with cash paid in lieu of any resulting fractional BioNTech ADSs) minus (ii) the number of BioNTech ADSs sold by the exchange agent to satisfy the payment of applicable Dutch withholding tax with respect to such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“cancellation effective time” are to 00:30 CET on the merger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CET” means Central European Time or Central European Summer Time,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CureVac” are to CureVac N.V., a public limited liability company (</w:t>
            </w:r>
            <w:r>
              <w:rPr>
                <w:rFonts w:ascii="Times New Roman" w:hAnsi="Times New Roman"/>
                <w:i/>
                <w:sz w:val="20"/>
              </w:rPr>
              <w:t>naamloze vennootschap</w:t>
            </w:r>
            <w:r>
              <w:rPr>
                <w:rFonts w:ascii="Times New Roman" w:hAnsi="Times New Roman"/>
                <w:sz w:val="20"/>
              </w:rPr>
              <w:t xml:space="preserve">) organized under the laws of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“CureVac boards” are to the supervisory board and management board of CureVac;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CureVac SE” are to CureVac SE, a European stock corporation (</w:t>
            </w:r>
            <w:r>
              <w:rPr>
                <w:rFonts w:ascii="Times New Roman" w:hAnsi="Times New Roman"/>
                <w:i/>
                <w:sz w:val="20"/>
              </w:rPr>
              <w:t>Societas Europaea</w:t>
            </w:r>
            <w:r>
              <w:rPr>
                <w:rFonts w:ascii="Times New Roman" w:hAnsi="Times New Roman"/>
                <w:sz w:val="20"/>
              </w:rPr>
              <w:t xml:space="preserve">) organized under the laws of Germany and the European Union;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“CureVac shares” are to the outstanding ordinary shares, nominal value 0.12 per share, of CureVac;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“DCC” are to the Dutch Civil Code (</w:t>
            </w:r>
            <w:r>
              <w:rPr>
                <w:rFonts w:ascii="Times New Roman" w:hAnsi="Times New Roman"/>
                <w:i/>
                <w:sz w:val="20"/>
              </w:rPr>
              <w:t>Burgerlijk Wetboek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“EGM” are to the extraordinary general meeting of CureVac convened, or to be convened, in connection with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Act” are to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are to the ratio of BioNTech ADSs to be received per CureVac share tendered, taken to five decimal 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“governance resolutions” are to resolutions at the EGM or a subsequent EGM to replace the resigning members of the CureVac boards effective upon the closing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IASB” are to the International Accounting Standards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IFRS” are to the IFRS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downstream merger” are to a Dutch legal merger of CureVac (as disappearing company) with and into New Topco (as acquiring company surviving such merger), with New Topco issuing New Topco A shares to the remaining CureVac shareholders other than BioNTech and New Topco B shares to BioNTech, in accordance with Section 2:309 et seq. of the DCC;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effective date” are to the date on which the legal downstream merger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effective time” are to 00:00 CET on the merger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condition” are to at least 80% (or 75% under certain circumstances) of CureVac’s issued and outstanding capital immediately prior to the expiration time having been validly tendered and not properly withdrawn immediately prior to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“minority shareholders” are to holders of CureVac shares that were not tendered pursuant to the offer or in the subsequent offering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New Topco” are to CureVac Merger B.V., a private limited liability company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a direct wholly owned subsidiary of CureVac;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New Topco A shares” are to class A shares in the capital of New Topco;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New Topco B shares” are to class B shares in the capital of New Topco;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Topco U.S. tax election” are to an election by New Topco to be disregarded as an entity separate from BioNTech for U.S. federal income tax purposes, effective one day after the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are to a market of Nasdaq Stock Market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are to the exchange offer by BioNTech to acquire all CureVac shares contemplated by this offer to exchange/prospectus;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consideration” are to the number of BioNTech ADSs to be received per CureVac share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“outside date” are to 11:59 p.m. (New York City time) on March 12, 2026, which will automatically be extended by up to two 90-day periods if all conditions to the offer other than the condition relating to antitrust approvals is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“post-downstream merger share sale” are to the sale and transfer of all outstanding ordinary shares in the capital of CureVac SE by New Topco to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“post-offer reorganization” are to the corporate reorganization of CureVac and its subsidiaries that BioNTech and CureVac will effectuate as promptly as practicable following the expiration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offering period by means of the legal downstream merger promptly followed by the post-downstream merger share sale and the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“post-offer reorganization resolutions” are to the resolutions at the EGM or a subsequent EGM providing for the approval of the post-offer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Agreement” are to the Purchase Agreement, dated as of June 12, 2025, by and between BioNTech and CureVac, a copy of which is attached as Annex A to this offer to exchange/prospectus and is incorporated herein by reference, as it may be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are to the registration statement of which this offer to exchange/prospectus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are to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“subsequent EGM” are to a subsequent EGM that may be held to obtain the approval of the remaining outstanding resolutions if any of the resolutions of CureVac that are a condition to the closing of the offer are not approved and adopted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“subsequent offering period” are to a subsequent offering period in accordance with Rule 14d-11 promulgated under the Exchange Act of not less than 10 business days (calculated in accordance with Rule 14d-1(g)(3)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“tender and support agreements” are to the tender and support agreements executed by the members of the CureVac boards and certain CureVac shareholders, the form of which is attached as Annex B to this offer to exchange/prospectus and is incorporated herein by reference;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transactions” are to the transactions contemplated by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proposed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Purchase Agreement, BioNTech and CureVac have agreed (subject to the terms and conditions of the Purchase Agreement) that BioNTech will commence an offer to exchange any and all of the outstanding CureVac shares for the offer consideration, without interest and subject to applicable tax withholding. Following the acceptance time, BioNTech will acquire each CureVac share validly tendered and not properly withdrawn prior to the expiration time by delivery of the offer consideration, with cash paid in lieu of any fractional ADSs, without interest and subject to applicable tax withholding, which we refer to as the closing of the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following the expiration of the subsequent offering period, BioNTech and CureVac will effectuate the post-offer reorganization. The post-offer reorganization will utilize processes available to BioNTech under Dutch law aimed at ensuring that, if the required resolutions are adopted at the EGM (or subsequent EGM) and if permitted under applicable law, BioNTech becomes the sole owner of all of CureVac’s business operations from and after the consummation of such post-offer reorganization. Following completion of, and effective one day following, the post-offer reorganization, BioNTech will cause New Topco to make the New Topco U.S. tax election. </w:t>
      </w:r>
    </w:p>
    <w:p>
      <w:pPr>
        <w:pStyle w:val="TextBody"/>
        <w:bidi w:val="0"/>
        <w:spacing w:before="120" w:after="0"/>
        <w:jc w:val="left"/>
        <w:rPr>
          <w:rFonts w:ascii="Times New Roman" w:hAnsi="Times New Roman"/>
          <w:sz w:val="20"/>
        </w:rPr>
      </w:pPr>
      <w:r>
        <w:rPr>
          <w:rFonts w:ascii="Times New Roman" w:hAnsi="Times New Roman"/>
          <w:sz w:val="20"/>
        </w:rPr>
        <w:t xml:space="preserve">For more information, see “Summary — The Offer and the Purchase Agreement” beginning on page 14, “The Offer — The Post-Offer Reorganization and the New Topco U.S. Tax Election” beginning on page 59, and “The Offer — Offer Consideration” beginning on page 54.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conditions to closing of the offer that must be satisfied for the offer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a number of shares having been validly tendered and not properly withdrawn that would allow BioNTech to acquire at least 80% of CureVac’s issued and outstanding capital immediately prior to the expiration time (or 75% of CureVac’s issued and outstanding capital, upon the satisfaction of certain conditions described elsewhere in this offer to exchange/prospectus) there are a number of customary conditions that must be satisfied or waived before BioNTech is obligated to acquire CureVac shares validly tendered and not properly withdrawn pursuant to the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description of all of the conditions to the offer, see “The Purchase Agreement — Conditions to Closing of the Offer” beginning on page 115.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CureVac shareholders receive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offer, CureVac shareholders will have the right to exchange each of their CureVac shares for a number of BioNTech ADSs equal to the amount obtained by dividing $5.4641 by the volume-weighted average of the price per BioNTech ADS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June 12, 2025, when BioNTech and CureVac announced the execution of the Purchase Agreement, through October 20, 2025 (the last practicable date before the commencement of the offer), the BioNTech ADS VWAP was not greater than or equal to $126.55 or less than or equal to $84.37. Accordingly, the offer consideration at all times during that period represented a market value of $5.4641. However, as shown below, were the BioNTech ADS VWAP to, for example, drop to $80 or go above $130 on the applicable calculation date, the market value of the offer consideration could be greater than or less than, respectively, $5.4641. Accordingly, as of the date of this offer to exchange/prospectus, CureVac shareholders will not know, or be able to calculate, the exact market value of the consideration that they will receive upon closing of the offer or completion of the post-offer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BioNTech will only deliver whole BioNTech ADSs in the offer. To the extent a CureVac shareholder otherwise would be entitled to a fractional BioNTech ADS as a result of the application of the exchange ratio, such shareholder will instead receive an amount in cash equal to the product of (i) the fractional BioNTech ADS interest such shareholder otherwise would be entitled to and (ii) the BioNTech ADS VWAP.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635"/>
        <w:gridCol w:w="1675"/>
        <w:gridCol w:w="635"/>
        <w:gridCol w:w="1703"/>
        <w:gridCol w:w="635"/>
        <w:gridCol w:w="2198"/>
      </w:tblGrid>
      <w:tr>
        <w:trPr/>
        <w:tc>
          <w:tcPr>
            <w:tcW w:w="2724"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BioNTech ADS</w:t>
            </w:r>
          </w:p>
          <w:p>
            <w:pPr>
              <w:pStyle w:val="TableContents"/>
              <w:bidi w:val="0"/>
              <w:spacing w:before="0" w:after="20"/>
              <w:jc w:val="center"/>
              <w:rPr>
                <w:rFonts w:ascii="Times New Roman" w:hAnsi="Times New Roman"/>
                <w:b/>
                <w:sz w:val="16"/>
              </w:rPr>
            </w:pPr>
            <w:r>
              <w:rPr>
                <w:rFonts w:ascii="Times New Roman" w:hAnsi="Times New Roman"/>
                <w:b/>
                <w:sz w:val="16"/>
              </w:rPr>
              <w:t>VWAP</w:t>
            </w:r>
          </w:p>
        </w:tc>
        <w:tc>
          <w:tcPr>
            <w:tcW w:w="635"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Exchange Ratio (After</w:t>
            </w:r>
          </w:p>
          <w:p>
            <w:pPr>
              <w:pStyle w:val="TableContents"/>
              <w:bidi w:val="0"/>
              <w:spacing w:before="0" w:after="20"/>
              <w:jc w:val="center"/>
              <w:rPr>
                <w:rFonts w:ascii="Times New Roman" w:hAnsi="Times New Roman"/>
                <w:b/>
                <w:sz w:val="16"/>
              </w:rPr>
            </w:pPr>
            <w:r>
              <w:rPr>
                <w:rFonts w:ascii="Times New Roman" w:hAnsi="Times New Roman"/>
                <w:b/>
                <w:sz w:val="16"/>
              </w:rPr>
              <w:t>Collar Adjustment)</w:t>
            </w:r>
          </w:p>
        </w:tc>
        <w:tc>
          <w:tcPr>
            <w:tcW w:w="635"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center"/>
              <w:rPr>
                <w:b/>
              </w:rPr>
            </w:pPr>
            <w:r>
              <w:rPr>
                <w:b/>
              </w:rPr>
              <w:t>Number of</w:t>
              <w:br/>
              <w:t>BioNTech ADSs</w:t>
              <w:br/>
              <w:t>Received</w:t>
            </w:r>
          </w:p>
        </w:tc>
        <w:tc>
          <w:tcPr>
            <w:tcW w:w="63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center"/>
              <w:rPr>
                <w:b/>
              </w:rPr>
            </w:pPr>
            <w:r>
              <w:rPr>
                <w:b/>
              </w:rPr>
              <w:t>Cash Paid In Lieu of</w:t>
              <w:br/>
              <w:t>Fractional BioNTech</w:t>
              <w:br/>
              <w:t>ADS</w:t>
            </w:r>
          </w:p>
        </w:tc>
      </w:tr>
      <w:tr>
        <w:trPr/>
        <w:tc>
          <w:tcPr>
            <w:tcW w:w="2724" w:type="dxa"/>
            <w:tcBorders/>
          </w:tcPr>
          <w:p>
            <w:pPr>
              <w:pStyle w:val="TableContents"/>
              <w:bidi w:val="0"/>
              <w:spacing w:before="0" w:after="283"/>
              <w:jc w:val="center"/>
              <w:rPr/>
            </w:pPr>
            <w:r>
              <w:rPr/>
              <w:t>$80.00 (below collar)</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0.06476x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6</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$38.08</w:t>
            </w:r>
          </w:p>
        </w:tc>
      </w:tr>
      <w:tr>
        <w:trPr/>
        <w:tc>
          <w:tcPr>
            <w:tcW w:w="2724" w:type="dxa"/>
            <w:tcBorders/>
          </w:tcPr>
          <w:p>
            <w:pPr>
              <w:pStyle w:val="TableContents"/>
              <w:bidi w:val="0"/>
              <w:spacing w:before="0" w:after="283"/>
              <w:jc w:val="center"/>
              <w:rPr/>
            </w:pPr>
            <w:r>
              <w:rPr/>
              <w:t>$90</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0.06071x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6</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$6.39</w:t>
            </w:r>
          </w:p>
        </w:tc>
      </w:tr>
      <w:tr>
        <w:trPr/>
        <w:tc>
          <w:tcPr>
            <w:tcW w:w="2724" w:type="dxa"/>
            <w:tcBorders/>
          </w:tcPr>
          <w:p>
            <w:pPr>
              <w:pStyle w:val="TableContents"/>
              <w:bidi w:val="0"/>
              <w:spacing w:before="0" w:after="283"/>
              <w:jc w:val="center"/>
              <w:rPr/>
            </w:pPr>
            <w:r>
              <w:rPr/>
              <w:t>$100</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0.05464x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5</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$46.40</w:t>
            </w:r>
          </w:p>
        </w:tc>
      </w:tr>
      <w:tr>
        <w:trPr/>
        <w:tc>
          <w:tcPr>
            <w:tcW w:w="2724" w:type="dxa"/>
            <w:tcBorders/>
          </w:tcPr>
          <w:p>
            <w:pPr>
              <w:pStyle w:val="TableContents"/>
              <w:bidi w:val="0"/>
              <w:spacing w:before="0" w:after="283"/>
              <w:jc w:val="center"/>
              <w:rPr/>
            </w:pPr>
            <w:r>
              <w:rPr/>
              <w:t>$110</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0.04967x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4</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$106.37</w:t>
            </w:r>
          </w:p>
        </w:tc>
      </w:tr>
      <w:tr>
        <w:trPr/>
        <w:tc>
          <w:tcPr>
            <w:tcW w:w="2724" w:type="dxa"/>
            <w:tcBorders/>
          </w:tcPr>
          <w:p>
            <w:pPr>
              <w:pStyle w:val="TableContents"/>
              <w:bidi w:val="0"/>
              <w:spacing w:before="0" w:after="283"/>
              <w:jc w:val="center"/>
              <w:rPr/>
            </w:pPr>
            <w:r>
              <w:rPr/>
              <w:t>$120</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0.04553x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4</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$66.36</w:t>
            </w:r>
          </w:p>
        </w:tc>
      </w:tr>
      <w:tr>
        <w:trPr/>
        <w:tc>
          <w:tcPr>
            <w:tcW w:w="2724" w:type="dxa"/>
            <w:tcBorders/>
          </w:tcPr>
          <w:p>
            <w:pPr>
              <w:pStyle w:val="TableContents"/>
              <w:bidi w:val="0"/>
              <w:spacing w:before="0" w:after="283"/>
              <w:jc w:val="center"/>
              <w:rPr/>
            </w:pPr>
            <w:r>
              <w:rPr/>
              <w:t>$130 (above collar)</w:t>
            </w:r>
          </w:p>
        </w:tc>
        <w:tc>
          <w:tcPr>
            <w:tcW w:w="635" w:type="dxa"/>
            <w:tcBorders/>
            <w:vAlign w:val="bottom"/>
          </w:tcPr>
          <w:p>
            <w:pPr>
              <w:pStyle w:val="TableContents"/>
              <w:bidi w:val="0"/>
              <w:spacing w:before="0" w:after="283"/>
              <w:jc w:val="left"/>
              <w:rPr/>
            </w:pPr>
            <w:r>
              <w:rPr/>
              <w:t>  </w:t>
            </w:r>
          </w:p>
        </w:tc>
        <w:tc>
          <w:tcPr>
            <w:tcW w:w="1675" w:type="dxa"/>
            <w:tcBorders/>
          </w:tcPr>
          <w:p>
            <w:pPr>
              <w:pStyle w:val="TableContents"/>
              <w:bidi w:val="0"/>
              <w:spacing w:before="0" w:after="283"/>
              <w:jc w:val="center"/>
              <w:rPr/>
            </w:pPr>
            <w:r>
              <w:rPr/>
              <w:t>0.04318x</w:t>
            </w:r>
          </w:p>
        </w:tc>
        <w:tc>
          <w:tcPr>
            <w:tcW w:w="635"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center"/>
              <w:rPr/>
            </w:pPr>
            <w:r>
              <w:rPr/>
              <w:t>4</w:t>
            </w:r>
          </w:p>
        </w:tc>
        <w:tc>
          <w:tcPr>
            <w:tcW w:w="635" w:type="dxa"/>
            <w:tcBorders/>
            <w:vAlign w:val="bottom"/>
          </w:tcPr>
          <w:p>
            <w:pPr>
              <w:pStyle w:val="TableContents"/>
              <w:bidi w:val="0"/>
              <w:spacing w:before="0" w:after="283"/>
              <w:jc w:val="left"/>
              <w:rPr/>
            </w:pPr>
            <w:r>
              <w:rPr/>
              <w:t>  </w:t>
            </w:r>
          </w:p>
        </w:tc>
        <w:tc>
          <w:tcPr>
            <w:tcW w:w="2198" w:type="dxa"/>
            <w:tcBorders/>
          </w:tcPr>
          <w:p>
            <w:pPr>
              <w:pStyle w:val="TableContents"/>
              <w:bidi w:val="0"/>
              <w:spacing w:before="0" w:after="283"/>
              <w:jc w:val="center"/>
              <w:rPr/>
            </w:pPr>
            <w:r>
              <w:rPr/>
              <w:t>$41.34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CureVac shareholders have to pay any fees or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record owner of your CureVac shares and you tender your shares directly through Computershare Trust Company, N.A., which we refer to as the exchange agent, you will not have to pay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brokerage fees, commissions, or similar expenses. If you own CureVac shares through a broker, dealer, commercial bank, trust company, or other nominee and your broker, dealer, commercial bank, trust company, or other nominee tenders your CureVac shares on your behalf, your broker, dealer, commercial bank, trust company, or nominee may charge you a fee for doing so. You should consult your broker, dealer, commercial bank, trust company, or nominee to determine whether any charges will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an American Depositary Share (ADS)?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American Depositary Share, which we refer to as an ADS, is a security that allows shares of foreign-based companies to trade more easily on U.S. exchanges. The BioNTech ADSs trade on Nasdaq. Each BioNTech ADS represents one BioNTech ordinary share. Upon request, and subject to certain fees, ADSs can be exchanged for the underlying ordinary shares. The Bank of New York Mellon, which we refer to as the depositary, holds the underlying BioNTech ordinary shares and acts as depositary for BioNTech’s ADS program. See “Description of BioNTech Capital Stock — Depositary Shares” beginning on page 135.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untendered CureVac shares be affected after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See “The Offer — The Post-Offer Reorganization and the New Topco U.S. Tax Election” beginning on page 59.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result of the post-offer reorganization, CureVac will cease to exist and no public shareholders will continue to hold shares in it. Any holders of CureVac shares who do not participate in the offer, including the subsequent offering period, will receive the same consideration in the post-offer reorganization as such holder would have received had it participated in the offer. However, BioNTech ADSs (and cash in lieu of fractional BioNTech ADSs) received pursuant to the post-offer reorganization will, in principle, be subject to Dutch dividend withholding tax at a rate of 15% if and to the extent the cancellation consideration exceeds the average paid-in capital as recognized for Dutch dividend withholding tax purposes, which we refer to as the fiscally recognized capital, of the New Topco A shares immediately prior to the cancellation effective time, whereas no Dutch dividend withholding tax is applicable to the offer consideration received in exchange for the CureVac shares tendered in the offer or during the subsequent offering period.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above, as long as New Topco has its place of effective management in Germany and is therefore exclusively considered a tax resident of Germany under the 2012 Convention between the Federal Republic of Germany and the Kingdom of the Netherlands for the Avoidance of Double Taxation and the Prevention of Fiscal Evasion with respect to Taxes on Income, which we refer to as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which we refer to as a Dutch resident holder,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 which we refer to as a Dutch PE holder. </w:t>
      </w:r>
    </w:p>
    <w:p>
      <w:pPr>
        <w:pStyle w:val="TextBody"/>
        <w:bidi w:val="0"/>
        <w:spacing w:before="120" w:after="0"/>
        <w:jc w:val="left"/>
        <w:rPr>
          <w:rFonts w:ascii="Times New Roman" w:hAnsi="Times New Roman"/>
          <w:sz w:val="20"/>
        </w:rPr>
      </w:pPr>
      <w:r>
        <w:rPr>
          <w:rFonts w:ascii="Times New Roman" w:hAnsi="Times New Roman"/>
          <w:sz w:val="20"/>
        </w:rPr>
        <w:t xml:space="preserve">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who are neither a Dutch resident holder nor a Dutch PE holder may be able to reclaim any Dutch dividend withholding tax withheld from their cancellation consideration via New Topco. Dutch resident holders and Dutch PE holders may be eligible for a (partial) refund from the Dutch tax authorities directly, depending on the particular individual circumstances of the relevant New Topco shareholder. For additional information regarding the refund process, see “The Offer — The Post-Offer Reorganization and the New Topco U.S. Tax Election” beginning on page 59 and “Material Dutch Tax Considerations” beginning on page 87.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are CureVac’s outstanding equity awards being treated?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CureVac’s outstanding equity awards will be treated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 Stock Option Awards: CureVac will work together with certain existing shareholders, which we refer to as the contributing shareholders, to cause the beneficiaries under CureVac’s outstanding virtual stock option awards, which we refer to as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Stock Units: At the closing of the offer, each CureVac performance stock unit, which we refer to as a CureVac PSU, that is outstanding as of immediately prior to the closing of the offer will become fully vested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BioNTech ADS VWAP multiplied by the exchange ratio, which we refer to as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At the closing of the offer, each CureVac restricted stock unit, which we refer to as a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At the closing of the offer, each CureVac option that is outstanding as of immediately prior to the closing of the offer, which we refer to as a CureVac option,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“The Offer — Treatment of CureVac Equity Awards” beginning on page 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risks associated with the offer that I should consider?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There are a number of risks related to the offer that are discussed in this offer to exchange/prospectus described in the section entitled “Risk Factors” beginning on page 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offer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intends to complete the offer as soon as reasonably practicable following satisfaction of all of the required conditions. It is currently expected that the offer will be completed in 2025. However, there is no guarantee that the conditions to the offer will be satisfied or waived or that the offer will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BioNTech ADSs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currently expects to deliver BioNTech ADSs for CureVac shares tendered (i) in the offer approximately 10 business days from the expiration time and (ii) in the subsequent offering period approximately 10 business days from the expiration of the subsequent offering period. </w:t>
            </w:r>
          </w:p>
        </w:tc>
      </w:tr>
    </w:tbl>
    <w:p>
      <w:pPr>
        <w:pStyle w:val="TextBody"/>
        <w:bidi w:val="0"/>
        <w:spacing w:before="120" w:after="0"/>
        <w:jc w:val="left"/>
        <w:rPr>
          <w:rFonts w:ascii="Times New Roman" w:hAnsi="Times New Roman"/>
          <w:sz w:val="20"/>
        </w:rPr>
      </w:pPr>
      <w:r>
        <w:rPr>
          <w:rFonts w:ascii="Times New Roman" w:hAnsi="Times New Roman"/>
          <w:sz w:val="20"/>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hAnsi="Times New Roman"/>
          <w:i/>
          <w:sz w:val="20"/>
        </w:rPr>
        <w:t>Amtsgericht</w:t>
      </w:r>
      <w:r>
        <w:rPr>
          <w:rFonts w:ascii="Times New Roman" w:hAnsi="Times New Roman"/>
          <w:sz w:val="20"/>
        </w:rPr>
        <w:t xml:space="preserve">) of BioNTech’s judicial district. The exact timing of the registration process for capital increases lies with such court and is outside the control of BioNTech.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above, BioNTech cannot guarantee the precise timing of delivery of BioNTech ADSs in connection with the offer or the subsequent offering period. BioNTech believes such delivery could take up to three weeks, and it could be longer. BioNTech is delivering such BioNTech ADSs in accordance with the requirements of German law and practice, consistent with Rule 14d-1(d)(2)(iv)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See “Risk Factors — Risks Related to the Offer — BioNTech must implement share capital increases to create the offer consideration, which will result in an extended settlement and may delay the closing of the transactions. You will not receive any interest or other consideration as a result of this extended settlement.” beginning on page 31 and “The Offer — Acceptance for Exchange of CureVac Shares; Delivery of BioNTech ADSs; Capital Increases” beginning on page 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offer, the post-offer reorganization, and the New Topco U.S. tax election to U.S. holders of CureVac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Internal Revenue Code of 1986, as amended, which we refer to as the code. Accordingly, and subject to the rules applicable to a passive foreign investment company, which we refer to as a PFIC, for U.S. federal income tax purposes, the exchange pursuant to the offer or the cancellation of CureVac shares for BioNTech ADSs will generally be tax-free for U.S. holders (as defined below in the section “Material United States Federal Income Tax Considerations”), except for the receipt of cash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“Material United States Federal Income Tax Considerations” beginning on page 67. CureVac shareholders should consult their tax advisors regarding the U.S. or local tax consequences of the offer and the post-offer reorganization.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German income and withholding tax consequences of the offer and the post-offer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pursuant to the offer or the cancellation of CureVac shares for BioNTech ADSs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corporation that is a German tax resident will be subject to corporate income tax on 5% of the gain derived from the exchange, plus solidarity surcharge and trade tax. If the CureVac shares are held by a 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 The receipt of cash in lieu of fractional BioNTech ADSs generally will be subject to German income tax. Such tax will generally be withheld at a rate of 26.375% plus church tax, if applicable, of the cash paid. </w:t>
      </w:r>
    </w:p>
    <w:p>
      <w:pPr>
        <w:pStyle w:val="TextBody"/>
        <w:bidi w:val="0"/>
        <w:spacing w:before="120" w:after="0"/>
        <w:jc w:val="left"/>
        <w:rPr>
          <w:rFonts w:ascii="Times New Roman" w:hAnsi="Times New Roman"/>
          <w:sz w:val="20"/>
        </w:rPr>
      </w:pPr>
      <w:r>
        <w:rPr>
          <w:rFonts w:ascii="Times New Roman" w:hAnsi="Times New Roman"/>
          <w:sz w:val="20"/>
        </w:rPr>
        <w:t>Any German withholding tax on capital gains generally will be levied by the applicable German disbursing agent (</w:t>
      </w:r>
      <w:r>
        <w:rPr>
          <w:rFonts w:ascii="Times New Roman" w:hAnsi="Times New Roman"/>
          <w:i/>
          <w:sz w:val="20"/>
        </w:rPr>
        <w:t>i.e.</w:t>
      </w:r>
      <w:r>
        <w:rPr>
          <w:rFonts w:ascii="Times New Roman" w:hAnsi="Times New Roman"/>
          <w:sz w:val="20"/>
        </w:rPr>
        <w:t xml:space="preserve">, the German credit institution, financial services institution or securities institution through which the recipient holds its CureVac shares). </w:t>
      </w:r>
    </w:p>
    <w:p>
      <w:pPr>
        <w:pStyle w:val="TextBody"/>
        <w:bidi w:val="0"/>
        <w:spacing w:before="120" w:after="0"/>
        <w:jc w:val="left"/>
        <w:rPr>
          <w:rFonts w:ascii="Times New Roman" w:hAnsi="Times New Roman"/>
          <w:sz w:val="20"/>
        </w:rPr>
      </w:pPr>
      <w:r>
        <w:rPr>
          <w:rFonts w:ascii="Times New Roman" w:hAnsi="Times New Roman"/>
          <w:sz w:val="20"/>
        </w:rPr>
        <w:t xml:space="preserve">For the tax consequences of the exchange to non-German tax resident shareholders, including any exchange in the post-offer reorganization, see “Material German Tax Considerations” beginning on page 75. </w:t>
      </w:r>
    </w:p>
    <w:p>
      <w:pPr>
        <w:pStyle w:val="TextBody"/>
        <w:bidi w:val="0"/>
        <w:spacing w:before="120" w:after="0"/>
        <w:jc w:val="left"/>
        <w:rPr>
          <w:rFonts w:ascii="Times New Roman" w:hAnsi="Times New Roman"/>
          <w:sz w:val="20"/>
        </w:rPr>
      </w:pPr>
      <w:r>
        <w:rPr>
          <w:rFonts w:ascii="Times New Roman" w:hAnsi="Times New Roman"/>
          <w:sz w:val="20"/>
        </w:rPr>
        <w:t xml:space="preserve">CureVac shareholders should consult their tax advisors regarding the German tax consequences of the offer and the post-offer reorganization to them.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Dutch income tax consequences of the offer and the post-offer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CureVac shares that are subject to Dutch income tax may realize taxable income as a result of tendering their CureVac shares pursuant to the offer or as a result of the post-offer reorganization. See “Material Dutch Tax Considerations” beginning on page 87.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CureVac shareholders should consult their tax advisors regarding the tax consequences (including the application and effect of any Dutch income or other tax laws) of the offer and the post-offer reorganization in light of their particular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Dutch dividend withholding tax consequences of the offer and the post-offer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Dutch dividend withholding tax is applicable to the offer consideration received in exchange for CureVac shares tendered in the offer, including during the subsequent offering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All Dutch dividend withholding tax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above, as long as New Topco has its place of effective management in Germany and is therefore exclusively considered a tax resident of Germany under the double tax treaty between Germany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Netherlands, as currently expected, the Netherlands will be restricted from imposing Dutch dividend withholding tax in respect of the cancellation consideration, except in the event the cancellation consideration is paid to (i) a Dutch resident holder, or (ii) a Dutch PE holder. </w:t>
      </w:r>
    </w:p>
    <w:p>
      <w:pPr>
        <w:pStyle w:val="TextBody"/>
        <w:bidi w:val="0"/>
        <w:spacing w:before="120" w:after="0"/>
        <w:jc w:val="left"/>
        <w:rPr>
          <w:rFonts w:ascii="Times New Roman" w:hAnsi="Times New Roman"/>
          <w:sz w:val="20"/>
        </w:rPr>
      </w:pPr>
      <w:r>
        <w:rPr>
          <w:rFonts w:ascii="Times New Roman" w:hAnsi="Times New Roman"/>
          <w:sz w:val="20"/>
        </w:rPr>
        <w:t xml:space="preserve">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 </w:t>
      </w:r>
    </w:p>
    <w:p>
      <w:pPr>
        <w:pStyle w:val="TextBody"/>
        <w:bidi w:val="0"/>
        <w:spacing w:before="120" w:after="0"/>
        <w:jc w:val="left"/>
        <w:rPr>
          <w:rFonts w:ascii="Times New Roman" w:hAnsi="Times New Roman"/>
          <w:sz w:val="20"/>
        </w:rPr>
      </w:pPr>
      <w:r>
        <w:rPr>
          <w:rFonts w:ascii="Times New Roman" w:hAnsi="Times New Roman"/>
          <w:sz w:val="20"/>
        </w:rPr>
        <w:t xml:space="preserve">Dutch resident shareholders and Dutch PE holders may be eligible for a (partial) refund from the Dutch tax authorities directly, depending on the particular individual circumstances of the relevant New Topco shareholder.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CureVac shareholders should consult their tax advisors regarding the tax consequences (including the application and effect of any Dutch income or other tax laws) of the offer and the post-offer reorganization in light of their particular circumstances. </w:t>
      </w:r>
    </w:p>
    <w:p>
      <w:pPr>
        <w:pStyle w:val="TextBody"/>
        <w:bidi w:val="0"/>
        <w:spacing w:before="120" w:after="0"/>
        <w:jc w:val="left"/>
        <w:rPr>
          <w:rFonts w:ascii="Times New Roman" w:hAnsi="Times New Roman"/>
          <w:sz w:val="20"/>
        </w:rPr>
      </w:pPr>
      <w:r>
        <w:rPr>
          <w:rFonts w:ascii="Times New Roman" w:hAnsi="Times New Roman"/>
          <w:sz w:val="20"/>
        </w:rPr>
        <w:t xml:space="preserve">See “Material Dutch Tax Considerations” beginning on page 87.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CureVac or New Topco shareholders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CureVac’s shareholders nor New Topco’s shareholders are entitled under Dutch law to exercise appraisal rights in connection with the offer or the post-offer reorganization.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“The Offer — Appraisal Rights” beginning on page 63.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long do CureVac shareholders have to decide whether to exchange their CureVac shares for BioNTech ADSs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expires at 9:00 a.m. (New York City time) on December 3, 2025, unless the offer is extended or terminated in accordance with the Purchase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BioNTech is not providing for guaranteed delivery procedures, and therefore CureVac shareholders must allow sufficient time for the necessary tender procedures to be completed during normal business hours of DTC and the exchange agent, prior to the expiration time. </w:t>
      </w:r>
    </w:p>
    <w:p>
      <w:pPr>
        <w:pStyle w:val="TextBody"/>
        <w:bidi w:val="0"/>
        <w:spacing w:before="120" w:after="0"/>
        <w:jc w:val="left"/>
        <w:rPr>
          <w:rFonts w:ascii="Times New Roman" w:hAnsi="Times New Roman"/>
          <w:sz w:val="20"/>
        </w:rPr>
      </w:pPr>
      <w:r>
        <w:rPr>
          <w:rFonts w:ascii="Times New Roman" w:hAnsi="Times New Roman"/>
          <w:sz w:val="20"/>
        </w:rPr>
        <w:t xml:space="preserve">DTC’s cutoff for the processing of instructions for transactions like the offer is 6:00 p.m. (New York City time). Therefore, as a practical matter, instructions to be transmitted via DTC must be submitted by that time on the business day prior to the expiration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the offer be extended and, if so, under what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may extend the offer to such other date and time as may be agreed in writing by BioNTech and CureVac, and BioNTech will extend the offer for any minimum period required by the SEC or Nasdaq.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the minimum condition is reduced from 80% to 75% pursuant to the terms of the Purchase Agreement, such reduction will be announced and the offer will remain open for at least 10 business days from the date of such announcement.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11:59 p.m. (New York City time) on March 12, 2026 (which outside date may be extended in accordance with the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CureVac shareholders be notified if the offer is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of the offer will be followed by a public announcement of the extension no later than 9:00 a.m. (New York City time) on the next business day after the day on which the offer was otherwise scheduled to expire. Without limiting the manner in which BioNTech may choose to make any public announcement, BioNTech currently intends to make announcements regarding the offer by issuing a press release and making an appropriate filing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a subsequent offering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acceptance time, BioNTech will provide a subsequent offering period in accordance with Rule 14d-11 promulgated under the Exchange Act of not less than 10 business days (calculated in accordance with Rule 14d-1(g)(3)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process for exchanging CureVac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you to validly tender your CureVac shares pursuant to the offer, prior to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through a broker, dealer, commercial bank, trust company, or other nominee, you must contact your broker, dealer, commercial bank, trust company, or other nominee and give instructions that your shares be tendered.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“The Offer — Procedures for Tendering” beginning on page 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Until what time can the CureVac shares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CureVac shareholder may properly withdraw CureVac shares tendered pursuant to the offer at any time prior to the expiration time. Following the expiration time, CureVac shareholders that have tendered their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CureVac shares tendered during the subsequent offering period may not be withdrawn.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procedure to withdraw previously tendered CureVac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properly withdraw previously tendered shares, CureVac shareholders must instruct the exchange agent to arrange for the withdrawal of such shares by a written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the offer or need additional copies of this offer to exchange/prospectus, you should contact BioNTech’s information agent: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Georgeson LLC </w:t>
      </w:r>
    </w:p>
    <w:p>
      <w:pPr>
        <w:pStyle w:val="TextBody"/>
        <w:bidi w:val="0"/>
        <w:spacing w:before="0" w:after="0"/>
        <w:jc w:val="center"/>
        <w:rPr>
          <w:rFonts w:ascii="Times New Roman" w:hAnsi="Times New Roman"/>
          <w:sz w:val="20"/>
        </w:rPr>
      </w:pPr>
      <w:r>
        <w:rPr>
          <w:rFonts w:ascii="Times New Roman" w:hAnsi="Times New Roman"/>
          <w:sz w:val="20"/>
        </w:rPr>
        <w:t xml:space="preserve">51 West 52nd Street, 6th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10019 </w:t>
      </w:r>
    </w:p>
    <w:p>
      <w:pPr>
        <w:pStyle w:val="TextBody"/>
        <w:bidi w:val="0"/>
        <w:spacing w:before="0" w:after="0"/>
        <w:jc w:val="center"/>
        <w:rPr>
          <w:rFonts w:ascii="Times New Roman" w:hAnsi="Times New Roman"/>
          <w:sz w:val="20"/>
        </w:rPr>
      </w:pPr>
      <w:r>
        <w:rPr>
          <w:rFonts w:ascii="Times New Roman" w:hAnsi="Times New Roman"/>
          <w:sz w:val="20"/>
        </w:rPr>
        <w:t xml:space="preserve">Call Collect (732) 353-1948 </w:t>
      </w:r>
    </w:p>
    <w:p>
      <w:pPr>
        <w:pStyle w:val="TextBody"/>
        <w:bidi w:val="0"/>
        <w:spacing w:before="0" w:after="0"/>
        <w:jc w:val="center"/>
        <w:rPr>
          <w:rFonts w:ascii="Times New Roman" w:hAnsi="Times New Roman"/>
          <w:sz w:val="20"/>
        </w:rPr>
      </w:pPr>
      <w:r>
        <w:rPr>
          <w:rFonts w:ascii="Times New Roman" w:hAnsi="Times New Roman"/>
          <w:sz w:val="20"/>
        </w:rPr>
        <w:t xml:space="preserve">Call Toll-Free (888) 686-7195 </w:t>
      </w:r>
    </w:p>
    <w:p>
      <w:pPr>
        <w:pStyle w:val="TextBody"/>
        <w:bidi w:val="0"/>
        <w:spacing w:before="0" w:after="0"/>
        <w:jc w:val="center"/>
        <w:rPr>
          <w:rFonts w:ascii="Times New Roman" w:hAnsi="Times New Roman"/>
          <w:sz w:val="20"/>
        </w:rPr>
      </w:pPr>
      <w:r>
        <w:rPr>
          <w:rFonts w:ascii="Times New Roman" w:hAnsi="Times New Roman"/>
          <w:sz w:val="20"/>
        </w:rPr>
        <w:t xml:space="preserve">Email: Curevacoffer@georgeson.com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relating to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more information on the offer in the Schedule TO and the Schedule 14D-9. Before making any decision with respect to the offer, CureVac shareholders are encouraged to read the Schedule TO (including the offer to exchange/prospectus, related letter of transmittal, and other offer documents attached thereto)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 of CureVac’s financial advisor. Investors will be able to obtain free copies of the Schedule TO and Schedule 14D-9, as each may be amended from time to time, and other relevant documents filed by BioNTech and CureVac with the SEC (when they become available) at http://www.sec.gov, the SEC’s website, or free of charge from BioNTech’s website at http://www.biontech.com or by contacting BioNTech’s Investor Relations Department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investors@biontech.de. These documents will also be available free of charge from CureVac’s website at http://www.curevac.com or by contacting CureVac’s Investor Relations Department at communications@curevac.com. The information found on, or otherwise accessible through, these websites is not incorporated into, and does not form a part of, this offer to exchange/prospectus.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847647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some of the information contained in this offer to exchange/prospectus. This summary may not contain all of the information that is important to you. For a more complete description of the Purchase Agreement, the offer, and the other transactions, BioNTech encourages you to read this entire offer to exchange/prospectus carefully, including the attached Annexes and the other documents to which you have been referred. See also the section entitled “Where You Can Find More Information and Incorporation by Reference” beginning on page 167. The page references have been included to direct you to a more complete description of the topics presented in this summary. </w:t>
      </w:r>
    </w:p>
    <w:p>
      <w:pPr>
        <w:pStyle w:val="TextBody"/>
        <w:bidi w:val="0"/>
        <w:spacing w:before="240" w:after="0"/>
        <w:jc w:val="left"/>
        <w:rPr>
          <w:rFonts w:ascii="Times New Roman" w:hAnsi="Times New Roman"/>
          <w:b/>
          <w:sz w:val="20"/>
          <w:bdr w:val="single" w:sz="8" w:space="1" w:color="000000"/>
        </w:rPr>
      </w:pPr>
      <w:bookmarkStart w:id="5" w:name="toc847647_3"/>
      <w:bookmarkEnd w:id="5"/>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BioNTech SE (see page 40)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SE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der Goldgrube 12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D-55131 Mainz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Germany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+49 6131-9084-0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BioNTech SE, a European stock corporation (</w:t>
      </w:r>
      <w:r>
        <w:rPr>
          <w:rFonts w:ascii="Times New Roman" w:hAnsi="Times New Roman"/>
          <w:i/>
          <w:sz w:val="20"/>
          <w:bdr w:val="single" w:sz="8" w:space="1" w:color="000000"/>
        </w:rPr>
        <w:t>Societas Europaea</w:t>
      </w:r>
      <w:r>
        <w:rPr>
          <w:rFonts w:ascii="Times New Roman" w:hAnsi="Times New Roman"/>
          <w:sz w:val="20"/>
          <w:bdr w:val="single" w:sz="8" w:space="1" w:color="000000"/>
        </w:rPr>
        <w:t xml:space="preserve">,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BioNTech’s multi-technology combination of platforms and product candidates positions it as a pioneer in the field of individualized, patient-centric therapeutic approaches in oncology, and infectious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hAnsi="Times New Roman"/>
          <w:i/>
          <w:sz w:val="20"/>
          <w:bdr w:val="single" w:sz="8" w:space="1" w:color="000000"/>
        </w:rPr>
        <w:t>Comirnaty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BioNTech ADSs are listed on Nasdaq, trading under the symbol “BNTX”.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CureVac N.V. (see page 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N.V.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Friedrich-Miescher-Strasse 15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72076 Tübingen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Germany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+49 7071-9883-0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CureVac N.V., a public limited liability company (</w:t>
      </w:r>
      <w:r>
        <w:rPr>
          <w:rFonts w:ascii="Times New Roman" w:hAnsi="Times New Roman"/>
          <w:i/>
          <w:sz w:val="20"/>
          <w:bdr w:val="single" w:sz="8" w:space="1" w:color="000000"/>
        </w:rPr>
        <w:t>naamloze vennootschap</w:t>
      </w:r>
      <w:r>
        <w:rPr>
          <w:rFonts w:ascii="Times New Roman" w:hAnsi="Times New Roman"/>
          <w:sz w:val="20"/>
          <w:bdr w:val="single" w:sz="8" w:space="1" w:color="000000"/>
        </w:rPr>
        <w:t xml:space="preserve">)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CureVac shares are listed on Nasdaq, trading under the symbol “CVAC”.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CureVac Merger B.V. (see page 41)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Merger B.V.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Friedrich-Miescher-Strasse 15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72076 Tübingen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Germany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+49 7071-9883-0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New Topco is a private limited liability company (</w:t>
      </w:r>
      <w:r>
        <w:rPr>
          <w:rFonts w:ascii="Times New Roman" w:hAnsi="Times New Roman"/>
          <w:i/>
          <w:sz w:val="20"/>
          <w:bdr w:val="single" w:sz="8" w:space="1" w:color="000000"/>
        </w:rPr>
        <w:t>besloten vennootschap met beperkte aansprakelijkheid</w:t>
      </w:r>
      <w:r>
        <w:rPr>
          <w:rFonts w:ascii="Times New Roman" w:hAnsi="Times New Roman"/>
          <w:sz w:val="20"/>
          <w:bdr w:val="single" w:sz="8" w:space="1" w:color="000000"/>
        </w:rPr>
        <w:t xml:space="preserve">)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 </w:t>
      </w:r>
    </w:p>
    <w:p>
      <w:pPr>
        <w:pStyle w:val="TextBody"/>
        <w:bidi w:val="0"/>
        <w:spacing w:before="240" w:after="0"/>
        <w:jc w:val="left"/>
        <w:rPr>
          <w:rFonts w:ascii="Times New Roman" w:hAnsi="Times New Roman"/>
          <w:sz w:val="20"/>
          <w:bdr w:val="single" w:sz="8" w:space="1" w:color="000000"/>
        </w:rPr>
      </w:pPr>
      <w:bookmarkStart w:id="6" w:name="toc847647_4"/>
      <w:bookmarkEnd w:id="6"/>
      <w:r>
        <w:rPr>
          <w:rFonts w:ascii="Times New Roman" w:hAnsi="Times New Roman"/>
          <w:b/>
          <w:sz w:val="20"/>
          <w:bdr w:val="single" w:sz="8" w:space="1" w:color="000000"/>
        </w:rPr>
        <w:t xml:space="preserve">The Offer and the Purchase Agreement </w:t>
      </w:r>
      <w:r>
        <w:rPr>
          <w:rFonts w:ascii="Times New Roman" w:hAnsi="Times New Roman"/>
          <w:b/>
          <w:i/>
          <w:sz w:val="20"/>
          <w:bdr w:val="single" w:sz="8" w:space="1" w:color="000000"/>
        </w:rPr>
        <w:t>(see pages 54</w:t>
      </w:r>
      <w:r>
        <w:rPr>
          <w:rFonts w:ascii="Times New Roman" w:hAnsi="Times New Roman"/>
          <w:sz w:val="20"/>
          <w:bdr w:val="single" w:sz="8" w:space="1" w:color="000000"/>
        </w:rPr>
        <w:t xml:space="preserve"> </w:t>
      </w:r>
      <w:r>
        <w:rPr>
          <w:rFonts w:ascii="Times New Roman" w:hAnsi="Times New Roman"/>
          <w:b/>
          <w:i/>
          <w:sz w:val="20"/>
          <w:bdr w:val="single" w:sz="8" w:space="1" w:color="000000"/>
        </w:rPr>
        <w:t>and 94)</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Purchase Agreement, BioNTech and CureVac have agreed (subject to the terms and conditions of the Purchase Agreement) that BioNTech will commence an exchange offer to acquire all of the outstanding CureVac shares. In exchange for each CureVac share, the tendering CureVac shareholder will receive a number of BioNTech ADSs equal to the amount obtained by dividing $5.4641 by the BioNTech ADS VWAP. In the event the BioNTech ADS VWAP is greater than or equal to $126.55, the exchange ratio will be 0.04318 and in the event the BioNTech ADS VWAP is less than or equal to $84.37, the exchange ratio will be 0.06476. During the offer, an indicative exchange ratio (calculated in the manner described in this offer to exchange/prospectus) will be available at www.envisionreports.com/CureVacOffer, beginning on October 22,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BioNTech and CureVac have agreed that (subject to the terms and conditions of the Purchase Agreement), as promptly as practicable following the expiration of the subsequent offering period, BioNTech and CureVac will effectuate the post-offer reorganization and the New Topco U.S. tax election. The post-offer reorganization will ensure that BioNTech becomes the sole owner of all of CureVac’s business operations from and after its consummation.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is more fully described in the section entitled “The Purchase Agreement” beginning on page 94 and a copy of the Purchase Agreement is attached as Annex A to this offer to exchange/prospectus and is incorporated herein by reference. You should read the Purchase Agreement carefully in its entirety before making any decisions regarding the offer because it is the legal document that governs the relationship between BioNTech and CureVac with respect to the offer. </w:t>
      </w:r>
    </w:p>
    <w:p>
      <w:pPr>
        <w:pStyle w:val="TextBody"/>
        <w:bidi w:val="0"/>
        <w:spacing w:before="240" w:after="0"/>
        <w:jc w:val="left"/>
        <w:rPr>
          <w:rFonts w:ascii="Times New Roman" w:hAnsi="Times New Roman"/>
          <w:sz w:val="20"/>
          <w:bdr w:val="single" w:sz="8" w:space="1" w:color="000000"/>
        </w:rPr>
      </w:pPr>
      <w:bookmarkStart w:id="7" w:name="toc847647_5"/>
      <w:bookmarkEnd w:id="7"/>
      <w:r>
        <w:rPr>
          <w:rFonts w:ascii="Times New Roman" w:hAnsi="Times New Roman"/>
          <w:b/>
          <w:sz w:val="20"/>
          <w:bdr w:val="single" w:sz="8" w:space="1" w:color="000000"/>
        </w:rPr>
        <w:t xml:space="preserve">The Tender and Support Agreements </w:t>
      </w:r>
      <w:r>
        <w:rPr>
          <w:rFonts w:ascii="Times New Roman" w:hAnsi="Times New Roman"/>
          <w:b/>
          <w:i/>
          <w:sz w:val="20"/>
          <w:bdr w:val="single" w:sz="8" w:space="1" w:color="000000"/>
        </w:rPr>
        <w:t>(see page 121)</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 The form of the tender and support agreements is attached as Annex B to this offer to exchange/prospectus and is incorporated by reference herein in its entirety. </w:t>
      </w:r>
    </w:p>
    <w:p>
      <w:pPr>
        <w:pStyle w:val="TextBody"/>
        <w:bidi w:val="0"/>
        <w:spacing w:before="240" w:after="0"/>
        <w:jc w:val="left"/>
        <w:rPr>
          <w:rFonts w:ascii="Times New Roman" w:hAnsi="Times New Roman"/>
          <w:sz w:val="20"/>
          <w:bdr w:val="single" w:sz="8" w:space="1" w:color="000000"/>
        </w:rPr>
      </w:pPr>
      <w:bookmarkStart w:id="8" w:name="toc847647_6"/>
      <w:bookmarkEnd w:id="8"/>
      <w:r>
        <w:rPr>
          <w:rFonts w:ascii="Times New Roman" w:hAnsi="Times New Roman"/>
          <w:b/>
          <w:sz w:val="20"/>
          <w:bdr w:val="single" w:sz="8" w:space="1" w:color="000000"/>
        </w:rPr>
        <w:t xml:space="preserve">BioNTech’s Reasons for the Offer and the Transactions </w:t>
      </w:r>
      <w:r>
        <w:rPr>
          <w:rFonts w:ascii="Times New Roman" w:hAnsi="Times New Roman"/>
          <w:b/>
          <w:i/>
          <w:sz w:val="20"/>
          <w:bdr w:val="single" w:sz="8" w:space="1" w:color="000000"/>
        </w:rPr>
        <w:t>(see page 44)</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11, 2025, after careful consideration, the BioNTech boards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Certain factors considered by the BioNTech boards in reaching their decision to approve the Purchase Agreement, the offer, the post-offer reorganization, and the other transactions can be found in the section entitled “Background of the Transactions — BioNTech’s Reasons for the Offer and the Transactions” beginning on page 45. </w:t>
      </w:r>
    </w:p>
    <w:p>
      <w:pPr>
        <w:pStyle w:val="TextBody"/>
        <w:bidi w:val="0"/>
        <w:spacing w:before="240" w:after="0"/>
        <w:jc w:val="left"/>
        <w:rPr>
          <w:rFonts w:ascii="Times New Roman" w:hAnsi="Times New Roman"/>
          <w:sz w:val="20"/>
          <w:bdr w:val="single" w:sz="8" w:space="1" w:color="000000"/>
        </w:rPr>
      </w:pPr>
      <w:bookmarkStart w:id="9" w:name="toc847647_7"/>
      <w:bookmarkEnd w:id="9"/>
      <w:r>
        <w:rPr>
          <w:rFonts w:ascii="Times New Roman" w:hAnsi="Times New Roman"/>
          <w:b/>
          <w:sz w:val="20"/>
          <w:bdr w:val="single" w:sz="8" w:space="1" w:color="000000"/>
        </w:rPr>
        <w:t xml:space="preserve">Summary of Risks Related to the Transactions </w:t>
      </w:r>
      <w:r>
        <w:rPr>
          <w:rFonts w:ascii="Times New Roman" w:hAnsi="Times New Roman"/>
          <w:b/>
          <w:i/>
          <w:sz w:val="20"/>
          <w:bdr w:val="single" w:sz="8" w:space="1" w:color="000000"/>
        </w:rPr>
        <w:t>(see page 28)</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consider carefully the risk factors described below together with all of the other information included in this offer to exchange/prospectus. The risks related to the offer and the other transactions are described under the section entitled “Risk Factors — Risks Related to the Offer” beginning on page 28.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shareholders will be diluted in terms of their ownership in BioNTech following the transactions relative to their current ownership in CureVac.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federal income tax consequences of the exchange of CureVac shares for BioNTech ADSs pursuant to the offer or the cancellation to U.S. holders may be complex.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German tax authorities take the view that German withholding tax on the cancellation consideration should have been withheld, New Topco or the cancellation consideration recipients could be held liable.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transactions is subject to many conditions and if these conditions are not satisfied or waived, the transactions will not be completed, which could result in the requirement that BioNTech or CureVac pay certain termination fees.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pendency of the transactions could adversely affect the business and operations of BioNTech and CureVac.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Agreement contains provisions that could discourage a potential competing acquirer of CureVac or could result in a competing proposal being at a lower price than it might otherwise 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must implement share capital increases to create the offer consideration, which will result in an extended settlement and may delay the closing of the transactions. You will not receive any interest or other consideration as a result of this extended settlement. </w:t>
            </w:r>
          </w:p>
        </w:tc>
      </w:tr>
    </w:tbl>
    <w:p>
      <w:pPr>
        <w:pStyle w:val="TextBody"/>
        <w:bidi w:val="0"/>
        <w:spacing w:before="240" w:after="0"/>
        <w:jc w:val="left"/>
        <w:rPr>
          <w:rFonts w:ascii="Times New Roman" w:hAnsi="Times New Roman"/>
          <w:sz w:val="20"/>
          <w:bdr w:val="single" w:sz="8" w:space="1" w:color="000000"/>
        </w:rPr>
      </w:pPr>
      <w:bookmarkStart w:id="10" w:name="toc847647_8"/>
      <w:bookmarkEnd w:id="10"/>
      <w:r>
        <w:rPr>
          <w:rFonts w:ascii="Times New Roman" w:hAnsi="Times New Roman"/>
          <w:b/>
          <w:sz w:val="20"/>
          <w:bdr w:val="single" w:sz="8" w:space="1" w:color="000000"/>
        </w:rPr>
        <w:t xml:space="preserve">Directors and Management of BioNTech and CureVac or New Topco, as applicable, following the Closing of the Offer </w:t>
      </w:r>
      <w:r>
        <w:rPr>
          <w:rFonts w:ascii="Times New Roman" w:hAnsi="Times New Roman"/>
          <w:b/>
          <w:i/>
          <w:sz w:val="20"/>
          <w:bdr w:val="single" w:sz="8" w:space="1" w:color="000000"/>
        </w:rPr>
        <w:t>(see page 51)</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composition of the BioNTech boards will not change as a result of the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Hopp BioTech holding GmbH &amp; Co. KG, which we refer to, together with certain of its affiliates, as dievini, and Kreditanstalt für Wiederaufbau, which holds CureVac shares on behalf of the German government and we refer to as KfW, and will at all times qualify as independent in accordance with the independence standards set forth in the Dutch Corporate Governance Code, which we refer to as the DCGC.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the merger effective time through the cancellation, the management board and supervisory board of New Topco will be as agreed between BioNTech and CureVac. </w:t>
      </w:r>
    </w:p>
    <w:p>
      <w:pPr>
        <w:pStyle w:val="TextBody"/>
        <w:bidi w:val="0"/>
        <w:spacing w:before="240" w:after="0"/>
        <w:jc w:val="left"/>
        <w:rPr>
          <w:rFonts w:ascii="Times New Roman" w:hAnsi="Times New Roman"/>
          <w:sz w:val="20"/>
          <w:bdr w:val="single" w:sz="8" w:space="1" w:color="000000"/>
        </w:rPr>
      </w:pPr>
      <w:bookmarkStart w:id="11" w:name="toc847647_9"/>
      <w:bookmarkEnd w:id="11"/>
      <w:r>
        <w:rPr>
          <w:rFonts w:ascii="Times New Roman" w:hAnsi="Times New Roman"/>
          <w:b/>
          <w:sz w:val="20"/>
          <w:bdr w:val="single" w:sz="8" w:space="1" w:color="000000"/>
        </w:rPr>
        <w:t xml:space="preserve">Interests of BioNTech’s Supervisory and Management Directors in the Offer </w:t>
      </w:r>
      <w:r>
        <w:rPr>
          <w:rFonts w:ascii="Times New Roman" w:hAnsi="Times New Roman"/>
          <w:b/>
          <w:i/>
          <w:sz w:val="20"/>
          <w:bdr w:val="single" w:sz="8" w:space="1" w:color="000000"/>
        </w:rPr>
        <w:t>(see page 51)</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None of BioNTech’s supervisory or management directors are party to an arrangement with BioNTech, or participates in any BioNTech plan, program, or arrangement, that provides such directors with financial incentives that are contingent upon the consummation of the transactions. </w:t>
      </w:r>
    </w:p>
    <w:p>
      <w:pPr>
        <w:pStyle w:val="TextBody"/>
        <w:bidi w:val="0"/>
        <w:spacing w:before="240" w:after="0"/>
        <w:jc w:val="left"/>
        <w:rPr>
          <w:rFonts w:ascii="Times New Roman" w:hAnsi="Times New Roman"/>
          <w:sz w:val="20"/>
          <w:bdr w:val="single" w:sz="8" w:space="1" w:color="000000"/>
        </w:rPr>
      </w:pPr>
      <w:bookmarkStart w:id="12" w:name="toc847647_10"/>
      <w:bookmarkEnd w:id="12"/>
      <w:r>
        <w:rPr>
          <w:rFonts w:ascii="Times New Roman" w:hAnsi="Times New Roman"/>
          <w:b/>
          <w:sz w:val="20"/>
          <w:bdr w:val="single" w:sz="8" w:space="1" w:color="000000"/>
        </w:rPr>
        <w:t xml:space="preserve">Interests of CureVac’s Supervisory and Management Directors in the Offer </w:t>
      </w:r>
      <w:r>
        <w:rPr>
          <w:rFonts w:ascii="Times New Roman" w:hAnsi="Times New Roman"/>
          <w:b/>
          <w:i/>
          <w:sz w:val="20"/>
          <w:bdr w:val="single" w:sz="8" w:space="1" w:color="000000"/>
        </w:rPr>
        <w:t>(see page 52)</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 bonuses;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acceleration and cash settlement of CureVac PSUs, CureVac RSUs, and CureVac options, where the per share exercise price is less than the CureVac value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members of the CureVac boards own CureVac shares, or are affiliated with a shareholder owning CureVac shares, that will be tendered in the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certain members of the CureVac management board of certain severance and post-contractual non-compete compensation pursuant to their existing service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CureVac employees are entitled to certain treatment under the Purchase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CureVac’s supervisory and management directors are entitled to continued indemnification and insurance coverage under the Purchase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Schedule 14D-9 to be filed by CureVac will include more detail on the foregoing and additional discussion of the interests of CureVac’s supervisory and management directors in the offer (see Item 3(a) “Arrangements with Supervisory Board and Management Board Members of the Company”). You are encouraged to read that section in its entirety. </w:t>
      </w:r>
    </w:p>
    <w:p>
      <w:pPr>
        <w:pStyle w:val="TextBody"/>
        <w:bidi w:val="0"/>
        <w:spacing w:before="240" w:after="0"/>
        <w:jc w:val="left"/>
        <w:rPr>
          <w:rFonts w:ascii="Times New Roman" w:hAnsi="Times New Roman"/>
          <w:sz w:val="20"/>
          <w:bdr w:val="single" w:sz="8" w:space="1" w:color="000000"/>
        </w:rPr>
      </w:pPr>
      <w:bookmarkStart w:id="13" w:name="toc847647_11"/>
      <w:bookmarkEnd w:id="13"/>
      <w:r>
        <w:rPr>
          <w:rFonts w:ascii="Times New Roman" w:hAnsi="Times New Roman"/>
          <w:b/>
          <w:sz w:val="20"/>
          <w:bdr w:val="single" w:sz="8" w:space="1" w:color="000000"/>
        </w:rPr>
        <w:t xml:space="preserve">Treatment of CureVac Equity Awards </w:t>
      </w:r>
      <w:r>
        <w:rPr>
          <w:rFonts w:ascii="Times New Roman" w:hAnsi="Times New Roman"/>
          <w:b/>
          <w:i/>
          <w:sz w:val="20"/>
          <w:bdr w:val="single" w:sz="8" w:space="1" w:color="000000"/>
        </w:rPr>
        <w:t>(see page 55)</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CureVac’s outstanding equity awards will be treated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VSOP awards: 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PSUs: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RSUs: 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options: 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14" w:name="toc847647_12"/>
      <w:bookmarkEnd w:id="14"/>
      <w:r>
        <w:rPr>
          <w:rFonts w:ascii="Times New Roman" w:hAnsi="Times New Roman"/>
          <w:b/>
          <w:sz w:val="20"/>
          <w:bdr w:val="single" w:sz="8" w:space="1" w:color="000000"/>
        </w:rPr>
        <w:t xml:space="preserve">Extension of the Offer Period </w:t>
      </w:r>
      <w:r>
        <w:rPr>
          <w:rFonts w:ascii="Times New Roman" w:hAnsi="Times New Roman"/>
          <w:b/>
          <w:i/>
          <w:sz w:val="20"/>
          <w:bdr w:val="single" w:sz="8" w:space="1" w:color="000000"/>
        </w:rPr>
        <w:t>(see page 59)</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may extend the offer to such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the minimum condition is reduced from 80% to 75% pursuant to the terms of the Purchase Agreement, such reduction will be announced and the offer will remain open for at least 10 business days from the date of such announcement.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 </w:t>
      </w:r>
    </w:p>
    <w:p>
      <w:pPr>
        <w:pStyle w:val="TextBody"/>
        <w:bidi w:val="0"/>
        <w:spacing w:before="360" w:after="0"/>
        <w:jc w:val="left"/>
        <w:rPr>
          <w:rFonts w:ascii="Times New Roman" w:hAnsi="Times New Roman"/>
          <w:sz w:val="20"/>
          <w:bdr w:val="single" w:sz="8" w:space="1" w:color="000000"/>
        </w:rPr>
      </w:pPr>
      <w:bookmarkStart w:id="15" w:name="toc847647_13"/>
      <w:bookmarkEnd w:id="15"/>
      <w:r>
        <w:rPr>
          <w:rFonts w:ascii="Times New Roman" w:hAnsi="Times New Roman"/>
          <w:b/>
          <w:sz w:val="20"/>
          <w:bdr w:val="single" w:sz="8" w:space="1" w:color="000000"/>
        </w:rPr>
        <w:t xml:space="preserve">Subsequent Offering Period </w:t>
      </w:r>
      <w:r>
        <w:rPr>
          <w:rFonts w:ascii="Times New Roman" w:hAnsi="Times New Roman"/>
          <w:b/>
          <w:i/>
          <w:sz w:val="20"/>
          <w:bdr w:val="single" w:sz="8" w:space="1" w:color="000000"/>
        </w:rPr>
        <w:t>(see page 59)</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acceptance time, BioNTech will provide a subsequent offering period, in accordance with Rule 14d-11 promulgated under the Exchange Act, of not less than 10 business days (calculated in accordance with Rule 14d-1(g)(3) under the Exchange Act). </w:t>
      </w:r>
    </w:p>
    <w:p>
      <w:pPr>
        <w:pStyle w:val="TextBody"/>
        <w:bidi w:val="0"/>
        <w:spacing w:before="360" w:after="0"/>
        <w:jc w:val="left"/>
        <w:rPr>
          <w:rFonts w:ascii="Times New Roman" w:hAnsi="Times New Roman"/>
          <w:sz w:val="20"/>
          <w:bdr w:val="single" w:sz="8" w:space="1" w:color="000000"/>
        </w:rPr>
      </w:pPr>
      <w:bookmarkStart w:id="16" w:name="toc847647_14"/>
      <w:bookmarkEnd w:id="16"/>
      <w:r>
        <w:rPr>
          <w:rFonts w:ascii="Times New Roman" w:hAnsi="Times New Roman"/>
          <w:b/>
          <w:sz w:val="20"/>
          <w:bdr w:val="single" w:sz="8" w:space="1" w:color="000000"/>
        </w:rPr>
        <w:t xml:space="preserve">The Post-Offer Reorganization and the New Topco U.S. Tax Election </w:t>
      </w:r>
      <w:r>
        <w:rPr>
          <w:rFonts w:ascii="Times New Roman" w:hAnsi="Times New Roman"/>
          <w:b/>
          <w:i/>
          <w:sz w:val="20"/>
          <w:bdr w:val="single" w:sz="8" w:space="1" w:color="000000"/>
        </w:rPr>
        <w:t>(see page 59)</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at a rate of 15% if and to the extent the cancellation consideration exceeds the fiscally recognized capital of the New Topco A shares immediately prior to the cancellation effective time, whereas no Dutch dividend withholding tax is due on the offer consideration received in exchange for CureVac shares tendered in the offer or during the subsequent offering period. See “The Offer — The Post-Offer Reorganization and the New Topco U.S. Tax Election” beginning on page 59.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(and now hold New Topco A shares), will receive BioNTech ADSs (and cash in lieu of fractional BioNTech ADSs) following completion of the cancellation, without interest and subject to applicable Dutch dividend withholding tax. Any such Dutch dividend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of Dutch dividend withholding tax from the Dutch tax authorities directly, depending on the particular individual circumstances of the relevant New Topco shareholder.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shareholders should consult their tax advisors regarding the tax consequences (including the application and effect of any Dutch income or other tax laws) of the offer and the post-offer reorganization in light of their particular circumstances. See “Material Dutch Tax Considerations” beginning on page 87.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Offer — The Post-Offer Reorganization and the New Topco U.S. Tax Election” beginning on page 59 for additional information concerning the application of Dutch dividend withholding tax and refund possibilities. </w:t>
      </w:r>
    </w:p>
    <w:p>
      <w:pPr>
        <w:pStyle w:val="TextBody"/>
        <w:bidi w:val="0"/>
        <w:spacing w:before="240" w:after="0"/>
        <w:jc w:val="left"/>
        <w:rPr>
          <w:rFonts w:ascii="Times New Roman" w:hAnsi="Times New Roman"/>
          <w:sz w:val="20"/>
          <w:bdr w:val="single" w:sz="8" w:space="1" w:color="000000"/>
        </w:rPr>
      </w:pPr>
      <w:bookmarkStart w:id="17" w:name="toc847647_15"/>
      <w:bookmarkEnd w:id="17"/>
      <w:r>
        <w:rPr>
          <w:rFonts w:ascii="Times New Roman" w:hAnsi="Times New Roman"/>
          <w:b/>
          <w:sz w:val="20"/>
          <w:bdr w:val="single" w:sz="8" w:space="1" w:color="000000"/>
        </w:rPr>
        <w:t xml:space="preserve">Appraisal Rights </w:t>
      </w:r>
      <w:r>
        <w:rPr>
          <w:rFonts w:ascii="Times New Roman" w:hAnsi="Times New Roman"/>
          <w:b/>
          <w:i/>
          <w:sz w:val="20"/>
          <w:bdr w:val="single" w:sz="8" w:space="1" w:color="000000"/>
        </w:rPr>
        <w:t>(see page 63)</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CureVac’s shareholders nor New Topco’s shareholders are entitled under Dutch law to appraisal or dissenters’ rights related to the CureVac shares or New Topco shares in connection with the offer or the post-offer reorganization. </w:t>
      </w:r>
    </w:p>
    <w:p>
      <w:pPr>
        <w:pStyle w:val="TextBody"/>
        <w:bidi w:val="0"/>
        <w:spacing w:before="240" w:after="0"/>
        <w:jc w:val="left"/>
        <w:rPr>
          <w:rFonts w:ascii="Times New Roman" w:hAnsi="Times New Roman"/>
          <w:sz w:val="20"/>
          <w:bdr w:val="single" w:sz="8" w:space="1" w:color="000000"/>
        </w:rPr>
      </w:pPr>
      <w:bookmarkStart w:id="18" w:name="toc847647_101"/>
      <w:bookmarkEnd w:id="18"/>
      <w:r>
        <w:rPr>
          <w:rFonts w:ascii="Times New Roman" w:hAnsi="Times New Roman"/>
          <w:b/>
          <w:sz w:val="20"/>
          <w:bdr w:val="single" w:sz="8" w:space="1" w:color="000000"/>
        </w:rPr>
        <w:t xml:space="preserve">Recent Developments </w:t>
      </w:r>
      <w:r>
        <w:rPr>
          <w:rFonts w:ascii="Times New Roman" w:hAnsi="Times New Roman"/>
          <w:b/>
          <w:i/>
          <w:sz w:val="20"/>
          <w:bdr w:val="single" w:sz="8" w:space="1" w:color="000000"/>
        </w:rPr>
        <w:t>(see page 63)</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GSK Settlement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7, 2025, BioNTech announced certain arrangements, which we refer to as the settlement arrangements, among BioNTech and its affiliate, which we refer to as the BioNTech parties, CureVac and certain of its affiliates, which we refer to as the CureVac parties, Pfizer Inc., which we refer to as Pfizer, and GlaxoSmithKline Biologicals SA, which we refer to as GSK, to resolve the pending patent litigation among the BioNTech parties, the CureVac parties, and Pfizer in the United States, and a framework for resolving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litigation and allegations of patent infringement among the BioNTech parties, the CureVac parties, and Pfizer outside the United States (subject to the closing of the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Autogene Cevumeran Clinical Program in Adjuvant Colorectal Cancer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has provided certain updates regarding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See “The Offer — Recent Developments” beginning on page 63 for more information.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Alnylam Settlement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29, 2025, the BioNTech parties entered into a Settlement Agreement and Covenant Not to Sue, which we refer to as the Alnylam Settlement Agreement, with Alnylam Pharmaceuticals, Inc., which we refer to as Alnylam. See “The Offer — Recent Developments” beginning on page 63 for more information.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Genevant Arbitration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September 2025, Genevant Sciences GmbH, which we refer to as Genevant, initiated an arbitration against BioNTech alleging that BioNTech breached the License and Co-Development Agreement, which we refer to as the License Agreement, between Genevant and BioNTech dated July 4, 2018. See “The Offer — Recent Developments” beginning on page  63 for more information. </w:t>
      </w:r>
    </w:p>
    <w:p>
      <w:pPr>
        <w:pStyle w:val="TextBody"/>
        <w:bidi w:val="0"/>
        <w:spacing w:before="240" w:after="0"/>
        <w:jc w:val="left"/>
        <w:rPr>
          <w:rFonts w:ascii="Times New Roman" w:hAnsi="Times New Roman"/>
          <w:sz w:val="20"/>
          <w:bdr w:val="single" w:sz="8" w:space="1" w:color="000000"/>
        </w:rPr>
      </w:pPr>
      <w:bookmarkStart w:id="19" w:name="toc847647_16"/>
      <w:bookmarkEnd w:id="19"/>
      <w:r>
        <w:rPr>
          <w:rFonts w:ascii="Times New Roman" w:hAnsi="Times New Roman"/>
          <w:b/>
          <w:sz w:val="20"/>
          <w:bdr w:val="single" w:sz="8" w:space="1" w:color="000000"/>
        </w:rPr>
        <w:t>Conditions to Closing of the Offer</w:t>
      </w:r>
      <w:r>
        <w:rPr>
          <w:rFonts w:ascii="Times New Roman" w:hAnsi="Times New Roman"/>
          <w:sz w:val="20"/>
          <w:bdr w:val="single" w:sz="8" w:space="1" w:color="000000"/>
        </w:rPr>
        <w:t xml:space="preserve"> </w:t>
      </w:r>
      <w:r>
        <w:rPr>
          <w:rFonts w:ascii="Times New Roman" w:hAnsi="Times New Roman"/>
          <w:b/>
          <w:i/>
          <w:sz w:val="20"/>
          <w:bdr w:val="single" w:sz="8" w:space="1" w:color="000000"/>
        </w:rPr>
        <w:t>(see page 115)</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number of customary conditions must be satisfied or waived, where legally permissible, as of the expiration time before BioNTech will be required to accept for payment or pay for any CureVac share validly tendered and not properly withdrawn pursuant to the offer, and the transactions can be consummated. These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CureVac shares having been validly tendered and not properly withdrawn that represent at least 80% of CureVac’s issued and outstanding capital immediately prior to the expiration time; provided that if all other offer conditions have been satisfied and BioNTech has previously extended the offer on four or more occasions, BioNTech may, in its sole discretion, reduce the minimum condition to 75% of CureVac’s issued and outstanding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certain necessary antitrust and other regulatory approvals, or such approvals being deemed to have been received due to the expiry or termination of their relevant waiting periods or applicable statutory deadlines (and any extensions thereof), or through any other informal comfort letter that is satisfactory to BioNTech, and such approvals being in full force and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any applicable law or order of a governmental authority prohibiting, rendering illegal, or enjoining the consummation of the offer or the other transactions, including the post-offer reorganization;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the representations and warranties of CureVac made in the Purchase Agreement (subject to certain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CureVac’s material compliance with its covenants contained in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any material adverse effect on CureVac or on BioNTech that is continuing (in each case, subject to certain exceptions);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required resolutions at the EGM (or a subsequent EGM).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BioNTech nor CureVac can give any assurance as to when or if all of the conditions to the consummation of the offer will be satisfied or waived, or that the offer will occur. </w:t>
      </w:r>
    </w:p>
    <w:p>
      <w:pPr>
        <w:pStyle w:val="TextBody"/>
        <w:bidi w:val="0"/>
        <w:spacing w:before="240" w:after="0"/>
        <w:jc w:val="left"/>
        <w:rPr>
          <w:rFonts w:ascii="Times New Roman" w:hAnsi="Times New Roman"/>
          <w:sz w:val="20"/>
          <w:bdr w:val="single" w:sz="8" w:space="1" w:color="000000"/>
        </w:rPr>
      </w:pPr>
      <w:bookmarkStart w:id="20" w:name="toc847647_17"/>
      <w:bookmarkEnd w:id="20"/>
      <w:r>
        <w:rPr>
          <w:rFonts w:ascii="Times New Roman" w:hAnsi="Times New Roman"/>
          <w:b/>
          <w:sz w:val="20"/>
          <w:bdr w:val="single" w:sz="8" w:space="1" w:color="000000"/>
        </w:rPr>
        <w:t xml:space="preserve">Procedures for Tendering </w:t>
      </w:r>
      <w:r>
        <w:rPr>
          <w:rFonts w:ascii="Times New Roman" w:hAnsi="Times New Roman"/>
          <w:b/>
          <w:i/>
          <w:sz w:val="20"/>
          <w:bdr w:val="single" w:sz="8" w:space="1" w:color="000000"/>
        </w:rPr>
        <w:t>(see page 55)</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you to validly tender your CureVac shares pursuant to the offer, prior to the expiration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through a broker, dealer, commercial bank, trust company, or other nominee, you must contact your broker, dealer, commercial bank, trust company, or other nominee and give instructions that your shares be tendered. </w:t>
            </w:r>
          </w:p>
        </w:tc>
      </w:tr>
    </w:tbl>
    <w:p>
      <w:pPr>
        <w:pStyle w:val="TextBody"/>
        <w:bidi w:val="0"/>
        <w:spacing w:before="240" w:after="0"/>
        <w:jc w:val="left"/>
        <w:rPr>
          <w:rFonts w:ascii="Times New Roman" w:hAnsi="Times New Roman"/>
          <w:sz w:val="20"/>
          <w:bdr w:val="single" w:sz="8" w:space="1" w:color="000000"/>
        </w:rPr>
      </w:pPr>
      <w:bookmarkStart w:id="21" w:name="toc847647_18"/>
      <w:bookmarkEnd w:id="21"/>
      <w:r>
        <w:rPr>
          <w:rFonts w:ascii="Times New Roman" w:hAnsi="Times New Roman"/>
          <w:b/>
          <w:sz w:val="20"/>
          <w:bdr w:val="single" w:sz="8" w:space="1" w:color="000000"/>
        </w:rPr>
        <w:t>Withdrawal Rights</w:t>
      </w:r>
      <w:r>
        <w:rPr>
          <w:rFonts w:ascii="Times New Roman" w:hAnsi="Times New Roman"/>
          <w:sz w:val="20"/>
          <w:bdr w:val="single" w:sz="8" w:space="1" w:color="000000"/>
        </w:rPr>
        <w:t xml:space="preserve"> </w:t>
      </w:r>
      <w:r>
        <w:rPr>
          <w:rFonts w:ascii="Times New Roman" w:hAnsi="Times New Roman"/>
          <w:b/>
          <w:i/>
          <w:sz w:val="20"/>
          <w:bdr w:val="single" w:sz="8" w:space="1" w:color="000000"/>
        </w:rPr>
        <w:t>(see page 61)</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shares tendered during the subsequent offering period may not be withdrawn. </w:t>
      </w:r>
    </w:p>
    <w:p>
      <w:pPr>
        <w:pStyle w:val="TextBody"/>
        <w:bidi w:val="0"/>
        <w:spacing w:before="240" w:after="0"/>
        <w:jc w:val="left"/>
        <w:rPr>
          <w:rFonts w:ascii="Times New Roman" w:hAnsi="Times New Roman"/>
          <w:sz w:val="20"/>
          <w:bdr w:val="single" w:sz="8" w:space="1" w:color="000000"/>
        </w:rPr>
      </w:pPr>
      <w:bookmarkStart w:id="22" w:name="toc847647_19"/>
      <w:bookmarkEnd w:id="22"/>
      <w:r>
        <w:rPr>
          <w:rFonts w:ascii="Times New Roman" w:hAnsi="Times New Roman"/>
          <w:b/>
          <w:sz w:val="20"/>
          <w:bdr w:val="single" w:sz="8" w:space="1" w:color="000000"/>
        </w:rPr>
        <w:t>Acceptance for Exchange of CureVac Shares; Delivery of BioNTech ADSs; Capital Increases</w:t>
      </w:r>
      <w:r>
        <w:rPr>
          <w:rFonts w:ascii="Times New Roman" w:hAnsi="Times New Roman"/>
          <w:sz w:val="20"/>
          <w:bdr w:val="single" w:sz="8" w:space="1" w:color="000000"/>
        </w:rPr>
        <w:t xml:space="preserve"> </w:t>
      </w:r>
      <w:r>
        <w:rPr>
          <w:rFonts w:ascii="Times New Roman" w:hAnsi="Times New Roman"/>
          <w:b/>
          <w:i/>
          <w:sz w:val="20"/>
          <w:bdr w:val="single" w:sz="8" w:space="1" w:color="000000"/>
        </w:rPr>
        <w:t>(see page 56)</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of, and subject to the conditions to, the offer, including the terms and conditions of any extension or amendment, BioNTech is required to accept for exchange CureVac shares validly tendered and not properly withdrawn promptly following the expiration time (and, in any event, within two business days after the expiration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German law, BioNTech is required to implement a share capital increase against contribution in kind (i.e., the tendered CureVac shares) to issue from BioNTech’s authorized capital a definitive number of BioNTech ordinary shares that will underly the BioNTech ADSs constituting the offer consideration. The share capital increase must be registered with BioNTech’s commercial register, which is administered by the German local court (</w:t>
      </w:r>
      <w:r>
        <w:rPr>
          <w:rFonts w:ascii="Times New Roman" w:hAnsi="Times New Roman"/>
          <w:i/>
          <w:sz w:val="20"/>
          <w:bdr w:val="single" w:sz="8" w:space="1" w:color="000000"/>
        </w:rPr>
        <w:t>Amtsgericht</w:t>
      </w:r>
      <w:r>
        <w:rPr>
          <w:rFonts w:ascii="Times New Roman" w:hAnsi="Times New Roman"/>
          <w:sz w:val="20"/>
          <w:bdr w:val="single" w:sz="8" w:space="1" w:color="000000"/>
        </w:rPr>
        <w:t xml:space="preserve">) of BioNTech’s judicial district.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capital increase must be as to a specified number of shares and requires prior receipt of the consideration (in this case, the CureVac shares). Accordingly, capital increases must occur following the expiration time (with respect to the initial offer period) and again following the expiration of the subsequent offering period. Under the Purchase Agreement, BioNTech must initiate one share capital increase promptly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acceptance time and another promptly following the subsequent offering period, and in each case no later than the fifth business day thereafter. We refer to the first as the first capital increase and the second as the second capital increase, and we refer to them together as the capital increases. Under the Purchase Agreement, BioNTech must use reasonable best efforts to ensure the capital increases become effective (i.e., are registered with the commercial register) as soon as reasonably possible after filing the applicable registration with the commercial register. BioNTech is obligated to deliver BioNTech ADSs and settle the initial offer and subsequent offering period within 10 business days of the effectiveness of the first and second capital increases,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 The exact timing of this assessment lies with the registry court and is outside of the control of BioNTech.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light of the foregoing, BioNTech cannot guarantee the precise timing of delivery of BioNTech ADSs in connection with the offer or the subsequent offering period. BioNTech expects that the delivery of BioNTech ADSs to the tendering CureVac shareholders will be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 </w:t>
      </w:r>
    </w:p>
    <w:p>
      <w:pPr>
        <w:pStyle w:val="TextBody"/>
        <w:bidi w:val="0"/>
        <w:spacing w:before="240" w:after="0"/>
        <w:jc w:val="left"/>
        <w:rPr>
          <w:rFonts w:ascii="Times New Roman" w:hAnsi="Times New Roman"/>
          <w:sz w:val="20"/>
          <w:bdr w:val="single" w:sz="8" w:space="1" w:color="000000"/>
        </w:rPr>
      </w:pPr>
      <w:bookmarkStart w:id="23" w:name="toc847647_20"/>
      <w:bookmarkEnd w:id="23"/>
      <w:r>
        <w:rPr>
          <w:rFonts w:ascii="Times New Roman" w:hAnsi="Times New Roman"/>
          <w:b/>
          <w:sz w:val="20"/>
          <w:bdr w:val="single" w:sz="8" w:space="1" w:color="000000"/>
        </w:rPr>
        <w:t xml:space="preserve">Antitrust Approvals </w:t>
      </w:r>
      <w:r>
        <w:rPr>
          <w:rFonts w:ascii="Times New Roman" w:hAnsi="Times New Roman"/>
          <w:b/>
          <w:i/>
          <w:sz w:val="20"/>
          <w:bdr w:val="single" w:sz="8" w:space="1" w:color="000000"/>
        </w:rPr>
        <w:t>(see page 62)</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waiting period under the Hart-Scott-Rodino Antitrust Improvements Act of 1976, as amended, which we refer to as the HSR Act, expired at 11:59 pm Eastern Time on August 11, 2025. In addition, the transactions have, as of October 14, 2025, obtained all relevant non-U.S. antitrust approvals, with full force and effect as of October 15, 2025. </w:t>
      </w:r>
    </w:p>
    <w:p>
      <w:pPr>
        <w:pStyle w:val="TextBody"/>
        <w:bidi w:val="0"/>
        <w:spacing w:before="240" w:after="0"/>
        <w:jc w:val="left"/>
        <w:rPr>
          <w:rFonts w:ascii="Times New Roman" w:hAnsi="Times New Roman"/>
          <w:sz w:val="20"/>
          <w:bdr w:val="single" w:sz="8" w:space="1" w:color="000000"/>
        </w:rPr>
      </w:pPr>
      <w:bookmarkStart w:id="24" w:name="toc847647_21"/>
      <w:bookmarkEnd w:id="24"/>
      <w:r>
        <w:rPr>
          <w:rFonts w:ascii="Times New Roman" w:hAnsi="Times New Roman"/>
          <w:b/>
          <w:sz w:val="20"/>
          <w:bdr w:val="single" w:sz="8" w:space="1" w:color="000000"/>
        </w:rPr>
        <w:t xml:space="preserve">Other Regulatory Approvals </w:t>
      </w:r>
      <w:r>
        <w:rPr>
          <w:rFonts w:ascii="Times New Roman" w:hAnsi="Times New Roman"/>
          <w:b/>
          <w:i/>
          <w:sz w:val="20"/>
          <w:bdr w:val="single" w:sz="8" w:space="1" w:color="000000"/>
        </w:rPr>
        <w:t>(see page 62)</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offer has been notified under Regulation (EU) 2022/2560 of December 14, 2022 on foreign subsidies distorting the internal market, which we refer to as the FSR Regulation. The period of 25 working days following the notification during which the transactions shall not be implemented pursuant to Article 24(1) of the FSR Regulation expired on October 10, 2025. Consequently, the offer condition of the lapse of the assessment period or clearance by the European Commission, which we refer to as the EU Commission, under the FSR Regulation was fulfilled that day. </w:t>
      </w:r>
    </w:p>
    <w:p>
      <w:pPr>
        <w:pStyle w:val="TextBody"/>
        <w:bidi w:val="0"/>
        <w:spacing w:before="240" w:after="0"/>
        <w:jc w:val="left"/>
        <w:rPr>
          <w:rFonts w:ascii="Times New Roman" w:hAnsi="Times New Roman"/>
          <w:sz w:val="20"/>
          <w:bdr w:val="single" w:sz="8" w:space="1" w:color="000000"/>
        </w:rPr>
      </w:pPr>
      <w:bookmarkStart w:id="25" w:name="toc847647_22"/>
      <w:bookmarkEnd w:id="25"/>
      <w:r>
        <w:rPr>
          <w:rFonts w:ascii="Times New Roman" w:hAnsi="Times New Roman"/>
          <w:b/>
          <w:sz w:val="20"/>
          <w:bdr w:val="single" w:sz="8" w:space="1" w:color="000000"/>
        </w:rPr>
        <w:t xml:space="preserve">No Solicitation and Adverse Recommendation Change </w:t>
      </w:r>
      <w:r>
        <w:rPr>
          <w:rFonts w:ascii="Times New Roman" w:hAnsi="Times New Roman"/>
          <w:b/>
          <w:i/>
          <w:sz w:val="20"/>
          <w:bdr w:val="single" w:sz="8" w:space="1" w:color="000000"/>
        </w:rPr>
        <w:t>(see pages 104 and 106)</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CureVac has agreed not to, and to cause its subsidiaries and its and their respective directors and officers, and to use, and to cause its subsidiaries to use, their respective reasonable best efforts to cause CureVac’s and its subsidiaries’ respective representatives not to, directly or indirectly: (i) solicit, initiate, or knowingly facilitate, induce or knowingly encourage any inquiries or the making of any proposal or offer that constitutes, or would reasonably be expected to lead to, an alternative acquisition proposal (as defined in the Purchase Agreement), (ii) other than informing persons of the no solicitation restrictions in the Purchase Agreement, enter into, continue, or otherwise participate in any discussions or negotiations regarding any alternative acquisition proposal, or (iii) authorize, execute, or enter into any letter of intent, memorandum of understanding, agreement in principle, purchase agreement, merger agreement, acquisition agreement, option agreement, joint venture agreement, partnership agreement, or other contract with respect to an alternative acquisition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if CureVac receives, prior to the expiration time, an unsolicited bona fide written alternative acquisition proposal, CureVac may, under certain specified circumstances, provide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regarding itself and its subsidiaries to and engage in discussions or negotiations with the person making such alternative acquisition proposal. Under the Purchase Agreement, CureVac is required to notify BioNTech, and provide BioNTech with certain information, as promptly as practicable (and in any event within 24 hours) if it receives any alternative acquisition proposal or any request for non-public information or inquiry that would reasonably be expected to lead to an alternative acquisition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the expiration time, the CureVac boards may, under certain specified circumstances, withdraw their recommendation of the offer and terminate the Purchase Agreement with respect to a superior proposal (as defined in the Purchase Agreement) or withdraw their recommendation of the offer in the case of an intervening event (as defined in the Purchase Agreement) if, among other things, the CureVac boards determine in good faith, after consultation with outside legal counsel and financial advisors, that failure to take such action would be inconsistent with the directors’ fiduciary duties under the laws of the Netherlands.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limitations on CureVac’s and the CureVac boards’ ability to consider other proposals, see “The Purchase Agreement — Covenants and Agreements — No Solicitation” beginning on page 104 and “The Purchase Agreement — Covenants and Agreements — Adverse Recommendation Change” beginning on page 106. </w:t>
      </w:r>
    </w:p>
    <w:p>
      <w:pPr>
        <w:pStyle w:val="TextBody"/>
        <w:bidi w:val="0"/>
        <w:spacing w:before="240" w:after="0"/>
        <w:jc w:val="left"/>
        <w:rPr>
          <w:rFonts w:ascii="Times New Roman" w:hAnsi="Times New Roman"/>
          <w:sz w:val="20"/>
          <w:bdr w:val="single" w:sz="8" w:space="1" w:color="000000"/>
        </w:rPr>
      </w:pPr>
      <w:bookmarkStart w:id="26" w:name="toc847647_23"/>
      <w:bookmarkEnd w:id="26"/>
      <w:r>
        <w:rPr>
          <w:rFonts w:ascii="Times New Roman" w:hAnsi="Times New Roman"/>
          <w:b/>
          <w:sz w:val="20"/>
          <w:bdr w:val="single" w:sz="8" w:space="1" w:color="000000"/>
        </w:rPr>
        <w:t xml:space="preserve">Termination of the Purchase Agreement </w:t>
      </w:r>
      <w:r>
        <w:rPr>
          <w:rFonts w:ascii="Times New Roman" w:hAnsi="Times New Roman"/>
          <w:b/>
          <w:i/>
          <w:sz w:val="20"/>
          <w:bdr w:val="single" w:sz="8" w:space="1" w:color="000000"/>
        </w:rPr>
        <w:t>(see page 116)</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prior to the acceptance time by the mutual written consent of CureVac and BioNTech. In addition, the Purchase Agreement may be terminated prior to the acceptance time by either BioNTech or CureVac under the following conditions, each subject to certain exceptions: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acceptance time has not occurred on or before the outside date (as may be extended automatically or by mutual agreement of the parties pursuant to the terms of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or other governmental authority has entered, enacted, promulgated, enforced, or issued a law or order that prohibits, renders illegal, or enjoins the consummation of the offer or the other transactions, including the post-offer reorganization, and such action is final, permanent and non-appealable;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offer shall have expired in accordance with its terms without all of the offer conditions having been satisfied and shall have not been extended by BioNTech.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also be terminated, prior to the acceptance time, by BioNTech, subject to certain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CureVac breaches any of its representations or warranties or fails to perform its covenants, which breach or failure would result in the conditions to the offer not being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an adverse recommendation change (as defined in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subsequent EGM has been held and been concluded, and the required resolutions have not been adopted;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CureVac engages in a willful breach of its obligations with respect to alternative acquisition proposals under the Purchase Agreement in any material respect.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also be terminated by CureVac: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CureVac to enter into a definitive agreement with respect to a superior proposal, so long as CureVac pays termination compensation to BioNTech as described below and CureVac had not breached in any material respect its non-solicitation obligations under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BioNTech breaches any of its representations or warranties or fails to perform its covenants, which breach or failure would result in the conditions to the offer not being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capital increase has not become effective within 90 calendar days of the acceptance time;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the acceptance time has occurred; (ii) BioNTech has failed to exchange CureVac shares tendered in the offer following effectiveness of the first capital increase; and (iii) BioNTech is notified and fails to cure, as set out in the Purchase Agreement.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rights of BioNTech and CureVac to terminate the Purchase Agreement, see “The Purchase Agreement — Termination of the Purchase Agreement” beginning on page 116. </w:t>
      </w:r>
    </w:p>
    <w:p>
      <w:pPr>
        <w:pStyle w:val="TextBody"/>
        <w:bidi w:val="0"/>
        <w:spacing w:before="240" w:after="0"/>
        <w:jc w:val="left"/>
        <w:rPr>
          <w:rFonts w:ascii="Times New Roman" w:hAnsi="Times New Roman"/>
          <w:sz w:val="20"/>
          <w:bdr w:val="single" w:sz="8" w:space="1" w:color="000000"/>
        </w:rPr>
      </w:pPr>
      <w:bookmarkStart w:id="27" w:name="toc847647_24"/>
      <w:bookmarkEnd w:id="27"/>
      <w:r>
        <w:rPr>
          <w:rFonts w:ascii="Times New Roman" w:hAnsi="Times New Roman"/>
          <w:b/>
          <w:sz w:val="20"/>
          <w:bdr w:val="single" w:sz="8" w:space="1" w:color="000000"/>
        </w:rPr>
        <w:t xml:space="preserve">Termination Payments </w:t>
      </w:r>
      <w:r>
        <w:rPr>
          <w:rFonts w:ascii="Times New Roman" w:hAnsi="Times New Roman"/>
          <w:b/>
          <w:i/>
          <w:sz w:val="20"/>
          <w:bdr w:val="single" w:sz="8" w:space="1" w:color="000000"/>
        </w:rPr>
        <w:t>(see page 118)</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Generally, all fees and expenses incurred in connection with the offer and the other transactions will be paid by the party incurring those fees and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termination of the Purchase Agreement in certain circumstances, the Purchase Agreement provides for the payment of termination compensation to BioNTech by CureVac of $43.75 million. The Purchase Agreement also provides for the payment of a termination compensation payment to CureVac by BioNTech of $62.5 million upon termination of the Purchase Agreement in certain circumstances.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Purchase Agreement — Termination of the Purchase Agreement — Termination Payments” beginning on page 118. </w:t>
      </w:r>
    </w:p>
    <w:p>
      <w:pPr>
        <w:pStyle w:val="TextBody"/>
        <w:bidi w:val="0"/>
        <w:spacing w:before="240" w:after="0"/>
        <w:jc w:val="left"/>
        <w:rPr>
          <w:rFonts w:ascii="Times New Roman" w:hAnsi="Times New Roman"/>
          <w:sz w:val="20"/>
          <w:bdr w:val="single" w:sz="8" w:space="1" w:color="000000"/>
        </w:rPr>
      </w:pPr>
      <w:bookmarkStart w:id="28" w:name="toc847647_25"/>
      <w:bookmarkEnd w:id="28"/>
      <w:r>
        <w:rPr>
          <w:rFonts w:ascii="Times New Roman" w:hAnsi="Times New Roman"/>
          <w:b/>
          <w:sz w:val="20"/>
          <w:bdr w:val="single" w:sz="8" w:space="1" w:color="000000"/>
        </w:rPr>
        <w:t xml:space="preserve">Material United States Federal Income Tax Considerations </w:t>
      </w:r>
      <w:r>
        <w:rPr>
          <w:rFonts w:ascii="Times New Roman" w:hAnsi="Times New Roman"/>
          <w:b/>
          <w:i/>
          <w:sz w:val="20"/>
          <w:bdr w:val="single" w:sz="8" w:space="1" w:color="000000"/>
        </w:rPr>
        <w:t>(see page 67)</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code. Accordingly, and subject to the rules applicable to PFICs, the exchange pursuant to the offer or the cancellation of CureVac shares for BioNTech ADSs (including cash in lieu of fractional BioNTech ADSs) will generally be tax-free for U.S. holders of CureVac shares, except with respect to cash received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“Material United States Federal Income Tax Considerations” beginning on page 67. CureVac shareholders should consult their tax advisors regarding the U.S. or local tax consequences of the offer and the post-offer reorganization. </w:t>
      </w:r>
    </w:p>
    <w:p>
      <w:pPr>
        <w:pStyle w:val="TextBody"/>
        <w:bidi w:val="0"/>
        <w:spacing w:before="240" w:after="0"/>
        <w:jc w:val="left"/>
        <w:rPr>
          <w:rFonts w:ascii="Times New Roman" w:hAnsi="Times New Roman"/>
          <w:sz w:val="20"/>
          <w:bdr w:val="single" w:sz="8" w:space="1" w:color="000000"/>
        </w:rPr>
      </w:pPr>
      <w:bookmarkStart w:id="29" w:name="toc847647_26"/>
      <w:bookmarkEnd w:id="29"/>
      <w:r>
        <w:rPr>
          <w:rFonts w:ascii="Times New Roman" w:hAnsi="Times New Roman"/>
          <w:b/>
          <w:sz w:val="20"/>
          <w:bdr w:val="single" w:sz="8" w:space="1" w:color="000000"/>
        </w:rPr>
        <w:t xml:space="preserve">Material German Tax Considerations </w:t>
      </w:r>
      <w:r>
        <w:rPr>
          <w:rFonts w:ascii="Times New Roman" w:hAnsi="Times New Roman"/>
          <w:b/>
          <w:i/>
          <w:sz w:val="20"/>
          <w:bdr w:val="single" w:sz="8" w:space="1" w:color="000000"/>
        </w:rPr>
        <w:t>(see page 75)</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of CureVac shares pursuant to the offer or the cancellation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 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corporation that is a German tax resident will be subject to corporate income tax on 5% of the gain derived from the exchange, plus solidarity surcharge and trade tax. If the CureVac shares are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receipt of cash in lieu of fractional BioNTech ADSs generally will be subject to German income tax. Such tax will generally be withheld at a rate of 26.375% plus church tax, if applicable, on the cash paid.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Any German withholding tax on capital gains generally will be levied by the applicable German disbursing agent (</w:t>
      </w:r>
      <w:r>
        <w:rPr>
          <w:rFonts w:ascii="Times New Roman" w:hAnsi="Times New Roman"/>
          <w:i/>
          <w:sz w:val="20"/>
          <w:bdr w:val="single" w:sz="8" w:space="1" w:color="000000"/>
        </w:rPr>
        <w:t>i.e.</w:t>
      </w:r>
      <w:r>
        <w:rPr>
          <w:rFonts w:ascii="Times New Roman" w:hAnsi="Times New Roman"/>
          <w:sz w:val="20"/>
          <w:bdr w:val="single" w:sz="8" w:space="1" w:color="000000"/>
        </w:rPr>
        <w:t xml:space="preserve">, the applicable German credit institution, financial services institution, or securities institution through which the recipient holds its CureVac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tax consequences of the exchange to non-German tax resident shareholders, including any exchange in the post-offer reorganization, see the information under “Material German Tax Considerations” beginning on page 75.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CureVac shareholders should consult their tax advisors regarding the German tax consequences of the offer and the post-offer reorganization to them. </w:t>
      </w:r>
    </w:p>
    <w:p>
      <w:pPr>
        <w:pStyle w:val="TextBody"/>
        <w:bidi w:val="0"/>
        <w:spacing w:before="240" w:after="0"/>
        <w:jc w:val="left"/>
        <w:rPr>
          <w:rFonts w:ascii="Times New Roman" w:hAnsi="Times New Roman"/>
          <w:sz w:val="20"/>
          <w:bdr w:val="single" w:sz="8" w:space="1" w:color="000000"/>
        </w:rPr>
      </w:pPr>
      <w:bookmarkStart w:id="30" w:name="toc847647_27"/>
      <w:bookmarkEnd w:id="30"/>
      <w:r>
        <w:rPr>
          <w:rFonts w:ascii="Times New Roman" w:hAnsi="Times New Roman"/>
          <w:b/>
          <w:sz w:val="20"/>
          <w:bdr w:val="single" w:sz="8" w:space="1" w:color="000000"/>
        </w:rPr>
        <w:t xml:space="preserve">Material Dutch Tax Considerations </w:t>
      </w:r>
      <w:r>
        <w:rPr>
          <w:rFonts w:ascii="Times New Roman" w:hAnsi="Times New Roman"/>
          <w:b/>
          <w:i/>
          <w:sz w:val="20"/>
          <w:bdr w:val="single" w:sz="8" w:space="1" w:color="000000"/>
        </w:rPr>
        <w:t>(see page 87)</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Income Tax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CureVac shares that are subject to Dutch income tax generally will be required to include in their taxable income any benefits derived or deemed to be derived from the CureVac shares, including any capital gains realized on any disposal of the CureVac shares, including as a result of tendering their CureVac shares pursuant to the offer or as a result of the post-offer reorganization or will be subject to annual income tax imposed on a fictitious yield on the CureVac shares under the regime for savings and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information under “Material Dutch Tax Considerations” beginning on page 87. CureVac shareholders should consult their tax advisors regarding the Dutch tax consequences of the offer and the post-offer reorganization to them.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Dividend Withholding Tax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CureVac shares who receive BioNTech ADSs or cash (including cash in lieu of fractional BioNTech ADSs) pursuant to the offer and the subsequent offering period will not be subject to Dutch dividend withholding tax.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the cancellation consideration for the cancelled New Topco A shares is, in principle, subject to Dutch dividend withholding tax if and to the extent the cancellation consideration exceeds the fiscally recognized capital of the New Topco A shares immediately prior to the cancellation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delivered to such holder if and to the extent the cancellation consideration exceeds the fiscally recognized capital of the New Topco A shares immediately prior to the cancellation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See “The Offer — The Post-Offer Reorganization and the New Topco U.S. Tax Election” beginning on page 59 for additional information the application of Dutch dividend withholding tax and refund possibilities.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material Dutch tax considerations, see “Material Dutch Tax Considerations” beginning on page 87. CureVac shareholders should consult their tax advisor to determine the tax consequences (including the application and effect of any Dutch withholding or other tax laws) of the offer and the post-offer reorganization in light of their particular circumstances. </w:t>
      </w:r>
    </w:p>
    <w:p>
      <w:pPr>
        <w:pStyle w:val="TextBody"/>
        <w:bidi w:val="0"/>
        <w:spacing w:before="240" w:after="0"/>
        <w:jc w:val="left"/>
        <w:rPr>
          <w:rFonts w:ascii="Times New Roman" w:hAnsi="Times New Roman"/>
          <w:sz w:val="20"/>
          <w:bdr w:val="single" w:sz="8" w:space="1" w:color="000000"/>
        </w:rPr>
      </w:pPr>
      <w:bookmarkStart w:id="31" w:name="toc847647_28"/>
      <w:bookmarkEnd w:id="31"/>
      <w:r>
        <w:rPr>
          <w:rFonts w:ascii="Times New Roman" w:hAnsi="Times New Roman"/>
          <w:b/>
          <w:sz w:val="20"/>
          <w:bdr w:val="single" w:sz="8" w:space="1" w:color="000000"/>
        </w:rPr>
        <w:t xml:space="preserve">Accounting Treatment of the Transaction </w:t>
      </w:r>
      <w:r>
        <w:rPr>
          <w:rFonts w:ascii="Times New Roman" w:hAnsi="Times New Roman"/>
          <w:b/>
          <w:i/>
          <w:sz w:val="20"/>
          <w:bdr w:val="single" w:sz="8" w:space="1" w:color="000000"/>
        </w:rPr>
        <w:t>(see page 65)</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BioNTech prepares its consolidated financial statements in accordance with IFRS, as issued by the IASB. The transactions will be accounted for by applying the acquisition method according to the rules of IFRS 3 </w:t>
      </w:r>
      <w:r>
        <w:rPr>
          <w:rFonts w:ascii="Times New Roman" w:hAnsi="Times New Roman"/>
          <w:i/>
          <w:sz w:val="20"/>
          <w:bdr w:val="single" w:sz="8" w:space="1" w:color="000000"/>
        </w:rPr>
        <w:t>Business Combinations</w:t>
      </w:r>
      <w:r>
        <w:rPr>
          <w:rFonts w:ascii="Times New Roman" w:hAnsi="Times New Roman"/>
          <w:sz w:val="20"/>
          <w:bdr w:val="single" w:sz="8" w:space="1" w:color="000000"/>
        </w:rPr>
        <w:t xml:space="preserve">, which we refer to as IFRS 3. See “The Offer — Accounting Treatment of the Transaction” beginning on page 65 for more information. </w:t>
      </w:r>
    </w:p>
    <w:p>
      <w:pPr>
        <w:pStyle w:val="TextBody"/>
        <w:bidi w:val="0"/>
        <w:spacing w:before="240" w:after="0"/>
        <w:jc w:val="left"/>
        <w:rPr>
          <w:rFonts w:ascii="Times New Roman" w:hAnsi="Times New Roman"/>
          <w:sz w:val="20"/>
          <w:bdr w:val="single" w:sz="8" w:space="1" w:color="000000"/>
        </w:rPr>
      </w:pPr>
      <w:bookmarkStart w:id="32" w:name="toc847647_29"/>
      <w:bookmarkEnd w:id="32"/>
      <w:r>
        <w:rPr>
          <w:rFonts w:ascii="Times New Roman" w:hAnsi="Times New Roman"/>
          <w:b/>
          <w:sz w:val="20"/>
          <w:bdr w:val="single" w:sz="8" w:space="1" w:color="000000"/>
        </w:rPr>
        <w:t xml:space="preserve">Comparison of Rights of BioNTech Shareholders and CureVac Shareholders </w:t>
      </w:r>
      <w:r>
        <w:rPr>
          <w:rFonts w:ascii="Times New Roman" w:hAnsi="Times New Roman"/>
          <w:b/>
          <w:i/>
          <w:sz w:val="20"/>
          <w:bdr w:val="single" w:sz="8" w:space="1" w:color="000000"/>
        </w:rPr>
        <w:t>(see page 144)</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rights of CureVac shareholders are currently governed by Dutch law and the articles of association of CureVac, as amended from time to time, which we refer to as the CureVac articles.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summary of certain differences between the rights of BioNTech shareholders and CureVac shareholders, see “Comparison of Rights of BioNTech Shareholders and CureVac Shareholders” beginning on page 144. Please also refer to the description of the BioNTech ADSs in the section “Description of BioNTech Capital Stock” beginning on page 123, as the rights of holders of BioNTech ADSs will differ from those of holders of BioNTech ordinary shares. </w:t>
      </w:r>
    </w:p>
    <w:p>
      <w:pPr>
        <w:pStyle w:val="TextBody"/>
        <w:bidi w:val="0"/>
        <w:spacing w:before="360" w:after="0"/>
        <w:jc w:val="left"/>
        <w:rPr>
          <w:rFonts w:ascii="Times New Roman" w:hAnsi="Times New Roman"/>
          <w:b/>
          <w:sz w:val="20"/>
          <w:bdr w:val="single" w:sz="8" w:space="1" w:color="000000"/>
        </w:rPr>
      </w:pPr>
      <w:bookmarkStart w:id="33" w:name="toc847647_30"/>
      <w:bookmarkEnd w:id="33"/>
      <w:r>
        <w:rPr>
          <w:rFonts w:ascii="Times New Roman" w:hAnsi="Times New Roman"/>
          <w:b/>
          <w:sz w:val="20"/>
          <w:bdr w:val="single" w:sz="8" w:space="1" w:color="000000"/>
        </w:rPr>
        <w:t xml:space="preserve">Comparative Per Share Market Price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BioNTech ADSs and the CureVac shares are both traded on Nasdaq under the symbols “BNTX” and “CVAC”, respectively. The following table presents the high and low price per BioNTech ADS and CureVac share on June 11, 2025, the last full trading day before public announcement that BioNTech and CureVac had entered into the Purchase Agreement, and October 20, 2025, the last practicable trading day before the commencement of the offer. In addition, for illustrative purposes, the following table provides the equivalent high, low, and closing price per CureVac share on each of the specified dates, assuming the presented high, low, and close price of the BioNTech ADSs were the BioNTech ADS VWAP on the relevant calculation date. Because all prices shown are within the collar, the equivalent value per share does not fluctuate. For additional information on the operation of the collar, see “The Offer — Offer Consideration” beginning on page 54 and “The Offer — Sample Calculation of the Offer Consideration” beginning on page 54.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117"/>
        <w:gridCol w:w="167"/>
        <w:gridCol w:w="140"/>
        <w:gridCol w:w="711"/>
        <w:gridCol w:w="60"/>
        <w:gridCol w:w="167"/>
        <w:gridCol w:w="140"/>
        <w:gridCol w:w="711"/>
        <w:gridCol w:w="60"/>
        <w:gridCol w:w="167"/>
        <w:gridCol w:w="140"/>
        <w:gridCol w:w="711"/>
        <w:gridCol w:w="60"/>
        <w:gridCol w:w="167"/>
        <w:gridCol w:w="140"/>
        <w:gridCol w:w="441"/>
        <w:gridCol w:w="59"/>
        <w:gridCol w:w="167"/>
        <w:gridCol w:w="140"/>
        <w:gridCol w:w="441"/>
        <w:gridCol w:w="60"/>
        <w:gridCol w:w="167"/>
        <w:gridCol w:w="140"/>
        <w:gridCol w:w="441"/>
        <w:gridCol w:w="60"/>
        <w:gridCol w:w="167"/>
        <w:gridCol w:w="140"/>
        <w:gridCol w:w="441"/>
        <w:gridCol w:w="60"/>
        <w:gridCol w:w="167"/>
        <w:gridCol w:w="140"/>
        <w:gridCol w:w="441"/>
        <w:gridCol w:w="60"/>
        <w:gridCol w:w="167"/>
        <w:gridCol w:w="140"/>
        <w:gridCol w:w="441"/>
        <w:gridCol w:w="67"/>
      </w:tblGrid>
      <w:tr>
        <w:trPr/>
        <w:tc>
          <w:tcPr>
            <w:tcW w:w="2117"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1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0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BioNTech</w:t>
              <w:br/>
              <w:t>ADSs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196" w:type="dxa"/>
            <w:gridSpan w:val="10"/>
            <w:tcBorders>
              <w:bottom w:val="single" w:sz="8" w:space="0" w:color="000000"/>
            </w:tcBorders>
            <w:tcMar>
              <w:bottom w:w="28" w:type="dxa"/>
            </w:tcMar>
            <w:vAlign w:val="bottom"/>
          </w:tcPr>
          <w:p>
            <w:pPr>
              <w:pStyle w:val="TableContents"/>
              <w:bidi w:val="0"/>
              <w:spacing w:before="0" w:after="283"/>
              <w:jc w:val="center"/>
              <w:rPr/>
            </w:pPr>
            <w:r>
              <w:rPr>
                <w:b/>
              </w:rPr>
              <w:t>CureVac</w:t>
            </w:r>
            <w:r>
              <w:rPr/>
              <w:br/>
            </w:r>
            <w:r>
              <w:rPr>
                <w:b/>
              </w:rPr>
              <w:t>Ordinary Shares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1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CureVac Equivalent</w:t>
              <w:br/>
              <w:t>Per Share</w:t>
            </w:r>
          </w:p>
        </w:tc>
        <w:tc>
          <w:tcPr>
            <w:tcW w:w="67" w:type="dxa"/>
            <w:tcBorders/>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283"/>
              <w:jc w:val="left"/>
              <w:rPr>
                <w:b/>
              </w:rPr>
            </w:pPr>
            <w:r>
              <w:rPr>
                <w:b/>
              </w:rPr>
              <w:t>Date</w:t>
            </w:r>
          </w:p>
        </w:tc>
        <w:tc>
          <w:tcPr>
            <w:tcW w:w="167"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Close</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5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Close</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Close</w:t>
            </w:r>
          </w:p>
        </w:tc>
        <w:tc>
          <w:tcPr>
            <w:tcW w:w="67" w:type="dxa"/>
            <w:tcBorders/>
            <w:vAlign w:val="bottom"/>
          </w:tcPr>
          <w:p>
            <w:pPr>
              <w:pStyle w:val="TableContents"/>
              <w:bidi w:val="0"/>
              <w:spacing w:before="0" w:after="283"/>
              <w:jc w:val="left"/>
              <w:rPr/>
            </w:pPr>
            <w:r>
              <w:rPr/>
              <w:t> </w:t>
            </w:r>
          </w:p>
        </w:tc>
      </w:tr>
      <w:tr>
        <w:trPr/>
        <w:tc>
          <w:tcPr>
            <w:tcW w:w="2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11, 2025</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108.36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105.25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105.46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4.28</w:t>
            </w:r>
          </w:p>
        </w:tc>
        <w:tc>
          <w:tcPr>
            <w:tcW w:w="5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4.07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4.07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5.46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5.46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5.46</w:t>
            </w:r>
          </w:p>
        </w:tc>
        <w:tc>
          <w:tcPr>
            <w:tcW w:w="67" w:type="dxa"/>
            <w:tcBorders/>
            <w:shd w:fill="CCEEFF" w:val="clear"/>
            <w:vAlign w:val="bottom"/>
          </w:tcPr>
          <w:p>
            <w:pPr>
              <w:pStyle w:val="TableContents"/>
              <w:bidi w:val="0"/>
              <w:spacing w:before="0" w:after="283"/>
              <w:jc w:val="left"/>
              <w:rPr/>
            </w:pPr>
            <w:r>
              <w:rPr/>
              <w:t> </w:t>
            </w:r>
          </w:p>
        </w:tc>
      </w:tr>
      <w:tr>
        <w:trPr/>
        <w:tc>
          <w:tcPr>
            <w:tcW w:w="2117" w:type="dxa"/>
            <w:tcBorders/>
          </w:tcPr>
          <w:p>
            <w:pPr>
              <w:pStyle w:val="TableContents"/>
              <w:bidi w:val="0"/>
              <w:spacing w:before="0" w:after="0"/>
              <w:jc w:val="left"/>
              <w:rPr>
                <w:rFonts w:ascii="Times New Roman" w:hAnsi="Times New Roman"/>
                <w:sz w:val="20"/>
              </w:rPr>
            </w:pPr>
            <w:r>
              <w:rPr>
                <w:rFonts w:ascii="Times New Roman" w:hAnsi="Times New Roman"/>
                <w:sz w:val="20"/>
              </w:rPr>
              <w:t>October 20, 2025</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108.05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103.21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107.95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5.37</w:t>
            </w:r>
          </w:p>
        </w:tc>
        <w:tc>
          <w:tcPr>
            <w:tcW w:w="5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5.35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5.36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5.46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5.46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5.46</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34" w:name="toc847647_31"/>
      <w:bookmarkEnd w:id="34"/>
      <w:r>
        <w:rPr>
          <w:rFonts w:ascii="Times New Roman" w:hAnsi="Times New Roman"/>
          <w:b/>
          <w:sz w:val="20"/>
          <w:bdr w:val="single" w:sz="8" w:space="1" w:color="000000"/>
        </w:rPr>
        <w:t xml:space="preserve">Comparative Share Prices and Dividends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for the periods indicated, the high and low sale prices of BioNTech ADSs as reported by Nasdaq and the high and low sale prices of CureVac shares as reported by Nasdaq. As of October 17, 2025, the last practicable trading day prior to the commencement of the offer, there were 101,103,358 BioNTech ADSs issued and outstanding and 225,181,647 CureVac shares outstanding. BioNTech has not paid dividends on the BioNTech ordinary shares, and CureVac has not paid dividends on the CureVac shares, in each case during the past two years. </w:t>
      </w:r>
    </w:p>
    <w:p>
      <w:pPr>
        <w:pStyle w:val="TextBody"/>
        <w:bidi w:val="0"/>
        <w:spacing w:before="480" w:after="0"/>
        <w:jc w:val="center"/>
        <w:rPr>
          <w:rFonts w:ascii="Times New Roman" w:hAnsi="Times New Roman"/>
          <w:b/>
          <w:i/>
          <w:sz w:val="20"/>
          <w:bdr w:val="single" w:sz="8" w:space="1" w:color="000000"/>
        </w:rPr>
      </w:pPr>
      <w:r>
        <w:rPr>
          <w:rFonts w:ascii="Times New Roman" w:hAnsi="Times New Roman"/>
          <w:b/>
          <w:i/>
          <w:sz w:val="20"/>
          <w:bdr w:val="single" w:sz="8" w:space="1" w:color="000000"/>
        </w:rPr>
        <w:t xml:space="preserve">BioNTech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5051"/>
        <w:gridCol w:w="385"/>
        <w:gridCol w:w="142"/>
        <w:gridCol w:w="764"/>
        <w:gridCol w:w="60"/>
        <w:gridCol w:w="385"/>
        <w:gridCol w:w="142"/>
        <w:gridCol w:w="764"/>
        <w:gridCol w:w="62"/>
      </w:tblGrid>
      <w:tr>
        <w:trPr/>
        <w:tc>
          <w:tcPr>
            <w:tcW w:w="5051"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Per</w:t>
              <w:br/>
              <w:t>BioNTech ADS</w:t>
            </w:r>
          </w:p>
        </w:tc>
        <w:tc>
          <w:tcPr>
            <w:tcW w:w="62" w:type="dxa"/>
            <w:tcBorders/>
            <w:vAlign w:val="bottom"/>
          </w:tcPr>
          <w:p>
            <w:pPr>
              <w:pStyle w:val="TableContents"/>
              <w:bidi w:val="0"/>
              <w:spacing w:before="0" w:after="283"/>
              <w:jc w:val="left"/>
              <w:rPr/>
            </w:pPr>
            <w:r>
              <w:rPr/>
              <w:t> </w:t>
            </w:r>
          </w:p>
        </w:tc>
      </w:tr>
      <w:tr>
        <w:trPr/>
        <w:tc>
          <w:tcPr>
            <w:tcW w:w="505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2023</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51"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156.28</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119.98</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131.52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100.08</w:t>
            </w:r>
          </w:p>
        </w:tc>
        <w:tc>
          <w:tcPr>
            <w:tcW w:w="62" w:type="dxa"/>
            <w:tcBorders/>
            <w:shd w:fill="CCEEFF" w:val="clear"/>
            <w:vAlign w:val="bottom"/>
          </w:tcPr>
          <w:p>
            <w:pPr>
              <w:pStyle w:val="TableContents"/>
              <w:bidi w:val="0"/>
              <w:spacing w:before="0" w:after="283"/>
              <w:jc w:val="left"/>
              <w:rPr/>
            </w:pPr>
            <w:r>
              <w:rPr/>
              <w:t> </w:t>
            </w:r>
          </w:p>
        </w:tc>
      </w:tr>
      <w:tr>
        <w:trPr/>
        <w:tc>
          <w:tcPr>
            <w:tcW w:w="5051"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125.83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95.50</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113.04</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88.00</w:t>
            </w:r>
          </w:p>
        </w:tc>
        <w:tc>
          <w:tcPr>
            <w:tcW w:w="62" w:type="dxa"/>
            <w:tcBorders/>
            <w:shd w:fill="CCEEFF" w:val="clear"/>
            <w:vAlign w:val="bottom"/>
          </w:tcPr>
          <w:p>
            <w:pPr>
              <w:pStyle w:val="TableContents"/>
              <w:bidi w:val="0"/>
              <w:spacing w:before="0" w:after="283"/>
              <w:jc w:val="left"/>
              <w:rPr/>
            </w:pPr>
            <w:r>
              <w:rPr/>
              <w:t> </w:t>
            </w:r>
          </w:p>
        </w:tc>
      </w:tr>
      <w:tr>
        <w:trPr/>
        <w:tc>
          <w:tcPr>
            <w:tcW w:w="5051" w:type="dxa"/>
            <w:tcBorders/>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114.70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85.21</w:t>
            </w:r>
          </w:p>
        </w:tc>
        <w:tc>
          <w:tcPr>
            <w:tcW w:w="62" w:type="dxa"/>
            <w:tcBorders/>
            <w:shd w:fill="CCEEFF" w:val="clear"/>
            <w:vAlign w:val="bottom"/>
          </w:tcPr>
          <w:p>
            <w:pPr>
              <w:pStyle w:val="TableContents"/>
              <w:bidi w:val="0"/>
              <w:spacing w:before="0" w:after="283"/>
              <w:jc w:val="left"/>
              <w:rPr/>
            </w:pPr>
            <w:r>
              <w:rPr/>
              <w:t> </w:t>
            </w:r>
          </w:p>
        </w:tc>
      </w:tr>
      <w:tr>
        <w:trPr/>
        <w:tc>
          <w:tcPr>
            <w:tcW w:w="5051"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104.33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80.02</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131.49</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76.53</w:t>
            </w:r>
          </w:p>
        </w:tc>
        <w:tc>
          <w:tcPr>
            <w:tcW w:w="62" w:type="dxa"/>
            <w:tcBorders/>
            <w:shd w:fill="CCEEFF" w:val="clear"/>
            <w:vAlign w:val="bottom"/>
          </w:tcPr>
          <w:p>
            <w:pPr>
              <w:pStyle w:val="TableContents"/>
              <w:bidi w:val="0"/>
              <w:spacing w:before="0" w:after="283"/>
              <w:jc w:val="left"/>
              <w:rPr/>
            </w:pPr>
            <w:r>
              <w:rPr/>
              <w:t> </w:t>
            </w:r>
          </w:p>
        </w:tc>
      </w:tr>
      <w:tr>
        <w:trPr/>
        <w:tc>
          <w:tcPr>
            <w:tcW w:w="5051"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125.40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94.31</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51"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129.27</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85.55</w:t>
            </w:r>
          </w:p>
        </w:tc>
        <w:tc>
          <w:tcPr>
            <w:tcW w:w="62" w:type="dxa"/>
            <w:tcBorders/>
            <w:vAlign w:val="bottom"/>
          </w:tcPr>
          <w:p>
            <w:pPr>
              <w:pStyle w:val="TableContents"/>
              <w:bidi w:val="0"/>
              <w:spacing w:before="0" w:after="283"/>
              <w:jc w:val="left"/>
              <w:rPr/>
            </w:pPr>
            <w:r>
              <w:rPr/>
              <w:t> </w:t>
            </w:r>
          </w:p>
        </w:tc>
      </w:tr>
      <w:tr>
        <w:trPr/>
        <w:tc>
          <w:tcPr>
            <w:tcW w:w="50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122.90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81.20</w:t>
            </w:r>
          </w:p>
        </w:tc>
        <w:tc>
          <w:tcPr>
            <w:tcW w:w="62" w:type="dxa"/>
            <w:tcBorders/>
            <w:shd w:fill="CCEEFF" w:val="clear"/>
            <w:vAlign w:val="bottom"/>
          </w:tcPr>
          <w:p>
            <w:pPr>
              <w:pStyle w:val="TableContents"/>
              <w:bidi w:val="0"/>
              <w:spacing w:before="0" w:after="283"/>
              <w:jc w:val="left"/>
              <w:rPr/>
            </w:pPr>
            <w:r>
              <w:rPr/>
              <w:t> </w:t>
            </w:r>
          </w:p>
        </w:tc>
      </w:tr>
      <w:tr>
        <w:trPr/>
        <w:tc>
          <w:tcPr>
            <w:tcW w:w="50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115.54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90.12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i/>
          <w:sz w:val="20"/>
          <w:bdr w:val="single" w:sz="8" w:space="1" w:color="000000"/>
        </w:rPr>
      </w:pPr>
      <w:r>
        <w:rPr>
          <w:rFonts w:ascii="Times New Roman" w:hAnsi="Times New Roman"/>
          <w:b/>
          <w:i/>
          <w:sz w:val="20"/>
          <w:bdr w:val="single" w:sz="8" w:space="1" w:color="000000"/>
        </w:rPr>
        <w:t xml:space="preserve">CureVac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5352"/>
        <w:gridCol w:w="390"/>
        <w:gridCol w:w="163"/>
        <w:gridCol w:w="653"/>
        <w:gridCol w:w="67"/>
        <w:gridCol w:w="399"/>
        <w:gridCol w:w="163"/>
        <w:gridCol w:w="505"/>
        <w:gridCol w:w="63"/>
      </w:tblGrid>
      <w:tr>
        <w:trPr/>
        <w:tc>
          <w:tcPr>
            <w:tcW w:w="5352"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52"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Price Per </w:t>
              <w:br/>
              <w:t>Ordinary Share</w:t>
            </w:r>
          </w:p>
        </w:tc>
        <w:tc>
          <w:tcPr>
            <w:tcW w:w="63" w:type="dxa"/>
            <w:tcBorders/>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2023</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12.79</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6.20</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12.36</w:t>
            </w:r>
          </w:p>
        </w:tc>
        <w:tc>
          <w:tcPr>
            <w:tcW w:w="6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6.59</w:t>
            </w:r>
          </w:p>
        </w:tc>
        <w:tc>
          <w:tcPr>
            <w:tcW w:w="63"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10.87</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5.47</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6.93</w:t>
            </w:r>
          </w:p>
        </w:tc>
        <w:tc>
          <w:tcPr>
            <w:tcW w:w="6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3.41</w:t>
            </w:r>
          </w:p>
        </w:tc>
        <w:tc>
          <w:tcPr>
            <w:tcW w:w="63"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4.46</w:t>
            </w:r>
          </w:p>
        </w:tc>
        <w:tc>
          <w:tcPr>
            <w:tcW w:w="6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2.76</w:t>
            </w:r>
          </w:p>
        </w:tc>
        <w:tc>
          <w:tcPr>
            <w:tcW w:w="63"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5.28</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2.22</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3.87</w:t>
            </w:r>
          </w:p>
        </w:tc>
        <w:tc>
          <w:tcPr>
            <w:tcW w:w="6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2.70</w:t>
            </w:r>
          </w:p>
        </w:tc>
        <w:tc>
          <w:tcPr>
            <w:tcW w:w="63" w:type="dxa"/>
            <w:tcBorders/>
            <w:shd w:fill="CCEEFF" w:val="clear"/>
            <w:vAlign w:val="bottom"/>
          </w:tcPr>
          <w:p>
            <w:pPr>
              <w:pStyle w:val="TableContents"/>
              <w:bidi w:val="0"/>
              <w:spacing w:before="0" w:after="283"/>
              <w:jc w:val="left"/>
              <w:rPr/>
            </w:pPr>
            <w:r>
              <w:rPr/>
              <w:t> </w:t>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3.56</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2.37</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52"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5.00</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2.72</w:t>
            </w:r>
          </w:p>
        </w:tc>
        <w:tc>
          <w:tcPr>
            <w:tcW w:w="63" w:type="dxa"/>
            <w:tcBorders/>
            <w:vAlign w:val="bottom"/>
          </w:tcPr>
          <w:p>
            <w:pPr>
              <w:pStyle w:val="TableContents"/>
              <w:bidi w:val="0"/>
              <w:spacing w:before="0" w:after="283"/>
              <w:jc w:val="left"/>
              <w:rPr/>
            </w:pPr>
            <w:r>
              <w:rPr/>
              <w:t> </w:t>
            </w:r>
          </w:p>
        </w:tc>
      </w:tr>
      <w:tr>
        <w:trPr/>
        <w:tc>
          <w:tcPr>
            <w:tcW w:w="53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5.72</w:t>
            </w:r>
          </w:p>
        </w:tc>
        <w:tc>
          <w:tcPr>
            <w:tcW w:w="6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2.47</w:t>
            </w:r>
          </w:p>
        </w:tc>
        <w:tc>
          <w:tcPr>
            <w:tcW w:w="63" w:type="dxa"/>
            <w:tcBorders/>
            <w:shd w:fill="CCEEFF" w:val="clear"/>
            <w:vAlign w:val="bottom"/>
          </w:tcPr>
          <w:p>
            <w:pPr>
              <w:pStyle w:val="TableContents"/>
              <w:bidi w:val="0"/>
              <w:spacing w:before="0" w:after="283"/>
              <w:jc w:val="left"/>
              <w:rPr/>
            </w:pPr>
            <w:r>
              <w:rPr/>
              <w:t> </w:t>
            </w:r>
          </w:p>
        </w:tc>
      </w:tr>
      <w:tr>
        <w:trPr/>
        <w:tc>
          <w:tcPr>
            <w:tcW w:w="53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5.54</w:t>
            </w:r>
          </w:p>
        </w:tc>
        <w:tc>
          <w:tcPr>
            <w:tcW w:w="6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5.32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847647_32"/>
      <w:bookmarkEnd w:id="35"/>
      <w:r>
        <w:rPr>
          <w:rFonts w:ascii="Times New Roman" w:hAnsi="Times New Roman"/>
          <w:b/>
          <w:sz w:val="20"/>
        </w:rPr>
        <w:t xml:space="preserve">RISK FACTORS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CureVac shareholders will be diluted in terms of their ownership in BioNTech following the transactions relative to their current ownership in CureVac.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will result in CureVac shareholders having an ownership stake in BioNTech that is significantly smaller than their current stake in CureVac. Upon completion of the transactions, BioNTech estimates that former CureVac shareholders will own between four and six percent of the issued and outstanding BioNTech ordinary shares, in the aggregate, depending on the BioNTech ADS VWAP. Consequently, CureVac shareholders, as a general matter, will have less influence over the management and policies of BioNTech after the completion of the transactions than they currently exercise over the management and policies of CureVac.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by reference to the volume-weighted average of the price per BioNTech ADS as reported on Nasdaq over the period of 10 consecutive trading days ending on, and including, the fifth trading day immediately preceding the expiration time. Notwithstanding the foregoing, in the event the BioNTech ADS VWAP (i) is greater than or equal to $126.55, the exchange ratio will be 0.04318 or (ii) is less than or equal to $84.37, the exchange ratio will be 0.06476. As a result of such collar, the number of BioNTech ADSs received in the offer or the post-offer reorganization may not fully reflect the value of the BioNTech ADSs or $5.4641 per CureVac share.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price of the BioNTech ADSs may result from a variety of factors, including, among others, general market and economic conditions, changes in BioNTech’s business, operations, and prospects, market assessment of the likelihood that the transactions will be completed as anticipated or at all, and regulatory considerations. Many of these factors are beyond BioNTech’s control. As a result of any such changes in the price of the BioNTech ADSs, the market value of the BioNTech ADSs that the CureVac shareholders will receive at the time that the BioNTech ADSs are delivered could vary significantly from the value of the BioNTech ADSs immediately prior to the public announcement of the offer, on the date of this offer to exchange/prospectus, on the date CureVac shareholders tender their shares, or at the expiration time, or on the date on which CureVac shareholders actually receive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From June 12, 2025, when BioNTech and CureVac announced the execution of the Purchase Agreement, through October 20, 2025 (the last practicable date before the commencement of the offer), the BioNTech ADS VWAP was not greater than or equal to $126.55 or less than or equal to $84.37. Accordingly, the offer consideration at all times during that period represented a market value of $5.4641. However, were the BioNTech ADS VWAP to, for example, drop to $80 or go above $130 on the applicable calculation date, the market value of the offer consideration could be greater than or less than, respectively, $5.4641. Accordingly, as of the date of this offer to exchange/prospectus, CureVac shareholders will not know, or be able to calculate, the exact market value of the consideration that they will receive upon closing of the offer or completion of the post-offer reorganization.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U.S. federal income tax consequences of the exchange of CureVac shares for BioNTech ADSs pursuant to the offer or the cancellation to U.S. holders may be complex.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the exchange of CureVac shares for BioNTech ADSs (including cash in lieu of fractional BioNTech ADSs) pursuant to the offer or the cancellation will qualify as one or more tax-free reorganizations within the meaning of Section 368(a) of the code. Accordingly, and subject to the rules applicable to PFICs, the exchange pursuant to the offer or the cancellation will generally be tax-free for U.S. holders of CureVac shares except with respect to cash received in lieu of fractional BioNTech ADSs. Because CureVac may be a PFIC for the current taxable year, however, the receipt of BioNTech ADSs in exchange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CureVac shares may be subject to the PFIC rules. In addition, the receipt of cash in exchange for a fractional BioNTech ADS by a U.S. holder is expected to be subject to the PFIC rules. See “Material United States Federal Income Tax Considerations” beginning on page 67 for additional information and a more detailed discussion.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expiration of the offer and subsequent offering period, the post-offer reorganization will be undertaken. CureVac shareholders who did not tender their shares in the offer (including the subsequent offering period) will receive in the post-offer reorganization the cancellation consideration, without interest and subject to any applicable Dutch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No Dutch dividend withholding tax is applicable to the offer consideration received in exchange for CureVac shares tendered in the offer, including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There can be no assurances as to the success of any refund request. In any event, any amounts refunded will be in cash. Therefore, non-tendering CureVac shareholders who are subject to Dutch dividend withholding tax will not receive the investment benefit, if any, of receiving any BioNTech ADSs sold by the exchange agent as described below to cover any applicable Dutch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All Dutch dividend withholding tax due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the after-tax return of CureVac shareholders who did not tender their shares in the offer, including the subsequent offering period, may be lower than CureVac shareholders who do participate in the offer, including the subsequent offering period.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the German tax authorities take the view that German withholding tax on the cancellation consideration should have been withheld, New Topco or the cancellation consideration recipients could be held liable. </w:t>
      </w:r>
    </w:p>
    <w:p>
      <w:pPr>
        <w:pStyle w:val="TextBody"/>
        <w:bidi w:val="0"/>
        <w:spacing w:before="120" w:after="0"/>
        <w:jc w:val="left"/>
        <w:rPr>
          <w:rFonts w:ascii="Times New Roman" w:hAnsi="Times New Roman"/>
          <w:sz w:val="20"/>
        </w:rPr>
      </w:pPr>
      <w:r>
        <w:rPr>
          <w:rFonts w:ascii="Times New Roman" w:hAnsi="Times New Roman"/>
          <w:sz w:val="20"/>
        </w:rPr>
        <w:t xml:space="preserve">New Topco does not intend to withhold German withholding tax from the cancellation consideration. This is consistent with a view taken in German tax literature in relation to German shares that the cancellation of shares should be classified as a taxable disposal for German tax purposes, so that New Topco should have no obligation to withhold (but generally it would be the responsibility of the applicable German depositary, acting as disbursing agent, to withhold). However, absent a definitive decision by the German Federal Fiscal Court, there can be no guarantee that this view will be followed. The German tax authorities or German tax courts may take the view that the cancellation should be classified as a partial liquidation, such that the cancellation consideration would constitute a generally taxable dividend or dividend in kind, subject to withholding tax for which New Topco could have the obligation to withhold. Such a position would not be known unless and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German tax authorities take a position on the treatment of the cancellation, such as during a tax audit of New Topco or of a cancellation consideration recipient. If the German tax authorities were to take the view that the cancellation consideration constituted a generally taxable dividend and that New Topco had the obligation to withhold, New Topco or the cancellation consideration recipients could be held liable by the German tax authorities for such unremitted withholding tax. In the event New Topco were held liable, it could seek to be made whole by the cancellation consideration recipients.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transactions is subject to many conditions and if these conditions are not satisfied or waived, the transactions will not be completed, which could result in the requirement that BioNTech or CureVac pay certain termination fees. </w:t>
      </w:r>
    </w:p>
    <w:p>
      <w:pPr>
        <w:pStyle w:val="TextBody"/>
        <w:bidi w:val="0"/>
        <w:spacing w:before="240" w:after="0"/>
        <w:jc w:val="left"/>
        <w:rPr>
          <w:rFonts w:ascii="Times New Roman" w:hAnsi="Times New Roman"/>
          <w:sz w:val="20"/>
        </w:rPr>
      </w:pPr>
      <w:r>
        <w:rPr>
          <w:rFonts w:ascii="Times New Roman" w:hAnsi="Times New Roman"/>
          <w:sz w:val="20"/>
        </w:rPr>
        <w:t xml:space="preserve">BioNTech’s obligation to exchange the CureVac shares validly tendered and not properly withdrawn pursuant to the offer is subject to the satisfaction or waiver of various closing conditions. There can be no assurance that the conditions to the closing of the offer will be satisfied or waived, or that the transactions will be completed. Failure to consummate the transactions may adversely affect BioNTech’s or CureVac’s results of operations and business prospects for the following reasons, among others: (i) each of BioNTech and CureVac will incur certain transaction costs, regardless of whether the transactions close, which could adversely affect each company’s respective financial condition, results of operations, and ability to make distributions to its security holders; and (ii) the transactions, whether or not they close, will divert the attention of certain management and other key employees of BioNTech and CureVac from ongoing business activities, including the pursuit of other opportunities that could be beneficial to BioNTech or CureVac, respectively. In addition, BioNTech or CureVac may terminate the Purchase Agreement under certain circumstances, which may require BioNTech to pay CureVac termination compensation of $62.5 million or may require CureVac to pay BioNTech termination consideration of $43.75 million. If the transactions are not consummated, the price of the BioNTech ADSs and CureVac shares might decline. The foregoing could have a negative impact on the business, prospects, operating results, and financial condition of BioNTech or CureVac.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pendency of the transactions could adversely affect the business and operations of BioNTech and CureVac.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transactions, some counterparties of each of BioNTech and CureVac may delay or defer decisions, which could negatively affect the revenue, earnings, cash flows, and expenses of BioNTech and CureVac, regardless of whether the transactions are completed. Similarly, current and prospective employees of CureVac may experience uncertainty about their future roles with BioNTech following the transactions, which may adversely affect the ability of CureVac to attract and retain key personnel during the pendency of the transactions. In addition, during the pendency of the transactions, BioNTech has agreed, subject to certain exceptions, not to: amend its organizational documents; declare, set aside, or pay any dividends or other distributions; or split, subdivide, exchange, or reclassify its ordinary shares or ADSs. Similarly, during the pendency of the transactions, CureVac has agreed, subject to certain exceptions, not to, among other things: incur certain liens; pursue certain strategic transactions; dispose of certain intellectual property; commence or materially change clinical studies; enter into certain compensatory arrangements; enter into any new line of business; or otherwise pursue certain material actions, even if such actions may prove beneficial to CureVac.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Purchase Agreement contains provisions that could discourage a potential competing acquirer of CureVac or could result in a competing proposal being at a lower price than it might otherwise be.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contains provisions that, subject to limited exceptions necessary to comply with the duties of the CureVac boards, restrict the ability of CureVac to solicit or initiate discussions with any third party regarding alternative acquisition proposals, participate in any discussions or negotiations with any third party regarding such proposals, or inter into instruments with respect to such proposals. Subject to certain exceptions, the CureVac boards are not permitted to (i) withhold, withdraw, qualify, amend, or modify in a manner adverse to BioNTech its recommendation to its shareholders to accept the offer and approve and adopt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matters, including the transactions, which we refer to as the CureVac recommendation, (ii) recommend, adopt, or approve any alternative acquisition proposal, (iii) publicly make any recommendation in connection with an alternative acquisition proposal other than a recommendation against such proposal, (iv) fail to publicly and without qualification recommend against any alternative acquisition proposal or fail to reaffirm the CureVac recommendation within certain specified time periods, or (v) publicly propose to do any of the foregoing (any such action in this paragraph we refer to as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Solely in response to a superior proposal received by the CureVac boards, which must be (i) on balance more favorable to CureVac and the sustainable success of its business, taking into account the interests of its shareholders, employees, and other stakeholders, than the transactions; and (ii) reasonably likely to be consummated, the CureVac boards may at any time prior to the expiration time and, so long as they have not breached their obligation not to solicit an alternative acquisition proposal, make an adverse recommendation change, or terminate the Purchase Agreement and enter into an alternative acquisition agreement (as defined in the Purchase Agreement) with respect to a superior proposal if, (a) CureVac has provided to BioNTech four business days’ prior written notice of the existence of and material terms and conditions of the superior proposal, including the consideration offered and the identity of the third party making such proposal; (b) CureVac has engaged in good faith negotiations with BioNTech to amend the Purchase Agreement such that the alternative acquisition proposal no longer constitutes a superior proposal; and (c) the CureVac boards have determined that, in light of such superior proposal and taking into account any revised terms proposed by BioNTech, the failure to effectuate an adverse recommendation change and/or terminate the Purchase Agreement would be inconsistent with the directors’ fiduciary duties under the laws of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discourage a potential competing acquirer that might have an interest in acquiring all or a significant part of CureVac from considering or proposing such an acquisition, even if the potential competing acquirer was prepared to pay consideration with a higher per share value than the value proposed to be received or realized in the transactions, or might result in a potential competing acquirer proposing to pay a lower per share value than it might otherwise have proposed to pay because of the added expense of the termination fee that may become payable in certain circumstances under the Purchase Agreement.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transactions similar to the transactions contemplated by the Purchase Agreement, purported shareholders of the companies involved in such transactions have filed class action lawsuits against such companies and their boards of directors. If shareholder litigation were to be brought, the plaintiffs may seek to enjoin the transactions, among other remedies. If a court were to refuse to dismiss such lawsuits, or a settlement could not be reached with the plaintiffs, these actions could prevent or delay completion of the transactions, and result in substantial costs to BioNTech and CureVac, including any costs associated with the indemnification of directors. Any litigation relating to the transactions could distract BioNTech or CureVac from pursuing the consummation of the transactions and other potentially beneficial business opportunities. Further, the defense or settlement of any lawsuit or claim that remains unresolved at the time the transactions are completed may adversely affect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BioNTech must implement share capital increases to create the offer consideration, which will result in an extended settlement and may delay the closing of the transactions. You will not receive any interest or other consideration as a result of this extended settlement. </w:t>
      </w:r>
    </w:p>
    <w:p>
      <w:pPr>
        <w:pStyle w:val="TextBody"/>
        <w:bidi w:val="0"/>
        <w:spacing w:before="120" w:after="0"/>
        <w:jc w:val="left"/>
        <w:rPr>
          <w:rFonts w:ascii="Times New Roman" w:hAnsi="Times New Roman"/>
          <w:sz w:val="20"/>
        </w:rPr>
      </w:pPr>
      <w:r>
        <w:rPr>
          <w:rFonts w:ascii="Times New Roman" w:hAnsi="Times New Roman"/>
          <w:sz w:val="20"/>
        </w:rPr>
        <w:t xml:space="preserve">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German local court (</w:t>
      </w:r>
      <w:r>
        <w:rPr>
          <w:rFonts w:ascii="Times New Roman" w:hAnsi="Times New Roman"/>
          <w:i/>
          <w:sz w:val="20"/>
        </w:rPr>
        <w:t>Amtsgericht</w:t>
      </w:r>
      <w:r>
        <w:rPr>
          <w:rFonts w:ascii="Times New Roman" w:hAnsi="Times New Roman"/>
          <w:sz w:val="20"/>
        </w:rPr>
        <w:t xml:space="preserve">) of BioNTech’s judicial district. The exact timing of the registration process for capital increases lies with such court and is outside the control of BioNTech. There may be delays in the effectiveness of the share capital increases and the creation of the BioNTech ordinary shares and, thus, the transfer of the BioNTech ADSs constituting the offer consideration to tendering CureVac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BioNTech cannot guarantee the precise timing of delivery of BioNTech ADSs in connection with the offer or the subsequent offering period. BioNTech expects that the delivery of BioNTech ADSs to the tendering CureVac shareholders will take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You will not receive any interest or other compensation for the period between the date on which you tender your CureVac shares in the offer or the subsequent offering period and the date on which you receive BioNTech ADSs and may not be able to react to any adverse developments affecting the business, financial condition, or results of operations of BioNTech or CureVac and the market prices of tendered CureVac shares or, until BioNTech ADSs are received, such BioNTech ADSs by selling the respective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CureVac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CureVac may be required to repay monies received under the Advance Purchase Agreement with the European Commission for its first-generation COVID-19 vaccine candidate. </w:t>
      </w:r>
    </w:p>
    <w:p>
      <w:pPr>
        <w:pStyle w:val="TextBody"/>
        <w:bidi w:val="0"/>
        <w:spacing w:before="120" w:after="0"/>
        <w:jc w:val="left"/>
        <w:rPr>
          <w:rFonts w:ascii="Times New Roman" w:hAnsi="Times New Roman"/>
          <w:sz w:val="20"/>
        </w:rPr>
      </w:pPr>
      <w:r>
        <w:rPr>
          <w:rFonts w:ascii="Times New Roman" w:hAnsi="Times New Roman"/>
          <w:sz w:val="20"/>
        </w:rPr>
        <w:t xml:space="preserve">On November 30, 2020, CureVac SE entered into an Advance Purchase Agreement, which we refer to as the APA, with the EU Commission, acting on behalf of all Member States of the European Union, for the supply of up to 405 million doses of its first-generation COVID-19 vaccine candidate, which we refer to as CVnCoV. Under the APA, CureVac SE received an upfront payment of 450 million for development and commercial supply activities of CVnCoV. In October 2021, CureVac SE notified the EU Commission of the withdrawal of its regulatory approval application for CVnCoV, which notification automatically terminated the APA. According to the APA, in such case of termination, CureVac SE would be required to return any unspent amount of the upfront payment. In the context of the APA, “spent” means either costs incurred, or commitments made in connection with the purposes set forth in the APA. </w:t>
      </w:r>
    </w:p>
    <w:p>
      <w:pPr>
        <w:pStyle w:val="TextBody"/>
        <w:bidi w:val="0"/>
        <w:spacing w:before="240" w:after="0"/>
        <w:jc w:val="left"/>
        <w:rPr>
          <w:rFonts w:ascii="Times New Roman" w:hAnsi="Times New Roman"/>
          <w:sz w:val="20"/>
        </w:rPr>
      </w:pPr>
      <w:r>
        <w:rPr>
          <w:rFonts w:ascii="Times New Roman" w:hAnsi="Times New Roman"/>
          <w:sz w:val="20"/>
        </w:rPr>
        <w:t xml:space="preserve">On July 24, 2024, the EU Commission informed CureVac SE that it had engaged Deloitte, S.L., which we refer to as Deloitte, to conduct an audit of CureVac SE’s compliance with the APA. On September 17, 2025, the EU Commission provided CureVac SE with Deloitte’s draft audit report, which included preliminary findings alleging missing documentation, absence of project cost allocation, cost traceability and reconciliations, as well as inconsistencies between information submitted during the audit and financial information previously provided to the EU Commission. CureVac SE is cooperating fully with the EU Commission and Deloitte and submitted a detailed response and objections on October 17, 2025. The EU Commission is expected to issue a final audit report within 60 days thereafter. </w:t>
      </w:r>
    </w:p>
    <w:p>
      <w:pPr>
        <w:pStyle w:val="TextBody"/>
        <w:bidi w:val="0"/>
        <w:spacing w:before="240" w:after="0"/>
        <w:jc w:val="left"/>
        <w:rPr>
          <w:rFonts w:ascii="Times New Roman" w:hAnsi="Times New Roman"/>
          <w:sz w:val="20"/>
        </w:rPr>
      </w:pPr>
      <w:r>
        <w:rPr>
          <w:rFonts w:ascii="Times New Roman" w:hAnsi="Times New Roman"/>
          <w:sz w:val="20"/>
        </w:rPr>
        <w:t xml:space="preserve">CureVac SE contested the findings in Deloitte’s draft audit report and believes it can refute the issues raised. However, it remains uncertain to what extent Deloitte and the EU Commission will accept CureVac SE’s position. It is also unclear whether the EU Commission will rely on Deloitte’s final audit report to seek recovery of any portion or all of the 450 million upfront payment. CureVac SE cannot exclude the possibility of being required to repay a portion or all of the 450 million upfront payment. Should CureVac be unsuccessful in contesting any such repayment claims, or the payment of related fines, this could materially affect CureVac’s financial position, cash flows,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BioNTech Following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Following the transactions, BioNTech may be unable to integrate the businesses of BioNTech and CureVac successfully and realize the anticipated synergies and other benefits of the transactions or do so within the anticipated timeframe.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involve the combination of two companies that currently operate as independent public companies. BioNTech is expected to benefit from the elimination of duplicative costs associated with supporting a public company platform, technologies, and systems. These savings are expected to be realized upon full integration following the closing of the transactions. However, BioNTech will be required to devote significant management attention and resources to integrating the business practices and operations of BioNTech and CureVac. Potential difficulties or liabilities BioNTech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BioNTech and CureVac in a manner that permits BioNTech to achieve the cost savings anticipated to result from the transactions, which would result in the anticipated benefits of the transactions not being realized in the timeframe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liabilities that may become due as a result of the integration of the businesses of BioNTech and CureVac or the post-offer reorganization, including the incurrence of any German real estate transfer tax triggered by the acquisition of CureVac and its subsidiaries as well as the forfeiture of any tax loss carry forwards (as well as ongoing year-to-date losses and interests carry forwards) at the level of the CureVac group companies acquired as a consequence of the transactions or their consummation;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complexities associated with managing the combined businesses out of several different locations and integrating personnel from the two companies, as well as consolidating facilities of BioNTech and CureVac that are currently in or near the same 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complexities associated with maintaining existing agreements with counterparties and avoiding delays in entering into new agreements with prospective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complexities of combining two companies with different histories, cultures, regulatory restrictions, markets, systems, and customer bases;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as a result of the diversion of management’s attention caused by completing the transactions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all these reasons, it is possible that the integration process could result in the distraction of BioNTech’s management, the disruption of BioNTech’s ongoing business, or inconsistencies in BioNTech’s operations, services, standards, controls, procedures, and policies, any of which could adversely affect the ability of BioNTech to maintain relationships with customers, vendors, and employees, or to achieve the anticipated benefits of the transactions, or could otherwise adversely affect the business and financial results of BioNTech. </w:t>
      </w:r>
    </w:p>
    <w:p>
      <w:pPr>
        <w:pStyle w:val="TextBody"/>
        <w:bidi w:val="0"/>
        <w:spacing w:before="240" w:after="0"/>
        <w:jc w:val="left"/>
        <w:rPr>
          <w:rFonts w:ascii="Times New Roman" w:hAnsi="Times New Roman"/>
          <w:b/>
          <w:i/>
          <w:sz w:val="20"/>
        </w:rPr>
      </w:pPr>
      <w:r>
        <w:rPr>
          <w:rFonts w:ascii="Times New Roman" w:hAnsi="Times New Roman"/>
          <w:b/>
          <w:i/>
          <w:sz w:val="20"/>
        </w:rPr>
        <w:t xml:space="preserve">Following the transactions, BioNTech may be unable to retain key CureVac employees.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combined company after the transactions will depend in part upon its ability to retain key CureVac employees. Key CureVac employees may depart either before or after the transactions because of issues relating to the uncertainty and difficulty of integration or a desire not to remain with BioNTech following the transactions. Accordingly, no assurance can be given that CureVac or, following the transactions, BioNTech will be able to retain key CureVac employees to the same extent as in the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Counterparties to certain significant agreements with CureVac may exercise contractual rights under such agreements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CureVac is a party to certain agreements, including certain lease agreements, collaboration agreements, and business development-related agreements material to the operations of CureVac and/or its affiliates that give the counterparty certain rights following a “change in control,” including in some cases the right to terminate the agreement. Under some such agreements, the closing of the offer may constitute a change in control, and therefore the counterparty may exercise certain rights under the agreement upon the closing of the transactions. Any such counterparty may request modifications of their respective agreements as a condition to granting a waiver or consent under their agreement. There can be no assurances that such counterparties will not exercise their rights under these agreements, including termination rights where available, or that the exercise of any such rights under, or modification of, these agreements will not adversely affect the business or operations of the combined company. </w:t>
      </w:r>
    </w:p>
    <w:p>
      <w:pPr>
        <w:pStyle w:val="TextBody"/>
        <w:bidi w:val="0"/>
        <w:spacing w:before="240" w:after="0"/>
        <w:jc w:val="left"/>
        <w:rPr>
          <w:rFonts w:ascii="Times New Roman" w:hAnsi="Times New Roman"/>
          <w:b/>
          <w:i/>
          <w:sz w:val="20"/>
        </w:rPr>
      </w:pPr>
      <w:r>
        <w:rPr>
          <w:rFonts w:ascii="Times New Roman" w:hAnsi="Times New Roman"/>
          <w:b/>
          <w:i/>
          <w:sz w:val="20"/>
        </w:rPr>
        <w:t xml:space="preserve">BioNTech expects to incur substantial expenses related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BioNTech expects to incur substantial expenses in connection with completing the transactions, and integrating the business, operations, networks, systems, technologies, policies, and procedures of CureVac with those of BioNTech. There are several systems that must be integrated, including accounting and finance. While BioNTech has assumed that a certain level of transaction and integration expenses would be incurred, there are a number of factors beyond its control that could affect the total amount or the timing of BioNTech’s integration expenses. Many of the expenses that will be incurred, by their nature, are difficult to estimate accurately at the present time. As a result, the transaction and integration expenses associated with the transactions could, particularly in the near term, exceed the savings that BioNTech expects to achieve from the elimination of duplicative expenses and the realization of economies of scale and cost savings related to the integration of the businesses following the completion of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an Investment in the BioNTech ADSs Following the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and trading volume of the BioNTech ADSs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U.S. stock markets, including Nasdaq, on which the BioNTech ADSs are listed under the symbol “BNTX”, have experienced significant price and volume fluctuations. As a result, the market price of the BioNTech ADSs is likely to be similarly volatile, and investors in BioNTech ADSs may experience a decrease in the value of their ADSs, including decreases unrelated to BioNTech’s operating performance or prospects. BioNTech cannot assure you that the market price of the BioNTech ADSs will not fluctuate or decline significantly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risks listed in this “Risk Factors” section, a number of factors could negatively affect the price of the BioNTech ADSs or result in fluctuations in the price or trading volume of the BioNTech ADSs,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issuances by BioNTech, or future sales of substantial amounts of BioNTech ADSs by its existing or future holders, or the perception that such issuances or future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stock market prices and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BioNTech’s operating performance and the performance of other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differences in BioNTech’s quarterly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of future financial performance or changes in estimates of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BioNTech or its industry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market reaction to any indebtedness BioNTech incurs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BioNTech or its competitors, such as acquisitions, divestments,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passage of legislation or other regulatory developments that adversely affect BioNTech or its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BioNTech’s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satisfy the listing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requirements of the Sarbanes-Oxley Act of 2002;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institutional shareholders of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and/or market conditions, including factors unrelated to BioNTech’s performance.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securities class action litigation has often been instituted against companies following periods of volatility in the price of their traded securities. This type of litigation could result in substantial costs and divert BioNTech’s management’s attention and resources, which could have a material adverse effect on BioNTech’s cash flows, its ability to execute its business strategy, and BioNTech’s business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the BioNTech ADSs may be affected by factors different from those affecting the prices of the BioNTech ADSs or CureVac shares before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operations of BioNTech, as well as the market price of the BioNTech ADSs after the transactions, may be affected by other factors in addition to those currently affecting BioNTech’s or CureVac’s results of operations and the market prices of the BioNTech ADSs and CureVac shares.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greater number of BioNTech ADSs outstanding as compared to the number of currently outstanding BioNTech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assets and capitalizations.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historical market prices and financial results of BioNTech and CureVac may not be indicative for BioNTech after the transactions. For a discussion of the businesses of BioNTech and CureVac, and certain risks to consider in connection with investing in those businesses, see the documents incorporated by reference by BioNTech and CureVac into this offer to exchange/prospectus referred to under “Where You Can Find More Information and Incorporation by Reference” beginning on page 167.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the BioNTech ADSs may decline as a result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BioNTech ADSs may decline as a result of the transactions if BioNTech does not achieve the perceived benefits of the transactions as rapidly or to the extent anticipated by financial or industry analysts, or the effect of the transactions on BioNTech’s financial results is not consistent with the expectations of financial or industry analysts.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consummation of the transactions, former CureVac shareholders will own interests in a business with a different mix of clinical assets, risks, and liabilities. Former CureVac shareholders may not wish to continue to invest in BioNTech, or for other reasons may wish to dispose of some or all of their BioNTech ADSs. If, following the closing of the transactions, large amounts of the BioNTech ADSs are sold, the price of the BioNTech ADSs could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After the transactions are completed, CureVac shareholders who receive BioNTech ADSs in the transactions will have different rights that may be less favorable than their current rights as CureVac shareholders. </w:t>
      </w:r>
    </w:p>
    <w:p>
      <w:pPr>
        <w:pStyle w:val="TextBody"/>
        <w:bidi w:val="0"/>
        <w:spacing w:before="120" w:after="0"/>
        <w:jc w:val="left"/>
        <w:rPr>
          <w:rFonts w:ascii="Times New Roman" w:hAnsi="Times New Roman"/>
          <w:sz w:val="20"/>
        </w:rPr>
      </w:pPr>
      <w:r>
        <w:rPr>
          <w:rFonts w:ascii="Times New Roman" w:hAnsi="Times New Roman"/>
          <w:sz w:val="20"/>
        </w:rPr>
        <w:t xml:space="preserve">After the closing of the transactions, CureVac shareholders who receive BioNTech ADSs in the transactions will have different rights than they currently have as CureVac shareholders. For a detailed discussion of the significant differences between the current rights as a CureVac shareholder and the rights as a BioNTech shareholder and a BioNTech ADS holder following the transactions, see “Comparison of Rights of BioNTech Shareholders and CureVac Shareholders” beginning on page 144 and “Description of BioNTech Capital Stock” beginning on page 123. </w:t>
      </w:r>
    </w:p>
    <w:p>
      <w:pPr>
        <w:pStyle w:val="TextBody"/>
        <w:bidi w:val="0"/>
        <w:spacing w:before="240" w:after="0"/>
        <w:jc w:val="left"/>
        <w:rPr>
          <w:rFonts w:ascii="Times New Roman" w:hAnsi="Times New Roman"/>
          <w:b/>
          <w:i/>
          <w:sz w:val="20"/>
        </w:rPr>
      </w:pPr>
      <w:r>
        <w:rPr>
          <w:rFonts w:ascii="Times New Roman" w:hAnsi="Times New Roman"/>
          <w:b/>
          <w:i/>
          <w:sz w:val="20"/>
        </w:rPr>
        <w:t xml:space="preserve">Holders of the BioNTech ADSs are not treated as shareholders of BioNTech and will not have the same voting rights as BioNTech shareholders, which may affect the value of the BioNTech ADSs. </w:t>
      </w:r>
    </w:p>
    <w:p>
      <w:pPr>
        <w:pStyle w:val="TextBody"/>
        <w:bidi w:val="0"/>
        <w:spacing w:before="120" w:after="0"/>
        <w:jc w:val="left"/>
        <w:rPr>
          <w:rFonts w:ascii="Times New Roman" w:hAnsi="Times New Roman"/>
          <w:sz w:val="20"/>
        </w:rPr>
      </w:pPr>
      <w:r>
        <w:rPr>
          <w:rFonts w:ascii="Times New Roman" w:hAnsi="Times New Roman"/>
          <w:sz w:val="20"/>
        </w:rPr>
        <w:t xml:space="preserve">Holders of BioNTech ADSs are not treated as BioNTech shareholders unless they cancel the BioNTech ADSs and withdraw the BioNTech ordinary shares underlying the BioNTech ADSs from the depositary, which is the holder of the BioNTech ordinary shares underlying the BioNTech ADSs. Holders of BioNTech ADSs, therefore, do not have any rights as shareholders of BioNTech, other than the rights that they have pursuant to the deposit agreement. As such, holders of BioNTech ADSs will not be able to directly vote underlying BioNTech ordinary shares. Holders of BioNTech ADSs may instruct the depositary how to vote the BioNTech ordinary shares underlying their BioNTech ADSs. If BioNTech asks it to, the depositary will send out information about shareholder meetings and solicit voting instructions and will try to carry out voting instructions it receives. However, BioNTech is not required to instruct the depositary to take action with respect to shareholder meetings. If BioNTech does not do so, holders of the BioNTech ADSs can still send voting instructions to the depositary, and the depositary may try to carry out those instructions, but it is not required to do so. Holders of the BioNTech ADSs may not become aware of shareholder meetings if the depositary does not send out information. Even if the depositary does solicit voting instructions, holders of BioNTech ADSs may not receive the information in time. As a result of these factors, holders of BioNTech ADSs may not be able to effectively exercise voting rights that they would have if they held BioNTech ordinary shares directly.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BioNTech ADSs are expected to be treated as stock in a passive foreign investment company, which may have adverse U.S. federal income tax consequences to U.S. holders of BioNTech ADSs. </w:t>
      </w:r>
    </w:p>
    <w:p>
      <w:pPr>
        <w:pStyle w:val="TextBody"/>
        <w:bidi w:val="0"/>
        <w:spacing w:before="120" w:after="0"/>
        <w:jc w:val="left"/>
        <w:rPr>
          <w:rFonts w:ascii="Times New Roman" w:hAnsi="Times New Roman"/>
          <w:sz w:val="20"/>
        </w:rPr>
      </w:pPr>
      <w:r>
        <w:rPr>
          <w:rFonts w:ascii="Times New Roman" w:hAnsi="Times New Roman"/>
          <w:sz w:val="20"/>
        </w:rPr>
        <w:t xml:space="preserve">Based on BioNTech’s income and assets, BioNTech expects to be a PFIC for the current taxable year and may be a PFIC in future taxable years. The PFIC rules may result in adverse U.S. federal income tax consequences to U.S. holders of BioNTech ADSs. Because the determination of BioNTech’s PFIC status is made annually following the end of the applicable taxable year based on factual tests described below, BioNTech’s status as a PFIC in the current taxable year and future taxable years is uncertain. </w:t>
      </w:r>
    </w:p>
    <w:p>
      <w:pPr>
        <w:pStyle w:val="TextBody"/>
        <w:bidi w:val="0"/>
        <w:spacing w:before="240" w:after="0"/>
        <w:jc w:val="left"/>
        <w:rPr>
          <w:rFonts w:ascii="Times New Roman" w:hAnsi="Times New Roman"/>
          <w:sz w:val="20"/>
        </w:rPr>
      </w:pPr>
      <w:r>
        <w:rPr>
          <w:rFonts w:ascii="Times New Roman" w:hAnsi="Times New Roman"/>
          <w:sz w:val="20"/>
        </w:rPr>
        <w:t xml:space="preserve">Generally, BioNTech will be classified as a PFIC for any taxable year for which at least 75% of its gross income is “passive income” or at least 50% of its gross assets during that taxable year (based on the average of the fair market values of the assets determined at the end of each quarterly period) are assets that produce or are held for the production of passive income. Passive income for this purpose generally includes, among other items, dividends, interest, rents, royalties, gains from commodities and securities transactions, and gains from assets that produce passive income. However, rents and royalties received from unrelated parties in connection with the active conduct of a trade or business will not be considered passive income for purposes of the PFIC test. </w:t>
      </w:r>
    </w:p>
    <w:p>
      <w:pPr>
        <w:pStyle w:val="TextBody"/>
        <w:bidi w:val="0"/>
        <w:spacing w:before="240" w:after="0"/>
        <w:jc w:val="left"/>
        <w:rPr>
          <w:rFonts w:ascii="Times New Roman" w:hAnsi="Times New Roman"/>
          <w:sz w:val="20"/>
        </w:rPr>
      </w:pPr>
      <w:r>
        <w:rPr>
          <w:rFonts w:ascii="Times New Roman" w:hAnsi="Times New Roman"/>
          <w:sz w:val="20"/>
        </w:rPr>
        <w:t xml:space="preserve">If BioNTech is classified as a PFIC in any taxable year during a U.S. holder’s holding period of its BioNTech ADSs, such U.S. holder generally will be subject to additional taxes and interest charges upon certain distributions by BioNTech and any gain recognized on a sale, exchange, or other disposition of such holder’s BioNTech ADSs, regardless of whether BioNTech continues to be characterized as a PFIC. The additional taxes and interest charges may be mitigated if a U.S. holder makes a “mark-to-market” election or an election to treat BioNTech as a “qualified electing fund,” which we refer to as a QEF, election, possibly along with a “purging election.” BioNTech intends to provide U.S. holders with the necessary information to make a QEF election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the current taxable year and for future taxable years in which BioNTech is classified as a PFIC. However, because the exchange of CureVac shares for BioNTech ADSs pursuant to the offer or the cancellation will generally be tax-free to U.S. holders, these elections may not fully alleviate the adverse consequences of BioNTech’s PFIC status to U.S. holders to the extent typical in taxable acquisitions of PFIC stock. For more information, see “Material United States Federal Income Tax Considerations” beginning on page 67 below. </w:t>
      </w:r>
    </w:p>
    <w:p>
      <w:pPr>
        <w:pStyle w:val="TextBody"/>
        <w:bidi w:val="0"/>
        <w:spacing w:before="240" w:after="0"/>
        <w:jc w:val="left"/>
        <w:rPr>
          <w:rFonts w:ascii="Times New Roman" w:hAnsi="Times New Roman"/>
          <w:sz w:val="20"/>
        </w:rPr>
      </w:pPr>
      <w:r>
        <w:rPr>
          <w:rFonts w:ascii="Times New Roman" w:hAnsi="Times New Roman"/>
          <w:sz w:val="20"/>
        </w:rPr>
        <w:t xml:space="preserve">CureVac shareholders that are U.S. holders are strongly urged to consult their tax advisors regarding the U.S. federal, state, and local income tax consequences to them of BioNTech ADSs being treated as stock in a PFIC, any available elections to mitigate such tax consequences, and the potential limitations to them of making any such election.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BioNTech and CureVac face other risks. </w:t>
      </w:r>
    </w:p>
    <w:p>
      <w:pPr>
        <w:pStyle w:val="TextBody"/>
        <w:bidi w:val="0"/>
        <w:spacing w:before="120" w:after="0"/>
        <w:jc w:val="left"/>
        <w:rPr>
          <w:rFonts w:ascii="Times New Roman" w:hAnsi="Times New Roman"/>
          <w:sz w:val="20"/>
        </w:rPr>
      </w:pPr>
      <w:r>
        <w:rPr>
          <w:rFonts w:ascii="Times New Roman" w:hAnsi="Times New Roman"/>
          <w:sz w:val="20"/>
        </w:rPr>
        <w:t xml:space="preserve">The foregoing risks are not exhaustive, and you should be aware that, following the transactions, the combined company will face various other risks, including those discussed in reports filed by BioNTech and CureVac with the SEC. See “Where You Can Find More Information and Incorporation by Reference” beginning on page 167.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847647_33"/>
      <w:bookmarkEnd w:id="36"/>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offer to exchange/prospectus includes “forward-looking statements.” Forward-looking statements can generally be identified by words such as “potential,” “can,” “will,” “plan,” “may,” “could,” “would,” “expect,” “look forward,” “investigational,” “pipeline,” “to acquire,” “development,” “to include,” “commitment,” “project,” “prospective,” or similar terms.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120" w:after="0"/>
        <w:jc w:val="left"/>
        <w:rPr>
          <w:rFonts w:ascii="Times New Roman" w:hAnsi="Times New Roman"/>
          <w:sz w:val="20"/>
        </w:rPr>
      </w:pPr>
      <w:r>
        <w:rPr>
          <w:rFonts w:ascii="Times New Roman" w:hAnsi="Times New Roman"/>
          <w:sz w:val="20"/>
        </w:rPr>
        <w:t xml:space="preserve">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of the offer and the post-offer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how many of CureVac’s shareholders will tender their shares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competing offers or acquisition proposals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various conditions to the consummation of the offer and the other transactions may not be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a termination of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necessary antitrust or other regulatory approvals or to obtain them on acceptable terms or within expected timing;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disruption from the transactions and the impact of the announcement and pendency of the transactions on BioNTech’s and/or CureVac’s business, including their relationships with employees, business partners, or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offer or the other transactions may be more expensive to complete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litigation in connection with the offer or the other transactions may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attention from ongoing business operations and opportunities as a result of the offer, the other transactions,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industry conditions and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economic, and business conditions, including interest rate, inflation, tariff and currency exchange rate fluctuations, and the ongoing Russia-Ukraine and Middle East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regulatory developments and changes in the United States, Europe, and countries outside of Europe, including with respect to 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pharmaceutical industry regulation and health care legislation in the United States, Europe, and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particular prescribing preferences of physicians and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and uncertainties inherent in new product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or maintain proprietary intellectual property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quality, data integrity, or manufacturing issues;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data security and data privacy breaches.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BioNTech does not have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847647_34"/>
      <w:bookmarkEnd w:id="37"/>
      <w:r>
        <w:rPr>
          <w:rFonts w:ascii="Times New Roman" w:hAnsi="Times New Roman"/>
          <w:b/>
          <w:sz w:val="20"/>
        </w:rPr>
        <w:t xml:space="preserve">THE COMPANIES </w:t>
      </w:r>
    </w:p>
    <w:p>
      <w:pPr>
        <w:pStyle w:val="TextBody"/>
        <w:bidi w:val="0"/>
        <w:spacing w:before="240" w:after="0"/>
        <w:jc w:val="left"/>
        <w:rPr>
          <w:rFonts w:ascii="Times New Roman" w:hAnsi="Times New Roman"/>
          <w:b/>
          <w:sz w:val="20"/>
        </w:rPr>
      </w:pPr>
      <w:r>
        <w:rPr>
          <w:rFonts w:ascii="Times New Roman" w:hAnsi="Times New Roman"/>
          <w:b/>
          <w:sz w:val="20"/>
        </w:rPr>
        <w:t xml:space="preserve">BioNTech SE </w:t>
      </w:r>
    </w:p>
    <w:p>
      <w:pPr>
        <w:pStyle w:val="TextBody"/>
        <w:bidi w:val="0"/>
        <w:spacing w:before="0" w:after="0"/>
        <w:jc w:val="left"/>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left"/>
        <w:rPr>
          <w:rFonts w:ascii="Times New Roman" w:hAnsi="Times New Roman"/>
          <w:b/>
          <w:sz w:val="20"/>
        </w:rPr>
      </w:pPr>
      <w:r>
        <w:rPr>
          <w:rFonts w:ascii="Times New Roman" w:hAnsi="Times New Roman"/>
          <w:b/>
          <w:sz w:val="20"/>
        </w:rPr>
        <w:t xml:space="preserve">D-55131 Mainz </w:t>
      </w:r>
    </w:p>
    <w:p>
      <w:pPr>
        <w:pStyle w:val="TextBody"/>
        <w:bidi w:val="0"/>
        <w:spacing w:before="0" w:after="0"/>
        <w:jc w:val="left"/>
        <w:rPr>
          <w:rFonts w:ascii="Times New Roman" w:hAnsi="Times New Roman"/>
          <w:b/>
          <w:sz w:val="20"/>
        </w:rPr>
      </w:pPr>
      <w:r>
        <w:rPr>
          <w:rFonts w:ascii="Times New Roman" w:hAnsi="Times New Roman"/>
          <w:b/>
          <w:sz w:val="20"/>
        </w:rPr>
        <w:t xml:space="preserve">Germany </w:t>
      </w:r>
    </w:p>
    <w:p>
      <w:pPr>
        <w:pStyle w:val="TextBody"/>
        <w:bidi w:val="0"/>
        <w:spacing w:before="0" w:after="0"/>
        <w:jc w:val="left"/>
        <w:rPr>
          <w:rFonts w:ascii="Times New Roman" w:hAnsi="Times New Roman"/>
          <w:b/>
          <w:sz w:val="20"/>
        </w:rPr>
      </w:pPr>
      <w:r>
        <w:rPr>
          <w:rFonts w:ascii="Times New Roman" w:hAnsi="Times New Roman"/>
          <w:b/>
          <w:sz w:val="20"/>
        </w:rPr>
        <w:t xml:space="preserve">+49 6131-9084-0 </w:t>
      </w:r>
    </w:p>
    <w:p>
      <w:pPr>
        <w:pStyle w:val="TextBody"/>
        <w:bidi w:val="0"/>
        <w:spacing w:before="240" w:after="0"/>
        <w:jc w:val="left"/>
        <w:rPr>
          <w:rFonts w:ascii="Times New Roman" w:hAnsi="Times New Roman"/>
          <w:sz w:val="20"/>
        </w:rPr>
      </w:pPr>
      <w:r>
        <w:rPr>
          <w:rFonts w:ascii="Times New Roman" w:hAnsi="Times New Roman"/>
          <w:sz w:val="20"/>
        </w:rPr>
        <w:t>BioNTech SE, a European stock corporation (</w:t>
      </w:r>
      <w:r>
        <w:rPr>
          <w:rFonts w:ascii="Times New Roman" w:hAnsi="Times New Roman"/>
          <w:i/>
          <w:sz w:val="20"/>
        </w:rPr>
        <w:t>Societas Europaea</w:t>
      </w:r>
      <w:r>
        <w:rPr>
          <w:rFonts w:ascii="Times New Roman" w:hAnsi="Times New Roman"/>
          <w:sz w:val="20"/>
        </w:rPr>
        <w:t xml:space="preserve">,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 </w:t>
      </w:r>
    </w:p>
    <w:p>
      <w:pPr>
        <w:pStyle w:val="TextBody"/>
        <w:bidi w:val="0"/>
        <w:spacing w:before="240" w:after="0"/>
        <w:jc w:val="left"/>
        <w:rPr>
          <w:rFonts w:ascii="Times New Roman" w:hAnsi="Times New Roman"/>
          <w:sz w:val="20"/>
        </w:rPr>
      </w:pPr>
      <w:r>
        <w:rPr>
          <w:rFonts w:ascii="Times New Roman" w:hAnsi="Times New Roman"/>
          <w:sz w:val="20"/>
        </w:rPr>
        <w:t xml:space="preserve">BioNTech’s multi-technology combination of platforms and product candidates positions it as a pioneer in the field of individualized, patient-centric therapeutic approaches in oncology and infectious diseases. </w:t>
      </w:r>
    </w:p>
    <w:p>
      <w:pPr>
        <w:pStyle w:val="TextBody"/>
        <w:bidi w:val="0"/>
        <w:spacing w:before="240" w:after="0"/>
        <w:jc w:val="left"/>
        <w:rPr>
          <w:rFonts w:ascii="Times New Roman" w:hAnsi="Times New Roman"/>
          <w:sz w:val="20"/>
        </w:rPr>
      </w:pPr>
      <w:r>
        <w:rPr>
          <w:rFonts w:ascii="Times New Roman" w:hAnsi="Times New Roman"/>
          <w:sz w:val="20"/>
        </w:rPr>
        <w:t xml:space="preserve">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 </w:t>
      </w:r>
    </w:p>
    <w:p>
      <w:pPr>
        <w:pStyle w:val="TextBody"/>
        <w:bidi w:val="0"/>
        <w:spacing w:before="240" w:after="0"/>
        <w:jc w:val="left"/>
        <w:rPr>
          <w:rFonts w:ascii="Times New Roman" w:hAnsi="Times New Roman"/>
          <w:sz w:val="20"/>
        </w:rPr>
      </w:pPr>
      <w:r>
        <w:rPr>
          <w:rFonts w:ascii="Times New Roman" w:hAnsi="Times New Roman"/>
          <w:sz w:val="20"/>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hAnsi="Times New Roman"/>
          <w:i/>
          <w:sz w:val="20"/>
        </w:rPr>
        <w:t>Comirnaty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BioNTech was founded and incorporated on June 2, 2008 as Petersberg 91, V AG, a German stock corporation (</w:t>
      </w:r>
      <w:r>
        <w:rPr>
          <w:rFonts w:ascii="Times New Roman" w:hAnsi="Times New Roman"/>
          <w:i/>
          <w:sz w:val="20"/>
        </w:rPr>
        <w:t>Aktiengesellschaft</w:t>
      </w:r>
      <w:r>
        <w:rPr>
          <w:rFonts w:ascii="Times New Roman" w:hAnsi="Times New Roman"/>
          <w:sz w:val="20"/>
        </w:rPr>
        <w:t xml:space="preserve">). BioNTech changed its name to BioNTech AG on December 11, 2008. On March 8, 2019, BioNTech converted to a European stock corporation under the laws of Germany and the European Union called BioNTech SE. BioNTech completed its initial public offering in October 2019. The BioNTech ADSs are listed on Nasdaq, trading under the symbol “BNTX”. BioNTech’s website address is www.biontech.com. The information found on, or otherwise accessible through, BioNTech’s website is not incorporated into, and does not form a part of, this offer to exchange/prospectus. BioNTech’s agent for service of process solely for the purpose of notices and communications from the SEC in the United States is c/o BioNTech US Inc., 40 Erie Street, Suite 110, Cambridge, Massachusetts 02139, +1 (617) 337-4701. </w:t>
      </w:r>
    </w:p>
    <w:p>
      <w:pPr>
        <w:pStyle w:val="TextBody"/>
        <w:bidi w:val="0"/>
        <w:spacing w:before="240" w:after="0"/>
        <w:jc w:val="left"/>
        <w:rPr>
          <w:rFonts w:ascii="Times New Roman" w:hAnsi="Times New Roman"/>
          <w:b/>
          <w:sz w:val="20"/>
        </w:rPr>
      </w:pPr>
      <w:r>
        <w:rPr>
          <w:rFonts w:ascii="Times New Roman" w:hAnsi="Times New Roman"/>
          <w:b/>
          <w:sz w:val="20"/>
        </w:rPr>
        <w:t xml:space="preserve">CureVac N.V. </w:t>
      </w:r>
    </w:p>
    <w:p>
      <w:pPr>
        <w:pStyle w:val="TextBody"/>
        <w:bidi w:val="0"/>
        <w:spacing w:before="0" w:after="0"/>
        <w:jc w:val="left"/>
        <w:rPr>
          <w:rFonts w:ascii="Times New Roman" w:hAnsi="Times New Roman"/>
          <w:b/>
          <w:sz w:val="20"/>
        </w:rPr>
      </w:pPr>
      <w:r>
        <w:rPr>
          <w:rFonts w:ascii="Times New Roman" w:hAnsi="Times New Roman"/>
          <w:b/>
          <w:sz w:val="20"/>
        </w:rPr>
        <w:t xml:space="preserve">Friedrich-Miescher-Strasse 15 </w:t>
      </w:r>
    </w:p>
    <w:p>
      <w:pPr>
        <w:pStyle w:val="TextBody"/>
        <w:bidi w:val="0"/>
        <w:spacing w:before="0" w:after="0"/>
        <w:jc w:val="left"/>
        <w:rPr>
          <w:rFonts w:ascii="Times New Roman" w:hAnsi="Times New Roman"/>
          <w:b/>
          <w:sz w:val="20"/>
        </w:rPr>
      </w:pPr>
      <w:r>
        <w:rPr>
          <w:rFonts w:ascii="Times New Roman" w:hAnsi="Times New Roman"/>
          <w:b/>
          <w:sz w:val="20"/>
        </w:rPr>
        <w:t xml:space="preserve">72076 Tübingen </w:t>
      </w:r>
    </w:p>
    <w:p>
      <w:pPr>
        <w:pStyle w:val="TextBody"/>
        <w:bidi w:val="0"/>
        <w:spacing w:before="0" w:after="0"/>
        <w:jc w:val="left"/>
        <w:rPr>
          <w:rFonts w:ascii="Times New Roman" w:hAnsi="Times New Roman"/>
          <w:b/>
          <w:sz w:val="20"/>
        </w:rPr>
      </w:pPr>
      <w:r>
        <w:rPr>
          <w:rFonts w:ascii="Times New Roman" w:hAnsi="Times New Roman"/>
          <w:b/>
          <w:sz w:val="20"/>
        </w:rPr>
        <w:t xml:space="preserve">Germany </w:t>
      </w:r>
    </w:p>
    <w:p>
      <w:pPr>
        <w:pStyle w:val="TextBody"/>
        <w:bidi w:val="0"/>
        <w:spacing w:before="0" w:after="0"/>
        <w:jc w:val="left"/>
        <w:rPr>
          <w:rFonts w:ascii="Times New Roman" w:hAnsi="Times New Roman"/>
          <w:b/>
          <w:sz w:val="20"/>
        </w:rPr>
      </w:pPr>
      <w:r>
        <w:rPr>
          <w:rFonts w:ascii="Times New Roman" w:hAnsi="Times New Roman"/>
          <w:b/>
          <w:sz w:val="20"/>
        </w:rPr>
        <w:t xml:space="preserve">+49 7071-9883-0 </w:t>
      </w:r>
    </w:p>
    <w:p>
      <w:pPr>
        <w:pStyle w:val="TextBody"/>
        <w:bidi w:val="0"/>
        <w:spacing w:before="240" w:after="0"/>
        <w:jc w:val="left"/>
        <w:rPr>
          <w:rFonts w:ascii="Times New Roman" w:hAnsi="Times New Roman"/>
          <w:sz w:val="20"/>
        </w:rPr>
      </w:pPr>
      <w:r>
        <w:rPr>
          <w:rFonts w:ascii="Times New Roman" w:hAnsi="Times New Roman"/>
          <w:sz w:val="20"/>
        </w:rPr>
        <w:t>CureVac N.V., a public limited liability company (</w:t>
      </w:r>
      <w:r>
        <w:rPr>
          <w:rFonts w:ascii="Times New Roman" w:hAnsi="Times New Roman"/>
          <w:i/>
          <w:sz w:val="20"/>
        </w:rPr>
        <w:t>naamloze vennootschap</w:t>
      </w:r>
      <w:r>
        <w:rPr>
          <w:rFonts w:ascii="Times New Roman" w:hAnsi="Times New Roman"/>
          <w:sz w:val="20"/>
        </w:rPr>
        <w:t xml:space="preserve">) incorporated under the laws of the Netherlands, is a global biopharmaceutical company that is developing a new class of transformative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 </w:t>
      </w:r>
    </w:p>
    <w:p>
      <w:pPr>
        <w:pStyle w:val="TextBody"/>
        <w:bidi w:val="0"/>
        <w:spacing w:before="240" w:after="0"/>
        <w:jc w:val="left"/>
        <w:rPr>
          <w:rFonts w:ascii="Times New Roman" w:hAnsi="Times New Roman"/>
          <w:sz w:val="20"/>
        </w:rPr>
      </w:pPr>
      <w:r>
        <w:rPr>
          <w:rFonts w:ascii="Times New Roman" w:hAnsi="Times New Roman"/>
          <w:sz w:val="20"/>
        </w:rPr>
        <w:t>On April 7, 2020, CureVac B.V. was incorporated under the laws of the Netherlands and became the holding company of CureVac AG in connection with CureVac’s initial public offering on August 14, 2020, as part of a corporate reorganization, which we refer to as the CureVac corporate reorganization, in which the legal form of CureVac B.V. was converted from a Dutch private company with limited liability (</w:t>
      </w:r>
      <w:r>
        <w:rPr>
          <w:rFonts w:ascii="Times New Roman" w:hAnsi="Times New Roman"/>
          <w:i/>
          <w:sz w:val="20"/>
        </w:rPr>
        <w:t>besloten vennootschap met beperkte aansprakelijkheid</w:t>
      </w:r>
      <w:r>
        <w:rPr>
          <w:rFonts w:ascii="Times New Roman" w:hAnsi="Times New Roman"/>
          <w:sz w:val="20"/>
        </w:rPr>
        <w:t>) to a Dutch public company (</w:t>
      </w:r>
      <w:r>
        <w:rPr>
          <w:rFonts w:ascii="Times New Roman" w:hAnsi="Times New Roman"/>
          <w:i/>
          <w:sz w:val="20"/>
        </w:rPr>
        <w:t>naamloze vennootschap</w:t>
      </w:r>
      <w:r>
        <w:rPr>
          <w:rFonts w:ascii="Times New Roman" w:hAnsi="Times New Roman"/>
          <w:sz w:val="20"/>
        </w:rPr>
        <w:t xml:space="preserve">), and the CureVac articles became effective. Following the CureVac corporate reorganization, CureVac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became part of the historical consolidated financial statements of CureVac. CureVac’s legal and commercial name is CureVac N.V. </w:t>
      </w:r>
    </w:p>
    <w:p>
      <w:pPr>
        <w:pStyle w:val="TextBody"/>
        <w:bidi w:val="0"/>
        <w:spacing w:before="240" w:after="0"/>
        <w:jc w:val="left"/>
        <w:rPr>
          <w:rFonts w:ascii="Times New Roman" w:hAnsi="Times New Roman"/>
          <w:sz w:val="20"/>
        </w:rPr>
      </w:pPr>
      <w:r>
        <w:rPr>
          <w:rFonts w:ascii="Times New Roman" w:hAnsi="Times New Roman"/>
          <w:sz w:val="20"/>
        </w:rPr>
        <w:t xml:space="preserve">Since August 14, 2020, CureVac’s ordinary shares have traded on Nasdaq under the symbol “CVAC.” CureVac’s website address is www.curevac.com. The information found on, or otherwise accessible through, CureVac’s website is not incorporated into, and does not form a part of, this offer to exchange/prospectus. CureVac’s agent for service of process in the United States is CureVac Inc., located at 250 Summer St. 3rd Fl., Boston, Massachusetts 02210. </w:t>
      </w:r>
    </w:p>
    <w:p>
      <w:pPr>
        <w:pStyle w:val="TextBody"/>
        <w:bidi w:val="0"/>
        <w:spacing w:before="240" w:after="0"/>
        <w:jc w:val="left"/>
        <w:rPr>
          <w:rFonts w:ascii="Times New Roman" w:hAnsi="Times New Roman"/>
          <w:b/>
          <w:sz w:val="20"/>
        </w:rPr>
      </w:pPr>
      <w:r>
        <w:rPr>
          <w:rFonts w:ascii="Times New Roman" w:hAnsi="Times New Roman"/>
          <w:b/>
          <w:sz w:val="20"/>
        </w:rPr>
        <w:t xml:space="preserve">CureVac Merger B.V. </w:t>
      </w:r>
    </w:p>
    <w:p>
      <w:pPr>
        <w:pStyle w:val="TextBody"/>
        <w:bidi w:val="0"/>
        <w:spacing w:before="0" w:after="0"/>
        <w:jc w:val="left"/>
        <w:rPr>
          <w:rFonts w:ascii="Times New Roman" w:hAnsi="Times New Roman"/>
          <w:b/>
          <w:sz w:val="20"/>
        </w:rPr>
      </w:pPr>
      <w:r>
        <w:rPr>
          <w:rFonts w:ascii="Times New Roman" w:hAnsi="Times New Roman"/>
          <w:b/>
          <w:sz w:val="20"/>
        </w:rPr>
        <w:t xml:space="preserve">Friedrich-Miescher-Strasse 15 </w:t>
      </w:r>
    </w:p>
    <w:p>
      <w:pPr>
        <w:pStyle w:val="TextBody"/>
        <w:bidi w:val="0"/>
        <w:spacing w:before="0" w:after="0"/>
        <w:jc w:val="left"/>
        <w:rPr>
          <w:rFonts w:ascii="Times New Roman" w:hAnsi="Times New Roman"/>
          <w:b/>
          <w:sz w:val="20"/>
        </w:rPr>
      </w:pPr>
      <w:r>
        <w:rPr>
          <w:rFonts w:ascii="Times New Roman" w:hAnsi="Times New Roman"/>
          <w:b/>
          <w:sz w:val="20"/>
        </w:rPr>
        <w:t xml:space="preserve">72076 Tübingen </w:t>
      </w:r>
    </w:p>
    <w:p>
      <w:pPr>
        <w:pStyle w:val="TextBody"/>
        <w:bidi w:val="0"/>
        <w:spacing w:before="0" w:after="0"/>
        <w:jc w:val="left"/>
        <w:rPr>
          <w:rFonts w:ascii="Times New Roman" w:hAnsi="Times New Roman"/>
          <w:b/>
          <w:sz w:val="20"/>
        </w:rPr>
      </w:pPr>
      <w:r>
        <w:rPr>
          <w:rFonts w:ascii="Times New Roman" w:hAnsi="Times New Roman"/>
          <w:b/>
          <w:sz w:val="20"/>
        </w:rPr>
        <w:t xml:space="preserve">Germany </w:t>
      </w:r>
    </w:p>
    <w:p>
      <w:pPr>
        <w:pStyle w:val="TextBody"/>
        <w:bidi w:val="0"/>
        <w:spacing w:before="0" w:after="0"/>
        <w:jc w:val="left"/>
        <w:rPr>
          <w:rFonts w:ascii="Times New Roman" w:hAnsi="Times New Roman"/>
          <w:b/>
          <w:sz w:val="20"/>
        </w:rPr>
      </w:pPr>
      <w:r>
        <w:rPr>
          <w:rFonts w:ascii="Times New Roman" w:hAnsi="Times New Roman"/>
          <w:b/>
          <w:sz w:val="20"/>
        </w:rPr>
        <w:t xml:space="preserve">+49 7071-9883-0 </w:t>
      </w:r>
    </w:p>
    <w:p>
      <w:pPr>
        <w:pStyle w:val="TextBody"/>
        <w:bidi w:val="0"/>
        <w:spacing w:before="240" w:after="0"/>
        <w:jc w:val="left"/>
        <w:rPr>
          <w:rFonts w:ascii="Times New Roman" w:hAnsi="Times New Roman"/>
          <w:sz w:val="20"/>
        </w:rPr>
      </w:pPr>
      <w:r>
        <w:rPr>
          <w:rFonts w:ascii="Times New Roman" w:hAnsi="Times New Roman"/>
          <w:sz w:val="20"/>
        </w:rPr>
        <w:t>New Topco is a private limited liability company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847647_35"/>
      <w:bookmarkEnd w:id="38"/>
      <w:r>
        <w:rPr>
          <w:rFonts w:ascii="Times New Roman" w:hAnsi="Times New Roman"/>
          <w:b/>
          <w:sz w:val="20"/>
        </w:rPr>
        <w:t xml:space="preserve">BACKGROUND OF THE TRANSACTIONS </w:t>
      </w:r>
    </w:p>
    <w:p>
      <w:pPr>
        <w:pStyle w:val="TextBody"/>
        <w:bidi w:val="0"/>
        <w:spacing w:before="240" w:after="0"/>
        <w:jc w:val="left"/>
        <w:rPr>
          <w:rFonts w:ascii="Times New Roman" w:hAnsi="Times New Roman"/>
          <w:b/>
          <w:sz w:val="20"/>
        </w:rPr>
      </w:pPr>
      <w:bookmarkStart w:id="39" w:name="toc847647_36"/>
      <w:bookmarkEnd w:id="39"/>
      <w:r>
        <w:rPr>
          <w:rFonts w:ascii="Times New Roman" w:hAnsi="Times New Roman"/>
          <w:b/>
          <w:sz w:val="20"/>
        </w:rPr>
        <w:t xml:space="preserve">Background of the Offer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Purchase Agreement. The following chronology does not purport to catalog every conversation among the BioNTech boards, members of BioNTech management, or BioNTech’s and CureVac’s representatives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BioNTech boards have periodically evaluated and considered a variety of financial and strategic opportunities in the process of executing BioNTech’s long-term strategy of creating value for its stakeholders, including potential acquisitions, divestitures, joint ventures, business combinations, and other similar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BioNTech’s ongoing evaluation of business opportunities within the life sciences industry, BioNTech and CureVac management have, from time to time, engaged in discussions regarding the possibility of a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11, 2025 and February 14, 2025, representatives of BioNTech and CureVac, including James Ryan (Chief Legal and Chief Business Officer) of BioNTech and Thaminda Ramanayake (Chief Business Officer) and Marco Rau (General Counsel) of CureVac, met via videoconference to discuss the possibility of finding an amicable resolution to the ongoing litigation between BioNTech and CureVac. During these discussions on February 11, 2025, Mr. Ramanayake communicated CureVac’s new management’s openness to finding an amicable solution and a strategic rationale for the parties to focus on greater value creation for both shareholder bases, </w:t>
      </w:r>
      <w:r>
        <w:rPr>
          <w:rFonts w:ascii="Times New Roman" w:hAnsi="Times New Roman"/>
          <w:i/>
          <w:sz w:val="20"/>
        </w:rPr>
        <w:t>e.g.</w:t>
      </w:r>
      <w:r>
        <w:rPr>
          <w:rFonts w:ascii="Times New Roman" w:hAnsi="Times New Roman"/>
          <w:sz w:val="20"/>
        </w:rPr>
        <w:t xml:space="preserve"> by considering a broad collaborative approach at the program level or a potential strategic transaction between the two companies, which better fit the business objectives of both companies. On February 14, 2025, Mr. Ryan confirmed BioNTech’s openness to consider any such proposal, and a willingness to meet in person to advance further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2025, representatives of BioNTech and CureVac, including Ugur Sahin (Chief Executive Officer) and Mr. Ryan of BioNTech and Alexander Zehnder (Chief Executive Officer) and Messrs. Ramanayake and Rau of CureVac, met in Mainz, Germany to discuss a new, collaborative perspective for both parties. As part of those discussions, the representatives favored a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March 3, 2025 and March 6, 2025, representatives of BioNTech and CureVac, including Messrs. Ryan, Ramanayake, and Rau, met in Norfolk, VA to continue to discuss the litigation, as part of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2025, representatives of BioNTech and CureVac, including Helmut Jeggle (Chairman of the BioNTech Supervisory Board) and Mr. Ryan of BioNTech and Mathias Hothum (Member of the CureVac Supervisory Board) and Messrs. Zehnder, Ramanayake, and Rau of CureVac, met in Frankfurt am Main, Germany, to further discuss potential strategic transactions between the companies and potential transaction structures.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17, 2025 and March 24, 2025, representatives of BioNTech and CureVac, including Mr. Ryan for BioNTech and Messrs. Ramanayake and Rau for CureVac met to continue discussions of a potential transaction. Covington &amp; Burling LLP, U.S. legal counsel to BioNTech, which we refer to as Covington, and Skadden, Arps, Slate, Meagher &amp; Flom LLP, U.S. and German counsel to CureVac, which we refer to as Skadden, joined certain of these meetings.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2025, BioNTech delivered a preliminary non-binding indication of interest to CureVac, which provided for a stock-for-stock acquisition of CureVac based on an exchange ratio of between 0.0286 and 0.0263 BioNTech ADSs for each CureVac share. We refer to that as the preliminary IoI. </w:t>
      </w:r>
    </w:p>
    <w:p>
      <w:pPr>
        <w:pStyle w:val="TextBody"/>
        <w:bidi w:val="0"/>
        <w:spacing w:before="240" w:after="0"/>
        <w:jc w:val="left"/>
        <w:rPr>
          <w:rFonts w:ascii="Times New Roman" w:hAnsi="Times New Roman"/>
          <w:sz w:val="20"/>
        </w:rPr>
      </w:pPr>
      <w:r>
        <w:rPr>
          <w:rFonts w:ascii="Times New Roman" w:hAnsi="Times New Roman"/>
          <w:sz w:val="20"/>
        </w:rPr>
        <w:t xml:space="preserve">Between March 21, 2025 and April 7, 2025, representatives of BioNTech and CureVac, including Messrs. Sahin and Ryan of BioNTech and Messrs. Zehnder and Ramanayake of CureVac, discussed the preliminary IoI.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BioNTech’s request, the CureVac representatives provided certain additional information regarding CureVac’s business, including upcoming anticipated milestones and information concerning CureVac’s cash position.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BioNTech submitted a revised non-binding indication of interest to CureVac increasing the exchange ratio to 0.0476 BioNTech ADSs for each CureVac share, representing a premium over the closing price per CureVac share on April 3, 2025 ($2.84), which we refer to as the reference date, of (i) 54%, when calculated using the closing price per BioNTech ADS on the reference date ($92.01) and (ii) 83%, when calculated using the volume-weighted average closing price per BioNTech ADS for the 60-trading day period prior to and including the reference date ($109.28).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2025, BioNTech and CureVac entered into a confidentiality agreement, which we refer to as the confidentiality agreement, which included customary non-disclosure and standstill provisions that provided BioNTech and CureVac the ability to make confidential proposals to one another and accommodated the exchange of confidential information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April 15, 2025, Messrs. Ryan, Ramanayake, and Rau met to outline the anticipated due diligence process and discuss a potential timeline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2025, CureVac made available to certain BioNTech employees and its advisors a virtual data room containing certain CureVac confidential diligence materials and thereafter BioNTech continued engaging in business, financial, and legal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2025, representatives of BioNTech and CureVac, including Mr. Ryan for BioNTech and Messrs. Zehnder, Ramanayake, and Rau for CureVac met in Frankfurt am Main, Germany for a management presentation, which provided an overview of CureVac’s business and also involved a discussion of a potential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Between April 24, 2025 and April 26, 2025, representatives and advisors of each company’s intellectual property and scientific teams met to discuss CureVac’s technology and research, including CureVac’s lipid-nanoparticle technology and ribonucleic acid backbone and CureVac’s small scale, semi-automated, ribonucleic acid manufacturing technology for the purpose of evaluating a potential transaction. In addition, representatives of BioNTech and CureVac held meetings to discuss other areas of CureVac’s business, including with respect to finance, tax, business development, research, compliance, and analytics. </w:t>
      </w:r>
    </w:p>
    <w:p>
      <w:pPr>
        <w:pStyle w:val="TextBody"/>
        <w:bidi w:val="0"/>
        <w:spacing w:before="240" w:after="0"/>
        <w:jc w:val="left"/>
        <w:rPr>
          <w:rFonts w:ascii="Times New Roman" w:hAnsi="Times New Roman"/>
          <w:sz w:val="20"/>
        </w:rPr>
      </w:pPr>
      <w:r>
        <w:rPr>
          <w:rFonts w:ascii="Times New Roman" w:hAnsi="Times New Roman"/>
          <w:sz w:val="20"/>
        </w:rPr>
        <w:t xml:space="preserve">On April 27, 2025, representatives of BioNTech, including Messrs. Sahin and Ryan, met with representatives of CureVac, including Messrs. Zehnder, Ramanayake, and Rau, to tour CureVac’s facility in Tubingen, Germany, for the purpose of evaluating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2025 and April 30, 2025, representatives of BioNTech and CureVac met for continued due diligence, including an expert session regarding intellectual property of CureVac.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BioNTech and CureVac established a heightened confidentiality protocol related to ongoing due diligence efforts in connection with the potential transaction. The heightened confidentiality protocol provides certain terms governing the treatment of highly confidential information delivered by CureVac to BioNTech in the course of the due diligence process. </w:t>
      </w:r>
    </w:p>
    <w:p>
      <w:pPr>
        <w:pStyle w:val="TextBody"/>
        <w:bidi w:val="0"/>
        <w:spacing w:before="240" w:after="0"/>
        <w:jc w:val="left"/>
        <w:rPr>
          <w:rFonts w:ascii="Times New Roman" w:hAnsi="Times New Roman"/>
          <w:sz w:val="20"/>
        </w:rPr>
      </w:pPr>
      <w:r>
        <w:rPr>
          <w:rFonts w:ascii="Times New Roman" w:hAnsi="Times New Roman"/>
          <w:sz w:val="20"/>
        </w:rPr>
        <w:t xml:space="preserve">On May 1, 2025, CureVac and Skadden provided an initial draft of a purchase agreement to BioNTech and Covington. </w:t>
      </w:r>
    </w:p>
    <w:p>
      <w:pPr>
        <w:pStyle w:val="TextBody"/>
        <w:bidi w:val="0"/>
        <w:spacing w:before="240" w:after="0"/>
        <w:jc w:val="left"/>
        <w:rPr>
          <w:rFonts w:ascii="Times New Roman" w:hAnsi="Times New Roman"/>
          <w:sz w:val="20"/>
        </w:rPr>
      </w:pPr>
      <w:r>
        <w:rPr>
          <w:rFonts w:ascii="Times New Roman" w:hAnsi="Times New Roman"/>
          <w:sz w:val="20"/>
        </w:rPr>
        <w:t xml:space="preserve">On May 4, 2025, BioNTech and CureVac signed a special confidentiality agreement, which we refer to as the special confidentiality agreement, to supplement the previously signed confidentiality agreement. The special confidentiality agreement provides additional terms for specified confidential information delivered by CureVac to BioNTech during the due diligence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May 8, 2025 and June 11, 2025, representatives of BioNTech and CureVac met in-person and via videoconference to continue due diligence, including with respect to tax, intellectual property and finance matters, and discuss transaction workstreams. In addition, during those dates, representatives and advisors of each company’s legal and tax teams held videoconferences to discuss the purchase agreement, including the exchange ratio and related collars, certain offer conditions, treatment of CureVac’s equity awards, transaction bonuses for certain employees of CureVac, the post-offer reorganization, representations and warranties of BioNTech and CureVac, regulatory approvals, and BioNTech’s termination rights as well as the scope of the desired form of tender and support agreement. During this period, numerous drafts of the purchase agreement, tender and support agreement, the company disclosure letter and related transaction documents were exchanged and discussed between the parties and their advisors. Also during this period, on May 23, 2025, representatives of BioNTech and CureVac participated in a meeting with the German Federal Ministry for Economic Affairs and Energy to discuss the Federal German Government’s support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BioNTech held meetings of its management board and supervisory board, at which the members of the BioNTech boards approved, among other things, the Purchase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CureVac held meetings of its management board and supervisory board, at which the members of the CureVac boards approved, among other things, the Purchase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June 12, 2025, BioNTech and CureVac entered into the Purchase Agreement. Prior to opening of the markets in the United States on June 12, 2025, BioNTech and CureVac jointly announced the execution of the Purchase Agreement. </w:t>
      </w:r>
    </w:p>
    <w:p>
      <w:pPr>
        <w:pStyle w:val="TextBody"/>
        <w:bidi w:val="0"/>
        <w:spacing w:before="240" w:after="0"/>
        <w:jc w:val="left"/>
        <w:rPr>
          <w:rFonts w:ascii="Times New Roman" w:hAnsi="Times New Roman"/>
          <w:b/>
          <w:sz w:val="20"/>
        </w:rPr>
      </w:pPr>
      <w:bookmarkStart w:id="40" w:name="toc847647_37"/>
      <w:bookmarkEnd w:id="40"/>
      <w:r>
        <w:rPr>
          <w:rFonts w:ascii="Times New Roman" w:hAnsi="Times New Roman"/>
          <w:b/>
          <w:sz w:val="20"/>
        </w:rPr>
        <w:t xml:space="preserve">CureVac Background of the Offer </w:t>
      </w:r>
    </w:p>
    <w:p>
      <w:pPr>
        <w:pStyle w:val="TextBody"/>
        <w:bidi w:val="0"/>
        <w:spacing w:before="120" w:after="0"/>
        <w:jc w:val="left"/>
        <w:rPr>
          <w:rFonts w:ascii="Times New Roman" w:hAnsi="Times New Roman"/>
          <w:sz w:val="20"/>
        </w:rPr>
      </w:pPr>
      <w:r>
        <w:rPr>
          <w:rFonts w:ascii="Times New Roman" w:hAnsi="Times New Roman"/>
          <w:sz w:val="20"/>
        </w:rPr>
        <w:t xml:space="preserve">The Schedule 14D-9 to be filed by CureVac will include additional information on the background, deliberations, and other activities involving CureVac (see Item 4(b) “Background of the Purchase Agreement; Reasons for the Recommendation of the Company Boards — Background of the Purchase Agreement” in the Schedule 14D-9 to be filed by CureVac). You are encouraged to read that section in its entirety. </w:t>
      </w:r>
    </w:p>
    <w:p>
      <w:pPr>
        <w:pStyle w:val="TextBody"/>
        <w:bidi w:val="0"/>
        <w:spacing w:before="240" w:after="0"/>
        <w:jc w:val="left"/>
        <w:rPr>
          <w:rFonts w:ascii="Times New Roman" w:hAnsi="Times New Roman"/>
          <w:b/>
          <w:sz w:val="20"/>
        </w:rPr>
      </w:pPr>
      <w:bookmarkStart w:id="41" w:name="toc847647_38"/>
      <w:bookmarkEnd w:id="41"/>
      <w:r>
        <w:rPr>
          <w:rFonts w:ascii="Times New Roman" w:hAnsi="Times New Roman"/>
          <w:b/>
          <w:sz w:val="20"/>
        </w:rPr>
        <w:t xml:space="preserve">BioNTech’s Reasons for the Offer and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Purchase Agreement and related offer, the BioNTech boards consulted with their legal advisors and, after consideration,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deciding to approve the Purchase Agreement and the consummation of the offer, the post-offer reorganization, and the other transactions, the BioNTech boards considered various factors that they viewed as supporting their decision, including the following material factors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Transactions Deliver Key Strategic Benefits</w:t>
            </w:r>
            <w:r>
              <w:rPr>
                <w:rFonts w:ascii="Times New Roman" w:hAnsi="Times New Roman"/>
                <w:sz w:val="20"/>
              </w:rPr>
              <w:t xml:space="preserve">. The BioNTech boards expect that the transactions will provide a number of significant potential strategic benefits,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Furthering BioNTech’s mRNA Strategy. The acquisition will support global execution of BioNTech’s strategy to develop, manufacture, and commercialize mRNA-based medicines in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BioNTech Capabilities. The acquisition is expected to expand BioNTech’s capabilities to research, develop, manufacture, and commercialize mRNA-based medicines as a pan-tumor technology platform in oncology. As a result of the acquisition, BioNTech will obtain complementary capabilities and proprietary technologies in target discovery, production, mRNA design, and delivery formulations. The acquisition complements BioNTech’s recent acquisitions in its other key pillars in oncology, including immunomodulators like bispecific antibodies and targeted therapies like antibody-drug conjugates.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Familiarity with Businesses</w:t>
            </w:r>
            <w:r>
              <w:rPr>
                <w:rFonts w:ascii="Times New Roman" w:hAnsi="Times New Roman"/>
                <w:sz w:val="20"/>
              </w:rPr>
              <w:t xml:space="preserve">. The BioNTech boards considered their and the BioNTech management team’s knowledge of the business, operations, financial condition, earnings, and prospects of CureVac, taking into account the results of BioNTech’s due diligence review of CureVac, as well as their knowledge of the current and prospective environment in which BioNTech and CureVac operate, including economic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of Consummation</w:t>
            </w:r>
            <w:r>
              <w:rPr>
                <w:rFonts w:ascii="Times New Roman" w:hAnsi="Times New Roman"/>
                <w:sz w:val="20"/>
              </w:rPr>
              <w:t xml:space="preserve">. The BioNTech boards considered both parties’ commitment to complete the transactions as reflected in their respective obligations under the terms of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Terms of the Purchase Agreement</w:t>
            </w:r>
            <w:r>
              <w:rPr>
                <w:rFonts w:ascii="Times New Roman" w:hAnsi="Times New Roman"/>
                <w:sz w:val="20"/>
              </w:rPr>
              <w:t xml:space="preserve">. The BioNTech boards considered the various terms and provisions of the Purchase Agreement, including (i) CureVac’s obligation to make a payment of $43.75 million to BioNTech under certain circumstances, including in the event that CureVac were to terminate the Purchase Agreement in order to accept a superior proposal, (ii) the conditions to the parties’ obligations to complete the transactions and the limited ability of either party to terminate, and (iii) the ability of BioNTech to enforce the terms of the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BioNTech boards also considered a variety of risks and other potentially negative factors concerning the Purchase Agreement, the offer, and the other transactions, including the following material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diverting management focus and resources from operational matters and other strategic opportunities while working to implement the offer and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notwithstanding the likelihood of the offer and related transactions being completed, the transactions may not be completed, or that completion may be unduly delayed, including the effect of the pendency of the transactions and the effect such failure to be completed may have on the trading price of BioNTech ADSs and BioNTech’s operating results, particularly in light of the costs incurred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under the terms of the Purchase Agreement, BioNTech must pay to CureVac a termination fee of $62.5 million if the Purchase Agreement is terminated under certain limited circumstances relating to not receiving antitrust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under the terms of the Purchase Agreement, CureVac has the ability, under certain specified circumstances, to consider an alternative acquisition proposal if the CureVac boards determine it constitutes or would reasonably be expected to lead to a superior proposal and the CureVac boards have the ability, under certain specified circumstances, to make a change in recommendation and to terminate the Purchase Agreement following such change in recommendation in order to enter into an agreement with respect to a superior proposal upon payment of a $43.75 million termination fee to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anticipated strategic and financial benefits of the offer and related transactions may not be realized;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benefits to the holders of the combined company’s securities expected to result from the offer and related transactions might not be fully realized or not realized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other potential difficulties in integrating the two companies and their respective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costs to be incurred in connection with the offer and related transactions, including the transaction expenses and the costs of integrating the businesses of BioNTech and CureVac;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matters described in the sections “Risk Factors” beginning on page 28 and “Cautionary Statement Concerning Forward-Looking Statements” beginning on page 38.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of the foregoing information and material factors considered by the BioNTech boards in reaching their conclusions and recommendations is not intended to be exhaustive and is not provided in any specific order or ranking. In view of the wide variety of factors considered by the BioNTech boards in evaluating the Purchase Agreement and the transactions, including the issuance of BioNTech ADSs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and other transactions, and the complexity of these matters, the BioNTech boards did not find it practicable to, and did not attempt to, quantify, rank, or otherwise assign relative weight to those factors. In addition, different members of the BioNTech boards may have given different weight to different factors. The BioNTech boards did not reach any specific conclusion with respect to any of the factors considered and instead conducted an overall review of such factors and determined that, in the aggregate, the potential benefits considered outweighed the potential risks or possible negative consequences of approving the Purchase Agreement, the offer,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This explanation of the reasoning of the BioNTech boards and all other information presented in this section is forward-looking in nature and, therefore, should be read in light of the factors discussed in the section entitled “Cautionary Statement Concerning Forward-Looking Statements” beginning on page 38. </w:t>
      </w:r>
    </w:p>
    <w:p>
      <w:pPr>
        <w:pStyle w:val="TextBody"/>
        <w:bidi w:val="0"/>
        <w:spacing w:before="240" w:after="0"/>
        <w:jc w:val="left"/>
        <w:rPr>
          <w:rFonts w:ascii="Times New Roman" w:hAnsi="Times New Roman"/>
          <w:b/>
          <w:sz w:val="20"/>
        </w:rPr>
      </w:pPr>
      <w:bookmarkStart w:id="42" w:name="toc847647_39"/>
      <w:bookmarkEnd w:id="42"/>
      <w:r>
        <w:rPr>
          <w:rFonts w:ascii="Times New Roman" w:hAnsi="Times New Roman"/>
          <w:b/>
          <w:sz w:val="20"/>
        </w:rPr>
        <w:t xml:space="preserve">CureVac’s Reasons for the Offer and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Schedule 14D-9 to be filed by CureVac will include a discussion of the reasons for the recommendation of the CureVac boards with respect to the offer (see Item 4(b) “Background of the Purchase Agreement; Reasons for the Recommendation of the Company Boards — Reasons for the Recommendation of the Company Boards”). You are encouraged to read that section in its entirety. </w:t>
      </w:r>
    </w:p>
    <w:p>
      <w:pPr>
        <w:pStyle w:val="TextBody"/>
        <w:bidi w:val="0"/>
        <w:spacing w:before="240" w:after="0"/>
        <w:jc w:val="left"/>
        <w:rPr>
          <w:rFonts w:ascii="Times New Roman" w:hAnsi="Times New Roman"/>
          <w:b/>
          <w:sz w:val="20"/>
        </w:rPr>
      </w:pPr>
      <w:bookmarkStart w:id="43" w:name="toc847647_40"/>
      <w:bookmarkEnd w:id="43"/>
      <w:r>
        <w:rPr>
          <w:rFonts w:ascii="Times New Roman" w:hAnsi="Times New Roman"/>
          <w:b/>
          <w:sz w:val="20"/>
        </w:rPr>
        <w:t xml:space="preserve">Certain Financial Projections Provided by CureVac to BioNTech </w:t>
      </w:r>
    </w:p>
    <w:p>
      <w:pPr>
        <w:pStyle w:val="TextBody"/>
        <w:bidi w:val="0"/>
        <w:spacing w:before="120" w:after="0"/>
        <w:jc w:val="left"/>
        <w:rPr>
          <w:rFonts w:ascii="Times New Roman" w:hAnsi="Times New Roman"/>
          <w:sz w:val="20"/>
        </w:rPr>
      </w:pPr>
      <w:r>
        <w:rPr>
          <w:rFonts w:ascii="Times New Roman" w:hAnsi="Times New Roman"/>
          <w:sz w:val="20"/>
        </w:rPr>
        <w:t xml:space="preserve">CureVac does not, as a matter of principle, publicly disclose long-term projections of future financial performance, revenue, earnings, or other results of operations, due to, among other reasons, the inherent uncertainty, unpredictability, and subjectivity of the underlying assumptions and estimates, particularly in the biotechnology sector. However, CureVac shared its management’s best estimates, as at the relevant time, of potential program outcomes and related financial forecasts in connection with BioNTech’s consideration of the transactions. In this regard, CureVac’s management provided to BioNTech certain unaudited prospective financial information regarding three programs: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uropathogenic </w:t>
            </w:r>
            <w:r>
              <w:rPr>
                <w:rFonts w:ascii="Times New Roman" w:hAnsi="Times New Roman"/>
                <w:i/>
                <w:sz w:val="20"/>
              </w:rPr>
              <w:t>Escherichia coli</w:t>
            </w:r>
            <w:r>
              <w:rPr>
                <w:rFonts w:ascii="Times New Roman" w:hAnsi="Times New Roman"/>
                <w:sz w:val="20"/>
              </w:rPr>
              <w:t xml:space="preserve"> in urinary tract infections, which we refer to as the UPEC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investigational cancer precision immunotherapy CVGBM for surgically resected glioblastoma, which we refer to as the CVGBM projections;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investigational cancer precision immunotherapy for squamous non-small cell lung cancer, which we refer to as the sqNSCLC projections.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time these projections were provided by CureVac to BioNTech, these programs were preclinical, Phase 1 ready (with no patients enrolled), and preclinical (with an Investigational New Drug application and Clinical Trial Application submitted in the first quarter of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CureVac’s management provided to BioNTech: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unaudited prospective financial information regarding the Development and Intellectual Property Agreement between CureVac AG and Tesla Grohmann Automation GmbH, dated November 24, 2015, which we refer to as the Tesla projections and, together with the UPEC projections, the CVGBM projections, and the sqNSCLC projections, as the CureVac projections;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unaudited prospective financial information from a third-party analyst report regarding the Development and License Agreement between CureVac AG and CRISPR Therapeutics AG, dated November 9, 2017,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the above programs and collaboration arrangements, including the underlying collaboration agreements, can be found in the CureVac SEC filings incorporated by reference into this offer to exchange/prospectus.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Using the above information, together with certain historical financial information as of December 31, 2024 and assumed proceeds from ongoing intellectual property litigation of $832.5 million, CureVac management calculated CureVac’s total assets to be approximately $2.1 billion. Such assumptions with regard to intellectual property litigation were prepared prior to the settlement arrangements. See “The Offer — Recent Developments” beginning on page 63. </w:t>
      </w:r>
    </w:p>
    <w:p>
      <w:pPr>
        <w:pStyle w:val="TextBody"/>
        <w:bidi w:val="0"/>
        <w:spacing w:before="240" w:after="0"/>
        <w:jc w:val="left"/>
        <w:rPr>
          <w:rFonts w:ascii="Times New Roman" w:hAnsi="Times New Roman"/>
          <w:sz w:val="20"/>
        </w:rPr>
      </w:pPr>
      <w:r>
        <w:rPr>
          <w:rFonts w:ascii="Times New Roman" w:hAnsi="Times New Roman"/>
          <w:sz w:val="20"/>
        </w:rPr>
        <w:t xml:space="preserve">The prospective financial information summarized below is included for the purpose of providing certain non-public information that was furnished by CureVac to BioNTech in connection with the transactions, and such information may not be appropriate for other purposes, and is not included to influence the voting or investment decision of any CureVac shareholder or BioNTech shareholder. </w:t>
      </w:r>
    </w:p>
    <w:p>
      <w:pPr>
        <w:pStyle w:val="TextBody"/>
        <w:bidi w:val="0"/>
        <w:spacing w:before="240" w:after="0"/>
        <w:jc w:val="left"/>
        <w:rPr>
          <w:rFonts w:ascii="Times New Roman" w:hAnsi="Times New Roman"/>
          <w:sz w:val="20"/>
        </w:rPr>
      </w:pPr>
      <w:r>
        <w:rPr>
          <w:rFonts w:ascii="Times New Roman" w:hAnsi="Times New Roman"/>
          <w:sz w:val="20"/>
        </w:rPr>
        <w:t xml:space="preserve">The CureVac projections were prepared by CureVac’s management for internal use and strategic planning purposes and were not prepared with a view toward public disclosure, nor were they prepared with a view toward compliance with generally accepted accounting principles (“GAAP”) or IFRS, or the published guidelines of the SEC regarding projections and forward-looking statements or the guidelines established by the American Institute of Certified Public Accountants, as applicable, for preparation and presentation of prospective financial information. The preparation of such projections were a part of a semi-annual internal planning process, which generally utilizes internal resources and, when needed in the judgment of CureVac management, external consultants. The inclusion of the CureVac projections should not be regarded as an indication that such information is predictive of actual future events or results and such information should not be relied upon as such, and readers of this offer to exchange/prospectus are cautioned not to place undue reliance on the CureVac projections. The CureVac projections included in this offer to exchange/prospectus have been prepared by, and are the responsibility of, CureVac’s management. </w:t>
      </w:r>
    </w:p>
    <w:p>
      <w:pPr>
        <w:pStyle w:val="TextBody"/>
        <w:bidi w:val="0"/>
        <w:spacing w:before="240" w:after="0"/>
        <w:jc w:val="left"/>
        <w:rPr>
          <w:rFonts w:ascii="Times New Roman" w:hAnsi="Times New Roman"/>
          <w:sz w:val="20"/>
        </w:rPr>
      </w:pPr>
      <w:r>
        <w:rPr>
          <w:rFonts w:ascii="Times New Roman" w:hAnsi="Times New Roman"/>
          <w:sz w:val="20"/>
        </w:rPr>
        <w:t xml:space="preserve">While presented with numeric specificity, the CureVac projections reflect numerous estimates, variables, and assumptions made by CureVac management in good faith as of the date of preparation, including, but not limited to, assumptions regarding the probability of technical and regulatory success, clinical development timelines, product launch timing, pricing, market size, market growth, market share, competitive landscape, cost structures, and the realization of potential strategic partnerships and collaborations and other matters specific to CureVac’s business that are inherently subjective and uncertain and are beyond the control of CureVac or BioNTech. The CureVac projections do not give effect to the impact of the transactions, the expenses that may be incurred in connection with consummating the transactions, the effect and cost of operating as a combined company, or any business or strategic decisions that may be taken as a result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CureVac projections are inherently forward-looking, are subject to significant business, economic, competitive, regulatory, and other risks and uncertainties, many of which are beyond CureVac’s and BioNTech’s control, and are susceptible to multiple interpretations and periodic revision based on actual experience and business developments. As such, there can be no assurance that the projected results will be realized, and actual results may differ materially from those reflected in the CureVac projections. Accordingly, there can be no assurance that the projected results summarized below will be realized. CureVac’s shareholders are encouraged to review the most recent SEC filings of CureVac and BioNTech for a description of their respective reported and anticipated results of operations and financial condition and capital resources, including in “Operating and Financial Review and Prospects” in their respective Annual Reports on Form 20-F for the year ended December 31, 2024 and Reports on Form 6-K reporting results for the three-month period ended March 31, 2025 and three- and six-month periods ended June 30, 2025, which are incorporated by reference into this offer to exchange/prospectus.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CureVac projections herein should not be regarded as an indication that CureVac, BioNTech, or their respective affiliates, officers, directors, advisors, or other representatives considered or consider the projections to be necessarily predictive of actual future events, and this information should not be relied upon as such. While presented with numerical specificity, the CureVac projections were based on numerous variables and assumptions known to CureVac at the time of preparation. These variables and assumptions are inherently uncertain and many are beyond the control of CureVac or BioNTech.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uncertainties include, but are not limited to (i) litigation risks (for example, the outcome of jury trials in the United States, the appeals process, associated costs and time until damages (if any) may be paid), (ii) the geo-political environment in the United States, Europe, and other jurisdictions, and (iii) the development of products by collaborators and competitors. </w:t>
      </w:r>
    </w:p>
    <w:p>
      <w:pPr>
        <w:pStyle w:val="TextBody"/>
        <w:bidi w:val="0"/>
        <w:spacing w:before="240" w:after="0"/>
        <w:jc w:val="left"/>
        <w:rPr>
          <w:rFonts w:ascii="Times New Roman" w:hAnsi="Times New Roman"/>
          <w:sz w:val="20"/>
        </w:rPr>
      </w:pPr>
      <w:r>
        <w:rPr>
          <w:rFonts w:ascii="Times New Roman" w:hAnsi="Times New Roman"/>
          <w:b/>
          <w:sz w:val="20"/>
        </w:rPr>
        <w:t>EXCEPT AS REQUIRED BY APPLICABLE SECURITIES LAWS,</w:t>
      </w:r>
      <w:r>
        <w:rPr>
          <w:rFonts w:ascii="Times New Roman" w:hAnsi="Times New Roman"/>
          <w:sz w:val="20"/>
        </w:rPr>
        <w:t xml:space="preserve"> </w:t>
      </w:r>
      <w:r>
        <w:rPr>
          <w:rFonts w:ascii="Times New Roman" w:hAnsi="Times New Roman"/>
          <w:b/>
          <w:sz w:val="20"/>
        </w:rPr>
        <w:t>NEITHER CUREVAC NOR BIONTECH</w:t>
      </w:r>
      <w:r>
        <w:rPr>
          <w:rFonts w:ascii="Times New Roman" w:hAnsi="Times New Roman"/>
          <w:sz w:val="20"/>
        </w:rPr>
        <w:t xml:space="preserve"> </w:t>
      </w:r>
      <w:r>
        <w:rPr>
          <w:rFonts w:ascii="Times New Roman" w:hAnsi="Times New Roman"/>
          <w:b/>
          <w:sz w:val="20"/>
        </w:rPr>
        <w:t>HAS UPDATED</w:t>
      </w:r>
      <w:r>
        <w:rPr>
          <w:rFonts w:ascii="Times New Roman" w:hAnsi="Times New Roman"/>
          <w:sz w:val="20"/>
        </w:rPr>
        <w:t xml:space="preserve"> </w:t>
      </w:r>
      <w:r>
        <w:rPr>
          <w:rFonts w:ascii="Times New Roman" w:hAnsi="Times New Roman"/>
          <w:b/>
          <w:sz w:val="20"/>
        </w:rPr>
        <w:t>OR OTHERWISE REVISED</w:t>
      </w:r>
      <w:r>
        <w:rPr>
          <w:rFonts w:ascii="Times New Roman" w:hAnsi="Times New Roman"/>
          <w:sz w:val="20"/>
        </w:rPr>
        <w:t xml:space="preserve"> </w:t>
      </w:r>
      <w:r>
        <w:rPr>
          <w:rFonts w:ascii="Times New Roman" w:hAnsi="Times New Roman"/>
          <w:b/>
          <w:sz w:val="20"/>
        </w:rPr>
        <w:t>OR RECONCILED</w:t>
      </w:r>
      <w:r>
        <w:rPr>
          <w:rFonts w:ascii="Times New Roman" w:hAnsi="Times New Roman"/>
          <w:sz w:val="20"/>
        </w:rPr>
        <w:t xml:space="preserve"> </w:t>
      </w:r>
      <w:r>
        <w:rPr>
          <w:rFonts w:ascii="Times New Roman" w:hAnsi="Times New Roman"/>
          <w:b/>
          <w:sz w:val="20"/>
        </w:rPr>
        <w:t>THE CUREVAC</w:t>
      </w:r>
      <w:r>
        <w:rPr>
          <w:rFonts w:ascii="Times New Roman" w:hAnsi="Times New Roman"/>
          <w:sz w:val="20"/>
        </w:rPr>
        <w:t xml:space="preserve"> </w:t>
      </w:r>
      <w:r>
        <w:rPr>
          <w:rFonts w:ascii="Times New Roman" w:hAnsi="Times New Roman"/>
          <w:b/>
          <w:sz w:val="20"/>
        </w:rPr>
        <w:t>PROJECTIONS TO REFLECT CIRCUMSTANCES EXISTING AFTER THE DATE THEY WERE</w:t>
      </w:r>
      <w:r>
        <w:rPr>
          <w:rFonts w:ascii="Times New Roman" w:hAnsi="Times New Roman"/>
          <w:sz w:val="20"/>
        </w:rPr>
        <w:t xml:space="preserve"> </w:t>
      </w:r>
      <w:r>
        <w:rPr>
          <w:rFonts w:ascii="Times New Roman" w:hAnsi="Times New Roman"/>
          <w:b/>
          <w:sz w:val="20"/>
        </w:rPr>
        <w:t>GENERATED OR TO REFLECT THE OCCURRENCE OF FUTURE EVENTS, EVEN IN THE EVENT THAT ANY OR ALL OF THE ASSUMPTIONS UNDERLYING THE CUREVAC PROJECTIONS</w:t>
      </w:r>
      <w:r>
        <w:rPr>
          <w:rFonts w:ascii="Times New Roman" w:hAnsi="Times New Roman"/>
          <w:sz w:val="20"/>
        </w:rPr>
        <w:t xml:space="preserve"> </w:t>
      </w:r>
      <w:r>
        <w:rPr>
          <w:rFonts w:ascii="Times New Roman" w:hAnsi="Times New Roman"/>
          <w:b/>
          <w:sz w:val="20"/>
        </w:rPr>
        <w:t>ARE NO LONGER APPROPRIATE, AND NEITHER INTENDS TO. SINCE THE CUREVAC</w:t>
      </w:r>
      <w:r>
        <w:rPr>
          <w:rFonts w:ascii="Times New Roman" w:hAnsi="Times New Roman"/>
          <w:sz w:val="20"/>
        </w:rPr>
        <w:t xml:space="preserve"> </w:t>
      </w:r>
      <w:r>
        <w:rPr>
          <w:rFonts w:ascii="Times New Roman" w:hAnsi="Times New Roman"/>
          <w:b/>
          <w:sz w:val="20"/>
        </w:rPr>
        <w:t>PROJECTIONS COVER MULTIPLE YEARS, SUCH INFORMATION BY ITS NATURE BECOMES LESS PREDICTIVE WITH EACH SUCCESSIVE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CureVac has not made and makes no representation to BioNTech or any CureVac shareholder or BioNTech shareholder, in the Purchase Agreement or otherwise, concerning the CureVac projections or regarding CureVac’s ultimate performance compared to the CureVac projections or that the projected results will be achieved. In light of the foregoing factors and the uncertainties inherent in the CureVac projections, BioNTech encourages all CureVac shareholders and BioNTech shareholders not to place undue reliance on such information and to review CureVac’s and BioNTech’s most recent SEC filings for a description of their respective reported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Neither CureVac’s nor BioNTech’s independent registered public accounting firms, nor any other independent accountants, have audited, reviewed, examined, compiled, or performed any procedures with respect to the CureVac projections, nor have they expressed any opinion or any other form of assurance on such information or its achievability, and they (and their respective representatives) assume no responsibility for, and disclaim any association with, the CureVac projections. The report of (i) KPMG AG Wirtschaftsprüfungsgesellschaft contained in CureVac’s Annual Report on Form 20-F for the year ended December 31, 2024, which is incorporated by reference into this offer to exchange/prospectus, (ii) EY GmbH &amp; Co. KG Wirtschaftsprüfungsgesellschaft contained in CureVac’s Annual Report on Form 20-F for the year ended December 31, 2024, which is incorporated by reference into this offer to exchange/prospectus, and (iii) EY GmbH &amp; Co. KG Wirtschaftsprüfungsgesellschaft contained in BioNTech’s Annual Report on Form 20-F for the year ended December 31, 2024, which is incorporated by reference into this offer to exchange/prospectus, each relates to historical financial information. They do not extend to the CureVac projections and should not be read to do so. The CureVac projections were prepared by, and are the responsibility of, CureVac management. The CureVac projections do not take into account any circumstances, transactions, or events occurring after the date on which they were prepared. Some or all of the assumptions underlying the CureVac projections set forth below may have changed since the date the CureVac projections were prepared. </w:t>
      </w:r>
    </w:p>
    <w:p>
      <w:pPr>
        <w:pStyle w:val="TextBody"/>
        <w:bidi w:val="0"/>
        <w:spacing w:before="240" w:after="0"/>
        <w:jc w:val="left"/>
        <w:rPr>
          <w:rFonts w:ascii="Times New Roman" w:hAnsi="Times New Roman"/>
          <w:b/>
          <w:i/>
          <w:sz w:val="20"/>
        </w:rPr>
      </w:pPr>
      <w:r>
        <w:rPr>
          <w:rFonts w:ascii="Times New Roman" w:hAnsi="Times New Roman"/>
          <w:b/>
          <w:i/>
          <w:sz w:val="20"/>
        </w:rPr>
        <w:t xml:space="preserve">Summary of CureVac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CureVac projections were prepared using several assumptions, including the following assumptions that CureVac management believed to be material, appropriate, and reasonable: the development and commercialization of mRNA-based oncology and infectious disease product candidates, anticipated strategic partnerships, certain market conditions including the competitive landscape, and potential litigation outcomes (as a source of potential project funding). The CureVac projections are presented on a risk-adjusted basis, reflecting CureVac’s management’s estimates of the probability of technical and regulatory success for the identified programs and assets pursuant to certain industry standards and relevant studies. The CureVac projections were based on CureVac’s latest estimates at the time the CureVac projections were prepared for various scenarios.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UPEC Projections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the UPEC projections for fiscal years 2026 through 2043. The UPEC projections assume that Phase 1 studies occur in 2026 and 2027, Phase 2 studies occur in 2028 through 2030, Phase 3 studies occur in 2031 through 2033, and a New Drug Application is submitted in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6"/>
        <w:gridCol w:w="128"/>
        <w:gridCol w:w="88"/>
        <w:gridCol w:w="565"/>
        <w:gridCol w:w="155"/>
        <w:gridCol w:w="74"/>
        <w:gridCol w:w="88"/>
        <w:gridCol w:w="565"/>
        <w:gridCol w:w="155"/>
        <w:gridCol w:w="74"/>
        <w:gridCol w:w="62"/>
        <w:gridCol w:w="589"/>
        <w:gridCol w:w="155"/>
        <w:gridCol w:w="74"/>
        <w:gridCol w:w="62"/>
        <w:gridCol w:w="589"/>
        <w:gridCol w:w="155"/>
        <w:gridCol w:w="74"/>
        <w:gridCol w:w="62"/>
        <w:gridCol w:w="588"/>
        <w:gridCol w:w="155"/>
        <w:gridCol w:w="74"/>
        <w:gridCol w:w="62"/>
        <w:gridCol w:w="589"/>
        <w:gridCol w:w="155"/>
        <w:gridCol w:w="74"/>
        <w:gridCol w:w="62"/>
        <w:gridCol w:w="589"/>
        <w:gridCol w:w="155"/>
        <w:gridCol w:w="74"/>
        <w:gridCol w:w="62"/>
        <w:gridCol w:w="589"/>
        <w:gridCol w:w="155"/>
        <w:gridCol w:w="74"/>
        <w:gridCol w:w="62"/>
        <w:gridCol w:w="589"/>
        <w:gridCol w:w="167"/>
      </w:tblGrid>
      <w:tr>
        <w:trPr/>
        <w:tc>
          <w:tcPr>
            <w:tcW w:w="221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694"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7"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2034P</w:t>
            </w:r>
          </w:p>
        </w:tc>
        <w:tc>
          <w:tcPr>
            <w:tcW w:w="167"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694" w:type="dxa"/>
            <w:gridSpan w:val="34"/>
            <w:tcBorders/>
            <w:vAlign w:val="bottom"/>
          </w:tcPr>
          <w:p>
            <w:pPr>
              <w:pStyle w:val="TableContents"/>
              <w:bidi w:val="0"/>
              <w:spacing w:before="0" w:after="283"/>
              <w:jc w:val="center"/>
              <w:rPr>
                <w:b/>
              </w:rPr>
            </w:pPr>
            <w:r>
              <w:rPr>
                <w:b/>
              </w:rPr>
              <w:t>Dollars in millions</w:t>
            </w:r>
          </w:p>
        </w:tc>
        <w:tc>
          <w:tcPr>
            <w:tcW w:w="167"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w:t>
            </w:r>
          </w:p>
        </w:tc>
        <w:tc>
          <w:tcPr>
            <w:tcW w:w="167"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(3</w:t>
            </w:r>
          </w:p>
        </w:tc>
        <w:tc>
          <w:tcPr>
            <w:tcW w:w="167" w:type="dxa"/>
            <w:tcBorders/>
            <w:shd w:fill="CCEEFF" w:val="clear"/>
            <w:vAlign w:val="bottom"/>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w:t>
            </w:r>
          </w:p>
        </w:tc>
        <w:tc>
          <w:tcPr>
            <w:tcW w:w="167" w:type="dxa"/>
            <w:tcBorders/>
            <w:vAlign w:val="bottom"/>
          </w:tcPr>
          <w:p>
            <w:pPr>
              <w:pStyle w:val="TableContents"/>
              <w:bidi w:val="0"/>
              <w:spacing w:before="0" w:after="283"/>
              <w:jc w:val="left"/>
              <w:rPr/>
            </w:pPr>
            <w:r>
              <w:rPr/>
              <w:t>) </w:t>
            </w:r>
          </w:p>
        </w:tc>
      </w:tr>
      <w:tr>
        <w:trPr>
          <w:trHeight w:val="240" w:hRule="atLeast"/>
        </w:trPr>
        <w:tc>
          <w:tcPr>
            <w:tcW w:w="2216" w:type="dxa"/>
            <w:tcBorders/>
            <w:vAlign w:val="center"/>
          </w:tcPr>
          <w:p>
            <w:pPr>
              <w:pStyle w:val="TableContents"/>
              <w:bidi w:val="0"/>
              <w:spacing w:before="0" w:after="283"/>
              <w:jc w:val="left"/>
              <w:rPr>
                <w:sz w:val="4"/>
                <w:szCs w:val="4"/>
              </w:rPr>
            </w:pPr>
            <w:r>
              <w:rPr>
                <w:sz w:val="4"/>
                <w:szCs w:val="4"/>
              </w:rPr>
            </w:r>
          </w:p>
        </w:tc>
        <w:tc>
          <w:tcPr>
            <w:tcW w:w="7989" w:type="dxa"/>
            <w:gridSpan w:val="36"/>
            <w:tcBorders/>
            <w:vAlign w:val="center"/>
          </w:tcPr>
          <w:p>
            <w:pPr>
              <w:pStyle w:val="TableContents"/>
              <w:bidi w:val="0"/>
              <w:spacing w:before="0" w:after="283"/>
              <w:jc w:val="left"/>
              <w:rPr>
                <w:sz w:val="4"/>
                <w:szCs w:val="4"/>
              </w:rPr>
            </w:pPr>
            <w:r>
              <w:rPr>
                <w:sz w:val="4"/>
                <w:szCs w:val="4"/>
              </w:rPr>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694"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7"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2041P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2042P</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2043P</w:t>
            </w:r>
          </w:p>
        </w:tc>
        <w:tc>
          <w:tcPr>
            <w:tcW w:w="167"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694" w:type="dxa"/>
            <w:gridSpan w:val="34"/>
            <w:tcBorders/>
            <w:vAlign w:val="bottom"/>
          </w:tcPr>
          <w:p>
            <w:pPr>
              <w:pStyle w:val="TableContents"/>
              <w:bidi w:val="0"/>
              <w:spacing w:before="0" w:after="283"/>
              <w:jc w:val="center"/>
              <w:rPr>
                <w:b/>
              </w:rPr>
            </w:pPr>
            <w:r>
              <w:rPr>
                <w:b/>
              </w:rPr>
              <w:t>Dollars in millions</w:t>
            </w:r>
          </w:p>
        </w:tc>
        <w:tc>
          <w:tcPr>
            <w:tcW w:w="167"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702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1,141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1,650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2,235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2,423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2,626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2,847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3,086</w:t>
            </w:r>
          </w:p>
        </w:tc>
        <w:tc>
          <w:tcPr>
            <w:tcW w:w="167" w:type="dxa"/>
            <w:tcBorders/>
            <w:shd w:fill="CCEEFF" w:val="clear"/>
            <w:vAlign w:val="bottom"/>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548</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792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1,163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1,367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1,481</w:t>
            </w:r>
          </w:p>
        </w:tc>
        <w:tc>
          <w:tcPr>
            <w:tcW w:w="167" w:type="dxa"/>
            <w:tcBorders/>
            <w:shd w:fill="CCEEFF" w:val="clear"/>
            <w:vAlign w:val="bottom"/>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814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882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957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1,037</w:t>
            </w:r>
          </w:p>
        </w:tc>
        <w:tc>
          <w:tcPr>
            <w:tcW w:w="1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calculates revenue in accordance with IFRS.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is a non-IFRS and non-GAAP financial measure. See “Non-IFRS and Non-GAAP Financial Measures”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 is a non-IFRS and non-GAAP financial measure. See “Non-IFRS and Non-GAAP Financial Measures” below. </w:t>
            </w:r>
          </w:p>
        </w:tc>
      </w:tr>
    </w:tbl>
    <w:p>
      <w:pPr>
        <w:pStyle w:val="TextBody"/>
        <w:bidi w:val="0"/>
        <w:spacing w:before="240" w:after="0"/>
        <w:jc w:val="left"/>
        <w:rPr>
          <w:rFonts w:ascii="Times New Roman" w:hAnsi="Times New Roman"/>
          <w:sz w:val="20"/>
        </w:rPr>
      </w:pPr>
      <w:r>
        <w:rPr>
          <w:rFonts w:ascii="Times New Roman" w:hAnsi="Times New Roman"/>
          <w:b/>
          <w:i/>
          <w:sz w:val="20"/>
        </w:rPr>
        <w:t>CVGBM Projections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the CVGBM projections for fiscal years 2025 through 2044. The CVGBM projections assume that Phase 1 studies conclude in 2025, Phase 2 studies occur in 2026 through 2029, Phase 3 studies occur in 2030 through 2032, and a New Drug Application is submitted in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7"/>
        <w:gridCol w:w="121"/>
        <w:gridCol w:w="88"/>
        <w:gridCol w:w="562"/>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1"/>
        <w:gridCol w:w="588"/>
        <w:gridCol w:w="155"/>
        <w:gridCol w:w="62"/>
        <w:gridCol w:w="62"/>
        <w:gridCol w:w="588"/>
        <w:gridCol w:w="165"/>
      </w:tblGrid>
      <w:tr>
        <w:trPr/>
        <w:tc>
          <w:tcPr>
            <w:tcW w:w="146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2034P</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vAlign w:val="bottom"/>
          </w:tcPr>
          <w:p>
            <w:pPr>
              <w:pStyle w:val="TableContents"/>
              <w:bidi w:val="0"/>
              <w:spacing w:before="0" w:after="283"/>
              <w:jc w:val="center"/>
              <w:rPr>
                <w:b/>
              </w:rPr>
            </w:pPr>
            <w:r>
              <w:rPr>
                <w:b/>
              </w:rPr>
              <w:t>Dollars in millions</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313</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(225</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(225</w:t>
            </w:r>
          </w:p>
        </w:tc>
        <w:tc>
          <w:tcPr>
            <w:tcW w:w="165" w:type="dxa"/>
            <w:tcBorders/>
            <w:vAlign w:val="bottom"/>
          </w:tcPr>
          <w:p>
            <w:pPr>
              <w:pStyle w:val="TableContents"/>
              <w:bidi w:val="0"/>
              <w:spacing w:before="0" w:after="283"/>
              <w:jc w:val="left"/>
              <w:rPr/>
            </w:pPr>
            <w:r>
              <w:rPr/>
              <w:t>) </w:t>
            </w:r>
          </w:p>
        </w:tc>
      </w:tr>
      <w:tr>
        <w:trPr>
          <w:trHeight w:val="240" w:hRule="atLeast"/>
        </w:trPr>
        <w:tc>
          <w:tcPr>
            <w:tcW w:w="1467" w:type="dxa"/>
            <w:tcBorders/>
            <w:vAlign w:val="center"/>
          </w:tcPr>
          <w:p>
            <w:pPr>
              <w:pStyle w:val="TableContents"/>
              <w:bidi w:val="0"/>
              <w:spacing w:before="0" w:after="283"/>
              <w:jc w:val="left"/>
              <w:rPr>
                <w:sz w:val="4"/>
                <w:szCs w:val="4"/>
              </w:rPr>
            </w:pPr>
            <w:r>
              <w:rPr>
                <w:sz w:val="4"/>
                <w:szCs w:val="4"/>
              </w:rPr>
            </w:r>
          </w:p>
        </w:tc>
        <w:tc>
          <w:tcPr>
            <w:tcW w:w="8738" w:type="dxa"/>
            <w:gridSpan w:val="40"/>
            <w:tcBorders/>
            <w:vAlign w:val="center"/>
          </w:tcPr>
          <w:p>
            <w:pPr>
              <w:pStyle w:val="TableContents"/>
              <w:bidi w:val="0"/>
              <w:spacing w:before="0" w:after="283"/>
              <w:jc w:val="left"/>
              <w:rPr>
                <w:sz w:val="4"/>
                <w:szCs w:val="4"/>
              </w:rPr>
            </w:pPr>
            <w:r>
              <w:rPr>
                <w:sz w:val="4"/>
                <w:szCs w:val="4"/>
              </w:rPr>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2041P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2042P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2043P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2044P</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vAlign w:val="bottom"/>
          </w:tcPr>
          <w:p>
            <w:pPr>
              <w:pStyle w:val="TableContents"/>
              <w:bidi w:val="0"/>
              <w:spacing w:before="0" w:after="283"/>
              <w:jc w:val="center"/>
              <w:rPr>
                <w:b/>
              </w:rPr>
            </w:pPr>
            <w:r>
              <w:rPr>
                <w:b/>
              </w:rPr>
              <w:t>Dollars in millions</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668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1,071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1,525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2,035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2,174</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2,322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2,480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2,648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2,828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3,021</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720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1,118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1,342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1,596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1,737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1,887</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504</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783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858</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939</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1,025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1,216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1,321</w:t>
            </w:r>
          </w:p>
        </w:tc>
        <w:tc>
          <w:tcPr>
            <w:tcW w:w="1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calculates revenue in accordance with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is a non-IFRS and non-GAAP financial measure. See “Non-IFRS and Non-GAAP Financial Measures”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 is a non-IFRS and non-GAAP financial measure. See “Non-IFRS and Non-GAAP Financial Measures” below. </w:t>
            </w:r>
          </w:p>
        </w:tc>
      </w:tr>
    </w:tbl>
    <w:p>
      <w:pPr>
        <w:pStyle w:val="TextBody"/>
        <w:bidi w:val="0"/>
        <w:spacing w:before="240" w:after="0"/>
        <w:jc w:val="left"/>
        <w:rPr>
          <w:rFonts w:ascii="Times New Roman" w:hAnsi="Times New Roman"/>
          <w:sz w:val="20"/>
        </w:rPr>
      </w:pPr>
      <w:r>
        <w:rPr>
          <w:rFonts w:ascii="Times New Roman" w:hAnsi="Times New Roman"/>
          <w:b/>
          <w:i/>
          <w:sz w:val="20"/>
        </w:rPr>
        <w:t>sqNSCLC Projections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the sqNSCLC projections for fiscal years 2026 through 2045. The sqNSCLC projections assume that Phase 1 studies occur in 2026 and 2027, Phase 2 studies occur in 2028 through 2030, Phase 3 studies occur in 2031 through 2033, and a New Drug Application is submitted in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7"/>
        <w:gridCol w:w="121"/>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2"/>
        <w:gridCol w:w="588"/>
        <w:gridCol w:w="155"/>
        <w:gridCol w:w="62"/>
        <w:gridCol w:w="61"/>
        <w:gridCol w:w="588"/>
        <w:gridCol w:w="155"/>
        <w:gridCol w:w="62"/>
        <w:gridCol w:w="62"/>
        <w:gridCol w:w="588"/>
        <w:gridCol w:w="165"/>
      </w:tblGrid>
      <w:tr>
        <w:trPr/>
        <w:tc>
          <w:tcPr>
            <w:tcW w:w="146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2035P</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vAlign w:val="bottom"/>
          </w:tcPr>
          <w:p>
            <w:pPr>
              <w:pStyle w:val="TableContents"/>
              <w:bidi w:val="0"/>
              <w:spacing w:before="0" w:after="283"/>
              <w:jc w:val="center"/>
              <w:rPr>
                <w:b/>
              </w:rPr>
            </w:pPr>
            <w:r>
              <w:rPr>
                <w:b/>
              </w:rPr>
              <w:t>Dollars in millions</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493</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(355</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(355</w:t>
            </w:r>
          </w:p>
        </w:tc>
        <w:tc>
          <w:tcPr>
            <w:tcW w:w="165" w:type="dxa"/>
            <w:tcBorders/>
            <w:vAlign w:val="bottom"/>
          </w:tcPr>
          <w:p>
            <w:pPr>
              <w:pStyle w:val="TableContents"/>
              <w:bidi w:val="0"/>
              <w:spacing w:before="0" w:after="283"/>
              <w:jc w:val="left"/>
              <w:rPr/>
            </w:pPr>
            <w:r>
              <w:rPr/>
              <w:t>) </w:t>
            </w:r>
          </w:p>
        </w:tc>
      </w:tr>
      <w:tr>
        <w:trPr>
          <w:trHeight w:val="240" w:hRule="atLeast"/>
        </w:trPr>
        <w:tc>
          <w:tcPr>
            <w:tcW w:w="1467" w:type="dxa"/>
            <w:tcBorders/>
            <w:vAlign w:val="center"/>
          </w:tcPr>
          <w:p>
            <w:pPr>
              <w:pStyle w:val="TableContents"/>
              <w:bidi w:val="0"/>
              <w:spacing w:before="0" w:after="283"/>
              <w:jc w:val="left"/>
              <w:rPr>
                <w:sz w:val="4"/>
                <w:szCs w:val="4"/>
              </w:rPr>
            </w:pPr>
            <w:r>
              <w:rPr>
                <w:sz w:val="4"/>
                <w:szCs w:val="4"/>
              </w:rPr>
            </w:r>
          </w:p>
        </w:tc>
        <w:tc>
          <w:tcPr>
            <w:tcW w:w="8738" w:type="dxa"/>
            <w:gridSpan w:val="40"/>
            <w:tcBorders/>
            <w:vAlign w:val="center"/>
          </w:tcPr>
          <w:p>
            <w:pPr>
              <w:pStyle w:val="TableContents"/>
              <w:bidi w:val="0"/>
              <w:spacing w:before="0" w:after="283"/>
              <w:jc w:val="left"/>
              <w:rPr>
                <w:sz w:val="4"/>
                <w:szCs w:val="4"/>
              </w:rPr>
            </w:pPr>
            <w:r>
              <w:rPr>
                <w:sz w:val="4"/>
                <w:szCs w:val="4"/>
              </w:rPr>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2041P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2042P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2043P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2044P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2045P</w:t>
            </w:r>
          </w:p>
        </w:tc>
        <w:tc>
          <w:tcPr>
            <w:tcW w:w="165"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52" w:type="dxa"/>
            <w:gridSpan w:val="38"/>
            <w:tcBorders/>
            <w:vAlign w:val="bottom"/>
          </w:tcPr>
          <w:p>
            <w:pPr>
              <w:pStyle w:val="TableContents"/>
              <w:bidi w:val="0"/>
              <w:spacing w:before="0" w:after="283"/>
              <w:jc w:val="center"/>
              <w:rPr>
                <w:b/>
              </w:rPr>
            </w:pPr>
            <w:r>
              <w:rPr>
                <w:b/>
              </w:rPr>
              <w:t>Dollars in millions</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Revenue(1)</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1,043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1,655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2,335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3,088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3,268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3,457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3,658</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3,870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4,094</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4,332</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&amp; Development Expense</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EBIT(2)</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552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1,670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2,113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2,279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2,454</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2,639</w:t>
            </w:r>
          </w:p>
        </w:tc>
        <w:tc>
          <w:tcPr>
            <w:tcW w:w="165"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Free Cash Flow(3)</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386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757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1,169</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1,266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1,370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1,479</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1,595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1,847</w:t>
            </w:r>
          </w:p>
        </w:tc>
        <w:tc>
          <w:tcPr>
            <w:tcW w:w="1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calculates revenue in accordance with IFRS.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is a non-IFRS and non-GAAP financial measure. See “Non-IFRS and Non-GAAP Financial Measures”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 is a non-IFRS and non-GAAP financial measure. See “Non-IFRS and Non-GAAP Financial Measures” below.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Tesla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Tesla projections for fiscal years 2025 through 2035. The below is subject to certain assumptions, including 100 new customers per year and a 30% tax rate. </w:t>
      </w:r>
    </w:p>
    <w:tbl>
      <w:tblPr>
        <w:tblW w:w="5000" w:type="pct"/>
        <w:jc w:val="center"/>
        <w:tblInd w:w="0" w:type="dxa"/>
        <w:tblLayout w:type="fixed"/>
        <w:tblCellMar>
          <w:top w:w="0" w:type="dxa"/>
          <w:left w:w="0" w:type="dxa"/>
          <w:bottom w:w="0" w:type="dxa"/>
          <w:right w:w="0" w:type="dxa"/>
        </w:tblCellMar>
      </w:tblPr>
      <w:tblGrid>
        <w:gridCol w:w="1467"/>
        <w:gridCol w:w="83"/>
        <w:gridCol w:w="121"/>
        <w:gridCol w:w="530"/>
        <w:gridCol w:w="60"/>
        <w:gridCol w:w="83"/>
        <w:gridCol w:w="121"/>
        <w:gridCol w:w="530"/>
        <w:gridCol w:w="60"/>
        <w:gridCol w:w="83"/>
        <w:gridCol w:w="121"/>
        <w:gridCol w:w="530"/>
        <w:gridCol w:w="60"/>
        <w:gridCol w:w="83"/>
        <w:gridCol w:w="121"/>
        <w:gridCol w:w="530"/>
        <w:gridCol w:w="60"/>
        <w:gridCol w:w="83"/>
        <w:gridCol w:w="121"/>
        <w:gridCol w:w="530"/>
        <w:gridCol w:w="60"/>
        <w:gridCol w:w="83"/>
        <w:gridCol w:w="121"/>
        <w:gridCol w:w="530"/>
        <w:gridCol w:w="60"/>
        <w:gridCol w:w="83"/>
        <w:gridCol w:w="121"/>
        <w:gridCol w:w="529"/>
        <w:gridCol w:w="60"/>
        <w:gridCol w:w="83"/>
        <w:gridCol w:w="88"/>
        <w:gridCol w:w="562"/>
        <w:gridCol w:w="60"/>
        <w:gridCol w:w="83"/>
        <w:gridCol w:w="88"/>
        <w:gridCol w:w="562"/>
        <w:gridCol w:w="60"/>
        <w:gridCol w:w="83"/>
        <w:gridCol w:w="88"/>
        <w:gridCol w:w="562"/>
        <w:gridCol w:w="60"/>
        <w:gridCol w:w="83"/>
        <w:gridCol w:w="88"/>
        <w:gridCol w:w="562"/>
        <w:gridCol w:w="69"/>
      </w:tblGrid>
      <w:tr>
        <w:trPr/>
        <w:tc>
          <w:tcPr>
            <w:tcW w:w="1467"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46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93"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Year Ending December 31,</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pBdr>
                <w:bottom w:val="single" w:sz="8" w:space="1" w:color="000000"/>
              </w:pBdr>
              <w:bidi w:val="0"/>
              <w:spacing w:before="0" w:after="0"/>
              <w:jc w:val="left"/>
              <w:rPr/>
            </w:pPr>
            <w:r>
              <w:rPr/>
              <w:t> </w:t>
            </w:r>
          </w:p>
        </w:tc>
        <w:tc>
          <w:tcPr>
            <w:tcW w:w="69"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2034P</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2035P</w:t>
            </w:r>
          </w:p>
        </w:tc>
        <w:tc>
          <w:tcPr>
            <w:tcW w:w="69" w:type="dxa"/>
            <w:tcBorders/>
            <w:vAlign w:val="bottom"/>
          </w:tcPr>
          <w:p>
            <w:pPr>
              <w:pStyle w:val="TableContents"/>
              <w:bidi w:val="0"/>
              <w:spacing w:before="0" w:after="283"/>
              <w:jc w:val="left"/>
              <w:rPr/>
            </w:pPr>
            <w:r>
              <w:rPr/>
              <w:t> </w:t>
            </w:r>
          </w:p>
        </w:tc>
      </w:tr>
      <w:tr>
        <w:trPr/>
        <w:tc>
          <w:tcPr>
            <w:tcW w:w="146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93" w:type="dxa"/>
            <w:gridSpan w:val="38"/>
            <w:tcBorders/>
            <w:vAlign w:val="bottom"/>
          </w:tcPr>
          <w:p>
            <w:pPr>
              <w:pStyle w:val="TableContents"/>
              <w:bidi w:val="0"/>
              <w:spacing w:before="0" w:after="283"/>
              <w:jc w:val="center"/>
              <w:rPr>
                <w:b/>
              </w:rPr>
            </w:pPr>
            <w:r>
              <w:rPr>
                <w:b/>
              </w:rPr>
              <w:t>Dollars in millions</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Milestone Payments Revenue(1)</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w:t>
            </w:r>
          </w:p>
        </w:tc>
        <w:tc>
          <w:tcPr>
            <w:tcW w:w="69" w:type="dxa"/>
            <w:tcBorders/>
            <w:shd w:fill="CCEEFF" w:val="clear"/>
            <w:vAlign w:val="bottom"/>
          </w:tcPr>
          <w:p>
            <w:pPr>
              <w:pStyle w:val="TableContents"/>
              <w:bidi w:val="0"/>
              <w:spacing w:before="0" w:after="283"/>
              <w:jc w:val="left"/>
              <w:rPr/>
            </w:pPr>
            <w:r>
              <w:rPr/>
              <w:t> </w:t>
            </w:r>
          </w:p>
        </w:tc>
      </w:tr>
      <w:tr>
        <w:trPr/>
        <w:tc>
          <w:tcPr>
            <w:tcW w:w="1467" w:type="dxa"/>
            <w:tcBorders/>
          </w:tcPr>
          <w:p>
            <w:pPr>
              <w:pStyle w:val="TableContents"/>
              <w:bidi w:val="0"/>
              <w:spacing w:before="0" w:after="0"/>
              <w:jc w:val="left"/>
              <w:rPr>
                <w:rFonts w:ascii="Times New Roman" w:hAnsi="Times New Roman"/>
                <w:b/>
                <w:sz w:val="20"/>
              </w:rPr>
            </w:pPr>
            <w:r>
              <w:rPr>
                <w:rFonts w:ascii="Times New Roman" w:hAnsi="Times New Roman"/>
                <w:b/>
                <w:sz w:val="20"/>
              </w:rPr>
              <w:t>Royalties Revenue(1)</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160</w:t>
            </w:r>
          </w:p>
        </w:tc>
        <w:tc>
          <w:tcPr>
            <w:tcW w:w="69" w:type="dxa"/>
            <w:tcBorders/>
            <w:vAlign w:val="bottom"/>
          </w:tcPr>
          <w:p>
            <w:pPr>
              <w:pStyle w:val="TableContents"/>
              <w:bidi w:val="0"/>
              <w:spacing w:before="0" w:after="283"/>
              <w:jc w:val="left"/>
              <w:rPr/>
            </w:pPr>
            <w:r>
              <w:rPr/>
              <w:t> </w:t>
            </w:r>
          </w:p>
        </w:tc>
      </w:tr>
      <w:tr>
        <w:trPr/>
        <w:tc>
          <w:tcPr>
            <w:tcW w:w="14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Flow(2)</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126</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calculates revenue in accordance with IFRS.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 is a non-IFRS and non-GAAP financial measure. See “Non-IFRS and Non-GAAP Financial Measures” below. </w:t>
            </w:r>
          </w:p>
        </w:tc>
      </w:tr>
    </w:tbl>
    <w:p>
      <w:pPr>
        <w:pStyle w:val="TextBody"/>
        <w:bidi w:val="0"/>
        <w:spacing w:before="240" w:after="0"/>
        <w:jc w:val="left"/>
        <w:rPr>
          <w:rFonts w:ascii="Times New Roman" w:hAnsi="Times New Roman"/>
          <w:sz w:val="20"/>
        </w:rPr>
      </w:pPr>
      <w:r>
        <w:rPr>
          <w:rFonts w:ascii="Times New Roman" w:hAnsi="Times New Roman"/>
          <w:b/>
          <w:i/>
          <w:sz w:val="20"/>
        </w:rPr>
        <w:t>Non-IFRS and Non-GAAP Financial Measures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CureVac projections as set forth above regarding Adjusted EBIT and Adjusted Free Cash Flow are measures not calculated in accordance with IFRS or GAAP. Such non-IFRS and non-GAAP measures should not be considered a substitute for, or superior to, financial measures determined or calculated in accordance with IFRS or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 refers to earnings before interest and taxes. It represents operating results before deduction of interest and taxes and thus serves as a measure of operational performance independent of capital structure and tax influences. Adjusted EBIT is calculated by removing non-recurring, irregular, or non-operational items from IFRS-EBIT reflected in compliant financial filings. Operating expenses include cost of goods sold (COGS), research and development expenses (R&amp;D), product license cost, product launch cost, marketing and sales cost (M&amp;S), selling, general, and administrative expenses (SG&amp;A), royalties, and other operating income.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refers to the cash inflow available after deducting operating expenses (adjusted by depreciation and amortization expenses), and customary non-cash expenses such as the changes in net working capital and capital expenditures (Capex). Adjusted Free Cash Flow is calculated by removing non-recurring, irregular, or non-operational items that are typically reflected in compliant financial filings. </w:t>
      </w:r>
    </w:p>
    <w:p>
      <w:pPr>
        <w:pStyle w:val="TextBody"/>
        <w:bidi w:val="0"/>
        <w:spacing w:before="240" w:after="0"/>
        <w:jc w:val="left"/>
        <w:rPr>
          <w:rFonts w:ascii="Times New Roman" w:hAnsi="Times New Roman"/>
          <w:sz w:val="20"/>
        </w:rPr>
      </w:pPr>
      <w:r>
        <w:rPr>
          <w:rFonts w:ascii="Times New Roman" w:hAnsi="Times New Roman"/>
          <w:sz w:val="20"/>
        </w:rPr>
        <w:t xml:space="preserve">A quantitative reconciliation is not being provided of the forward-looking financial measures set forth above that are not calculated in accordance with IFRS or GAAP. In accordance with Item 10(e)(1)(i)(B) of Regulation S-K, a quantitative reconciliation of a forward-looking non-IFRS or non-GAAP financial measure is only required to the extent it is available without unreasonable efforts. BioNTech does not currently have sufficient data to accurately estimate the variables and individual adjustments for such reconciliation, including details and sources for the underlying assumptions related to financial forecasts, program outcomes, and/or Adjusted EBIT and Adjusted Free Cash Flow calculations. BioNTech is unable to quantify the probable significance of these items at this time. The adjustments required for any such reconciliation of the forward-looking non-IFRS and non-GAAP financial measures cannot be accurately forecasted by BioNTech, and therefore reconciliations have not been included. </w:t>
      </w:r>
    </w:p>
    <w:p>
      <w:pPr>
        <w:pStyle w:val="TextBody"/>
        <w:bidi w:val="0"/>
        <w:spacing w:before="240" w:after="0"/>
        <w:jc w:val="left"/>
        <w:rPr>
          <w:rFonts w:ascii="Times New Roman" w:hAnsi="Times New Roman"/>
          <w:b/>
          <w:sz w:val="20"/>
        </w:rPr>
      </w:pPr>
      <w:bookmarkStart w:id="44" w:name="toc847647_41"/>
      <w:bookmarkEnd w:id="44"/>
      <w:r>
        <w:rPr>
          <w:rFonts w:ascii="Times New Roman" w:hAnsi="Times New Roman"/>
          <w:b/>
          <w:sz w:val="20"/>
        </w:rPr>
        <w:t xml:space="preserve">Directors and Management of BioNTech and CureVac or New Topco, as applicable, following the Closing of the Offer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the BioNTech boards will not change as a result of the transactions. During the last five years, no member of the BioNTech boards has been (i) convicted in a criminal proceeding (excluding traffic violations and similar misdemeanors) or (ii)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and will at all times qualify as independent in accordance with the independence standards set forth in the DCGC. </w:t>
      </w:r>
    </w:p>
    <w:p>
      <w:pPr>
        <w:pStyle w:val="TextBody"/>
        <w:bidi w:val="0"/>
        <w:spacing w:before="240" w:after="0"/>
        <w:jc w:val="left"/>
        <w:rPr>
          <w:rFonts w:ascii="Times New Roman" w:hAnsi="Times New Roman"/>
          <w:sz w:val="20"/>
        </w:rPr>
      </w:pPr>
      <w:r>
        <w:rPr>
          <w:rFonts w:ascii="Times New Roman" w:hAnsi="Times New Roman"/>
          <w:sz w:val="20"/>
        </w:rPr>
        <w:t xml:space="preserve">From the merger effective time through the cancellation, the management board and supervisory board of New Topco will be as agreed between BioNTech and CureVac. </w:t>
      </w:r>
    </w:p>
    <w:p>
      <w:pPr>
        <w:pStyle w:val="TextBody"/>
        <w:bidi w:val="0"/>
        <w:spacing w:before="240" w:after="0"/>
        <w:jc w:val="left"/>
        <w:rPr>
          <w:rFonts w:ascii="Times New Roman" w:hAnsi="Times New Roman"/>
          <w:b/>
          <w:sz w:val="20"/>
        </w:rPr>
      </w:pPr>
      <w:bookmarkStart w:id="45" w:name="toc847647_42"/>
      <w:bookmarkEnd w:id="45"/>
      <w:r>
        <w:rPr>
          <w:rFonts w:ascii="Times New Roman" w:hAnsi="Times New Roman"/>
          <w:b/>
          <w:sz w:val="20"/>
        </w:rPr>
        <w:t xml:space="preserve">Interests of BioNTech’s Supervisory and Management Directors in the Offer </w:t>
      </w:r>
    </w:p>
    <w:p>
      <w:pPr>
        <w:pStyle w:val="TextBody"/>
        <w:bidi w:val="0"/>
        <w:spacing w:before="120" w:after="0"/>
        <w:jc w:val="left"/>
        <w:rPr>
          <w:rFonts w:ascii="Times New Roman" w:hAnsi="Times New Roman"/>
          <w:sz w:val="20"/>
        </w:rPr>
      </w:pPr>
      <w:r>
        <w:rPr>
          <w:rFonts w:ascii="Times New Roman" w:hAnsi="Times New Roman"/>
          <w:sz w:val="20"/>
        </w:rPr>
        <w:t xml:space="preserve">None of BioNTech’s supervisory or management directors are party to an arrangement with BioNTech, or participates in any BioNTech plan, program, or arrangement, that provides such directors with financial incentives that are contingent upon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6" w:name="toc847647_43"/>
      <w:bookmarkEnd w:id="46"/>
      <w:r>
        <w:rPr>
          <w:rFonts w:ascii="Times New Roman" w:hAnsi="Times New Roman"/>
          <w:b/>
          <w:sz w:val="20"/>
        </w:rPr>
        <w:t xml:space="preserve">Interests of CureVac’s Supervisory and Management Directors in the Offer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These interests are described in some additional detail below. The Schedule 14D-9 will include more detail and additional discussion of the interests of CureVac’s supervisory and management directors in the offer (see Item 3(a) “Arrangements with Supervisory Board and Management Board Members of the Company”), include quantification thereof. You are encouraged to read that section in its entirety. </w:t>
      </w:r>
    </w:p>
    <w:p>
      <w:pPr>
        <w:pStyle w:val="TextBody"/>
        <w:bidi w:val="0"/>
        <w:spacing w:before="240" w:after="0"/>
        <w:jc w:val="left"/>
        <w:rPr>
          <w:rFonts w:ascii="Times New Roman" w:hAnsi="Times New Roman"/>
          <w:b/>
          <w:i/>
          <w:sz w:val="20"/>
        </w:rPr>
      </w:pPr>
      <w:r>
        <w:rPr>
          <w:rFonts w:ascii="Times New Roman" w:hAnsi="Times New Roman"/>
          <w:b/>
          <w:i/>
          <w:sz w:val="20"/>
        </w:rPr>
        <w:t xml:space="preserve">Certain Transaction Bonuses </w:t>
      </w:r>
    </w:p>
    <w:p>
      <w:pPr>
        <w:pStyle w:val="TextBody"/>
        <w:bidi w:val="0"/>
        <w:spacing w:before="240" w:after="0"/>
        <w:jc w:val="left"/>
        <w:rPr>
          <w:rFonts w:ascii="Times New Roman" w:hAnsi="Times New Roman"/>
          <w:sz w:val="20"/>
        </w:rPr>
      </w:pPr>
      <w:r>
        <w:rPr>
          <w:rFonts w:ascii="Times New Roman" w:hAnsi="Times New Roman"/>
          <w:sz w:val="20"/>
        </w:rPr>
        <w:t xml:space="preserve">BioNTech and CureVac have agreed that CureVac is permitted to enter into transaction bonus agreements with up to 14 identified individuals providing for an aggregate amount not to exceed $13.8 million, with up to $8,914,700 of that payable to members of CureVac’s management board. With respect to such amount payable to CureVac’s management board, $5,094,700 will be payable following the closing of the offer and $3,820,000 will be subject to adjustments depending on the realization of certain contingent liabilities of CureVac. The transaction bonuses will be settled in restricted stock units of BioNTech. </w:t>
      </w:r>
    </w:p>
    <w:p>
      <w:pPr>
        <w:pStyle w:val="TextBody"/>
        <w:bidi w:val="0"/>
        <w:spacing w:before="24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240" w:after="0"/>
        <w:jc w:val="left"/>
        <w:rPr>
          <w:rFonts w:ascii="Times New Roman" w:hAnsi="Times New Roman"/>
          <w:sz w:val="20"/>
        </w:rPr>
      </w:pPr>
      <w:r>
        <w:rPr>
          <w:rFonts w:ascii="Times New Roman" w:hAnsi="Times New Roman"/>
          <w:sz w:val="20"/>
        </w:rPr>
        <w:t xml:space="preserve">Certain members of the CureVac boards hold CureVac PSUs, CureVac RSUs, or CureVac options. The outstanding CureVac PSUs, CureVac RSUs, and CureVac options will be treated as described in “The Offer — Treatment of CureVac Equity Awards” beginning on page 55.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CureVac Share Ownership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CureVac shares held by each member of the CureVac boards that are outstanding as of October 17, 2025, the last practicable date prior to the commencement of the offer, and not subject to any vesting restrictions. As of October 17, 2025, the members of the CureVac boards beneficially owned, in the aggregate, 395,998 CureVac shares, excluding CureVac shares subject to any vesting restrictions. The table also sets forth the implied value of these CureVac shares, assuming the BioNTech ADS VWAP falls within the collar such that $5.4641 in BioNTech ADSs is delivered per CureVac share. The amounts set forth in the table below do not take into account any accelerated vesting of equity awards (which are described above). No additional CureVac shares were granted to any member of the CureVac boards in contemplation of the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5"/>
        <w:gridCol w:w="297"/>
        <w:gridCol w:w="78"/>
        <w:gridCol w:w="1062"/>
        <w:gridCol w:w="60"/>
        <w:gridCol w:w="297"/>
        <w:gridCol w:w="60"/>
        <w:gridCol w:w="1282"/>
        <w:gridCol w:w="64"/>
      </w:tblGrid>
      <w:tr>
        <w:trPr/>
        <w:tc>
          <w:tcPr>
            <w:tcW w:w="45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Company</w:t>
              <w:br/>
              <w:t>Shares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Implied</w:t>
              <w:br/>
              <w:t>Value ($)</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Management Board Members</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Alexander Zehnder</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79,346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433,554.48</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Axel Sven Malkomes</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1,805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9,862.70</w:t>
            </w:r>
          </w:p>
        </w:tc>
        <w:tc>
          <w:tcPr>
            <w:tcW w:w="64"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Myriam Mendila</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21,766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118,931.60</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Malte Greune</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33,549</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183,315.09</w:t>
            </w:r>
          </w:p>
        </w:tc>
        <w:tc>
          <w:tcPr>
            <w:tcW w:w="64"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Thaminda Ramanayake</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6,401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34,975.70</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Supervisory Board Members</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Baron Jean Stéphenne</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40,495</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221,268.73</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Mathias Hothum</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124,811</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681,979.79</w:t>
            </w:r>
          </w:p>
        </w:tc>
        <w:tc>
          <w:tcPr>
            <w:tcW w:w="64"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Craig A. Tooman</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27,793</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151,863.73</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Debra Barker</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22,686</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123,958.57</w:t>
            </w:r>
          </w:p>
        </w:tc>
        <w:tc>
          <w:tcPr>
            <w:tcW w:w="64"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Klaus Schollmeier</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17,597</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96,151.77</w:t>
            </w:r>
          </w:p>
        </w:tc>
        <w:tc>
          <w:tcPr>
            <w:tcW w:w="64"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Brosnan</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19,749</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107,910.51</w:t>
            </w:r>
          </w:p>
        </w:tc>
        <w:tc>
          <w:tcPr>
            <w:tcW w:w="64" w:type="dxa"/>
            <w:tcBorders/>
            <w:shd w:fill="CCEEFF" w:val="clear"/>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395,998</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2,163,772.67</w:t>
            </w:r>
          </w:p>
        </w:tc>
        <w:tc>
          <w:tcPr>
            <w:tcW w:w="64" w:type="dxa"/>
            <w:tcBorders/>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 Agreements with CureVac Management Board Members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CureVac will agree with each member of the CureVac management board resigning in connection with the transactions that such members will retain their right to receive, at the closing of the offer, payment by CureVac of severance post-contractual and non-compete compensation in accordance with the terms of the service agreements entered into between CureVac and such individuals as if such service agreement had been terminated by CureVac with effect from the closing of the offer other than for urgent cause, as set out in such service agreement. </w:t>
      </w:r>
    </w:p>
    <w:p>
      <w:pPr>
        <w:pStyle w:val="TextBody"/>
        <w:bidi w:val="0"/>
        <w:spacing w:before="240" w:after="0"/>
        <w:jc w:val="left"/>
        <w:rPr>
          <w:rFonts w:ascii="Times New Roman" w:hAnsi="Times New Roman"/>
          <w:sz w:val="20"/>
        </w:rPr>
      </w:pPr>
      <w:r>
        <w:rPr>
          <w:rFonts w:ascii="Times New Roman" w:hAnsi="Times New Roman"/>
          <w:sz w:val="20"/>
        </w:rPr>
        <w:t xml:space="preserve">BioNTech or its subsidiaries intend to enter into service agreements with the resigning members of the CureVac management board in connection with the closing of the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Post-Closing Employee Benefits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BioNTech has agreed to certain matters relating to the treatment of individuals who are employed by CureVac or any of its subsidiaries immediately prior to the closing of the offer and who remain employed by BioNTech or an affiliate as of immediately following the closing of the offer, including with respect to compensation, bonus, and benefits. For a more detailed description of the provisions of the Purchase Agreement relating to such matters, see “The Purchase Agreement — Covenants and Agreements — Employee Matters” beginning on page 112.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Continued Indemnification and Insurance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CureVac supervisory and management directors will be entitled to certain on-going indemnification and coverage under directors’ and officers’ liability insurance policies following the closing of the offer. For a more detailed description of the provisions of the Purchase Agreement relating to such indemnification, see “The Purchase Agreement — Covenants and Agreements — Director and Officer Liability” beginning on page 111.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847647_44"/>
      <w:bookmarkEnd w:id="47"/>
      <w:r>
        <w:rPr>
          <w:rFonts w:ascii="Times New Roman" w:hAnsi="Times New Roman"/>
          <w:b/>
          <w:sz w:val="20"/>
        </w:rPr>
        <w:t xml:space="preserve">THE OFFER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the material aspects of the offer. While BioNTech believes that the following description covers the material terms of the offer, the description may not contain all of the information that is important to CureVac shareholders. BioNTech encourages CureVac shareholders to carefully read this entire offer to exchange/prospectus, including the Purchase Agreement and the other documents attached to this offer to exchange/prospectus and incorporated herein by reference, for a more complete understanding of the offer. </w:t>
      </w:r>
    </w:p>
    <w:p>
      <w:pPr>
        <w:pStyle w:val="TextBody"/>
        <w:bidi w:val="0"/>
        <w:spacing w:before="240" w:after="0"/>
        <w:jc w:val="left"/>
        <w:rPr>
          <w:rFonts w:ascii="Times New Roman" w:hAnsi="Times New Roman"/>
          <w:b/>
          <w:sz w:val="20"/>
        </w:rPr>
      </w:pPr>
      <w:bookmarkStart w:id="48" w:name="toc847647_45"/>
      <w:bookmarkEnd w:id="48"/>
      <w:r>
        <w:rPr>
          <w:rFonts w:ascii="Times New Roman" w:hAnsi="Times New Roman"/>
          <w:b/>
          <w:sz w:val="20"/>
        </w:rPr>
        <w:t xml:space="preserve">Offer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BioNTech will commence an exchange offer for all of the outstanding CureVac shares. In exchange for each CureVac share, the tendering CureVac shareholder will receive a number of BioNTech ADSs equal to the quotient (rounded to five decimal places) obtained by dividing (i) $5.4641 by (ii) the volume-weighted average of the price per BioNTech ADS (rounded to four decimal places)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 </w:t>
      </w:r>
    </w:p>
    <w:p>
      <w:pPr>
        <w:pStyle w:val="TextBody"/>
        <w:bidi w:val="0"/>
        <w:spacing w:before="240" w:after="0"/>
        <w:jc w:val="left"/>
        <w:rPr>
          <w:rFonts w:ascii="Times New Roman" w:hAnsi="Times New Roman"/>
          <w:sz w:val="20"/>
        </w:rPr>
      </w:pPr>
      <w:r>
        <w:rPr>
          <w:rFonts w:ascii="Times New Roman" w:hAnsi="Times New Roman"/>
          <w:sz w:val="20"/>
        </w:rPr>
        <w:t xml:space="preserve">BioNTech will only deliver whole BioNTech ADSs in the offer. To the extent a CureVac shareholder otherwise would be entitled to a fractional BioNTech ADS as a result of the application of the exchange ratio, such shareholder will instead receive an amount in cash, without interest and less any applicable tax withholding, equal to the product of (i) the fractional BioNTech ADS interest such shareholder otherwise would be entitled to and (ii) the BioNTech ADS VWAP, rounded to the nearest cent. </w:t>
      </w:r>
    </w:p>
    <w:p>
      <w:pPr>
        <w:pStyle w:val="TextBody"/>
        <w:bidi w:val="0"/>
        <w:spacing w:before="240" w:after="0"/>
        <w:jc w:val="left"/>
        <w:rPr>
          <w:rFonts w:ascii="Times New Roman" w:hAnsi="Times New Roman"/>
          <w:b/>
          <w:sz w:val="20"/>
        </w:rPr>
      </w:pPr>
      <w:bookmarkStart w:id="49" w:name="toc847647_46"/>
      <w:bookmarkEnd w:id="49"/>
      <w:r>
        <w:rPr>
          <w:rFonts w:ascii="Times New Roman" w:hAnsi="Times New Roman"/>
          <w:b/>
          <w:sz w:val="20"/>
        </w:rPr>
        <w:t xml:space="preserve">Sample Calculation of the Offer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1"/>
        <w:gridCol w:w="1568"/>
        <w:gridCol w:w="1007"/>
        <w:gridCol w:w="1568"/>
        <w:gridCol w:w="733"/>
        <w:gridCol w:w="1568"/>
        <w:gridCol w:w="860"/>
      </w:tblGrid>
      <w:tr>
        <w:trPr/>
        <w:tc>
          <w:tcPr>
            <w:tcW w:w="2901" w:type="dxa"/>
            <w:tcBorders/>
            <w:vAlign w:val="center"/>
          </w:tcPr>
          <w:p>
            <w:pPr>
              <w:pStyle w:val="TableContents"/>
              <w:bidi w:val="0"/>
              <w:spacing w:before="0" w:after="283"/>
              <w:jc w:val="left"/>
              <w:rPr>
                <w:sz w:val="4"/>
                <w:szCs w:val="4"/>
              </w:rPr>
            </w:pPr>
            <w:r>
              <w:rPr>
                <w:sz w:val="4"/>
                <w:szCs w:val="4"/>
              </w:rPr>
            </w:r>
          </w:p>
        </w:tc>
        <w:tc>
          <w:tcPr>
            <w:tcW w:w="1568" w:type="dxa"/>
            <w:tcBorders/>
            <w:vAlign w:val="bottom"/>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68" w:type="dxa"/>
            <w:tcBorders/>
            <w:vAlign w:val="bottom"/>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8"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90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BioNTech ADS</w:t>
            </w:r>
          </w:p>
          <w:p>
            <w:pPr>
              <w:pStyle w:val="TableContents"/>
              <w:bidi w:val="0"/>
              <w:spacing w:before="0" w:after="20"/>
              <w:jc w:val="center"/>
              <w:rPr>
                <w:rFonts w:ascii="Times New Roman" w:hAnsi="Times New Roman"/>
                <w:b/>
                <w:sz w:val="16"/>
              </w:rPr>
            </w:pPr>
            <w:r>
              <w:rPr>
                <w:rFonts w:ascii="Times New Roman" w:hAnsi="Times New Roman"/>
                <w:b/>
                <w:sz w:val="16"/>
              </w:rPr>
              <w:t>VWAP</w:t>
            </w:r>
          </w:p>
        </w:tc>
        <w:tc>
          <w:tcPr>
            <w:tcW w:w="156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Exchange Ratio (After</w:t>
            </w:r>
          </w:p>
          <w:p>
            <w:pPr>
              <w:pStyle w:val="TableContents"/>
              <w:bidi w:val="0"/>
              <w:spacing w:before="0" w:after="20"/>
              <w:jc w:val="center"/>
              <w:rPr>
                <w:rFonts w:ascii="Times New Roman" w:hAnsi="Times New Roman"/>
                <w:b/>
                <w:sz w:val="16"/>
              </w:rPr>
            </w:pPr>
            <w:r>
              <w:rPr>
                <w:rFonts w:ascii="Times New Roman" w:hAnsi="Times New Roman"/>
                <w:b/>
                <w:sz w:val="16"/>
              </w:rPr>
              <w:t>Collar Adjustment)</w:t>
            </w:r>
          </w:p>
        </w:tc>
        <w:tc>
          <w:tcPr>
            <w:tcW w:w="1568"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BioNTech ADSs</w:t>
            </w:r>
          </w:p>
          <w:p>
            <w:pPr>
              <w:pStyle w:val="TableContents"/>
              <w:bidi w:val="0"/>
              <w:spacing w:before="0" w:after="20"/>
              <w:jc w:val="center"/>
              <w:rPr>
                <w:rFonts w:ascii="Times New Roman" w:hAnsi="Times New Roman"/>
                <w:b/>
                <w:sz w:val="16"/>
              </w:rPr>
            </w:pPr>
            <w:r>
              <w:rPr>
                <w:rFonts w:ascii="Times New Roman" w:hAnsi="Times New Roman"/>
                <w:b/>
                <w:sz w:val="16"/>
              </w:rPr>
              <w:t>Received</w:t>
            </w:r>
          </w:p>
        </w:tc>
        <w:tc>
          <w:tcPr>
            <w:tcW w:w="1568"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Cash Paid In Lieu of</w:t>
            </w:r>
          </w:p>
          <w:p>
            <w:pPr>
              <w:pStyle w:val="TableContents"/>
              <w:bidi w:val="0"/>
              <w:spacing w:before="0" w:after="0"/>
              <w:jc w:val="center"/>
              <w:rPr>
                <w:rFonts w:ascii="Times New Roman" w:hAnsi="Times New Roman"/>
                <w:b/>
                <w:sz w:val="16"/>
              </w:rPr>
            </w:pPr>
            <w:r>
              <w:rPr>
                <w:rFonts w:ascii="Times New Roman" w:hAnsi="Times New Roman"/>
                <w:b/>
                <w:sz w:val="16"/>
              </w:rPr>
              <w:t>Fractional BioNTech</w:t>
            </w:r>
          </w:p>
          <w:p>
            <w:pPr>
              <w:pStyle w:val="TableContents"/>
              <w:bidi w:val="0"/>
              <w:spacing w:before="0" w:after="20"/>
              <w:jc w:val="center"/>
              <w:rPr>
                <w:rFonts w:ascii="Times New Roman" w:hAnsi="Times New Roman"/>
                <w:b/>
                <w:sz w:val="16"/>
              </w:rPr>
            </w:pPr>
            <w:r>
              <w:rPr>
                <w:rFonts w:ascii="Times New Roman" w:hAnsi="Times New Roman"/>
                <w:b/>
                <w:sz w:val="16"/>
              </w:rPr>
              <w:t>ADS</w:t>
            </w:r>
          </w:p>
        </w:tc>
      </w:tr>
      <w:tr>
        <w:trPr/>
        <w:tc>
          <w:tcPr>
            <w:tcW w:w="2901" w:type="dxa"/>
            <w:tcBorders/>
          </w:tcPr>
          <w:p>
            <w:pPr>
              <w:pStyle w:val="TableContents"/>
              <w:bidi w:val="0"/>
              <w:spacing w:before="0" w:after="283"/>
              <w:jc w:val="center"/>
              <w:rPr/>
            </w:pPr>
            <w:r>
              <w:rPr/>
              <w:t>$80.00 (below collar)</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0.06476x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6</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$38.08</w:t>
            </w:r>
          </w:p>
        </w:tc>
      </w:tr>
      <w:tr>
        <w:trPr/>
        <w:tc>
          <w:tcPr>
            <w:tcW w:w="2901" w:type="dxa"/>
            <w:tcBorders/>
          </w:tcPr>
          <w:p>
            <w:pPr>
              <w:pStyle w:val="TableContents"/>
              <w:bidi w:val="0"/>
              <w:spacing w:before="0" w:after="283"/>
              <w:jc w:val="center"/>
              <w:rPr/>
            </w:pPr>
            <w:r>
              <w:rPr/>
              <w:t>$90</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0.06071x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6</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$6.39</w:t>
            </w:r>
          </w:p>
        </w:tc>
      </w:tr>
      <w:tr>
        <w:trPr/>
        <w:tc>
          <w:tcPr>
            <w:tcW w:w="2901" w:type="dxa"/>
            <w:tcBorders/>
          </w:tcPr>
          <w:p>
            <w:pPr>
              <w:pStyle w:val="TableContents"/>
              <w:bidi w:val="0"/>
              <w:spacing w:before="0" w:after="283"/>
              <w:jc w:val="center"/>
              <w:rPr/>
            </w:pPr>
            <w:r>
              <w:rPr/>
              <w:t>$100</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0.05464x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5</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$46.40</w:t>
            </w:r>
          </w:p>
        </w:tc>
      </w:tr>
      <w:tr>
        <w:trPr/>
        <w:tc>
          <w:tcPr>
            <w:tcW w:w="2901" w:type="dxa"/>
            <w:tcBorders/>
          </w:tcPr>
          <w:p>
            <w:pPr>
              <w:pStyle w:val="TableContents"/>
              <w:bidi w:val="0"/>
              <w:spacing w:before="0" w:after="283"/>
              <w:jc w:val="center"/>
              <w:rPr/>
            </w:pPr>
            <w:r>
              <w:rPr/>
              <w:t>$110</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0.04967x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4</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$106.37</w:t>
            </w:r>
          </w:p>
        </w:tc>
      </w:tr>
      <w:tr>
        <w:trPr/>
        <w:tc>
          <w:tcPr>
            <w:tcW w:w="2901" w:type="dxa"/>
            <w:tcBorders/>
          </w:tcPr>
          <w:p>
            <w:pPr>
              <w:pStyle w:val="TableContents"/>
              <w:bidi w:val="0"/>
              <w:spacing w:before="0" w:after="283"/>
              <w:jc w:val="center"/>
              <w:rPr/>
            </w:pPr>
            <w:r>
              <w:rPr/>
              <w:t>$120</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0.04553x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4</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$66.36</w:t>
            </w:r>
          </w:p>
        </w:tc>
      </w:tr>
      <w:tr>
        <w:trPr/>
        <w:tc>
          <w:tcPr>
            <w:tcW w:w="2901" w:type="dxa"/>
            <w:tcBorders/>
          </w:tcPr>
          <w:p>
            <w:pPr>
              <w:pStyle w:val="TableContents"/>
              <w:bidi w:val="0"/>
              <w:spacing w:before="0" w:after="283"/>
              <w:jc w:val="center"/>
              <w:rPr/>
            </w:pPr>
            <w:r>
              <w:rPr/>
              <w:t>$130 (above collar)</w:t>
            </w:r>
          </w:p>
        </w:tc>
        <w:tc>
          <w:tcPr>
            <w:tcW w:w="1568"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0.04318x</w:t>
            </w:r>
          </w:p>
        </w:tc>
        <w:tc>
          <w:tcPr>
            <w:tcW w:w="1568" w:type="dxa"/>
            <w:tcBorders/>
            <w:vAlign w:val="bottom"/>
          </w:tcPr>
          <w:p>
            <w:pPr>
              <w:pStyle w:val="TableContents"/>
              <w:bidi w:val="0"/>
              <w:spacing w:before="0" w:after="283"/>
              <w:jc w:val="left"/>
              <w:rPr/>
            </w:pPr>
            <w:r>
              <w:rPr/>
              <w:t>  </w:t>
            </w:r>
          </w:p>
        </w:tc>
        <w:tc>
          <w:tcPr>
            <w:tcW w:w="733" w:type="dxa"/>
            <w:tcBorders/>
          </w:tcPr>
          <w:p>
            <w:pPr>
              <w:pStyle w:val="TableContents"/>
              <w:bidi w:val="0"/>
              <w:spacing w:before="0" w:after="283"/>
              <w:jc w:val="center"/>
              <w:rPr/>
            </w:pPr>
            <w:r>
              <w:rPr/>
              <w:t>4</w:t>
            </w:r>
          </w:p>
        </w:tc>
        <w:tc>
          <w:tcPr>
            <w:tcW w:w="1568"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$41.34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For example, BioNTech will announce, by issuing a press release no later than 9:00 a.m. (New York City time) on November 26, 2025, the number of BioNTech ADSs to be received in exchange for each CureVac share if the offer expires at 9:00 a.m. (New York City time) on December 3, 2025.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0" w:name="toc847647_47"/>
      <w:bookmarkEnd w:id="50"/>
      <w:r>
        <w:rPr>
          <w:rFonts w:ascii="Times New Roman" w:hAnsi="Times New Roman"/>
          <w:b/>
          <w:sz w:val="20"/>
        </w:rPr>
        <w:t xml:space="preserve">Treatment of CureVac Equity Awards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CureVac VSOP Awards </w:t>
      </w:r>
    </w:p>
    <w:p>
      <w:pPr>
        <w:pStyle w:val="TextBody"/>
        <w:bidi w:val="0"/>
        <w:spacing w:before="120" w:after="0"/>
        <w:jc w:val="left"/>
        <w:rPr>
          <w:rFonts w:ascii="Times New Roman" w:hAnsi="Times New Roman"/>
          <w:sz w:val="20"/>
        </w:rPr>
      </w:pPr>
      <w:r>
        <w:rPr>
          <w:rFonts w:ascii="Times New Roman" w:hAnsi="Times New Roman"/>
          <w:sz w:val="20"/>
        </w:rPr>
        <w:t xml:space="preserve">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CureVac PSUs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CureVac RSUs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CureVac Options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 </w:t>
      </w:r>
    </w:p>
    <w:p>
      <w:pPr>
        <w:pStyle w:val="TextBody"/>
        <w:bidi w:val="0"/>
        <w:spacing w:before="240" w:after="0"/>
        <w:jc w:val="left"/>
        <w:rPr>
          <w:rFonts w:ascii="Times New Roman" w:hAnsi="Times New Roman"/>
          <w:b/>
          <w:sz w:val="20"/>
        </w:rPr>
      </w:pPr>
      <w:bookmarkStart w:id="51" w:name="toc847647_48"/>
      <w:bookmarkEnd w:id="51"/>
      <w:r>
        <w:rPr>
          <w:rFonts w:ascii="Times New Roman" w:hAnsi="Times New Roman"/>
          <w:b/>
          <w:sz w:val="20"/>
        </w:rPr>
        <w:t xml:space="preserve">Procedures for Tendering </w:t>
      </w:r>
    </w:p>
    <w:p>
      <w:pPr>
        <w:pStyle w:val="TextBody"/>
        <w:bidi w:val="0"/>
        <w:spacing w:before="120" w:after="0"/>
        <w:jc w:val="left"/>
        <w:rPr>
          <w:rFonts w:ascii="Times New Roman" w:hAnsi="Times New Roman"/>
          <w:sz w:val="20"/>
        </w:rPr>
      </w:pPr>
      <w:r>
        <w:rPr>
          <w:rFonts w:ascii="Times New Roman" w:hAnsi="Times New Roman"/>
          <w:sz w:val="20"/>
        </w:rPr>
        <w:t xml:space="preserve">Upon commencement of the offer, BioNTech will mail, or cause to be mailed, this offer to exchange/prospectus, together with the letter of transmittal, to all CureVac shareholders, in accordance with Rule 14d-4 under the Exchange Act. If you hold your shares through a broker, dealer, commercial bank, trust company, or other nominee, such person may receive such materials and may relay them to you in accordance with the arrangements governing that relationship. </w:t>
      </w:r>
    </w:p>
    <w:p>
      <w:pPr>
        <w:pStyle w:val="TextBody"/>
        <w:bidi w:val="0"/>
        <w:spacing w:before="240" w:after="0"/>
        <w:jc w:val="left"/>
        <w:rPr>
          <w:rFonts w:ascii="Times New Roman" w:hAnsi="Times New Roman"/>
          <w:sz w:val="20"/>
        </w:rPr>
      </w:pPr>
      <w:r>
        <w:rPr>
          <w:rFonts w:ascii="Times New Roman" w:hAnsi="Times New Roman"/>
          <w:sz w:val="20"/>
        </w:rPr>
        <w:t xml:space="preserve">For you to validly tender your CureVac shares pursuant to the offer, prior to the expiration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held in “street” name and are being tendered by book-entry transfer into an account maintained at DTC, the following must be received by the exchange agent in connection with the offer, at one of its addresses set forth in the letter of transmittal prior to the expiration time: (i) the letter of transmittal, properly completed and duly executed, or an agent’s message; (ii) a book-entry confirmation from DTC; and (iii) any other required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through a broker, dealer, commercial bank, trust company, or other nominee, you must contact your broker, dealer, commercial bank, trust company, or other nominee and give instructions that your shares be tendered.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“agent’s message” means a message transmitted by DTC to, and received by, the exchange agent and forming a part of a book-entry confirmation, which states that DTC has received an express acknowledgment from DTC participant tendering the CureVac shares that are the subject of such book-entry confirmation, that such participant has received and agrees to be bound by the terms of the letter of transmittal and that BioNTech may enforce that agreement against such participant.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will establish an account with respect to the CureVac shares at DTC for purposes of the offer, and any eligible institution that is a participant in DTC may make book-entry delivery of the CureVac shares by causing DTC to transfer such shares into the exchange agent’s account at DTC in accordance with DTC’s procedure for the transfer. Delivery of documents to DTC does not constitute delivery to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Do not send letters of transmittal to BioNTech or CureVac. Letters of transmittal for CureVac shares should be sent to the exchange agent at an address listed on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Trustees, executors, administrators, guardians, attorneys-in-fact, officers of corporations, or others acting in a fiduciary or representative capacity who sign a letter of transmittal or any stock powers must indicate the capacity in which they are signing and must submit evidence of their power to act in that capacity unless waived by BioNTech. </w:t>
      </w:r>
    </w:p>
    <w:p>
      <w:pPr>
        <w:pStyle w:val="TextBody"/>
        <w:bidi w:val="0"/>
        <w:spacing w:before="240" w:after="0"/>
        <w:jc w:val="left"/>
        <w:rPr>
          <w:rFonts w:ascii="Times New Roman" w:hAnsi="Times New Roman"/>
          <w:sz w:val="20"/>
        </w:rPr>
      </w:pPr>
      <w:r>
        <w:rPr>
          <w:rFonts w:ascii="Times New Roman" w:hAnsi="Times New Roman"/>
          <w:sz w:val="20"/>
        </w:rPr>
        <w:t xml:space="preserve">The method of delivery of CureVac shares and all other required documents, including delivery through DTC, is at the option and risk of the tendering CureVac shareholder, and delivery will be deemed made only when actually received by the exchange agent. If delivery is by mail, BioNTech recommends registered mail with return receipt requested and properly insured. In all cases, CureVac shareholders should allow sufficient time to ensure timely delivery. </w:t>
      </w:r>
    </w:p>
    <w:p>
      <w:pPr>
        <w:pStyle w:val="TextBody"/>
        <w:bidi w:val="0"/>
        <w:spacing w:before="240" w:after="0"/>
        <w:jc w:val="left"/>
        <w:rPr>
          <w:rFonts w:ascii="Times New Roman" w:hAnsi="Times New Roman"/>
          <w:b/>
          <w:sz w:val="20"/>
        </w:rPr>
      </w:pPr>
      <w:bookmarkStart w:id="52" w:name="toc847647_49"/>
      <w:bookmarkEnd w:id="52"/>
      <w:r>
        <w:rPr>
          <w:rFonts w:ascii="Times New Roman" w:hAnsi="Times New Roman"/>
          <w:b/>
          <w:sz w:val="20"/>
        </w:rPr>
        <w:t xml:space="preserve">No Guaranteed Delivery </w:t>
      </w:r>
    </w:p>
    <w:p>
      <w:pPr>
        <w:pStyle w:val="TextBody"/>
        <w:bidi w:val="0"/>
        <w:spacing w:before="120" w:after="0"/>
        <w:jc w:val="left"/>
        <w:rPr>
          <w:rFonts w:ascii="Times New Roman" w:hAnsi="Times New Roman"/>
          <w:sz w:val="20"/>
        </w:rPr>
      </w:pPr>
      <w:r>
        <w:rPr>
          <w:rFonts w:ascii="Times New Roman" w:hAnsi="Times New Roman"/>
          <w:sz w:val="20"/>
        </w:rPr>
        <w:t xml:space="preserve">BioNTech is not providing for guaranteed delivery procedures, and therefore CureVac shareholders must allow sufficient time for the necessary tender procedures to be completed during normal business hours of DTC and the exchange agent, prior to the expiration time. DTC’s cutoff for the processing of instructions for transactions like the offer is 6:00 p.m. (New York City time). Therefore, as a practical matter, instructions to be transmitted via DTC must be submitted by that time on the business day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CureVac shareholders must tender their CureVac shares in accordance with the procedures set forth in this offer to exchange/prospectus. In all cases, BioNTech will exchange shares validly tendered and accepted for exchange pursuant to the offer only after timely receipt by the exchange agent of shares (or timely confirmation of a book-entry transfer of such shares into the exchange agent’s account at DTC as described elsewhere in this offer to exchange/prospectus), a properly completed and duly executed letter of transmittal (or an agent’s message in connection with a book-entry transfer), and any other required documents. </w:t>
      </w:r>
    </w:p>
    <w:p>
      <w:pPr>
        <w:pStyle w:val="TextBody"/>
        <w:bidi w:val="0"/>
        <w:spacing w:before="360" w:after="0"/>
        <w:jc w:val="left"/>
        <w:rPr>
          <w:rFonts w:ascii="Times New Roman" w:hAnsi="Times New Roman"/>
          <w:b/>
          <w:sz w:val="20"/>
        </w:rPr>
      </w:pPr>
      <w:bookmarkStart w:id="53" w:name="toc847647_50"/>
      <w:bookmarkEnd w:id="53"/>
      <w:r>
        <w:rPr>
          <w:rFonts w:ascii="Times New Roman" w:hAnsi="Times New Roman"/>
          <w:b/>
          <w:sz w:val="20"/>
        </w:rPr>
        <w:t xml:space="preserve">Acceptance for Exchange of CureVac Shares; Delivery of BioNTech ADSs; Capital Increases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of, and subject to the conditions to, the offer, including the terms and conditions of any extension or amendment, BioNTech is required to accept for exchange CureVac shares validly tendered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withdrawn promptly following the expiration time (and, in any event, within two business days thereafter). For purposes of the offer, BioNTech will be deemed to have accepted for exchange, and thereby acquired, CureVac shares that are validly tendered in the offer and not validly withdrawn prior to the expiration time as, if, and when BioNTech gives oral or written notice to the exchange agent of BioNTech’s acceptance for exchange of such shares. BioNTech will immediately accept CureVac shares tendered during the subsequent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On the terms of, and subject to the conditions to, the offer, the delivery of consideration for CureVac shares that are accepted for exchange will be made by delivery of the BioNTech ADSs (and the deposit of any cash to be paid in lieu of fractional BioNTech ADS) to the exchange agent, which will act as an agent for CureVac shareholders tendering shares for the purpose of receiving the offer consideration from BioNTech and transmitting payment to such CureVac shareholders whose CureVac shares have been accepted for exchange. </w:t>
      </w:r>
    </w:p>
    <w:p>
      <w:pPr>
        <w:pStyle w:val="TextBody"/>
        <w:bidi w:val="0"/>
        <w:spacing w:before="240" w:after="0"/>
        <w:jc w:val="left"/>
        <w:rPr>
          <w:rFonts w:ascii="Times New Roman" w:hAnsi="Times New Roman"/>
          <w:sz w:val="20"/>
        </w:rPr>
      </w:pPr>
      <w:r>
        <w:rPr>
          <w:rFonts w:ascii="Times New Roman" w:hAnsi="Times New Roman"/>
          <w:sz w:val="20"/>
        </w:rPr>
        <w:t xml:space="preserve">If BioNTech is delayed in its acceptance of, or delivery of consideration for, CureVac shares that are tendered, for any reason, including as described below, then, without prejudice to BioNTech’s rights (but subject to compliance with Rule 14e-1(c) under the Exchange Act (relating to a bidder’s obligation to pay for or return tendered securities promptly after the termination or withdrawal of such bidder’s offer) and the terms of the Purchase Agreement), the exchange agent may, nevertheless, on behalf of BioNTech, retain CureVac shares that are tendered, and such shares may not be withdrawn except to the extent that shareholders tendering such shares are entitled to do so as described below under “The Offer — Withdrawal Rights” or as otherwise contemplated by federal securities laws. You will not receive any interest or other compensation for the period between the date on which you tender your CureVac shares in the offer or the subsequent offering period and the date on which you receive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BioNTech ADSs to tendering CureVac shareholders will only be made after BioNTech’s ordinary shares that will underly the BioNTech ADSs constituting the offer consideration have been validly issued and assigned or transferred to the depositary, after which the BioNTech ADSs will be transferred to the exchange agent,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BioNTech must initiate a share capital increase promptly following the acceptance time, but in any event no later than the fifth business day thereafter. BioNTech must then initiate an additional share capital increase promptly following the expiration of the subsequent offering period, but in any event no later than the fifth business day thereafter. Under the Purchase Agreement, BioNTech must use reasonable best efforts to ensure the capital increases become effective as soon as reasonably possible after filing the applicable registration. BioNTech is obligated to deliver BioNTech ADSs and settle the initial offer and subsequent offering period within 10 business days of the effectiveness of the first and second capital increases, respectively. </w:t>
      </w:r>
    </w:p>
    <w:p>
      <w:pPr>
        <w:pStyle w:val="TextBody"/>
        <w:bidi w:val="0"/>
        <w:spacing w:before="240" w:after="0"/>
        <w:jc w:val="left"/>
        <w:rPr>
          <w:rFonts w:ascii="Times New Roman" w:hAnsi="Times New Roman"/>
          <w:sz w:val="20"/>
        </w:rPr>
      </w:pPr>
      <w:r>
        <w:rPr>
          <w:rFonts w:ascii="Times New Roman" w:hAnsi="Times New Roman"/>
          <w:sz w:val="20"/>
        </w:rPr>
        <w:t>Prior to the commencement of the offer, the BioNTech management board (with the consent of the BioNTech supervisory board) resolved in-principle to increase BioNTech’s share capital against contribution in kind with exclusion of preemptive rights (</w:t>
      </w:r>
      <w:r>
        <w:rPr>
          <w:rFonts w:ascii="Times New Roman" w:hAnsi="Times New Roman"/>
          <w:i/>
          <w:sz w:val="20"/>
        </w:rPr>
        <w:t>Sachkapitalerhöhung mit Bezugsrechtsausschluss</w:t>
      </w:r>
      <w:r>
        <w:rPr>
          <w:rFonts w:ascii="Times New Roman" w:hAnsi="Times New Roman"/>
          <w:sz w:val="20"/>
        </w:rPr>
        <w:t>) through the issuance of new BioNTech ordinary shares against contribution of validly tendered CureVac shares, utilizing the authorized capital 2025. To issue a definitive number of BioNTech ordinary shares that will underly the BioNTech ADSs constituting the offer consideration, the BioNTech management board (with the consent of the BioNTech supervisory board) is expected to resolve following (i) the acceptance time and (ii) the expiration of the subsequent offering period to increase BioNTech’s share capital against contribution in kind with exclusion of preemptive rights (</w:t>
      </w:r>
      <w:r>
        <w:rPr>
          <w:rFonts w:ascii="Times New Roman" w:hAnsi="Times New Roman"/>
          <w:i/>
          <w:sz w:val="20"/>
        </w:rPr>
        <w:t>Sachkapitalerhöhung mit Bezugsrechtsausschluss</w:t>
      </w:r>
      <w:r>
        <w:rPr>
          <w:rFonts w:ascii="Times New Roman" w:hAnsi="Times New Roman"/>
          <w:sz w:val="20"/>
        </w:rPr>
        <w:t xml:space="preserve">) of CureVac shares validly tendered by the end of any such period by the corresponding amount through the issuance of the corresponding number of new BioNTech ordinary shares. The new BioNTech ordinary shares that will underly the BioNTech ADSs constituting the offer consideration will be subscribed by, and issued to, Joh. Berenberg, Gossler &amp; Co. KG, which we refer to as the subscription agent, in trust for the benefit of the CureVac shareholders having validly tendered their CureVac shares by the end of any such period. Such capital increase will be effected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allowing the subscription agent to execute a subscription certificate (</w:t>
      </w:r>
      <w:r>
        <w:rPr>
          <w:rFonts w:ascii="Times New Roman" w:hAnsi="Times New Roman"/>
          <w:i/>
          <w:sz w:val="20"/>
        </w:rPr>
        <w:t>Zeichnungsschein</w:t>
      </w:r>
      <w:r>
        <w:rPr>
          <w:rFonts w:ascii="Times New Roman" w:hAnsi="Times New Roman"/>
          <w:sz w:val="20"/>
        </w:rPr>
        <w:t xml:space="preserve">) in respect of the relevant number of shares, (b) seeing to the effectuation of the contribution-in-kind through a transfer by the exchange agent of the relevant tendered CureVac shares to the subscription agent and then by the subscription agent to BioNTech, (c) registering the implementation of such capital increase of BioNTech’s registered capital with BioNTech’s commercial register, which we each refer to as a share capital increase, and (d) issuing the new BioNTech ordinary shares that will underly the BioNTech ADSs constituting the offer consideration to the subscription agent in trust for the benefit of the relevant tendering CureVac shareholders, which we each refer to as a share issuance. Following the share issuances, BioNTech’s share capital may be increased from 248,552,200 by an amount equal to 1.00 per new BioNTech ordinary share required to be issued to permit the delivery of the requisite number of BioNTech ADSs constituting the offer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certificate (clause (a) above) is expected to be executed by the subscription agent promptly following the acceptance time or, as applicable, the expiration of the subsequent offering period and the transfer of the relevant tendered CureVac shares to the subscription agent and the transfer of all validly tendered CureVac shares by the subscription agent to BioNTech (clause (b) above) is expected to be made on that same day. The filing for the registration of the relevant share capital increase (clause (c) above) will be effected as soon as reasonably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 </w:t>
      </w:r>
    </w:p>
    <w:p>
      <w:pPr>
        <w:pStyle w:val="TextBody"/>
        <w:bidi w:val="0"/>
        <w:spacing w:before="240" w:after="0"/>
        <w:jc w:val="left"/>
        <w:rPr>
          <w:rFonts w:ascii="Times New Roman" w:hAnsi="Times New Roman"/>
          <w:sz w:val="20"/>
        </w:rPr>
      </w:pPr>
      <w:r>
        <w:rPr>
          <w:rFonts w:ascii="Times New Roman" w:hAnsi="Times New Roman"/>
          <w:sz w:val="20"/>
        </w:rPr>
        <w:t xml:space="preserve">As the competent court administering BioNTech’s commercial register is responsible for the processing of BioNTech’s application for registration of the relevant share capital increase and the exact timing of the registration process is therefore outside of BioNTech’s control, there may be delays in the effectiveness of the share capital increases and the creation of the BioNTech ordinary shares that will underly the BioNTech ADSs constituting the offer consideration and, thus, the transfer of the BioNTech ADSs constituting the offer consideration to tendering CureVac shareholders.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each share issuance, BioNTech will cause (i) the subscription agent to transfer to the depositary, in trust for the benefit of the relevant tendering CureVac shareholders, the BioNTech ordinary shares that will underly the BioNTech ADSs constituting the offer consideration, (ii) the depositary to issue to the exchange agent the BioNTech ADSs constituting the offer consideration, and (iii) the exchange agent to deliver the BioNTech ADSs constituting the offer consideration to the tendering CureVac shareholders and any cash in lieu of fractional BioNTech ADSs. BioNTech expects that the delivery of BioNTech ADSs to the tendering CureVac shareholders will take approximately 10 business days following the acceptance time or, as applicable, the expiration of the subsequent offering period, but it could be three weeks or more.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BioNTech cannot guarantee the precise timing of delivery of BioNTech ADSs in connection with the offer or the subsequent offering period. BioNTech is delivering the BioNTech ADSs in accordance with the requirements of German law and practice, consistent with Rule 14d-1(d)(2)(iv)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on the authorized capital 2025, see “Description of BioNTech Capital Stock — Future Changes to the Share Capital” beginning on page 124. </w:t>
      </w:r>
    </w:p>
    <w:p>
      <w:pPr>
        <w:pStyle w:val="TextBody"/>
        <w:bidi w:val="0"/>
        <w:spacing w:before="240" w:after="0"/>
        <w:jc w:val="left"/>
        <w:rPr>
          <w:rFonts w:ascii="Times New Roman" w:hAnsi="Times New Roman"/>
          <w:b/>
          <w:sz w:val="20"/>
        </w:rPr>
      </w:pPr>
      <w:bookmarkStart w:id="54" w:name="toc847647_51"/>
      <w:bookmarkEnd w:id="54"/>
      <w:r>
        <w:rPr>
          <w:rFonts w:ascii="Times New Roman" w:hAnsi="Times New Roman"/>
          <w:b/>
          <w:sz w:val="20"/>
        </w:rPr>
        <w:t xml:space="preserve">Effect of Tenders </w:t>
      </w:r>
    </w:p>
    <w:p>
      <w:pPr>
        <w:pStyle w:val="TextBody"/>
        <w:bidi w:val="0"/>
        <w:spacing w:before="120" w:after="0"/>
        <w:jc w:val="left"/>
        <w:rPr>
          <w:rFonts w:ascii="Times New Roman" w:hAnsi="Times New Roman"/>
          <w:sz w:val="20"/>
        </w:rPr>
      </w:pPr>
      <w:r>
        <w:rPr>
          <w:rFonts w:ascii="Times New Roman" w:hAnsi="Times New Roman"/>
          <w:sz w:val="20"/>
        </w:rPr>
        <w:t xml:space="preserve">A tender of CureVac shares pursuant to any of the procedures described above will constitute your acceptance of the terms and conditions of the offer, as well as your representation and warranty to BioNTech that, among other things, (i) you have the full power and authority to tender, sell, assign, and transfer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tendered shares (and any and all other CureVac shares or other securities issued or issuable in respect of such shares); and (ii) when the same are accepted for exchange, BioNTech will acquire good, marketable, and unencumbered title to such shares, free and clear of all liens, restrictions, charges, and encumbrances, and not subject to any adverse claims. You should carefully review the representations and warranties included in the letter of transmittal, all of which you will be deemed to give upon tendering your CureVac shares.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CureVac shares validly tendered and accepted for exchange pursuant to the offer will be made only after timely receipt by the exchange agent of (i) the letter of transmittal for the CureVac shares, properly completed and duly executed, with any required signature guarantees, or, in the case of a book-entry transfer through DTC, an agent’s message, and (ii)  any other required documents. </w:t>
      </w:r>
    </w:p>
    <w:p>
      <w:pPr>
        <w:pStyle w:val="TextBody"/>
        <w:bidi w:val="0"/>
        <w:spacing w:before="360" w:after="0"/>
        <w:jc w:val="left"/>
        <w:rPr>
          <w:rFonts w:ascii="Times New Roman" w:hAnsi="Times New Roman"/>
          <w:b/>
          <w:sz w:val="20"/>
        </w:rPr>
      </w:pPr>
      <w:bookmarkStart w:id="55" w:name="toc847647_52"/>
      <w:bookmarkEnd w:id="55"/>
      <w:r>
        <w:rPr>
          <w:rFonts w:ascii="Times New Roman" w:hAnsi="Times New Roman"/>
          <w:b/>
          <w:sz w:val="20"/>
        </w:rPr>
        <w:t xml:space="preserve">Determination of Validity </w:t>
      </w:r>
    </w:p>
    <w:p>
      <w:pPr>
        <w:pStyle w:val="TextBody"/>
        <w:bidi w:val="0"/>
        <w:spacing w:before="120" w:after="0"/>
        <w:jc w:val="left"/>
        <w:rPr>
          <w:rFonts w:ascii="Times New Roman" w:hAnsi="Times New Roman"/>
          <w:sz w:val="20"/>
        </w:rPr>
      </w:pPr>
      <w:r>
        <w:rPr>
          <w:rFonts w:ascii="Times New Roman" w:hAnsi="Times New Roman"/>
          <w:sz w:val="20"/>
        </w:rPr>
        <w:t xml:space="preserve">BioNTech will determine questions as to the validity, form, eligibility (including time of receipt), and acceptance for exchange of any tender of CureVac shares, in BioNTech’s sole discretion, and its determination will be final and binding, subject to any judgment of any court of competent jurisdiction. BioNTech reserves the absolute right to reject any and all tenders of CureVac shares that it determines are not in proper form or the acceptance of or exchange for which may, in the opinion of its counsel, be unlawful. BioNTech also reserves the absolute right to waive any defect or irregularity in the tender of any CureVac shares. No tender of CureVac shares is valid until all defects and irregularities in such tender have been cured or waived. None of BioNTech, the exchange agent, the information agent, or any other person is under any duty to give notification of any defects or irregularities in the tender of any CureVac shares or will incur any liability for failure to give any such notification. BioNTech’s interpretation of the terms and conditions of the offer (including the letter of transmittal and instructions thereto) will be final and binding. </w:t>
      </w:r>
    </w:p>
    <w:p>
      <w:pPr>
        <w:pStyle w:val="TextBody"/>
        <w:bidi w:val="0"/>
        <w:spacing w:before="240" w:after="0"/>
        <w:jc w:val="left"/>
        <w:rPr>
          <w:rFonts w:ascii="Times New Roman" w:hAnsi="Times New Roman"/>
          <w:b/>
          <w:sz w:val="20"/>
        </w:rPr>
      </w:pPr>
      <w:bookmarkStart w:id="56" w:name="toc847647_53"/>
      <w:bookmarkEnd w:id="56"/>
      <w:r>
        <w:rPr>
          <w:rFonts w:ascii="Times New Roman" w:hAnsi="Times New Roman"/>
          <w:b/>
          <w:sz w:val="20"/>
        </w:rPr>
        <w:t xml:space="preserve">Extension of the Offer Period </w:t>
      </w:r>
    </w:p>
    <w:p>
      <w:pPr>
        <w:pStyle w:val="TextBody"/>
        <w:bidi w:val="0"/>
        <w:spacing w:before="120" w:after="0"/>
        <w:jc w:val="left"/>
        <w:rPr>
          <w:rFonts w:ascii="Times New Roman" w:hAnsi="Times New Roman"/>
          <w:sz w:val="20"/>
        </w:rPr>
      </w:pPr>
      <w:r>
        <w:rPr>
          <w:rFonts w:ascii="Times New Roman" w:hAnsi="Times New Roman"/>
          <w:sz w:val="20"/>
        </w:rPr>
        <w:t xml:space="preserve">BioNTech may extend the offer to such other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minimum condition is reduced from 80% to 75% pursuant to the terms of the Purchase Agreement, such reduction will be announced and the offer will remain open for at least 10 business days from the date of such announcement.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 day extension period. BioNTech will not be required to extend the offer on more than four occasions if the sole remaining unsatisfied condition to the offer is the minimum condition, and BioNTech will not be required to extend the offer beyond the March 12, 2026, the outside date (which outside date may be extended in accordance with the Purchase Agreement). </w:t>
      </w:r>
    </w:p>
    <w:p>
      <w:pPr>
        <w:pStyle w:val="TextBody"/>
        <w:bidi w:val="0"/>
        <w:spacing w:before="240" w:after="0"/>
        <w:jc w:val="left"/>
        <w:rPr>
          <w:rFonts w:ascii="Times New Roman" w:hAnsi="Times New Roman"/>
          <w:b/>
          <w:sz w:val="20"/>
        </w:rPr>
      </w:pPr>
      <w:bookmarkStart w:id="57" w:name="toc847647_54"/>
      <w:bookmarkEnd w:id="57"/>
      <w:r>
        <w:rPr>
          <w:rFonts w:ascii="Times New Roman" w:hAnsi="Times New Roman"/>
          <w:b/>
          <w:sz w:val="20"/>
        </w:rPr>
        <w:t xml:space="preserve">Subsequent Offering Period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acceptance time, BioNTech will provide a subsequent offering period in accordance with Rule 14d-11 promulgated under the Exchange Act of not less than 10 business days (calculated in accordance with Rule 14d-1(g)(3) under the Exchange Act). </w:t>
      </w:r>
    </w:p>
    <w:p>
      <w:pPr>
        <w:pStyle w:val="TextBody"/>
        <w:bidi w:val="0"/>
        <w:spacing w:before="240" w:after="0"/>
        <w:jc w:val="left"/>
        <w:rPr>
          <w:rFonts w:ascii="Times New Roman" w:hAnsi="Times New Roman"/>
          <w:b/>
          <w:sz w:val="20"/>
        </w:rPr>
      </w:pPr>
      <w:bookmarkStart w:id="58" w:name="toc847647_55"/>
      <w:bookmarkEnd w:id="58"/>
      <w:r>
        <w:rPr>
          <w:rFonts w:ascii="Times New Roman" w:hAnsi="Times New Roman"/>
          <w:b/>
          <w:sz w:val="20"/>
        </w:rPr>
        <w:t xml:space="preserve">The Post-Offer Reorganization and the New Topco U.S. Tax Election </w:t>
      </w:r>
    </w:p>
    <w:p>
      <w:pPr>
        <w:pStyle w:val="TextBody"/>
        <w:bidi w:val="0"/>
        <w:spacing w:before="120" w:after="0"/>
        <w:jc w:val="left"/>
        <w:rPr>
          <w:rFonts w:ascii="Times New Roman" w:hAnsi="Times New Roman"/>
          <w:sz w:val="20"/>
        </w:rPr>
      </w:pPr>
      <w:r>
        <w:rPr>
          <w:rFonts w:ascii="Times New Roman" w:hAnsi="Times New Roman"/>
          <w:sz w:val="20"/>
        </w:rPr>
        <w:t xml:space="preserve">If all conditions are satisfied or waived (including, if applicable, the reduced minimum condition of 75%) and the offer expires then, as promptly as practicable following the expiration of the subsequent offering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as set out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including the subsequent offering period (and now hold New Topco A shares), will receive BioNTech ADSs (and cash in lieu of fractional BioNTech ADSs) following completion of the cancellation, without interest and subject to applicable Dutch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No Dutch dividend withholding tax is applicable to the offer consideration received in exchange for CureVac shares tendered in the offer, including during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fiscally recognized capital of New Topco is, immediately following the merger effective time, equal to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cancellation consideration per New Topco A share exceeds such fiscally recognized capital of the New Topco A shares immediately prior to the cancellation effective time, the excess will, in principle, be subject to Dutch dividend withholding tax. Because the exchange ratio will only be fixed following the close of trading on Nasdaq on the fifth trading day prior to the scheduled expiration time and the number of BioNTech ADSs issuable in the offer is subject to a collar, the value of the BioNTech ADSs to be received by the CureVac shareholders in the post-offer reorganization, and thus the value of the cancellation consideration to be received by non-tendering CureVac shareholders, is not yet clear. Therefore, it is, as of the date of this offer to exchange/prospectus, not possible to determine the value of the cancellation consideration and thus not possible to determine Dutch dividend withholding tax consequences of the legal downstream merger and the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 </w:t>
      </w:r>
    </w:p>
    <w:p>
      <w:pPr>
        <w:pStyle w:val="TextBody"/>
        <w:bidi w:val="0"/>
        <w:spacing w:before="240" w:after="0"/>
        <w:jc w:val="left"/>
        <w:rPr>
          <w:rFonts w:ascii="Times New Roman" w:hAnsi="Times New Roman"/>
          <w:sz w:val="20"/>
        </w:rPr>
      </w:pPr>
      <w:r>
        <w:rPr>
          <w:rFonts w:ascii="Times New Roman" w:hAnsi="Times New Roman"/>
          <w:sz w:val="20"/>
        </w:rPr>
        <w:t xml:space="preserve">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Any such Dutch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withholding tax and will not be obliged to pay any additional amounts to a holder of New Topco A shares for any Dutch withholding tax effectively deducted from the cancellation consideration. As a result, CureVac shareholders that do not tender their shares in the offer (including the subsequent offering period) may receive a lower after-tax return than those who do. </w:t>
      </w:r>
    </w:p>
    <w:p>
      <w:pPr>
        <w:pStyle w:val="TextBody"/>
        <w:bidi w:val="0"/>
        <w:spacing w:before="240" w:after="0"/>
        <w:jc w:val="left"/>
        <w:rPr>
          <w:rFonts w:ascii="Times New Roman" w:hAnsi="Times New Roman"/>
          <w:sz w:val="20"/>
        </w:rPr>
      </w:pPr>
      <w:r>
        <w:rPr>
          <w:rFonts w:ascii="Times New Roman" w:hAnsi="Times New Roman"/>
          <w:sz w:val="20"/>
        </w:rPr>
        <w:t xml:space="preserve">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 </w:t>
      </w:r>
    </w:p>
    <w:p>
      <w:pPr>
        <w:pStyle w:val="TextBody"/>
        <w:bidi w:val="0"/>
        <w:spacing w:before="240" w:after="0"/>
        <w:jc w:val="left"/>
        <w:rPr>
          <w:rFonts w:ascii="Times New Roman" w:hAnsi="Times New Roman"/>
          <w:sz w:val="20"/>
        </w:rPr>
      </w:pPr>
      <w:r>
        <w:rPr>
          <w:rFonts w:ascii="Times New Roman" w:hAnsi="Times New Roman"/>
          <w:sz w:val="20"/>
        </w:rPr>
        <w:t xml:space="preserve">To enable New Topco to file a timely objection, a cancellation consideration recipient must submit a written request to New Topco no later than three weeks following the cancellation effective time in which such recipient timely confirms that such recipient (i) is not a resident nor deemed to be resident in the Netherlands for Dutch corporate income tax purposes or Dutch income tax purposes, (ii) does not derive profits from an enterprise, which enterprise is carried on, in whole or in part, through a permanent establishment or a permanent representative in the Netherlands to which its New Topco A shares are attributable, and (iii) is, under Dutch law, the beneficial owner of the cancellation consideration. We refer to such confirmation as the Dutch WHT confirmation. New Topco will only process such requests and submit an objection to the Dutch tax authorities for the purpose of claiming a refund if the Dutch WHT confirmation is provided to New Topco’s sole satisfaction and all required conditions are also satisfied. All costs associated with this process will be borne by the requesting cancellation consideration recipient.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 </w:t>
      </w:r>
    </w:p>
    <w:p>
      <w:pPr>
        <w:pStyle w:val="TextBody"/>
        <w:bidi w:val="0"/>
        <w:spacing w:before="240" w:after="0"/>
        <w:jc w:val="left"/>
        <w:rPr>
          <w:rFonts w:ascii="Times New Roman" w:hAnsi="Times New Roman"/>
          <w:b/>
          <w:sz w:val="20"/>
        </w:rPr>
      </w:pPr>
      <w:bookmarkStart w:id="59" w:name="toc847647_56"/>
      <w:bookmarkEnd w:id="59"/>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offer will be irrevocable; provided, that, if BioNTech has not yet accepted CureVac shares tendered for exchange, any CureVac shareholder may withdraw its tendered shares after the 60th day following commencement of the offer pursuant to Section 14(d)(5)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To properly withdraw previously tendered shares, CureVac shareholders must instruct the exchange agent to arrange for the withdrawal of such shares by a written or facsimile transmission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 </w:t>
      </w:r>
    </w:p>
    <w:p>
      <w:pPr>
        <w:pStyle w:val="TextBody"/>
        <w:bidi w:val="0"/>
        <w:spacing w:before="240" w:after="0"/>
        <w:jc w:val="left"/>
        <w:rPr>
          <w:rFonts w:ascii="Times New Roman" w:hAnsi="Times New Roman"/>
          <w:sz w:val="20"/>
        </w:rPr>
      </w:pPr>
      <w:r>
        <w:rPr>
          <w:rFonts w:ascii="Times New Roman" w:hAnsi="Times New Roman"/>
          <w:sz w:val="20"/>
        </w:rPr>
        <w:t xml:space="preserve">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CureVac shares tendered during the subsequent offering period may not be withdrawn. </w:t>
      </w:r>
    </w:p>
    <w:p>
      <w:pPr>
        <w:pStyle w:val="TextBody"/>
        <w:bidi w:val="0"/>
        <w:spacing w:before="240" w:after="0"/>
        <w:jc w:val="left"/>
        <w:rPr>
          <w:rFonts w:ascii="Times New Roman" w:hAnsi="Times New Roman"/>
          <w:b/>
          <w:sz w:val="20"/>
        </w:rPr>
      </w:pPr>
      <w:bookmarkStart w:id="60" w:name="toc847647_57"/>
      <w:bookmarkEnd w:id="60"/>
      <w:r>
        <w:rPr>
          <w:rFonts w:ascii="Times New Roman" w:hAnsi="Times New Roman"/>
          <w:b/>
          <w:sz w:val="20"/>
        </w:rPr>
        <w:t xml:space="preserve">Antitrust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and regulations promulgated thereunder, the offer may not be completed until BioNTech and CureVac each files a Notification and Report Form with the Federal Trade Commission, which we refer to as the FTC, and the Antitrust Division of the U.S. Department of Justice, which we refer to as the DOJ, and the applicable waiting period has expired or been terminated. The waiting period under the HSR Act expired at 11:59 pm Eastern Time on August 11, 2025.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consummation of the transactions, notwithstanding the termination or expiration of the waiting period under the HSR Act, the FTC or the DOJ could take such action under U.S. antitrust laws as it deems necessary under the applicable statutes, including seeking to enjoin the completion of the transactions, seeking divestiture of substantial assets of the parties, or requiring the parties to license, or hold separate, assets or to terminate existing relationships and contractual rights. At any time before or after the completion of the transactions, and notwithstanding the termination or expiration of the waiting period under the HSR Act, any U.S. state attorney general could take such action under the antitrust laws as they deem necessary or desirable in the public interest. Such action could include seeking to enjoin the completion of the transactions or seeking divestiture of substantial assets of the parties, or requiring the parties to license, or hold separate, assets or to terminate existing relationships and contractual rights. Private parties may also seek to take legal action under the antitrust laws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have, as of October 14, 2025, obtained all relevant non-U.S. antitrust approvals, with full force and effect as of October 15, 2025. </w:t>
      </w:r>
    </w:p>
    <w:p>
      <w:pPr>
        <w:pStyle w:val="TextBody"/>
        <w:bidi w:val="0"/>
        <w:spacing w:before="240" w:after="0"/>
        <w:jc w:val="left"/>
        <w:rPr>
          <w:rFonts w:ascii="Times New Roman" w:hAnsi="Times New Roman"/>
          <w:b/>
          <w:sz w:val="20"/>
        </w:rPr>
      </w:pPr>
      <w:bookmarkStart w:id="61" w:name="toc847647_58"/>
      <w:bookmarkEnd w:id="61"/>
      <w:r>
        <w:rPr>
          <w:rFonts w:ascii="Times New Roman" w:hAnsi="Times New Roman"/>
          <w:b/>
          <w:sz w:val="20"/>
        </w:rPr>
        <w:t xml:space="preserve">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FSR Regulation, the offer may not be completed until the assessment period of 25 working days after receipt of BioNTech’s complete notification by the EU Commission has lapsed and the EU Commission has not initiated an in-depth investigation. BioNTech submitted notification on September 5, 2025, so that the assessment period of 25 working days expired on October 10, 2025. The EU Commission considers, on the basis of the information available to it, that there are insufficient indications to initiate an in-depth investigation and has, therefore, closed its preliminary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Consequently, the offer condition of the lapse of the assessment period or clearance by the EU Commission under the FSR Regulation was fulfilled on that day. </w:t>
      </w:r>
    </w:p>
    <w:p>
      <w:pPr>
        <w:pStyle w:val="TextBody"/>
        <w:bidi w:val="0"/>
        <w:spacing w:before="240" w:after="0"/>
        <w:jc w:val="left"/>
        <w:rPr>
          <w:rFonts w:ascii="Times New Roman" w:hAnsi="Times New Roman"/>
          <w:b/>
          <w:sz w:val="20"/>
        </w:rPr>
      </w:pPr>
      <w:bookmarkStart w:id="62" w:name="toc847647_59"/>
      <w:bookmarkEnd w:id="62"/>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Neither CureVac’s shareholders nor New Topco’s shareholders are entitled under Dutch law to appraisal or dissenters’ rights related to the CureVac shares or New Topco shares in connection with the offer or the post-offer reorganization. </w:t>
      </w:r>
    </w:p>
    <w:p>
      <w:pPr>
        <w:pStyle w:val="TextBody"/>
        <w:bidi w:val="0"/>
        <w:spacing w:before="240" w:after="0"/>
        <w:jc w:val="left"/>
        <w:rPr>
          <w:rFonts w:ascii="Times New Roman" w:hAnsi="Times New Roman"/>
          <w:b/>
          <w:sz w:val="20"/>
        </w:rPr>
      </w:pPr>
      <w:bookmarkStart w:id="63" w:name="toc847647_102"/>
      <w:bookmarkEnd w:id="63"/>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GSK Settlement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the BioNTech parties were party to disputes with the CureVac parties and GSK involving intellectual property relating to BioNTech’s and Pfizer’s COVID-19 vaccines. We refer to the BioNTech parties, the CureVac parties, GSK, and Pfizer collectively as the litigation parties. On August 7, 2025, the litigation parties entered into the settlement arrangements to resolve the pending patent litigation among the BioNTech parties, the CureVac parties, and Pfizer in the United States, and set a framework for resolving patent litigation and allegations of patent infringement among the BioNTech parties, the CureVac parties, and Pfizer outside the United States (subject to the closing of the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settlement arrangements, the pending patent litigation among the BioNTech parties, the CureVac parties, and Pfizer in the United States, including all claims relating to alleged infringement of CureVac patents against the BioNTech parties and Pfizer in the United States prior to January 1, 2025, was dismissed. To effectuate the dismissal, the litigation parties filed a Stipulation and Order with the United States District Court for the Eastern District of Virginia dismissing with prejudice the CureVac parties’ action for patent infringement relating to certain CureVac patents (Civil Action No 2:23-cv-222). Additionally, BioNTech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which we refer to as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settlement arrangements, BioNTech agreed to pay (or cause to be paid) (i) $370 million to GSK within five days after the entry of the dismissal order and (ii) $370 million to CureVac within five days of the earlier to occur of (a) the termination of the Purchase Agreement and (b) the closing of the offer. BioNTech will pay a one percent royalty on U.S. sales of licensed products to each of GSK and CureVac beginning with effect as of January 1, 2025. Of the $370 million payable to GSK, $320 million will be in cash. The remainder is attributed to the value of an amendment to GSK’s existing agreement with CureVac relating to mRNA influenza, COVID-19, and influenza/COVID-19 combination products, which includes certain reductions in royalties to be paid by GSK. </w:t>
      </w:r>
    </w:p>
    <w:p>
      <w:pPr>
        <w:pStyle w:val="TextBody"/>
        <w:bidi w:val="0"/>
        <w:spacing w:before="240" w:after="0"/>
        <w:jc w:val="left"/>
        <w:rPr>
          <w:rFonts w:ascii="Times New Roman" w:hAnsi="Times New Roman"/>
          <w:sz w:val="20"/>
        </w:rPr>
      </w:pPr>
      <w:r>
        <w:rPr>
          <w:rFonts w:ascii="Times New Roman" w:hAnsi="Times New Roman"/>
          <w:sz w:val="20"/>
        </w:rPr>
        <w:t xml:space="preserve">Additionally, upon and subject to the closing of the offer, (i) the patent litigation between CureVac and BioNTech outside of the United States will be dismissed, and all claims released; (ii) BioNTech will receive a non-exclusive license with a right to sublicense for the manufacture, use, sale, offer for sale, and importing of licensed products worldwide; and (iii) BioNTech will pay $130 million to GSK within five days of the later to occur of (a) the entry of a withdrawal of actions by CureVac against BioNTech and (b) January 1, 2026. BioNTech will pay a one percent royalty on sales of licensed products outside of the United States to each 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closing of the offer, Pfizer has agreed to reimburse BioNTech for $80 million and half of claimed royalties payable to GSK from January 1, 2025 onwards on sales of mRNA-based COVID-19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BioNTech’s agreement to the settlement arrangements does not in any way constitute an admission of liability with respect to the disputes covered thereby, which BioNTech expressly denies, and the settlement arrangements shall not be taken as or construed to be an admission by BioNTech as evidence supporting any such allegation, any matter of fact or law, any violation of law, or any other liability whatsoever. </w:t>
      </w:r>
    </w:p>
    <w:p>
      <w:pPr>
        <w:pStyle w:val="TextBody"/>
        <w:bidi w:val="0"/>
        <w:spacing w:before="240" w:after="0"/>
        <w:jc w:val="left"/>
        <w:rPr>
          <w:rFonts w:ascii="Times New Roman" w:hAnsi="Times New Roman"/>
          <w:b/>
          <w:i/>
          <w:sz w:val="20"/>
        </w:rPr>
      </w:pPr>
      <w:r>
        <w:rPr>
          <w:rFonts w:ascii="Times New Roman" w:hAnsi="Times New Roman"/>
          <w:b/>
          <w:i/>
          <w:sz w:val="20"/>
        </w:rPr>
        <w:t xml:space="preserve">Autogene Cevumeran Clinical Program in Adjuvant Colorectal Cancer </w:t>
      </w:r>
    </w:p>
    <w:p>
      <w:pPr>
        <w:pStyle w:val="TextBody"/>
        <w:bidi w:val="0"/>
        <w:spacing w:before="120" w:after="0"/>
        <w:jc w:val="left"/>
        <w:rPr>
          <w:rFonts w:ascii="Times New Roman" w:hAnsi="Times New Roman"/>
          <w:sz w:val="20"/>
        </w:rPr>
      </w:pPr>
      <w:r>
        <w:rPr>
          <w:rFonts w:ascii="Times New Roman" w:hAnsi="Times New Roman"/>
          <w:sz w:val="20"/>
        </w:rPr>
        <w:t xml:space="preserve">At the first pre-specified interim analysis of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the futility boundary has been crossed. </w:t>
      </w:r>
    </w:p>
    <w:p>
      <w:pPr>
        <w:pStyle w:val="TextBody"/>
        <w:bidi w:val="0"/>
        <w:spacing w:before="240" w:after="0"/>
        <w:jc w:val="left"/>
        <w:rPr>
          <w:rFonts w:ascii="Times New Roman" w:hAnsi="Times New Roman"/>
          <w:sz w:val="20"/>
        </w:rPr>
      </w:pPr>
      <w:r>
        <w:rPr>
          <w:rFonts w:ascii="Times New Roman" w:hAnsi="Times New Roman"/>
          <w:sz w:val="20"/>
        </w:rPr>
        <w:t xml:space="preserve">The clinical trial is evaluating the efficacy of autogene cevumeran compared to watchful waiting, the current standard of care for these high-risk patients, with the aim to investigate whether an individualized mRNA cancer immunotherapy can prevent relapses after primary treatment of surgical resection of the tumor and completion of adjuvant chemotherapy. The primary endpoint for the trial is disease-free survival (DFS), which is an event-driven endpoint. Secondary objectives include relapse-free survival (RFS), overall survival (OS), and safety. </w:t>
      </w:r>
    </w:p>
    <w:p>
      <w:pPr>
        <w:pStyle w:val="TextBody"/>
        <w:bidi w:val="0"/>
        <w:spacing w:before="240" w:after="0"/>
        <w:jc w:val="left"/>
        <w:rPr>
          <w:rFonts w:ascii="Times New Roman" w:hAnsi="Times New Roman"/>
          <w:sz w:val="20"/>
        </w:rPr>
      </w:pPr>
      <w:r>
        <w:rPr>
          <w:rFonts w:ascii="Times New Roman" w:hAnsi="Times New Roman"/>
          <w:sz w:val="20"/>
        </w:rPr>
        <w:t xml:space="preserve">The interim analysis was reviewed by an independent Data and Safety Monitoring Board, which we refer to as the DSMB, which is responsible for overseeing the safety and integrity of the trial. The DSMB considered autogene cevumeran to be generally well tolerated with no new safety signals identified, and also indicated that the data is not yet mature enough to draw reliable conclusions about efficacy, with a median follow-up time for participants at the time of the analysis was approximately nine months, which is insufficient to evaluate the trial’s primary endpoint. This assessment is consistent with recently published data from a study published in Nature (Nakamura Y, et al. Nature Medicine volume 30, pages 3272–3283 (2024)), which showed that a majority of patients with ctDNA-positive colorectal cancer experience disease recurrence within 24 months after surgery. </w:t>
      </w:r>
    </w:p>
    <w:p>
      <w:pPr>
        <w:pStyle w:val="TextBody"/>
        <w:bidi w:val="0"/>
        <w:spacing w:before="240" w:after="0"/>
        <w:jc w:val="left"/>
        <w:rPr>
          <w:rFonts w:ascii="Times New Roman" w:hAnsi="Times New Roman"/>
          <w:sz w:val="20"/>
        </w:rPr>
      </w:pPr>
      <w:r>
        <w:rPr>
          <w:rFonts w:ascii="Times New Roman" w:hAnsi="Times New Roman"/>
          <w:sz w:val="20"/>
        </w:rPr>
        <w:t xml:space="preserve">However, because the futility boundary was crossed, the DSMB was bound by its charter to make a non-binding recommendation to terminate the study.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assessment that the data are not yet mature enough to draw reliable conclusions about efficacy, BioNTech has determined to continue the trial in accordance with the protocol. The sponsor will remain masked, and interim data will not be disclosed at this time ensuring the integrity of the ongoing trial and allowing for a comprehensive and mature assessment of the treatment’s efficacy at the final analysis of the trial. The DSMB had no objections with the continuation of the study in the absence of safety concerns. </w:t>
      </w:r>
    </w:p>
    <w:p>
      <w:pPr>
        <w:pStyle w:val="TextBody"/>
        <w:bidi w:val="0"/>
        <w:spacing w:before="240" w:after="0"/>
        <w:jc w:val="left"/>
        <w:rPr>
          <w:rFonts w:ascii="Times New Roman" w:hAnsi="Times New Roman"/>
          <w:b/>
          <w:i/>
          <w:sz w:val="20"/>
        </w:rPr>
      </w:pPr>
      <w:r>
        <w:rPr>
          <w:rFonts w:ascii="Times New Roman" w:hAnsi="Times New Roman"/>
          <w:b/>
          <w:i/>
          <w:sz w:val="20"/>
        </w:rPr>
        <w:t xml:space="preserve">Alnylam Litigation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the BioNTech parties, as well as Pfizer and Pharmacia &amp; Upjohn Co. LLC, which we refer to together as the Pfizer parties, were party to certain patent litigation with Alnylam. On July 30, 2025, the court entered final judgment of noninfringement of all asserted claims in that matter in favor of the BioNTech parties and the Pfizer parties. On August 29, 2025, Alnylam, the BioNTech parties, and the Pfizer parties entered into the Alnylam Settlement Agreement. Pursuant to the Alnylam Settlement Agreement, Alnylam agreed not to appeal the final judgment and the BioNTech parties and Pfizer parties agreed not to seek attorneys’ fees or costs. The parties further agreed to certain mutual releases and covenants not to sue.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Genevant Arbitration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Genevant initiated an arbitration against BioNTech alleging that BioNTech breached the License Agreement by (i) practicing Genevant’s technology for purposes related to products outside the License Agreement and outside prescribed fields of use to research, develop, manufacture, and commercialize our COVID-19 vaccine, (ii) enabling a third party to wrongfully practice Genevant’s technology for purposes outside the scope of the License Agreement to develop, manufacture, and commercialize Comirnaty, and (iii) using Genevant’s confidential information to develop, manufacture, and commercialize Comirnaty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alleged wrongful disclosure to third parties for purposes unrelated to the License Agreement. Genevant seeks certain declaratory and injunctive relief as well as unspecified monetary damages. The proceeding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BioNTech believes it has strong defenses against the allegations claimed and intends to vigorously defend itself in the arbitration. However, BioNTech’s analysis of Genevant’s claims is ongoing, and BioNTech believes the outcome of the arbitration remains substantially uncertain. Taking into account discussions with its external lawyers, BioNTech does not consider the probability of an outflow of resources to be sufficient to recognize a provision. In BioNTech’s opinion, these matters constitute contingent liabilities. However, it is currently impractical for BioNTech to estimate with sufficient reliability the respective contingent liabilities. </w:t>
      </w:r>
    </w:p>
    <w:p>
      <w:pPr>
        <w:pStyle w:val="TextBody"/>
        <w:bidi w:val="0"/>
        <w:spacing w:before="240" w:after="0"/>
        <w:jc w:val="left"/>
        <w:rPr>
          <w:rFonts w:ascii="Times New Roman" w:hAnsi="Times New Roman"/>
          <w:b/>
          <w:sz w:val="20"/>
        </w:rPr>
      </w:pPr>
      <w:bookmarkStart w:id="64" w:name="toc847647_60"/>
      <w:bookmarkEnd w:id="64"/>
      <w:r>
        <w:rPr>
          <w:rFonts w:ascii="Times New Roman" w:hAnsi="Times New Roman"/>
          <w:b/>
          <w:sz w:val="20"/>
        </w:rPr>
        <w:t xml:space="preserve">Accounting Treatment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will be accounted for in accordance with IFRS as issued by the IASB and in particular, with IFRS 3, under which the transaction qualifies as a business combination, since the acquisition of CureVac by BioNTech fulfills the definition of the acquisition of a business. On the date of the acquisition, the identifiable assets acquired and liabilities assumed of CureVac will be recorded by BioNTech at their respective acquisition-date fair values. </w:t>
      </w:r>
    </w:p>
    <w:p>
      <w:pPr>
        <w:pStyle w:val="TextBody"/>
        <w:bidi w:val="0"/>
        <w:spacing w:before="240" w:after="0"/>
        <w:jc w:val="left"/>
        <w:rPr>
          <w:rFonts w:ascii="Times New Roman" w:hAnsi="Times New Roman"/>
          <w:b/>
          <w:sz w:val="20"/>
        </w:rPr>
      </w:pPr>
      <w:bookmarkStart w:id="65" w:name="toc847647_59a"/>
      <w:bookmarkEnd w:id="6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BioNTech has retained Georgeson LLC as the information agent in connection with the offer and the post-offer reorganization. The information agent may contact holders of shares by mail, email, telephone, facsimile, and personal interview and may request brokers, dealers, and other nominee stockholders to forward material relating to the offer and the post-offer reorganization to beneficial owners of CureVac shares. BioNTech will pay the information agent reasonable and customary compensation for these services in addition to reimbursing the information agent for its reasonable out-of-pocket expenses. BioNTech agreed to indemnify the information agent against certain liabilities and expenses, including certain liabilities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BioNTech has retained Computershare Trust Company, N.A. as exchange agent in connection with the offer and the post-offer reorganization. BioNTech will pay the exchange agent reasonable and customary compensation for its services in connection with the offer and the post-offer reorganization, will reimburse the exchange agent for its reasonable out-of-pocket expenses and will indemnify the exchange agent against certain liabilities and expenses, including certain liabilities under the U.S. federal securities laws. BioNTech will reimburse brokers, dealers, commercial banks, and trust companies and other nominees, upon request, for customary clerical and mailing expenses incurred by them in forwarding offering materials to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neither BioNTech nor New Topco will pay any fees or commissions to any broker, dealer, or other person for soliciting tenders of CureVac shares pursuant to the offer. </w:t>
      </w:r>
    </w:p>
    <w:p>
      <w:pPr>
        <w:pStyle w:val="TextBody"/>
        <w:bidi w:val="0"/>
        <w:spacing w:before="240" w:after="0"/>
        <w:jc w:val="left"/>
        <w:rPr>
          <w:rFonts w:ascii="Times New Roman" w:hAnsi="Times New Roman"/>
          <w:b/>
          <w:sz w:val="20"/>
        </w:rPr>
      </w:pPr>
      <w:bookmarkStart w:id="66" w:name="toc847647_61"/>
      <w:bookmarkEnd w:id="66"/>
      <w:r>
        <w:rPr>
          <w:rFonts w:ascii="Times New Roman" w:hAnsi="Times New Roman"/>
          <w:b/>
          <w:sz w:val="20"/>
        </w:rPr>
        <w:t xml:space="preserve">Restriction on Resales of BioNTech ADSs Received in the Offer </w:t>
      </w:r>
    </w:p>
    <w:p>
      <w:pPr>
        <w:pStyle w:val="TextBody"/>
        <w:bidi w:val="0"/>
        <w:spacing w:before="120" w:after="0"/>
        <w:jc w:val="left"/>
        <w:rPr>
          <w:rFonts w:ascii="Times New Roman" w:hAnsi="Times New Roman"/>
          <w:sz w:val="20"/>
        </w:rPr>
      </w:pPr>
      <w:r>
        <w:rPr>
          <w:rFonts w:ascii="Times New Roman" w:hAnsi="Times New Roman"/>
          <w:sz w:val="20"/>
        </w:rPr>
        <w:t xml:space="preserve">The BioNTech ADSs to be issued in connection with the offer will not be subject to any restrictions on transfer existing under the Securities Act of 1933, as amended, which we refer to as the Securities Act, except for any ADSs to be paid by BioNTech to a CureVac shareholder who may be deemed to be an “affiliate” of BioNTech after the completion of the transactions. Such a CureVac shareholder will be subject to volume and manner of sale restrictions pursuant to Rule 144 under the Securities Act. This offer to exchange/prospectus does not cover resales of BioNTech ADSs by affiliates of BioNTech or CureVac. </w:t>
      </w:r>
    </w:p>
    <w:p>
      <w:pPr>
        <w:pStyle w:val="TextBody"/>
        <w:bidi w:val="0"/>
        <w:spacing w:before="240" w:after="0"/>
        <w:jc w:val="left"/>
        <w:rPr>
          <w:rFonts w:ascii="Times New Roman" w:hAnsi="Times New Roman"/>
          <w:sz w:val="20"/>
        </w:rPr>
      </w:pPr>
      <w:r>
        <w:rPr>
          <w:rFonts w:ascii="Times New Roman" w:hAnsi="Times New Roman"/>
          <w:sz w:val="20"/>
        </w:rPr>
        <w:t xml:space="preserve">The dievini TSA (as defined below)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7" w:name="toc847647_61a"/>
      <w:bookmarkEnd w:id="67"/>
      <w:r>
        <w:rPr>
          <w:rFonts w:ascii="Times New Roman" w:hAnsi="Times New Roman"/>
          <w:b/>
          <w:sz w:val="20"/>
        </w:rPr>
        <w:t xml:space="preserve">Foreign Jurisdictions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below, the offer is open to all CureVac shareholders, consistent with Rule 14d-10 under the Exchange Act. </w:t>
      </w:r>
    </w:p>
    <w:p>
      <w:pPr>
        <w:pStyle w:val="TextBody"/>
        <w:bidi w:val="0"/>
        <w:spacing w:before="24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state which is a party to the agreement relating to the European Economic Area, which we refer to as a relevant member state, the offer to exchange all of the CureVac shares for BioNTech ADSs contemplated by this offer to exchange/prospectus is not made in that relevant member state, except as set out below. </w:t>
      </w:r>
    </w:p>
    <w:p>
      <w:pPr>
        <w:pStyle w:val="TextBody"/>
        <w:bidi w:val="0"/>
        <w:spacing w:before="240" w:after="0"/>
        <w:jc w:val="left"/>
        <w:rPr>
          <w:rFonts w:ascii="Times New Roman" w:hAnsi="Times New Roman"/>
          <w:sz w:val="20"/>
        </w:rPr>
      </w:pPr>
      <w:r>
        <w:rPr>
          <w:rFonts w:ascii="Times New Roman" w:hAnsi="Times New Roman"/>
          <w:sz w:val="20"/>
        </w:rPr>
        <w:t>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hAnsi="Times New Roman"/>
          <w:i/>
          <w:sz w:val="20"/>
        </w:rPr>
        <w:t>Bundesanstalt</w:t>
      </w:r>
      <w:r>
        <w:rPr>
          <w:rFonts w:ascii="Times New Roman" w:hAnsi="Times New Roman"/>
          <w:sz w:val="20"/>
        </w:rPr>
        <w:t xml:space="preserve"> </w:t>
      </w:r>
      <w:r>
        <w:rPr>
          <w:rFonts w:ascii="Times New Roman" w:hAnsi="Times New Roman"/>
          <w:i/>
          <w:sz w:val="20"/>
        </w:rPr>
        <w:t>für Finanzdienstleistungsaufsicht</w:t>
      </w:r>
      <w:r>
        <w:rPr>
          <w:rFonts w:ascii="Times New Roman" w:hAnsi="Times New Roman"/>
          <w:sz w:val="20"/>
        </w:rPr>
        <w:t xml:space="preserve">) and notified to the competent authorities in Austria, France, Italy, The Netherlands, and Spain available free of charge on the website of BioNTech SE (https://investors.biontech.de/eea-switzerland-disclaimer)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which we refer to as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Switzerland, the offer of BioNTech ADSs to the public in Switzerland is based on the EU Prospectus, as considered approved by a competent review body, or otherwise under the exemptions specified in the Swiss Financial Services Act of 15 June 2018. </w:t>
      </w:r>
    </w:p>
    <w:p>
      <w:pPr>
        <w:pStyle w:val="TextBody"/>
        <w:bidi w:val="0"/>
        <w:spacing w:before="24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offer to exchange all of the CureVac shares for BioNTech ADSs contemplated by this offer to exchange/prospectus is not made in the United Kingdom (the “UK”) except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The offer of BioNTech ADSs to the public in the UK is based on the UK prospectus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(https://investors.biontech.de/uk-disclaimer)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oc847647_62"/>
      <w:bookmarkEnd w:id="68"/>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consequences of the exchange of CureVac shares for BioNTech ADSs pursuant to the offer or the cancellation that are generally applicable to U.S. holders (as defined below) that hold their CureVac shares, and will hold their BioNTech ADSs, as capital assets (generally, property held for investment) for U.S. federal income tax purposes. This discussion addresses only the U.S. federal income tax consequences that are relevant for U.S. holders and does not address any tax consequences to a holder of CureVac shares that is not a U.S. holder. This discussion is based on the code, the Treasury regulations promulgated thereunder, which we refer to as U.S. treasury regulations, rulings by the Internal Revenue Service, which we refer to as the IRS, and judicial decisions, all as in effect as of the date of this offer to exchange/prospectus. These authorities are subject to change (possibly with retroactive effect) and different interpretations. Any such change might alter the U.S. federal income tax consequences described herein. No ruling is being sought or obtained from the IRS, and the conclusions herein are not binding on the IRS or a court. As a result, we cannot assure you that the U.S. federal income tax consequences described herein will not be challenged by the IRS or sustained by a court if so challenged.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that may be relevant to particular U.S. holders in light of their particular circumstances, including, without limitation: tax-exempt organizations; individual retirement accounts and other tax-deferred accounts; financial institutions, regulated investment companies, or real estate investments trusts; dealers or brokers in securities or foreign currency; traders that use a mark-to-market method of accounting; persons whose functional currency is not the U.S. dollar; pass-through entities for U.S. federal income tax purposes such as partnerships (or entities or arrangements classified as partnerships for U.S. federal income tax purposes) and S corporations, and investors therein; corporations that accumulate earnings to avoid U.S. federal income tax; persons holding their CureVac shares as part of a hedging, straddle, or other risk reduction strategy; persons treated as having sold their CureVac shares pursuant to the constructive sale provisions of the code; U.S. holders that currently own, or have owned at any time during the preceding five years, directly, indirectly, and/or constructively, at least 5% of the outstanding CureVac shares by vote or by value; U.S. holders that will own, directly, indirectly, and/or constructively, at least 5% of the outstanding stock of BioNTech by vote or by value; U.S. holders that are tax residents of the Netherlands or Germany, or maintain a permanent establishment or fixed base in the Netherlands or Germany to which their BioNTech ADSs are attributable; and persons who acquired their shares in connection with stock option or stock purchase plans or in other compensatory transactions. This discussion does not purport to be a comprehensive analysis or description of all potential U.S. federal income tax consequences of acquiring BioNTech ADSs pursuant to the offer or the cancellation.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also does not address the tax consequences of the offer or the cancellation and the ownership of BioNTech ADSs acquired pursuant to the offer or the cancellation under U.S. state or local, or non-U.S. tax laws or under any U.S. federal non-income tax laws (such as estate or gift tax laws), nor does it address alternative minimum tax, the Medicare tax on net investment income, special tax accounting rules under Section 451(b) of the code, or the tax consequences of transactions effectuated prior or subsequent to, or concurrently with, the exchange pursuant to the offer or the cancellation (whether or not any such transactions are undertaken in connection with the completion of the offer or the cancellation, as applicable) other than the post-offer reorganization and the New Topco U.S. tax election.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we refer to a beneficial owner of CureVac shares that exchanges such shares for BioNTech ADSs pursuant to the offer or the cancellation and that thereafter is a beneficial owner of BioNTech ADSs so acquired as a U.S. holder if such beneficial owner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domestic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U.S. court can exercise primary supervision over the trust’s administration and one or more United States persons (as defined under the code) are authorized or have the authority to control all substantial decisions of the trust, or (ii) a valid election under applicable U.S. treasury regulations to be treated as a United States person is in effect with respect to such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further based in part upon the representations of the depositary and the assumption that each obligation in the deposit agreement and any related agreements will be performed in accordance with its terms. In general, taking into account these assumptions, for U.S. federal income tax purposes, a holder that holds ADRs evidencing ADSs will be treated as the owner of the shares represented by those ADRs. Exchanges of shares for ADRs, and ADRs for shares, generally will not be subject to U.S. federal income tax.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U.S. Federal Income Tax Treatment of Exchanging CureVac Shares for BioNTech ADSs Pursuant to the Offer or the Cancellation </w:t>
      </w:r>
    </w:p>
    <w:p>
      <w:pPr>
        <w:pStyle w:val="TextBody"/>
        <w:bidi w:val="0"/>
        <w:spacing w:before="120" w:after="0"/>
        <w:jc w:val="left"/>
        <w:rPr>
          <w:rFonts w:ascii="Times New Roman" w:hAnsi="Times New Roman"/>
          <w:sz w:val="20"/>
        </w:rPr>
      </w:pPr>
      <w:r>
        <w:rPr>
          <w:rFonts w:ascii="Times New Roman" w:hAnsi="Times New Roman"/>
          <w:sz w:val="20"/>
        </w:rPr>
        <w:t xml:space="preserve">BioNTech intends to effect the post-offer reorganization and the New Topco U.S. tax election as promptly as practicable following the expiration of the subsequent offering period. The offer followed by and integrated with the post-offer reorganization and the New Topco U.S. tax election will qualify as one or more “reorganizations” within the meaning of Section 368(a) of the code. Except where expressly stated otherwise, the remainder of this discussion assumes that the post-offer reorganization and the New Topco U.S. tax election will be effected and that the offer will be integrated with the post-offer reorganization and the New Topco U.S. tax election to qualify as one or more tax-free reorganizations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and subject to the PFIC considerations below, a U.S. holder generally will not recognize gain or loss with respect to such holder’s exchange of CureVac shares for BioNTech ADSs pursuant to the offer or the cancellation. A U.S. holder that receives cash in lieu of a fractional BioNTech ADS will be treated as receiving a fractional BioNTech ADS pursuant to the offer or the cancellation and then exchanging such fractional BioNTech ADS for cash. Accordingly, such U.S. holder generally will recognize gain or loss equal to the difference between the amount of cash received in lieu of a fractional BioNTech ADS and the holder’s adjusted tax basis in the fractional BioNTech ADS deemed received, determined as described immediately below.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have aggregate tax basis in its BioNTech ADSs received pursuant to the offer or the cancellation, including any fractional BioNTech ADS deemed received in respect of CureVac shares and considered redeemed for cash as described above, equal to the U.S. holder’s aggregate adjusted tax basis in the CureVac shares surrendered pursuant to the offer or the cancellation. The U.S. holder’s adjusted tax basis in the fractional BioNTech ADS deemed received is the proportionate amount of the aggregate tax basis that such fractional BioNTech ADS deemed received bears to the total number of BioNTech ADSs received. A U.S. holder’s holding period in the BioNTech ADSs received pursuant to the offer or the cancellation (including any fractional BioNTech ADS deemed received and redeemed for cash as described above) will include such holder’s holding period for the CureVac shares surrendered therefor pursuant to the offer or the cancellation. </w:t>
      </w:r>
    </w:p>
    <w:p>
      <w:pPr>
        <w:pStyle w:val="TextBody"/>
        <w:bidi w:val="0"/>
        <w:spacing w:before="240" w:after="0"/>
        <w:jc w:val="left"/>
        <w:rPr>
          <w:rFonts w:ascii="Times New Roman" w:hAnsi="Times New Roman"/>
          <w:sz w:val="20"/>
        </w:rPr>
      </w:pPr>
      <w:r>
        <w:rPr>
          <w:rFonts w:ascii="Times New Roman" w:hAnsi="Times New Roman"/>
          <w:sz w:val="20"/>
        </w:rPr>
        <w:t xml:space="preserve">Because BioNTech is expected to be classified as a PFIC for the current taxable year, such gain or loss may be subject to the PFIC rules described in more detail below in “Material United States Federal Income Considerations — Material U.S. Federal Income Tax Consequences of Owning and Disposing of BioNTech ADSs Acquired Pursuant to the Offer or the Cancellation — Passive Foreign Investment Company Considerations.” CureVac may likewise be a PFIC for the current taxable year. If that were the case, section 1291(f) of the code would require that a U.S. holder recognize gain, notwithstanding any other provision of the code, including the nonrecognition provisions applicable to a “reorganization” within the meaning of section 368(a) of the code described above, to the extent provided in U.S. treasury regulations. While no U.S. treasury regulations under section 1291(f) of the code are currently finalized and in effect, regulations have been proposed that, if finalized, provide that a U.S. holder would not recognize gain (or loss) with respect to such holder’s exchange of CureVac shares for BioNTech ADSs, even if the CureVac shares are treated as shares in a PFIC, provided that BioNTech ADSs are treated as shares in a PFIC in the taxable year in which the exchange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under section 1291(f) of the code, the exchange of CureVac shares for BioNTech ADSs by a U.S. holder were treated as a taxable transaction in which gain (but not loss) is recognized, and assuming that CureVac has not been a PFIC for any taxable year prior to the current taxable year, then any gain recognized by a U.S. holder would be treated as ordinary income. Special rules would apply to U.S. persons that make the QEF election or a mark-to-market election with respect to their CureVac shares, which are described in more detail below in “Material United States Federal Income Considerations — Material U.S. Federal Income Tax Consequences of Owning and Disposing of BioNTech ADSs Acquired Pursuant to the Offer or the Cancellation — Passive Foreign Investment Company Considerations — Elective Alternative Treatment: QEF Election” and “Material United States Federal Income Considerations — Material U.S. Federal Income Tax Consequences of Owning and Disposing of BioNTech ADSs Acquired Pursuant to the Offer or the Cancellation — Passive Foreign Investment Company Considerations — Elective Alternative Treatment: Mark-to-Market Election.” </w:t>
      </w:r>
    </w:p>
    <w:p>
      <w:pPr>
        <w:pStyle w:val="TextBody"/>
        <w:bidi w:val="0"/>
        <w:spacing w:before="240" w:after="0"/>
        <w:jc w:val="left"/>
        <w:rPr>
          <w:rFonts w:ascii="Times New Roman" w:hAnsi="Times New Roman"/>
          <w:i/>
          <w:sz w:val="20"/>
        </w:rPr>
      </w:pPr>
      <w:r>
        <w:rPr>
          <w:rFonts w:ascii="Times New Roman" w:hAnsi="Times New Roman"/>
          <w:i/>
          <w:sz w:val="20"/>
        </w:rPr>
        <w:t xml:space="preserve">U.S. holders are urged to discuss with their tax advisor whether it may be advisable to dispose of their CureVac shares rather than tender them pursuant to the offer or have them exchanged pursuant to the cancellation in exchange for BioNTech ADSs, and the implications to them if CureVac shares are treated as stock in a PFIC.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Non-corporate U.S. holders of CureVac shares may be subject, under certain circumstances, to information reporting and backup withholding (currently at a rate of 24%) in respect of the exchange of CureVac shares for BioNTech ADSs, and the receipt of cash for fractional BioNTech ADSs.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THE MATERIAL U.S. FEDERAL INCOME TAX CONSEQUENCES IS FOR GENERAL INFORMATION PURPOSES ONLY AND IS NOT INTENDED TO BE, AND MAY NOT BE CONSTRUED AS, TAX ADVICE. HOLDERS OF CUREVAC SHARES ARE URGED TO CONSULT THEIR TAX ADVISORS WITH RESPECT TO THE APPLICATION OF U.S. FEDERAL INCOME TAX LAWS TO THEIR PARTICULAR SITUATIONS AS WELL AS ANY TAX CONSEQUENCES ARISING UNDER OTHER U.S. FEDERAL TAX RULES, OR UNDER THE LAWS OF ANY STATE, LOCAL, OR NON-U.S. TAXING JURISDICTION.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U.S. Federal Income Tax Consequences of Owning and Disposing of BioNTech ADSs Acquired Pursuant to the Offer or the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Passive Foreign Investment Company Considerations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BioNTech expects to be a PFIC for U.S. federal income tax purposes with respect to its 2025 taxable year and believes that it was a PFIC in its 2023 and 2024 taxable years. Because the determination of BioNTech’s PFIC status is made annually following the end of the applicable taxable year based on the factual tests described below, however, BioNTech cannot determine with certainty whether it will be classified as a PFIC in the current taxable year or in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BioNTech is classified as a PFIC for any taxable year in which at least 75% of its gross income is “passive income” or at least 50% of its gross assets during the taxable year (based on the average of the fair market values of the assets determined at the end of each quarterly period) consists of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investments are treated as passive assets regardless of the fact that they may not produce any income. Rents and royalties received from unrelated parties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active conduct of a trade or business are not considered passive income for purposes of these PFIC tests. In determining whether BioNTech is to be classified as a PFIC, a </w:t>
      </w:r>
      <w:r>
        <w:rPr>
          <w:rFonts w:ascii="Times New Roman" w:hAnsi="Times New Roman"/>
          <w:i/>
          <w:sz w:val="20"/>
        </w:rPr>
        <w:t>pro rata</w:t>
      </w:r>
      <w:r>
        <w:rPr>
          <w:rFonts w:ascii="Times New Roman" w:hAnsi="Times New Roman"/>
          <w:sz w:val="20"/>
        </w:rPr>
        <w:t xml:space="preserve"> portion of the income and assets of each corporation in which it owns, directly or indirectly, at least a 25% interest (by value) is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The total value of BioNTech’s assets under the asset test generally will be calculated taking into account the market price of the BioNTech ADSs and its ordinary shares. This value has fluctuated considerably in the past and may fluctuate considerably in the future. Even if BioNTech determines that it is not a PFIC for a taxable year, there can be no assurance that the IRS will agree with BioNTech’s conclusion regarding its PFIC status. </w:t>
      </w:r>
    </w:p>
    <w:p>
      <w:pPr>
        <w:pStyle w:val="TextBody"/>
        <w:bidi w:val="0"/>
        <w:spacing w:before="240" w:after="0"/>
        <w:jc w:val="left"/>
        <w:rPr>
          <w:rFonts w:ascii="Times New Roman" w:hAnsi="Times New Roman"/>
          <w:sz w:val="20"/>
        </w:rPr>
      </w:pPr>
      <w:r>
        <w:rPr>
          <w:rFonts w:ascii="Times New Roman" w:hAnsi="Times New Roman"/>
          <w:sz w:val="20"/>
        </w:rPr>
        <w:t xml:space="preserve">For any year for which BioNTech is classified as a PFIC, a U.S. holder will be subject to special rules with respect to distributions on and sales, exchanges, and other dispositions of the ADSs, as described further below. In addition, a U.S. holder that holds BioNTech ADSs at any time during a taxable year in which BioNTech is classified as a PFIC generally will continue to have to treat such BioNTech ADSs as shares in a PFIC, even if BioNTech no longer satisfies the income and asset tests described above, unless the U.S. holder elects to recognize gain with respect to the BioNTech ADSs. This gain will be taxed under the excess distribution regime described below as if such BioNTech ADSs had been sold on the last day of the last taxable year for which BioNTech was a PFIC. </w:t>
      </w:r>
    </w:p>
    <w:p>
      <w:pPr>
        <w:pStyle w:val="TextBody"/>
        <w:bidi w:val="0"/>
        <w:spacing w:before="240" w:after="0"/>
        <w:jc w:val="left"/>
        <w:rPr>
          <w:rFonts w:ascii="Times New Roman" w:hAnsi="Times New Roman"/>
          <w:sz w:val="20"/>
        </w:rPr>
      </w:pPr>
      <w:r>
        <w:rPr>
          <w:rFonts w:ascii="Times New Roman" w:hAnsi="Times New Roman"/>
          <w:sz w:val="20"/>
        </w:rPr>
        <w:t>Certain elections by a U.S. holder, described below, may alleviate some of the adverse consequences of the excess distribution rules, as described below. A U.S. holder of PFIC shares generally must file an annual information return on IRS Form 8621 (</w:t>
      </w:r>
      <w:r>
        <w:rPr>
          <w:rFonts w:ascii="Times New Roman" w:hAnsi="Times New Roman"/>
          <w:i/>
          <w:sz w:val="20"/>
        </w:rPr>
        <w:t>Information Return by a Shareholder of a Passive Foreign Investment Company or Qualified Electing Fund</w:t>
      </w:r>
      <w:r>
        <w:rPr>
          <w:rFonts w:ascii="Times New Roman" w:hAnsi="Times New Roman"/>
          <w:sz w:val="20"/>
        </w:rPr>
        <w:t xml:space="preserve">) and make any of the elections described below on such Form attached to a timely filed U.S. federal income tax return (including available extensions). The failure to file IRS Form 8621 for each applicable taxable year could result in penalties and an extension of the statute of limitations with respect to U.S. federal income tax until such forms are properly filed. </w:t>
      </w:r>
    </w:p>
    <w:p>
      <w:pPr>
        <w:pStyle w:val="TextBody"/>
        <w:bidi w:val="0"/>
        <w:spacing w:before="240" w:after="0"/>
        <w:jc w:val="left"/>
        <w:rPr>
          <w:rFonts w:ascii="Times New Roman" w:hAnsi="Times New Roman"/>
          <w:b/>
          <w:sz w:val="20"/>
        </w:rPr>
      </w:pPr>
      <w:r>
        <w:rPr>
          <w:rFonts w:ascii="Times New Roman" w:hAnsi="Times New Roman"/>
          <w:b/>
          <w:sz w:val="20"/>
        </w:rPr>
        <w:t xml:space="preserve">U.S. HOLDERS ARE URGED TO CONSULT THEIR TAX ADVISORS AS TO BIONTECH’S STATUS AS A PFIC, AND THE TAX CONSEQUENCES TO THEM AS A RESULT OF THE EXPECTED CLASSIFICATION OF BIONTECH AS A PFIC, INCLUDING THE REPORTING REQUIREMENTS, THE DESIRABILITY AND AVAILABILITY TO THEM OF MAKING ANY OF THE ELECTIONS DESCRIBED BELOW, WITH RESPECT TO THE BIONTECH ADSS RECEIVED PURSUANT TO THE OFFER OR THE CANCELLATION, THE CONSEQUENCES OF THE PFIC RULES ON THEIR RECEIPT OF CASH IN LIEU OF FRACTIONAL BIONTECH ADSS, AND WHETHER IT MAY BE ADVISABLE TO DISPOSE OF THEIR CUREVAC SHARES OTHER THAN PURSUANT TO THE OFFER OR THE CANCELLATION. </w:t>
      </w:r>
    </w:p>
    <w:p>
      <w:pPr>
        <w:pStyle w:val="TextBody"/>
        <w:bidi w:val="0"/>
        <w:spacing w:before="240" w:after="0"/>
        <w:jc w:val="left"/>
        <w:rPr>
          <w:rFonts w:ascii="Times New Roman" w:hAnsi="Times New Roman"/>
          <w:sz w:val="20"/>
        </w:rPr>
      </w:pPr>
      <w:r>
        <w:rPr>
          <w:rFonts w:ascii="Times New Roman" w:hAnsi="Times New Roman"/>
          <w:i/>
          <w:sz w:val="20"/>
        </w:rPr>
        <w:t>Excess Distribution Rules.</w:t>
      </w:r>
      <w:r>
        <w:rPr>
          <w:rFonts w:ascii="Times New Roman" w:hAnsi="Times New Roman"/>
          <w:sz w:val="20"/>
        </w:rPr>
        <w:t xml:space="preserve"> If BioNTech is classified as a PFIC with respect to a U.S. holder, then unless such U.S. holder makes one of the elections described below, the excess distribution rules described below will apply to the U.S. holder with respect to (i) any “excess distribution” on BioNTech ADSs (generally, aggregate distributions in any year that are greater than 125% of the average annual distribution received by the holder in the shorter of the three preceding years or the holder’s holding period for the BioNTech ADSs) and (ii) any gain realized on the sale or other disposition of the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Under the excess distribution rules, the amount of any excess distribution and the amount of any realized gain is treated as ordinary income and is subject to tax as if (a) the excess distribution or gain on the U.S. holder’s BioNTech ADSs had been realized ratably over the U.S. holder’s holding period, (b) the amount deemed realized in each year had been subject to U.S. federal income tax in each year of that holding period at the highest marginal rate for such year (other than income allocated to the current period or any taxable period before BioNTech became a PFIC, which is subject to tax at the U.S. holder’s regular ordinary income rate for the current taxable year and is not subject to the interest charge discussed below), and (c) the interest charge generally applicable to underpayments of taxes for the years to which the excess distribution or gain is allocated as if the taxes had been payable in those years. If applicable, this tax treatment for U.S. holders applies also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 distributions and gains deemed realized by U.S. holders in respect of stock of any of the subsidiaries of BioNTech determined to be PFICs. BioNTech expects one or more of its subsidiaries to be classified as a PFIC, but such treatment is uncertain. In addition, dividend distributions from a PFIC do not qualify for the lower U.S. federal income tax rates applicable to qualified dividends, discussed below under “Material United States Federal Income Considerations — Material U.S. Federal Income Tax Considerations if BioNTech is not Classified as a Passive Foreign Investment Company — Dividends.” </w:t>
      </w:r>
    </w:p>
    <w:p>
      <w:pPr>
        <w:pStyle w:val="TextBody"/>
        <w:bidi w:val="0"/>
        <w:spacing w:before="240" w:after="0"/>
        <w:jc w:val="left"/>
        <w:rPr>
          <w:rFonts w:ascii="Times New Roman" w:hAnsi="Times New Roman"/>
          <w:sz w:val="20"/>
        </w:rPr>
      </w:pPr>
      <w:r>
        <w:rPr>
          <w:rFonts w:ascii="Times New Roman" w:hAnsi="Times New Roman"/>
          <w:sz w:val="20"/>
        </w:rPr>
        <w:t xml:space="preserve">If an exchanging U.S. holder’s holding period in the BioNTech ADSs received in exchange for such CureVac shares includes the holder’s holding period in the CureVac shares, then the allocation of excess distributions and gain (including any gain recognized with respect to cash received in lieu of fractional BioNTech ADSs) may apply with respect to the U.S. holder’s entire holding period, including the period during which the U.S. holder held shares in CureVac prior to their exchange for BioNTech ADSs pursuant to the offer or the cancellation, as applicable. Under proposed U.S. treasury regulations, however, the portion of a U.S. holder’s holding period in its BioNTech ADS that is determined by reference to its holding period in its CureVac share prior to the completion of the offer or the cancellation, as applicable, will be treated as a period during which BioNTech ADSs were not shares of a PFIC to the extent CureVac shares were not classified as shares of a PFIC for such U.S. holder during such period. </w:t>
      </w:r>
      <w:r>
        <w:rPr>
          <w:rFonts w:ascii="Times New Roman" w:hAnsi="Times New Roman"/>
          <w:i/>
          <w:sz w:val="20"/>
        </w:rPr>
        <w:t xml:space="preserve">U.S. holders are strongly urged to consult their tax advisors regarding this allocation under the excess distribution rules. </w:t>
      </w:r>
    </w:p>
    <w:p>
      <w:pPr>
        <w:pStyle w:val="TextBody"/>
        <w:bidi w:val="0"/>
        <w:spacing w:before="240" w:after="0"/>
        <w:jc w:val="left"/>
        <w:rPr>
          <w:rFonts w:ascii="Times New Roman" w:hAnsi="Times New Roman"/>
          <w:sz w:val="20"/>
        </w:rPr>
      </w:pPr>
      <w:r>
        <w:rPr>
          <w:rFonts w:ascii="Times New Roman" w:hAnsi="Times New Roman"/>
          <w:i/>
          <w:sz w:val="20"/>
        </w:rPr>
        <w:t>Elective Alternative Treatment: QEF Election</w:t>
      </w:r>
      <w:r>
        <w:rPr>
          <w:rFonts w:ascii="Times New Roman" w:hAnsi="Times New Roman"/>
          <w:sz w:val="20"/>
        </w:rPr>
        <w:t xml:space="preserve">. If BioNTech is classified as a PFIC, the rules described above do not apply to a U.S. holder that makes an election to treat its BioNTech ADSs as stock of a QEF in the first year in the U.S. holder’s holding period of BioNTech ADSs during which BioNTech is classified as a PFIC, possibly along with a “purging election,” or in a later year along with a “purging election” described below. BioNTech intends to provide to U.S. holders the required information that will allow a U.S. holder to make a valid QEF election on an annual basis. As a result, a U.S. holder is expected to be able to make a QEF election with respect to its BioNTech ADSs (including with an extension to file its U.S. federal income tax return). A U.S. holder that makes a QEF election is required to include in income its </w:t>
      </w:r>
      <w:r>
        <w:rPr>
          <w:rFonts w:ascii="Times New Roman" w:hAnsi="Times New Roman"/>
          <w:i/>
          <w:sz w:val="20"/>
        </w:rPr>
        <w:t>pro rata</w:t>
      </w:r>
      <w:r>
        <w:rPr>
          <w:rFonts w:ascii="Times New Roman" w:hAnsi="Times New Roman"/>
          <w:sz w:val="20"/>
        </w:rPr>
        <w:t xml:space="preserve"> share of BioNTech’s ordinary earnings and net capital gain as ordinary income and long-term capital gain, respectively, subject to a separate election to defer payment of U.S. federal income taxes, which deferral is subject to an interest charge. The basis of the U.S. holder’s BioNTech ADSs is increased by any amount which is included in the income of the U.S. holder pursuant to a QEF election with respect to such BioNTech ADSs, and decreased by any amount distributed with respect to such BioNTech ADSs which is not includible in the income of the U.S. holder by reason of such distribution being treated as made out of previously taxed earnings and profits, as described further below in “Material United States Federal Income Tax Considerations — Material U.S. Federal Income Tax Consequences of Owning and Disposing of BioNTech ADSs Acquired Pursuant to the Offer or the Cancellation — Material U.S. Federal Income Tax Considerations if BioNTech is not Classified as a Passive Foreign Investment Company — Dividends”. If a QEF election is made for the current taxable year, and the current taxable year is not the first year in the U.S. holder’s holding period of BioNTech ADSs when BioNTech was a PFIC, the excess distribution rules will apply with respect to such years in the U.S. holder’s holding period that precede the year of the QEF election, unless a purging election is made.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generally by attaching a completed IRS Form 8621 to a timely filed U.S. federal income tax return for the year beginning with which the QEF election is to be effective (taking into account any extensions). A QEF election can be revoked only with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If a U.S. holder’s holding period in the BioNTech ADSs received in exchange for CureVac shares includes years during which BioNTech was a PFIC prior to the current taxable year, a U.S. holder may make a purging election along with the QEF Election. If a U.S. holder makes a purging election, the U.S. holder will be treated as selling the holder’s BioNTech ADSs at their then fair market value and recognizing gain, which gain is subject to U.S. federal income tax under the excess distribution rules described above. As a result of any such purging election, the U.S. holder would increase the adjusted tax basis in its BioNTech ADSs by the amount of the gain recognized and, solely for purposes of the PFIC rules, would have a new holding period in its BioNTech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U.S. holders are strongly urged to consult their tax advisors regarding the implications of a QEF election and a purging election with respect to their BioNTech ADSs in light of the effect of the tax-free reorganization treatment of the offer, the post-offer reorganization, and the New Topco U.S. tax election on their respective holding periods in BioNTech ADSs. </w:t>
      </w:r>
    </w:p>
    <w:p>
      <w:pPr>
        <w:pStyle w:val="TextBody"/>
        <w:bidi w:val="0"/>
        <w:spacing w:before="240" w:after="0"/>
        <w:jc w:val="left"/>
        <w:rPr>
          <w:rFonts w:ascii="Times New Roman" w:hAnsi="Times New Roman"/>
          <w:sz w:val="20"/>
        </w:rPr>
      </w:pPr>
      <w:r>
        <w:rPr>
          <w:rFonts w:ascii="Times New Roman" w:hAnsi="Times New Roman"/>
          <w:i/>
          <w:sz w:val="20"/>
        </w:rPr>
        <w:t>Elective Alternative Treatment: Mark-to-Market Election</w:t>
      </w:r>
      <w:r>
        <w:rPr>
          <w:rFonts w:ascii="Times New Roman" w:hAnsi="Times New Roman"/>
          <w:sz w:val="20"/>
        </w:rPr>
        <w:t xml:space="preserve">. The rules described above also do not apply to a U.S. holder that makes a “mark-to-market” election with respect to its BioNTech ADSs. This election is available with respect to the BioNTech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BioNTech ADSs generally will be considered regularly traded during any calendar year during which they are traded, other than in </w:t>
      </w:r>
      <w:r>
        <w:rPr>
          <w:rFonts w:ascii="Times New Roman" w:hAnsi="Times New Roman"/>
          <w:i/>
          <w:sz w:val="20"/>
        </w:rPr>
        <w:t>de minimis</w:t>
      </w:r>
      <w:r>
        <w:rPr>
          <w:rFonts w:ascii="Times New Roman" w:hAnsi="Times New Roman"/>
          <w:sz w:val="20"/>
        </w:rPr>
        <w:t xml:space="preserve"> quantities, on at least 15 days during each calendar quarter. Any trades that have as their principal purpose meeting this requirement will be disregarded. BioNTech ADSs will be marketable stock as long as they remain listed on the Nasdaq Global Select Market and are traded regularly. In addition, U.S. holders may not be able to make a mark-to-market election with respect to stock of a lower-tier PFIC, the stock of which is not marketable. A U.S. holder that has made a mark-to-market election with respect to its BioNTech ADSs may continue to be subject to the PFIC rules with respect to such U.S. holder’s indirect interest in any investments held by BioNTech that are treated as an equity interest in a PFIC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valid mark-to-market election for the first taxable year in which the U.S. holder holds (or is deemed to hold) BioNTech ADSs and for which BioNTech is a PFIC will be required to include each year an amount equal to the excess, if any, of the fair market value of such BioNTech ADSs the holder owns as of the close of the taxable year over the holder’s adjusted tax basis in such BioNTech ADSs. The U.S. holder will be entitled to a deduction for the excess, if any, of the holder’s adjusted tax basis in the BioNTech ADSs over the fair market value of such BioNTech ADSs as of the close of the taxable year, but only to the extent of any net mark-to-market gains with respect to such BioNTech ADSs included by the U.S. holder under the election for prior taxable years. The U.S. holder’s basis in such BioNTech ADSs will be adjusted to reflect the amounts included or deducted pursuant to the election. Amounts included in income pursuant to a mark-to-market election, as well as gain on the sale, exchange, or other taxable disposition of such BioNTech ADSs, will be treated as ordinary income. The deductible portion of any mark-to-market loss, as well as loss on a sale, exchange, or other disposition of BioNTech ADSs to the extent that the amount of such loss does not exceed net mark-to-market gains previously included in income, will be treated as ordinary loss.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applies to the taxable year for which the election is made and all subsequent taxable years, unless BioNTech ADSs cease to be treated as marketable stock for purposes of the PFIC rules or the IRS consents to a revocation of the election. The excess distribution rules described above generally will not apply to a U.S. holder for taxable years for which a mark-to-market election is in effect. </w:t>
      </w:r>
    </w:p>
    <w:p>
      <w:pPr>
        <w:pStyle w:val="TextBody"/>
        <w:bidi w:val="0"/>
        <w:spacing w:before="240" w:after="0"/>
        <w:jc w:val="left"/>
        <w:rPr>
          <w:rFonts w:ascii="Times New Roman" w:hAnsi="Times New Roman"/>
          <w:sz w:val="20"/>
        </w:rPr>
      </w:pPr>
      <w:r>
        <w:rPr>
          <w:rFonts w:ascii="Times New Roman" w:hAnsi="Times New Roman"/>
          <w:sz w:val="20"/>
        </w:rPr>
        <w:t xml:space="preserve">However, if BioNTech is a PFIC for any year after the beginning of the U.S. holder’s holding period in its BioNTech ADSs but before a mark-to-market election is made, the excess distribution rules described above apply to any mark-to-market gain recognized in the year the election is made. Because an exchanging U.S. holder’s holding period in the BioNTech ADSs received in exchange for such CureVac shares includes the holder’s holding period in the CureVac shares, any mark-to-market election during the current taxable year may be subject to the excess distribution regime for the first year of the mark-to-market election regardless of the fact that CureVac shares may not have been shares of a PFIC in the hands of such U.S. holder. </w:t>
      </w:r>
      <w:r>
        <w:rPr>
          <w:rFonts w:ascii="Times New Roman" w:hAnsi="Times New Roman"/>
          <w:i/>
          <w:sz w:val="20"/>
        </w:rPr>
        <w:t>U.S. holders are</w:t>
      </w:r>
      <w:r>
        <w:rPr>
          <w:rFonts w:ascii="Times New Roman" w:hAnsi="Times New Roman"/>
          <w:sz w:val="20"/>
        </w:rPr>
        <w:t xml:space="preserve"> </w:t>
      </w:r>
      <w:r>
        <w:rPr>
          <w:rFonts w:ascii="Times New Roman" w:hAnsi="Times New Roman"/>
          <w:i/>
          <w:sz w:val="20"/>
        </w:rPr>
        <w:t>strongly urged to consult their tax advisors regarding the application of the excess distribution regime to any mark-to-market election.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Material U.S. Federal Income Tax Considerations if BioNTech is not Classified as a Passive Foreign Investment Company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If the PFIC rules described above do not apply to a U.S. holder, for example because the U.S. holder has made a QEF election or a mark-to-market election with respect to its BioNTech ADSs for all taxable years for which such BioNTech ADSs are treated as a stock in a PFIC with respect to such U.S. holder, and BioNTech is no longer classified as a PFIC, the gross amount (before deduction for any withholding tax) of any distribution BioNTech pays out of its current or accumulated earnings and profits (as determined for U.S. federal income tax purposes) will be treated as a dividend and is includible in income for a U.S. holder and subject to U.S. federal income taxation. Dividends paid to a noncorporate U.S. holder that are treated as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However, dividends paid by BioNTech will not be treated as a qualified dividend income if BioNTech is a PFIC for the taxable year of the payment of the dividend or the preceding taxable year.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U.S. holder can establish that any amount is paid out earnings and profits of BioNTech which were included pursuant to a QEF election in the income of any United States person, that amount is treated, for all purposes of the code, as a distribution that is not a dividend. Accordingly, those amounts are not included in the gross income of the U.S. holder. Relevant legislative history states that U.S. treasury regulations should establish ordering rules that follow the approach of section 959(c) of the code. Consequently, actual distributions by BioNTech should be treated as being first from previously taxed earnings and profits, then from other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dividend is taxable to the U.S. holder when the U.S. holder receives the dividend, actually or constructively. Because BioNTech is not a U.S. corporation, dividends paid by BioNTech will not be eligible for the dividends-received deduction generally allowed to U.S. corporations in respect of dividends received from other U.S. corporations. The dividend income generally will be income from sources without the United States for foreign tax credit limitation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the dividend includible in a U.S. holder’s income will be the U.S. dollar value of the Euro payments made, determined at the spot Euro/U.S. dollar rate on the date the dividend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In addition, with respect to any distribution from previously taxed earnings and profits, the U.S. holder must recognize ordinary income or loss resulting from currency exchange fluctuations during the period from the time the earnings were included in a United States person’s income to the time the distribution is actually made. In each case, the gain or loss generally will be income or loss from sources within the United States for foreign tax credit limitation purposes.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 distribution with respect to BioNTech ADSs exceeds BioNTech’s current or accumulated earnings and profits, as determined under U.S. federal income tax principles, the distribution will be treated, first, as a tax-free return of the U.S. holder’s investment, up to the holder’s adjusted tax basis in its BioNTech ADSs and, thereafter, as capital gain, which is subject to the tax treatment described below in “Material United States Federal Income Tax Considerations — Gain on Sale, Exchange, or Other Taxable Disposition.” </w:t>
      </w:r>
    </w:p>
    <w:p>
      <w:pPr>
        <w:pStyle w:val="TextBody"/>
        <w:bidi w:val="0"/>
        <w:spacing w:before="360" w:after="0"/>
        <w:jc w:val="left"/>
        <w:rPr>
          <w:rFonts w:ascii="Times New Roman" w:hAnsi="Times New Roman"/>
          <w:i/>
          <w:sz w:val="20"/>
        </w:rPr>
      </w:pPr>
      <w:r>
        <w:rPr>
          <w:rFonts w:ascii="Times New Roman" w:hAnsi="Times New Roman"/>
          <w:i/>
          <w:sz w:val="20"/>
        </w:rPr>
        <w:t xml:space="preserve">Gain On Sale, Exchange,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If the PFIC rules described above do not apply, a U.S. holder that disposes of BioNTech ADSs in a sale, exchange, or other taxable disposition generally will recognize capital gain or loss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equal to the difference between the U.S. dollar value of the amount realized and the U.S. holder’s tax basis, determined in U.S. dollars, in the BioNTech ADSs, taking into account any adjustments to the U.S. holder’s tax basis resulting from income inclusions pursuant to a QEF election. Gain or loss recognized on such a sale, exchange, or other disposition of BioNTech ADSs generally will be long-term capital gain if the U.S. holder’s holding period in the BioNTech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Reporting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Individual U.S. holders may be subject to certain reporting obligations on IRS Form 8938 (</w:t>
      </w:r>
      <w:r>
        <w:rPr>
          <w:rFonts w:ascii="Times New Roman" w:hAnsi="Times New Roman"/>
          <w:i/>
          <w:sz w:val="20"/>
        </w:rPr>
        <w:t>Statement of Specified Foreign Financial Assets</w:t>
      </w:r>
      <w:r>
        <w:rPr>
          <w:rFonts w:ascii="Times New Roman" w:hAnsi="Times New Roman"/>
          <w:sz w:val="20"/>
        </w:rPr>
        <w:t xml:space="preserve">) with respect to their BioNTech ADSs for any taxable year during which the U.S. holder’s aggregate value of these and certain other “specified foreign financial assets” exceeds a threshold amount that varies with the filing status of the individual. This reporting obligation also applies to domestic entities formed or availed of to hold, directly or indirectly, specified foreign financial assets, including the BioNTech ADSs. Significant penalties can apply if U.S. holders are required to make this disclosure and fail to do so.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Non-corporate U.S. holders of BioNTech ADSs may be subject, under certain circumstances, to information reporting and backup withholding (currently at a rate of 24%) in respect of dividends paid on BioNTech ADSs or the proceeds from a sale, exchange, or redemption of BioNTech ADSs that are paid to a holder of BioNTech ADSs within the United States (and in certain cases, outside the United States).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9" w:name="toc847647_63"/>
      <w:bookmarkEnd w:id="69"/>
      <w:r>
        <w:rPr>
          <w:rFonts w:ascii="Times New Roman" w:hAnsi="Times New Roman"/>
          <w:b/>
          <w:sz w:val="20"/>
        </w:rPr>
        <w:t xml:space="preserve">MATERIAL GERMAN TAX CONSIDERATIONS </w:t>
      </w:r>
    </w:p>
    <w:p>
      <w:pPr>
        <w:pStyle w:val="TextBody"/>
        <w:bidi w:val="0"/>
        <w:spacing w:before="240" w:after="0"/>
        <w:jc w:val="left"/>
        <w:rPr>
          <w:rFonts w:ascii="Times New Roman" w:hAnsi="Times New Roman"/>
          <w:sz w:val="20"/>
        </w:rPr>
      </w:pPr>
      <w:r>
        <w:rPr>
          <w:rFonts w:ascii="Times New Roman" w:hAnsi="Times New Roman"/>
          <w:sz w:val="20"/>
        </w:rPr>
        <w:t>The following discussion addresses certain German tax consequences of acceptance, or non-acceptance, of the offer and of acquiring, owning or disposing of the BioNTech ADSs. This discussion is based on domestic German tax laws, including, but not limited to, circulars issued by German tax authorities, which are not binding on the German courts, and applicable double taxation treaties. It is based upon tax laws in effect as of the date of this offer to exchange/prospectus. These laws are subject to change, possibly with retroactive effect. For example, certain member states of the European Union are considering introducing a financial transaction tax (</w:t>
      </w:r>
      <w:r>
        <w:rPr>
          <w:rFonts w:ascii="Times New Roman" w:hAnsi="Times New Roman"/>
          <w:i/>
          <w:sz w:val="20"/>
        </w:rPr>
        <w:t>Finanztransaktionssteuer</w:t>
      </w:r>
      <w:r>
        <w:rPr>
          <w:rFonts w:ascii="Times New Roman" w:hAnsi="Times New Roman"/>
          <w:sz w:val="20"/>
        </w:rPr>
        <w:t xml:space="preserve">) which, if introduced, may also be applicable on sales and/or transfer of the BioNTech ADSs. There is no assurance that German tax authorities will not challenge one or more of the tax consequences described in this section. The following discussion does not address the German tax consequences of the acceptance, or non-acceptance, of the offer and of acquiring, owning, or disposing of the BioNTech ADSs for CureVac shareholders that currently hold 10% or more of the shares in CureVac.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acceptance, or non-acceptance, of the offer and of acquiring, owning, or disposing of the BioNTech ADSs. </w:t>
      </w:r>
    </w:p>
    <w:p>
      <w:pPr>
        <w:pStyle w:val="TextBody"/>
        <w:bidi w:val="0"/>
        <w:spacing w:before="240" w:after="0"/>
        <w:jc w:val="left"/>
        <w:rPr>
          <w:rFonts w:ascii="Times New Roman" w:hAnsi="Times New Roman"/>
          <w:sz w:val="20"/>
        </w:rPr>
      </w:pPr>
      <w:r>
        <w:rPr>
          <w:rFonts w:ascii="Times New Roman" w:hAnsi="Times New Roman"/>
          <w:sz w:val="20"/>
        </w:rPr>
        <w:t>The tax information presented in this section is not a substitute for tax advice. Investors should consult their tax advisors regarding the German tax consequences of the acceptance, or non-acceptance, of the offer and regarding acquiring, owning, or disposing of the BioNTech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hAnsi="Times New Roman"/>
          <w:i/>
          <w:sz w:val="20"/>
        </w:rPr>
        <w:t>Kapitalertragsteuer</w:t>
      </w:r>
      <w:r>
        <w:rPr>
          <w:rFonts w:ascii="Times New Roman" w:hAnsi="Times New Roman"/>
          <w:sz w:val="20"/>
        </w:rPr>
        <w:t xml:space="preserve">) withheld. Only an individual tax consultation can appropriately account for the particular tax situation of each investor. </w:t>
      </w:r>
    </w:p>
    <w:p>
      <w:pPr>
        <w:pStyle w:val="TextBody"/>
        <w:bidi w:val="0"/>
        <w:spacing w:before="240" w:after="0"/>
        <w:jc w:val="left"/>
        <w:rPr>
          <w:rFonts w:ascii="Times New Roman" w:hAnsi="Times New Roman"/>
          <w:sz w:val="20"/>
        </w:rPr>
      </w:pPr>
      <w:r>
        <w:rPr>
          <w:rFonts w:ascii="Times New Roman" w:hAnsi="Times New Roman"/>
          <w:sz w:val="20"/>
        </w:rPr>
        <w:t>Based on the circular issued by the German Federal Ministry of Finance (</w:t>
      </w:r>
      <w:r>
        <w:rPr>
          <w:rFonts w:ascii="Times New Roman" w:hAnsi="Times New Roman"/>
          <w:i/>
          <w:sz w:val="20"/>
        </w:rPr>
        <w:t>BMF-Schreiben</w:t>
      </w:r>
      <w:r>
        <w:rPr>
          <w:rFonts w:ascii="Times New Roman" w:hAnsi="Times New Roman"/>
          <w:sz w:val="20"/>
        </w:rPr>
        <w:t>), dated May 24, 2013, reference number IV C 1-S 2204/12/10003, as amended by the circular dated December 18, 2018 (reference number IV C 1-S 2204/12/10003), in respect of the taxation of American Depositary Receipts, or ADRs, on domestic shares, which we refer to as the ADR Tax Circular, for German tax purposes, the BioNTech ADSs should, in light of the ADR Tax Circular, represent a beneficial ownership interest in the underlying shares of BioNTech and qualify as ADRs for the purpose of the ADR Tax Circular. If the BioNTech ADSs qualify as ADRs under the ADR Tax Circular, dividends would accordingly be attributable to holders of the BioNTech ADSs for German tax purposes, and not to the legal owner of the ordinary shares (</w:t>
      </w:r>
      <w:r>
        <w:rPr>
          <w:rFonts w:ascii="Times New Roman" w:hAnsi="Times New Roman"/>
          <w:i/>
          <w:sz w:val="20"/>
        </w:rPr>
        <w:t>i.e.</w:t>
      </w:r>
      <w:r>
        <w:rPr>
          <w:rFonts w:ascii="Times New Roman" w:hAnsi="Times New Roman"/>
          <w:sz w:val="20"/>
        </w:rPr>
        <w:t xml:space="preserve">, the financial institution on behalf of which the ordinary shares are stored at a domestic depository for the BioNTech ADS holders). Furthermore, holders of the BioNTech ADSs should be treated as beneficial owners of the shares in BioNTech with respect to capital gains.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BioNTech ADSs. For the purpose of this section, it is assumed that the BioNTech ADSs qualify as ADRs within the meaning of the ADR Tax Circular. The following tax considerations focus on certain German tax aspects for holders of the BioNTech ADSs. In light of the fact that the BioNTech ADS represent a beneficial ownership interest in the underlying shares of BioNTech, the following considerations should generally apply </w:t>
      </w:r>
      <w:r>
        <w:rPr>
          <w:rFonts w:ascii="Times New Roman" w:hAnsi="Times New Roman"/>
          <w:i/>
          <w:sz w:val="20"/>
        </w:rPr>
        <w:t>mutatis mutandis</w:t>
      </w:r>
      <w:r>
        <w:rPr>
          <w:rFonts w:ascii="Times New Roman" w:hAnsi="Times New Roman"/>
          <w:sz w:val="20"/>
        </w:rPr>
        <w:t xml:space="preserve"> to shareholders who exercise their right to receive the underlying shares of BioNTech.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German income tax consequences of the offer and the post-offer reorganization for CureVac shareholders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Income and dividend withholding tax aspects for CureVac shareholders who tender their CureVac shares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Taxes on Income and Capital Gains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assumed for all purposes herein that CureVac is tax resident in Germany at all relevant points in time when taxable events may occur. </w:t>
      </w:r>
    </w:p>
    <w:p>
      <w:pPr>
        <w:pStyle w:val="TextBody"/>
        <w:bidi w:val="0"/>
        <w:spacing w:before="360" w:after="0"/>
        <w:jc w:val="left"/>
        <w:rPr>
          <w:rFonts w:ascii="Times New Roman" w:hAnsi="Times New Roman"/>
          <w:sz w:val="20"/>
        </w:rPr>
      </w:pPr>
      <w:r>
        <w:rPr>
          <w:rFonts w:ascii="Times New Roman" w:hAnsi="Times New Roman"/>
          <w:sz w:val="20"/>
          <w:u w:val="single"/>
        </w:rPr>
        <w:t>German tax resident CureVac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CureVac shares held as Private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a general rule, for CureVac shareholders holding their shares as private assets (</w:t>
      </w:r>
      <w:r>
        <w:rPr>
          <w:rFonts w:ascii="Times New Roman" w:hAnsi="Times New Roman"/>
          <w:i/>
          <w:sz w:val="20"/>
        </w:rPr>
        <w:t>Privatvermögen</w:t>
      </w:r>
      <w:r>
        <w:rPr>
          <w:rFonts w:ascii="Times New Roman" w:hAnsi="Times New Roman"/>
          <w:sz w:val="20"/>
        </w:rPr>
        <w:t xml:space="preserve">) who tendered their CureVac shares in the offer, such exchange constitutes a taxable disposal of the tendered CureVac shares. The consideration offered in the offer, i.e., the market value of the BioNTech ADSs (plus any cash in lieu of fractional BioNTech ADSs), constitutes the gross capital income. From this tax base the disposal costs and the acquisition costs for the CureVac shares are to be deducted. The difference, </w:t>
      </w:r>
      <w:r>
        <w:rPr>
          <w:rFonts w:ascii="Times New Roman" w:hAnsi="Times New Roman"/>
          <w:i/>
          <w:sz w:val="20"/>
        </w:rPr>
        <w:t>i.e.</w:t>
      </w:r>
      <w:r>
        <w:rPr>
          <w:rFonts w:ascii="Times New Roman" w:hAnsi="Times New Roman"/>
          <w:sz w:val="20"/>
        </w:rPr>
        <w:t xml:space="preserve">, the capital gain, is subject to taxation. </w:t>
      </w:r>
    </w:p>
    <w:p>
      <w:pPr>
        <w:pStyle w:val="TextBody"/>
        <w:bidi w:val="0"/>
        <w:spacing w:before="240" w:after="0"/>
        <w:jc w:val="left"/>
        <w:rPr>
          <w:rFonts w:ascii="Times New Roman" w:hAnsi="Times New Roman"/>
          <w:sz w:val="20"/>
        </w:rPr>
      </w:pPr>
      <w:r>
        <w:rPr>
          <w:rFonts w:ascii="Times New Roman" w:hAnsi="Times New Roman"/>
          <w:sz w:val="20"/>
        </w:rPr>
        <w:t>Since 2021, the basis for the calculation of the solidarity surcharge (</w:t>
      </w:r>
      <w:r>
        <w:rPr>
          <w:rFonts w:ascii="Times New Roman" w:hAnsi="Times New Roman"/>
          <w:i/>
          <w:sz w:val="20"/>
        </w:rPr>
        <w:t>Solidaritätszuschlag</w:t>
      </w:r>
      <w:r>
        <w:rPr>
          <w:rFonts w:ascii="Times New Roman" w:hAnsi="Times New Roman"/>
          <w:sz w:val="20"/>
        </w:rPr>
        <w:t xml:space="preserve">)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 </w:t>
      </w:r>
    </w:p>
    <w:p>
      <w:pPr>
        <w:pStyle w:val="TextBody"/>
        <w:bidi w:val="0"/>
        <w:spacing w:before="240" w:after="0"/>
        <w:jc w:val="left"/>
        <w:rPr>
          <w:rFonts w:ascii="Times New Roman" w:hAnsi="Times New Roman"/>
          <w:sz w:val="20"/>
        </w:rPr>
      </w:pPr>
      <w:r>
        <w:rPr>
          <w:rFonts w:ascii="Times New Roman" w:hAnsi="Times New Roman"/>
          <w:sz w:val="20"/>
        </w:rPr>
        <w:t xml:space="preserve">For shareholders, or in the case of a gratuitous transfer, the shareholder’s legal predecessor, who directly or indirectly have held less than 1% of the share capital of CureVac at any time during the five years preceding the exchange of CureVac shares for BioNTech ADSs, such exchange of CureVac shares into BioNTech ADSs does not lead to German income tax or withholding tax. Since there is no explicit administrative guidance or case law in relation to ADSs, there is a risk that the German tax authorities or German tax courts take a deviating view. </w:t>
      </w:r>
    </w:p>
    <w:p>
      <w:pPr>
        <w:pStyle w:val="TextBody"/>
        <w:bidi w:val="0"/>
        <w:spacing w:before="240" w:after="0"/>
        <w:jc w:val="left"/>
        <w:rPr>
          <w:rFonts w:ascii="Times New Roman" w:hAnsi="Times New Roman"/>
          <w:sz w:val="20"/>
        </w:rPr>
      </w:pPr>
      <w:r>
        <w:rPr>
          <w:rFonts w:ascii="Times New Roman" w:hAnsi="Times New Roman"/>
          <w:sz w:val="20"/>
        </w:rPr>
        <w:t xml:space="preserve">The receipt of cash in lieu of fractional BioNTech ADSs would generally be subject to a German withholding tax at a rate of 25% plus solidarity surcharge of 5.5%, resulting in an aggregate withholding tax of 26.375% (plus church tax, if any).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or in the case of a gratuitous transfer, the shareholder’s legal predecessor, directly or indirectly has held at least 1% of the share capital of CureVac at any time during the five years preceding the exchange of CureVac shares for BioNTech ADSs, the rules applicable to the income taxation of the exchange of CureVac shares that are held as business assets will apply correspondingly (see immediately below). </w:t>
      </w:r>
    </w:p>
    <w:p>
      <w:pPr>
        <w:pStyle w:val="TextBody"/>
        <w:bidi w:val="0"/>
        <w:spacing w:before="240" w:after="0"/>
        <w:jc w:val="left"/>
        <w:rPr>
          <w:rFonts w:ascii="Times New Roman" w:hAnsi="Times New Roman"/>
          <w:i/>
          <w:sz w:val="20"/>
        </w:rPr>
      </w:pPr>
      <w:r>
        <w:rPr>
          <w:rFonts w:ascii="Times New Roman" w:hAnsi="Times New Roman"/>
          <w:i/>
          <w:sz w:val="20"/>
        </w:rPr>
        <w:t xml:space="preserve">CureVac shares held as Business Assets by Individual Shareholders (Sole Proprietors) </w:t>
      </w:r>
    </w:p>
    <w:p>
      <w:pPr>
        <w:pStyle w:val="TextBody"/>
        <w:bidi w:val="0"/>
        <w:spacing w:before="120" w:after="0"/>
        <w:jc w:val="left"/>
        <w:rPr>
          <w:rFonts w:ascii="Times New Roman" w:hAnsi="Times New Roman"/>
          <w:sz w:val="20"/>
        </w:rPr>
      </w:pPr>
      <w:r>
        <w:rPr>
          <w:rFonts w:ascii="Times New Roman" w:hAnsi="Times New Roman"/>
          <w:sz w:val="20"/>
        </w:rPr>
        <w:t>For individuals holding CureVac shares as business assets, the exchange of CureVac shares for BioNTech ADSs (and cash in lieu of fractional BioNTech ADSs) in the offer will constitute a taxable event. Generally, 60% of capital gains derived from the exchange of CureVac shares (</w:t>
      </w:r>
      <w:r>
        <w:rPr>
          <w:rFonts w:ascii="Times New Roman" w:hAnsi="Times New Roman"/>
          <w:i/>
          <w:sz w:val="20"/>
        </w:rPr>
        <w:t>i.e.</w:t>
      </w:r>
      <w:r>
        <w:rPr>
          <w:rFonts w:ascii="Times New Roman" w:hAnsi="Times New Roman"/>
          <w:sz w:val="20"/>
        </w:rPr>
        <w:t xml:space="preserve">, the market value of the BioNTech ADSs (plus any cash in lieu of fractional BioNTech ADSs) minus the disposal and acquisition costs) are taxable at the respective shareholder’s income tax rate (plus solidarity surcharge of 5.5% thereon and church tax, if any). </w:t>
      </w:r>
    </w:p>
    <w:p>
      <w:pPr>
        <w:pStyle w:val="TextBody"/>
        <w:bidi w:val="0"/>
        <w:spacing w:before="240" w:after="0"/>
        <w:jc w:val="left"/>
        <w:rPr>
          <w:rFonts w:ascii="Times New Roman" w:hAnsi="Times New Roman"/>
          <w:sz w:val="20"/>
        </w:rPr>
      </w:pPr>
      <w:r>
        <w:rPr>
          <w:rFonts w:ascii="Times New Roman" w:hAnsi="Times New Roman"/>
          <w:sz w:val="20"/>
        </w:rPr>
        <w:t xml:space="preserve">Correspondingly, only 60% of the business expenses related to such a gain (subject to general restrictions on deductions, if any) and only 60% of any capital loss are tax deductible.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the CureVac shares are attributable to a permanent establishment of a trade or business in Germany, 60% of the capital gains are also subject to trade tax (</w:t>
      </w:r>
      <w:r>
        <w:rPr>
          <w:rFonts w:ascii="Times New Roman" w:hAnsi="Times New Roman"/>
          <w:i/>
          <w:sz w:val="20"/>
        </w:rPr>
        <w:t>Gewerbesteuer</w:t>
      </w:r>
      <w:r>
        <w:rPr>
          <w:rFonts w:ascii="Times New Roman" w:hAnsi="Times New Roman"/>
          <w:sz w:val="20"/>
        </w:rPr>
        <w:t xml:space="preserve">). However, up to a certain threshold and depending on the local trade tax rate of the municipality in which the trade or business is operated all or part of the trade tax is credited against the respective shareholder’s income tax liability. </w:t>
      </w:r>
    </w:p>
    <w:p>
      <w:pPr>
        <w:pStyle w:val="TextBody"/>
        <w:bidi w:val="0"/>
        <w:spacing w:before="240" w:after="0"/>
        <w:jc w:val="left"/>
        <w:rPr>
          <w:rFonts w:ascii="Times New Roman" w:hAnsi="Times New Roman"/>
          <w:sz w:val="20"/>
        </w:rPr>
      </w:pPr>
      <w:r>
        <w:rPr>
          <w:rFonts w:ascii="Times New Roman" w:hAnsi="Times New Roman"/>
          <w:sz w:val="20"/>
        </w:rPr>
        <w:t>The rules discussed in this section also apply if a shareholder, or, in the case of a gratuitous acquisition, the shareholder’s legal predecessor, directly or indirectly holds at the time of the exchange, or has held at least 1% of the share capital of CureVac at any time during the five years preceding the exchange of CureVac shares for BioNTech ADSs. Special rules (</w:t>
      </w:r>
      <w:r>
        <w:rPr>
          <w:rFonts w:ascii="Times New Roman" w:hAnsi="Times New Roman"/>
          <w:i/>
          <w:sz w:val="20"/>
        </w:rPr>
        <w:t>i.e.</w:t>
      </w:r>
      <w:r>
        <w:rPr>
          <w:rFonts w:ascii="Times New Roman" w:hAnsi="Times New Roman"/>
          <w:sz w:val="20"/>
        </w:rPr>
        <w:t xml:space="preserve">, limitation of tax deductibility) apply with regard to capital losses.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CureVac shares for BioNTech ADSs and the receipt of cash in lieu of fractional BioNTech ADSs would generally be subject to a German withholding tax at a rate of 25% plus solidarity surcharge of 5.5%, resulting in an aggregate withholding tax of 26.375% (plus church tax,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such as the exercise of election rights, the receipt of BioNTech ADSs on the exchange may not lead to an otherwise taxable capital gain; however this would not apply to any cash in lieu of fractional BioNTech ADSs. </w:t>
      </w:r>
    </w:p>
    <w:p>
      <w:pPr>
        <w:pStyle w:val="TextBody"/>
        <w:bidi w:val="0"/>
        <w:spacing w:before="240" w:after="0"/>
        <w:jc w:val="left"/>
        <w:rPr>
          <w:rFonts w:ascii="Times New Roman" w:hAnsi="Times New Roman"/>
          <w:i/>
          <w:sz w:val="20"/>
        </w:rPr>
      </w:pPr>
      <w:r>
        <w:rPr>
          <w:rFonts w:ascii="Times New Roman" w:hAnsi="Times New Roman"/>
          <w:i/>
          <w:sz w:val="20"/>
        </w:rPr>
        <w:t xml:space="preserve">CureVac shares held by Corporations </w:t>
      </w:r>
    </w:p>
    <w:p>
      <w:pPr>
        <w:pStyle w:val="TextBody"/>
        <w:bidi w:val="0"/>
        <w:spacing w:before="120" w:after="0"/>
        <w:jc w:val="left"/>
        <w:rPr>
          <w:rFonts w:ascii="Times New Roman" w:hAnsi="Times New Roman"/>
          <w:sz w:val="20"/>
        </w:rPr>
      </w:pPr>
      <w:r>
        <w:rPr>
          <w:rFonts w:ascii="Times New Roman" w:hAnsi="Times New Roman"/>
          <w:sz w:val="20"/>
        </w:rPr>
        <w:t>Generally, capital gains recognized by corporations on the exchange of CureVac shares for BioNTech ADSs (plus any cash in lieu of fractional BioNTech ADSs) in the offer (</w:t>
      </w:r>
      <w:r>
        <w:rPr>
          <w:rFonts w:ascii="Times New Roman" w:hAnsi="Times New Roman"/>
          <w:i/>
          <w:sz w:val="20"/>
        </w:rPr>
        <w:t>i.e.</w:t>
      </w:r>
      <w:r>
        <w:rPr>
          <w:rFonts w:ascii="Times New Roman" w:hAnsi="Times New Roman"/>
          <w:sz w:val="20"/>
        </w:rPr>
        <w:t xml:space="preserve">, the market value of the BioNTech ADSs (plus any cash in lieu of fractional BioNTech ADSs) minus the disposal and acquisition costs) are exempt from corporate income tax and trade tax if the CureVac shares are held as business assets attributable to a permanent establishment in Germany. However, 5% of such capital gain is treated as non-deductible business expenses and is, as such, subject to corporate income tax (plus solidarity surcharge of 5.5% thereon) and trade tax. Losses from the exchange of CureVac shares and any other profit reductions related to the exchange are generally not tax deductible. </w:t>
      </w:r>
    </w:p>
    <w:p>
      <w:pPr>
        <w:pStyle w:val="TextBody"/>
        <w:bidi w:val="0"/>
        <w:spacing w:before="240" w:after="0"/>
        <w:jc w:val="left"/>
        <w:rPr>
          <w:rFonts w:ascii="Times New Roman" w:hAnsi="Times New Roman"/>
          <w:sz w:val="20"/>
        </w:rPr>
      </w:pPr>
      <w:r>
        <w:rPr>
          <w:rFonts w:ascii="Times New Roman" w:hAnsi="Times New Roman"/>
          <w:sz w:val="20"/>
        </w:rPr>
        <w:t xml:space="preserve">The 95% tax exemption rule also applies to the cash compensation received in lieu of fractional BioNTech ADSs.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apply to companies operating in the financial and insurance sectors, as well as to pension funds.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such as the exercise of election rights, the receipt of BioNTech ADSs on the exchange may not lead to an otherwise taxable capital gain; however this would not apply to any cash in lieu of fractional BioNTech ADSs. </w:t>
      </w:r>
    </w:p>
    <w:p>
      <w:pPr>
        <w:pStyle w:val="TextBody"/>
        <w:bidi w:val="0"/>
        <w:spacing w:before="240" w:after="0"/>
        <w:jc w:val="left"/>
        <w:rPr>
          <w:rFonts w:ascii="Times New Roman" w:hAnsi="Times New Roman"/>
          <w:i/>
          <w:sz w:val="20"/>
        </w:rPr>
      </w:pPr>
      <w:r>
        <w:rPr>
          <w:rFonts w:ascii="Times New Roman" w:hAnsi="Times New Roman"/>
          <w:i/>
          <w:sz w:val="20"/>
        </w:rPr>
        <w:t xml:space="preserve">CureVac shares held by Partnerships </w:t>
      </w:r>
    </w:p>
    <w:p>
      <w:pPr>
        <w:pStyle w:val="TextBody"/>
        <w:bidi w:val="0"/>
        <w:spacing w:before="120" w:after="0"/>
        <w:jc w:val="left"/>
        <w:rPr>
          <w:rFonts w:ascii="Times New Roman" w:hAnsi="Times New Roman"/>
          <w:sz w:val="20"/>
        </w:rPr>
      </w:pPr>
      <w:r>
        <w:rPr>
          <w:rFonts w:ascii="Times New Roman" w:hAnsi="Times New Roman"/>
          <w:sz w:val="20"/>
        </w:rPr>
        <w:t>If the shareholder is a partnership engaged or deemed to be engaged in a trade or business (commercial partnership (</w:t>
      </w:r>
      <w:r>
        <w:rPr>
          <w:rFonts w:ascii="Times New Roman" w:hAnsi="Times New Roman"/>
          <w:i/>
          <w:sz w:val="20"/>
        </w:rPr>
        <w:t>Mitunternehmerschaft</w:t>
      </w:r>
      <w:r>
        <w:rPr>
          <w:rFonts w:ascii="Times New Roman" w:hAnsi="Times New Roman"/>
          <w:sz w:val="20"/>
        </w:rPr>
        <w:t xml:space="preserve">)), income tax or corporate income tax, as the case may be, is assessed at the level of each partner rather than at the level of the partnership. The taxation of each partner depends on whether the partner is subject to income tax or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If the partner is subject to corporate income tax, capital gains from the exchange of CureVac shares are, in general, effectively 95% tax exempt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the partner is subject to income tax, 60% of the capital gains from the exchange of the CureVac shares are taxable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the CureVac shares are attributable to a permanent establishment of the commercial partnership in Germany, any capital gain from their exchange is subject to trade tax at the level of the partnership, with 60% of the gain being subject to trade tax to the extent that the partners are individuals and, effectively, 5% to the extent that the partners are corporations. In the case of partners who are individuals, up to a certain threshold, and depending on the local trade tax rate of the municipality in which the trade or business is operated, all or part of the trade tax is credited against their income tax liability.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deductibility of business expenses related to the capital gains and the deductibility of capital losses for income tax or corporate income tax purposes, as the case may be, the rules outlined above apply to the partners accordingly. </w:t>
      </w:r>
    </w:p>
    <w:p>
      <w:pPr>
        <w:pStyle w:val="TextBody"/>
        <w:bidi w:val="0"/>
        <w:spacing w:before="240" w:after="0"/>
        <w:jc w:val="left"/>
        <w:rPr>
          <w:rFonts w:ascii="Times New Roman" w:hAnsi="Times New Roman"/>
          <w:sz w:val="20"/>
        </w:rPr>
      </w:pPr>
      <w:r>
        <w:rPr>
          <w:rFonts w:ascii="Times New Roman" w:hAnsi="Times New Roman"/>
          <w:sz w:val="20"/>
        </w:rPr>
        <w:t>If the shareholder is a partnership which is neither engaged nor deemed to be engaged in a trade or business (</w:t>
      </w:r>
      <w:r>
        <w:rPr>
          <w:rFonts w:ascii="Times New Roman" w:hAnsi="Times New Roman"/>
          <w:i/>
          <w:sz w:val="20"/>
        </w:rPr>
        <w:t>vermögensverwaltende Personengesellschaft</w:t>
      </w:r>
      <w:r>
        <w:rPr>
          <w:rFonts w:ascii="Times New Roman" w:hAnsi="Times New Roman"/>
          <w:sz w:val="20"/>
        </w:rPr>
        <w:t xml:space="preserve">), each partner is taxed, generally speaking, as though they hold a fraction of each share held by such partnership directly (see sections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Private Assets, CureVac shares held as Business Assets by Individual Shareholders (Sole Proprietors), and CureVac shares held by Corporations”).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Non-German tax resident CureVac shareholders </w:t>
      </w:r>
    </w:p>
    <w:p>
      <w:pPr>
        <w:pStyle w:val="TextBody"/>
        <w:bidi w:val="0"/>
        <w:spacing w:before="120" w:after="0"/>
        <w:jc w:val="left"/>
        <w:rPr>
          <w:rFonts w:ascii="Times New Roman" w:hAnsi="Times New Roman"/>
          <w:sz w:val="20"/>
        </w:rPr>
      </w:pPr>
      <w:r>
        <w:rPr>
          <w:rFonts w:ascii="Times New Roman" w:hAnsi="Times New Roman"/>
          <w:sz w:val="20"/>
        </w:rPr>
        <w:t>Capital gains realized on the exchange of CureVac shares pursuant to the offer (</w:t>
      </w:r>
      <w:r>
        <w:rPr>
          <w:rFonts w:ascii="Times New Roman" w:hAnsi="Times New Roman"/>
          <w:i/>
          <w:sz w:val="20"/>
        </w:rPr>
        <w:t>i.e.</w:t>
      </w:r>
      <w:r>
        <w:rPr>
          <w:rFonts w:ascii="Times New Roman" w:hAnsi="Times New Roman"/>
          <w:sz w:val="20"/>
        </w:rPr>
        <w:t xml:space="preserve">, the market value of the BioNTech ADSs minus the disposal and acquisition costs) are subject to a limited tax liability in Germany to the extent that the shares are held as part of business assets in Germany (that is, they are attributable to a permanent establishment or fixed base or to business assets for which a permanent representative in Germany has been appointed), and the provisions outlined above with respect to the taxation of shareholders that are German tax residents principally apply accordingly. </w:t>
      </w:r>
    </w:p>
    <w:p>
      <w:pPr>
        <w:pStyle w:val="TextBody"/>
        <w:bidi w:val="0"/>
        <w:spacing w:before="240" w:after="0"/>
        <w:jc w:val="left"/>
        <w:rPr>
          <w:rFonts w:ascii="Times New Roman" w:hAnsi="Times New Roman"/>
          <w:sz w:val="20"/>
        </w:rPr>
      </w:pPr>
      <w:r>
        <w:rPr>
          <w:rFonts w:ascii="Times New Roman" w:hAnsi="Times New Roman"/>
          <w:sz w:val="20"/>
        </w:rPr>
        <w:t xml:space="preserve">Otherwise, capital gains realized by shareholders that are not German tax residents are taxable in Germany only if an individual shareholder making the disposal — or, in the event of shares acquired without consideration, his legal predecessor — held a direct or indirect stake of at least 1% in CureVac’s share capital at any point in time in the five years preceding the disposal or holds this stake during the disposal. In general, most double taxation conventions concluded by Germany provide for full exemption from German taxation in such cases and assigns the taxation right to the country of residence of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Non-German tax resident CureVac shareholders will be subject to German withholding tax at an aggregate rate of 26.375% with respect to the receipt of cash in lieu of fractional BioNTech ADSs. </w:t>
      </w:r>
    </w:p>
    <w:p>
      <w:pPr>
        <w:pStyle w:val="TextBody"/>
        <w:bidi w:val="0"/>
        <w:spacing w:before="240" w:after="0"/>
        <w:jc w:val="left"/>
        <w:rPr>
          <w:rFonts w:ascii="Times New Roman" w:hAnsi="Times New Roman"/>
          <w:i/>
          <w:sz w:val="20"/>
        </w:rPr>
      </w:pPr>
      <w:r>
        <w:rPr>
          <w:rFonts w:ascii="Times New Roman" w:hAnsi="Times New Roman"/>
          <w:i/>
          <w:sz w:val="20"/>
        </w:rPr>
        <w:t xml:space="preserve">(b) Withholding Tax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German tax resident CureVac shareholders </w:t>
      </w:r>
    </w:p>
    <w:p>
      <w:pPr>
        <w:pStyle w:val="TextBody"/>
        <w:bidi w:val="0"/>
        <w:spacing w:before="120" w:after="0"/>
        <w:jc w:val="left"/>
        <w:rPr>
          <w:rFonts w:ascii="Times New Roman" w:hAnsi="Times New Roman"/>
          <w:sz w:val="20"/>
        </w:rPr>
      </w:pPr>
      <w:r>
        <w:rPr>
          <w:rFonts w:ascii="Times New Roman" w:hAnsi="Times New Roman"/>
          <w:sz w:val="20"/>
        </w:rPr>
        <w:t>The withholding tax rate (</w:t>
      </w:r>
      <w:r>
        <w:rPr>
          <w:rFonts w:ascii="Times New Roman" w:hAnsi="Times New Roman"/>
          <w:i/>
          <w:sz w:val="20"/>
        </w:rPr>
        <w:t>Abgeltungsteuertarif</w:t>
      </w:r>
      <w:r>
        <w:rPr>
          <w:rFonts w:ascii="Times New Roman" w:hAnsi="Times New Roman"/>
          <w:sz w:val="20"/>
        </w:rPr>
        <w:t xml:space="preserve">) of 25% plus solidarity surcharge of 5.5%, resulting in an aggregate withholding tax of 26.375% (plus church tax, if any) applies for any German tax resident CureVac shareholder holding the shares as private assets and who directly or indirectly, or in the case of a gratuitous transfer, the shareholder’s legal predecessor, held less than 1% of the share capital of CureVac at any time during the five years preceding the exchange of CureVac shares for BioNTech ADSs. For other shareholders, withholding tax may not be final but still needs to be deducted.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shares are not held as private assets, the general rules of German withholding tax will apply, </w:t>
      </w:r>
      <w:r>
        <w:rPr>
          <w:rFonts w:ascii="Times New Roman" w:hAnsi="Times New Roman"/>
          <w:i/>
          <w:sz w:val="20"/>
        </w:rPr>
        <w:t>i.e.</w:t>
      </w:r>
      <w:r>
        <w:rPr>
          <w:rFonts w:ascii="Times New Roman" w:hAnsi="Times New Roman"/>
          <w:sz w:val="20"/>
        </w:rPr>
        <w:t xml:space="preserve">, any withholding tax and solidarity surcharge that is withheld at source and remitted to the German tax authorities could generally be credited against the respective shareholder’s income tax or corporate income tax liability or refunded in the amount of any excess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Non-German tax resident CureVac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capital gains realized on the exchange is subject to limited tax liability in Germany, generally, withholding tax needs to be deducted. Any withholding tax and solidarity surcharge that is withheld at source and remitted to the German tax authorities could, under certain circumstances fully or partially, be credited towards the respective shareholder’s income tax or corporate income tax liability or refunded in the amount of any excess paid. Non-German tax resident CureVac shareholders could under certain circumstances have German filing obligations.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Income and dividend withholding tax aspects for CureVac shareholders who do not tender their CureVac shares in the offer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expiration of the subsequent offering period, the post-offer reorganization will be implemented, including the legal downstream merger, which merger includes an allotment of shares, together with a cancellation. It is assumed for all purposes herein that New Topco is tax resident in Germany at all relevant points in time when taxable events may occur. </w:t>
      </w:r>
    </w:p>
    <w:p>
      <w:pPr>
        <w:pStyle w:val="TextBody"/>
        <w:bidi w:val="0"/>
        <w:spacing w:before="240" w:after="0"/>
        <w:jc w:val="left"/>
        <w:rPr>
          <w:rFonts w:ascii="Times New Roman" w:hAnsi="Times New Roman"/>
          <w:i/>
          <w:sz w:val="20"/>
        </w:rPr>
      </w:pPr>
      <w:r>
        <w:rPr>
          <w:rFonts w:ascii="Times New Roman" w:hAnsi="Times New Roman"/>
          <w:i/>
          <w:sz w:val="20"/>
        </w:rPr>
        <w:t xml:space="preserve">Legal downstream merger </w:t>
      </w:r>
    </w:p>
    <w:p>
      <w:pPr>
        <w:pStyle w:val="TextBody"/>
        <w:bidi w:val="0"/>
        <w:spacing w:before="120" w:after="0"/>
        <w:jc w:val="left"/>
        <w:rPr>
          <w:rFonts w:ascii="Times New Roman" w:hAnsi="Times New Roman"/>
          <w:sz w:val="20"/>
        </w:rPr>
      </w:pPr>
      <w:r>
        <w:rPr>
          <w:rFonts w:ascii="Times New Roman" w:hAnsi="Times New Roman"/>
          <w:sz w:val="20"/>
          <w:u w:val="single"/>
        </w:rPr>
        <w:t>Taxes on Income and Capital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CureVac shareholders holding their shares as private assets (</w:t>
      </w:r>
      <w:r>
        <w:rPr>
          <w:rFonts w:ascii="Times New Roman" w:hAnsi="Times New Roman"/>
          <w:i/>
          <w:sz w:val="20"/>
        </w:rPr>
        <w:t>Privatvermögen</w:t>
      </w:r>
      <w:r>
        <w:rPr>
          <w:rFonts w:ascii="Times New Roman" w:hAnsi="Times New Roman"/>
          <w:sz w:val="20"/>
        </w:rPr>
        <w:t xml:space="preserve">) and who do not tender their CureVac shares in the offer would generally not be subject to German income tax as a result of the legal downstream merger. </w:t>
      </w:r>
    </w:p>
    <w:p>
      <w:pPr>
        <w:pStyle w:val="TextBody"/>
        <w:bidi w:val="0"/>
        <w:spacing w:before="240" w:after="0"/>
        <w:jc w:val="left"/>
        <w:rPr>
          <w:rFonts w:ascii="Times New Roman" w:hAnsi="Times New Roman"/>
          <w:sz w:val="20"/>
        </w:rPr>
      </w:pPr>
      <w:r>
        <w:rPr>
          <w:rFonts w:ascii="Times New Roman" w:hAnsi="Times New Roman"/>
          <w:sz w:val="20"/>
        </w:rPr>
        <w:t xml:space="preserve">For individuals holding CureVac shares as business assets, the tax aspects described above under the section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apply accordingly. These rules also apply if a shareholder, or, in the case of a gratuitous acquisition, the shareholder’s legal predecessor, directly or indirectly has held at least 1% of the share capital of CureVac at any time during the five years preceding the legal downstream merger. For corporations and partnerships holding CureVac shares, the tax aspects described above under the sections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and CureVac shares held by Partnerships” apply accordingly. Upon certain conditions, such as the exercise of election rights, the legal downstream merger may not lead to an otherwise taxable capital gain. </w:t>
      </w:r>
    </w:p>
    <w:p>
      <w:pPr>
        <w:pStyle w:val="TextBody"/>
        <w:bidi w:val="0"/>
        <w:spacing w:before="360" w:after="0"/>
        <w:jc w:val="left"/>
        <w:rPr>
          <w:rFonts w:ascii="Times New Roman" w:hAnsi="Times New Roman"/>
          <w:i/>
          <w:sz w:val="20"/>
        </w:rPr>
      </w:pPr>
      <w:r>
        <w:rPr>
          <w:rFonts w:ascii="Times New Roman" w:hAnsi="Times New Roman"/>
          <w:i/>
          <w:sz w:val="20"/>
        </w:rPr>
        <w:t xml:space="preserve">Cancellation </w:t>
      </w:r>
    </w:p>
    <w:p>
      <w:pPr>
        <w:pStyle w:val="TextBody"/>
        <w:bidi w:val="0"/>
        <w:spacing w:before="120" w:after="0"/>
        <w:jc w:val="left"/>
        <w:rPr>
          <w:rFonts w:ascii="Times New Roman" w:hAnsi="Times New Roman"/>
          <w:sz w:val="20"/>
        </w:rPr>
      </w:pPr>
      <w:r>
        <w:rPr>
          <w:rFonts w:ascii="Times New Roman" w:hAnsi="Times New Roman"/>
          <w:sz w:val="20"/>
          <w:u w:val="single"/>
        </w:rPr>
        <w:t>Taxes on Income and Capital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Based on a view taken in German tax literature in relation to German shares, the cancellation of shares should be classified as a taxable disposal for German tax purposes. The principles with respect to capital gains that are described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should apply accordingly. However, there is a risk that the German tax authorities or German tax courts qualify the receipt of BioNTech ADSs and cash in lieu of fractional BioNTech ADSs as cancellation consideration as a generally taxable dividend. In such case, the principles stated below in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with respect to income tax on dividend income should apply accordingly. </w:t>
      </w:r>
    </w:p>
    <w:p>
      <w:pPr>
        <w:pStyle w:val="TextBody"/>
        <w:bidi w:val="0"/>
        <w:spacing w:before="240" w:after="0"/>
        <w:jc w:val="left"/>
        <w:rPr>
          <w:rFonts w:ascii="Times New Roman" w:hAnsi="Times New Roman"/>
          <w:sz w:val="20"/>
        </w:rPr>
      </w:pPr>
      <w:r>
        <w:rPr>
          <w:rFonts w:ascii="Times New Roman" w:hAnsi="Times New Roman"/>
          <w:sz w:val="20"/>
          <w:u w:val="single"/>
        </w:rPr>
        <w:t>Withholding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the event the cancellation is classified as a disposal for German tax purposes, the principles stated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capital gains should apply to the receipt of BioNTech ADSs pursuant to the cancellation. However, the receipt of cash in lieu of fractional BioNTech ADSs as part of the cancellation consideration would generally be subject to German withholding tax at a rate of 25% plus solidarity surcharge of 5.5%, resulting in an aggregate withholding tax of 26.375% (plus church tax, if any). Such German withholding tax on capital gains would generally be levied by the applicable German disbursing agent (</w:t>
      </w:r>
      <w:r>
        <w:rPr>
          <w:rFonts w:ascii="Times New Roman" w:hAnsi="Times New Roman"/>
          <w:i/>
          <w:sz w:val="20"/>
        </w:rPr>
        <w:t>i.e</w:t>
      </w:r>
      <w:r>
        <w:rPr>
          <w:rFonts w:ascii="Times New Roman" w:hAnsi="Times New Roman"/>
          <w:sz w:val="20"/>
        </w:rPr>
        <w:t xml:space="preserve">., the German credit institution, financial services institution, or securities institution through which the recipient holds its CureVac shares) rather than New Topco. For certain German shareholders, withholding tax may not be final but still needs to be deducted.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German tax authorities (for example, during a tax audit of New Topco or a cancellation consideration recipient) or German tax courts were to qualify the receipt of cancellation consideration as a generally taxable dividend, the cancellation consideration would generally be subject to the aggregate withholding tax rate of 26.375% (plus church tax, if applicable), and the principles stated below in section “Material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dividend income should apply accordingly. Under such circumstances, the applicable German disbursing agent (where there is one) or New Topco (otherwise) would have an obligation to withhold. In the event New Topco had the obligation to withhold, New Topco could be held liable for such unremitted withholding tax (and could seek to be made whole by the cancellation consideration recipients). In addition, the cancellation consideration recipients could be held liable by the German tax authorities.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German tax aspects for CureVac shareholders or New Topco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 German transfer tax, stamp duty, or any other similar documentary tax or duty is payable in Germany by a CureVac shareholder or New Topco shareholder in connection with the offer or any post-offer reorganization, as applicable. Disposals of shares are generally exempt from German VAT.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German income tax consequences for holders of BioNTech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holders not tax resident in Germany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selected German tax consequences of acquiring the BioNTech ADSs, owning the BioNTech ADSs and disposing of the BioNTech ADSs to a holder that is not tax resident in Germany.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does not address the treatment of BioNTech ADSs that are (i) held in connection with a permanent establishment or fixed base through which a non-German resident holder of BioNTech ADSs carries on business or performs personal services in Germany or (ii) part of business assets for which a permanent representative in Germany has been appointed. </w:t>
      </w:r>
    </w:p>
    <w:p>
      <w:pPr>
        <w:pStyle w:val="TextBody"/>
        <w:bidi w:val="0"/>
        <w:spacing w:before="240" w:after="0"/>
        <w:jc w:val="left"/>
        <w:rPr>
          <w:rFonts w:ascii="Times New Roman" w:hAnsi="Times New Roman"/>
          <w:i/>
          <w:sz w:val="20"/>
        </w:rPr>
      </w:pPr>
      <w:r>
        <w:rPr>
          <w:rFonts w:ascii="Times New Roman" w:hAnsi="Times New Roman"/>
          <w:i/>
          <w:sz w:val="20"/>
        </w:rPr>
        <w:t xml:space="preserve">General rules for the taxation of holders not tax resident in Germany </w:t>
      </w:r>
    </w:p>
    <w:p>
      <w:pPr>
        <w:pStyle w:val="TextBody"/>
        <w:bidi w:val="0"/>
        <w:spacing w:before="120" w:after="0"/>
        <w:jc w:val="left"/>
        <w:rPr>
          <w:rFonts w:ascii="Times New Roman" w:hAnsi="Times New Roman"/>
          <w:sz w:val="20"/>
        </w:rPr>
      </w:pPr>
      <w:r>
        <w:rPr>
          <w:rFonts w:ascii="Times New Roman" w:hAnsi="Times New Roman"/>
          <w:sz w:val="20"/>
        </w:rPr>
        <w:t>Non-German resident holders of BioNTech ADSs are subject to a German limited tax liability with respect to German source income (</w:t>
      </w:r>
      <w:r>
        <w:rPr>
          <w:rFonts w:ascii="Times New Roman" w:hAnsi="Times New Roman"/>
          <w:i/>
          <w:sz w:val="20"/>
        </w:rPr>
        <w:t>beschränkte Steuerpflicht</w:t>
      </w:r>
      <w:r>
        <w:rPr>
          <w:rFonts w:ascii="Times New Roman" w:hAnsi="Times New Roman"/>
          <w:sz w:val="20"/>
        </w:rPr>
        <w:t xml:space="preserve">). According to the ADR Tax Circular, income from the shares should be attributed to the holder of the BioNTech ADSs for German tax purposes. Income from the BioNTech ADSs would be treated as German source income and would generally be subject to German limited tax liability. </w:t>
      </w:r>
    </w:p>
    <w:p>
      <w:pPr>
        <w:pStyle w:val="TextBody"/>
        <w:bidi w:val="0"/>
        <w:spacing w:before="240" w:after="0"/>
        <w:jc w:val="left"/>
        <w:rPr>
          <w:rFonts w:ascii="Times New Roman" w:hAnsi="Times New Roman"/>
          <w:i/>
          <w:sz w:val="20"/>
        </w:rPr>
      </w:pPr>
      <w:r>
        <w:rPr>
          <w:rFonts w:ascii="Times New Roman" w:hAnsi="Times New Roman"/>
          <w:i/>
          <w:sz w:val="20"/>
        </w:rPr>
        <w:t xml:space="preserve">German withholding taxation of dividends of holders not tax resident in Germany </w:t>
      </w:r>
    </w:p>
    <w:p>
      <w:pPr>
        <w:pStyle w:val="TextBody"/>
        <w:bidi w:val="0"/>
        <w:spacing w:before="120" w:after="0"/>
        <w:jc w:val="left"/>
        <w:rPr>
          <w:rFonts w:ascii="Times New Roman" w:hAnsi="Times New Roman"/>
          <w:sz w:val="20"/>
        </w:rPr>
      </w:pPr>
      <w:r>
        <w:rPr>
          <w:rFonts w:ascii="Times New Roman" w:hAnsi="Times New Roman"/>
          <w:sz w:val="20"/>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plus church tax, if applicable. The basis for the withholding tax is generally the dividend approved for distribution by our general shareholder’s meeting. German withholding tax is withheld and remitted to the German tax authorities by (i) the disbursing agent (</w:t>
      </w:r>
      <w:r>
        <w:rPr>
          <w:rFonts w:ascii="Times New Roman" w:hAnsi="Times New Roman"/>
          <w:i/>
          <w:sz w:val="20"/>
        </w:rPr>
        <w:t>i.e.</w:t>
      </w:r>
      <w:r>
        <w:rPr>
          <w:rFonts w:ascii="Times New Roman" w:hAnsi="Times New Roman"/>
          <w:sz w:val="20"/>
        </w:rPr>
        <w:t>, the German credit institution, financial services institution, or securities institution)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Times New Roman" w:hAnsi="Times New Roman"/>
          <w:i/>
          <w:sz w:val="20"/>
        </w:rPr>
        <w:t>Wertpapiersammelbank</w:t>
      </w:r>
      <w:r>
        <w:rPr>
          <w:rFonts w:ascii="Times New Roman" w:hAnsi="Times New Roman"/>
          <w:sz w:val="20"/>
        </w:rPr>
        <w:t>) in terms of the German Depositary Act (</w:t>
      </w:r>
      <w:r>
        <w:rPr>
          <w:rFonts w:ascii="Times New Roman" w:hAnsi="Times New Roman"/>
          <w:i/>
          <w:sz w:val="20"/>
        </w:rPr>
        <w:t>Depotgesetz</w:t>
      </w:r>
      <w:r>
        <w:rPr>
          <w:rFonts w:ascii="Times New Roman" w:hAnsi="Times New Roman"/>
          <w:sz w:val="20"/>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 (iii) the debtor of the capital gains under further requirements. Dividend payments, to the extent funded from BioNTech’s tax-recognized contribution account (</w:t>
      </w:r>
      <w:r>
        <w:rPr>
          <w:rFonts w:ascii="Times New Roman" w:hAnsi="Times New Roman"/>
          <w:i/>
          <w:sz w:val="20"/>
        </w:rPr>
        <w:t>steuerliches Einlagekonto</w:t>
      </w:r>
      <w:r>
        <w:rPr>
          <w:rFonts w:ascii="Times New Roman" w:hAnsi="Times New Roman"/>
          <w:sz w:val="20"/>
        </w:rPr>
        <w:t xml:space="preserve">), subject to certain prerequisites, do not form part of the taxable dividend income but should lower the holder’s acquisition costs for the BioNTech ADSs. </w:t>
      </w:r>
    </w:p>
    <w:p>
      <w:pPr>
        <w:pStyle w:val="TextBody"/>
        <w:bidi w:val="0"/>
        <w:spacing w:before="240" w:after="0"/>
        <w:jc w:val="left"/>
        <w:rPr>
          <w:rFonts w:ascii="Times New Roman" w:hAnsi="Times New Roman"/>
          <w:sz w:val="20"/>
        </w:rPr>
      </w:pPr>
      <w:r>
        <w:rPr>
          <w:rFonts w:ascii="Times New Roman" w:hAnsi="Times New Roman"/>
          <w:sz w:val="20"/>
        </w:rPr>
        <w:t>Where dividends are distributed to a company resident in another member state of the EU within the meaning of Article 2 of Council Directive 2011/96/EU of November 30, 2011, on the common system of taxation applicable in the case of parent companies and subsidiaries of different Member States, as amended, which we refer to as the Parent Subsidiary Directive, withholding of the dividend withholding tax may not be required (withholding tax exemption) or may be refunded, in each case only upon application and provided that certain additional requirements are met. This also applies to dividends distributed to a permanent establishment located in another member state of the EU of such parent company or of a parent company that is tax resident in Germany, if the interest in the dividend paying subsidiary is part of the respective permanent establishment’s business assets. Further prerequisites for the exemption from withholding at the source or a refund of withholding tax under the Parent Subsidiary Directive are that the holder has directly held at least 10% of BioNTech’s registered share capital uninterruptedly for twelve months at the time at which the withholding tax arises and that the German Federal Central Tax Office (</w:t>
      </w:r>
      <w:r>
        <w:rPr>
          <w:rFonts w:ascii="Times New Roman" w:hAnsi="Times New Roman"/>
          <w:i/>
          <w:sz w:val="20"/>
        </w:rPr>
        <w:t>Bundeszentralamt für Steuern</w:t>
      </w:r>
      <w:r>
        <w:rPr>
          <w:rFonts w:ascii="Times New Roman" w:hAnsi="Times New Roman"/>
          <w:sz w:val="20"/>
        </w:rPr>
        <w:t xml:space="preserve">), with its registered office in An der Küppe 1, 53225 Bonn, Germany, has certified to the creditor of the dividends, based upon an application filed by such creditor on the officially prescribed electronic form, that the prerequisites for exemption have been met. The exemption from, or the refund of, withholding taxes on dividends is subject to the German anti-treaty shopping rules. These rules, </w:t>
      </w:r>
      <w:r>
        <w:rPr>
          <w:rFonts w:ascii="Times New Roman" w:hAnsi="Times New Roman"/>
          <w:i/>
          <w:sz w:val="20"/>
        </w:rPr>
        <w:t>inter alia</w:t>
      </w:r>
      <w:r>
        <w:rPr>
          <w:rFonts w:ascii="Times New Roman" w:hAnsi="Times New Roman"/>
          <w:sz w:val="20"/>
        </w:rPr>
        <w:t xml:space="preserve">, generally require that a holder maintains its own administrative substance in the country of its tax residence and conducts its own business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dividend withholding tax rate for dividends paid to holders of BioNTech ADSs without a tax residence in Germany may be reduced in accordance with any applicable double taxation treaty between Germany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holder’s country of residence, provided that the BioNTech ADSs are neither held as part of the business assets of a permanent establishment in Germany nor as part of the business assets for which a permanent representative in Germany has been appointed. The reduction in the dividend withholding tax is generally obtained by applying electronically to the German Federal Central Tax Office at the aforementioned offices for a refund of the difference between the dividend withholding tax withheld, including the solidarity surcharge and the amount of withholding tax actually owed under the applicable double taxation treaty, which usually amounts to between 5% and 15%. Depending on the applicable double taxation treaty, a reduced withholding tax rate may be applicable in the tax withholding process, if the holder of BioNTech ADSs has electronically applied for and received an exemption certificate from the German Federal Central Tax Office. The applicable double taxation treaty may also provide for a full exemption from the German dividend withholding tax if the relevant holder of BioNTech ADSs has directly held at least 10% of the BioNTech’s registered share capital and if further prerequisites are met. Corporations that are not tax resident in Germany may upon application, and subject to certain requirements, receive a refund of two fifths of the dividend withholding tax that was withheld and remitted to the tax authorities subject to certain requirements. This applies regardless of any further reduction or exemption provided for under the Parent Subsidiary Directive or a double taxation treaty. </w:t>
      </w:r>
    </w:p>
    <w:p>
      <w:pPr>
        <w:pStyle w:val="TextBody"/>
        <w:bidi w:val="0"/>
        <w:spacing w:before="240" w:after="0"/>
        <w:jc w:val="left"/>
        <w:rPr>
          <w:rFonts w:ascii="Times New Roman" w:hAnsi="Times New Roman"/>
          <w:sz w:val="20"/>
        </w:rPr>
      </w:pPr>
      <w:r>
        <w:rPr>
          <w:rFonts w:ascii="Times New Roman" w:hAnsi="Times New Roman"/>
          <w:sz w:val="20"/>
        </w:rPr>
        <w:t xml:space="preserve">Foreign corporations will generally have to meet certain prerequisites, </w:t>
      </w:r>
      <w:r>
        <w:rPr>
          <w:rFonts w:ascii="Times New Roman" w:hAnsi="Times New Roman"/>
          <w:i/>
          <w:sz w:val="20"/>
        </w:rPr>
        <w:t>i.e.</w:t>
      </w:r>
      <w:r>
        <w:rPr>
          <w:rFonts w:ascii="Times New Roman" w:hAnsi="Times New Roman"/>
          <w:sz w:val="20"/>
        </w:rPr>
        <w:t xml:space="preserve">, stringent substance criteria, defined by statute, in order to receive an exemption from, or (partial) refund of, German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However, it should be noted that there is uncertainty as to how the German tax authorities will apply the refund process to dividends on the BioNTech ADSs with respect to non-German resident holders. Further, such refund is subject to the German anti-avoidance treaty shopping rule (as described below in the section “Material German Tax Considerations — Material German income tax consequences for holders of BioNTech ADSs — Taxation of holders not tax resident in Germany — Withholding tax refund for holders not tax resident in Germany”). </w:t>
      </w:r>
    </w:p>
    <w:p>
      <w:pPr>
        <w:pStyle w:val="TextBody"/>
        <w:bidi w:val="0"/>
        <w:spacing w:before="240" w:after="0"/>
        <w:jc w:val="left"/>
        <w:rPr>
          <w:rFonts w:ascii="Times New Roman" w:hAnsi="Times New Roman"/>
          <w:i/>
          <w:sz w:val="20"/>
        </w:rPr>
      </w:pPr>
      <w:r>
        <w:rPr>
          <w:rFonts w:ascii="Times New Roman" w:hAnsi="Times New Roman"/>
          <w:i/>
          <w:sz w:val="20"/>
        </w:rPr>
        <w:t xml:space="preserve">German income and withholding taxation of capital gains of holders not tax resident in Germany </w:t>
      </w:r>
    </w:p>
    <w:p>
      <w:pPr>
        <w:pStyle w:val="TextBody"/>
        <w:bidi w:val="0"/>
        <w:spacing w:before="120" w:after="0"/>
        <w:jc w:val="left"/>
        <w:rPr>
          <w:rFonts w:ascii="Times New Roman" w:hAnsi="Times New Roman"/>
          <w:sz w:val="20"/>
        </w:rPr>
      </w:pPr>
      <w:r>
        <w:rPr>
          <w:rFonts w:ascii="Times New Roman" w:hAnsi="Times New Roman"/>
          <w:sz w:val="20"/>
        </w:rPr>
        <w:t xml:space="preserve">The capital gains from the disposition of the BioNTech ADSs realized by a non-German resident holder, which does not maintain a permanent establishment or other taxable presence in Germany, would be treated as German source income and be subject to German limited tax liability if the BioNTech ADSs qualify as a qualifying participation. A qualifying participation exists if a holder at any time during the five years preceding the disposition, directly or indirectly, owned at least 1% of BioNTech’s share capital, irrespective of whether through the BioNTech ADSs or shares of BioNTech. If such holder had acquired the BioNTech ADSs without consideration, the previous owner’s holding period and quota would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German statutory law requires the disbursing agent to levy withholding tax on capital gains from the sale of BioNTech ADSs or other securities held in a custodial account in Germany. With regard to the German taxation of capital gains, disbursing agent means a German credit institution, financial services institution, or securities institution that holds the BioNTech ADSs in custody or administers the BioNTech ADSs for the investor or conducts sales or other dispositions and disburses or credits the income from the BioNTech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 </w:t>
      </w:r>
    </w:p>
    <w:p>
      <w:pPr>
        <w:pStyle w:val="TextBody"/>
        <w:bidi w:val="0"/>
        <w:spacing w:before="240" w:after="0"/>
        <w:jc w:val="left"/>
        <w:rPr>
          <w:rFonts w:ascii="Times New Roman" w:hAnsi="Times New Roman"/>
          <w:sz w:val="20"/>
        </w:rPr>
      </w:pPr>
      <w:r>
        <w:rPr>
          <w:rFonts w:ascii="Times New Roman" w:hAnsi="Times New Roman"/>
          <w:sz w:val="20"/>
        </w:rPr>
        <w:t xml:space="preserve">However, a circular issued by the German Federal Ministry of Finance, dated May 19, 2022, reference number IV C 1-S2252/19/10003:009, as most recently amended by circular dated May 14, 2025, reference number IV C 1-S2252/00075/016/070, provides that taxes need not be withheld upon a disposal when a non-German tax resident holder has shares in a domestic custody account even if the non-German tax 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in such circulars. Therefore, a disbursing agent would only withhold tax at 26.375% plus church tax, if applicable, on capital gains derived by a non-resident holder from the sale of BioNTech ADSs held in a custodial account in Germany in the event that the disbursing agent did not follow the abovementioned guidance. In this case, the non-resident holder may be entitled to claim a refund of the withholding tax from the German tax authorities under the applicable double taxation treaty, as described below in the section “Material German Tax Considerations — Material German income tax consequences for holders of BioNTech ADSs — Taxation of holders not tax resident in Germany — Withholding tax refund for holders not tax resident in Germany.” A refund of taxes withheld on capital gains from the disposition of the BioNTech ADSs which do not qualify as qualifying participations may also be claimed based on German statutory domestic law. </w:t>
      </w:r>
    </w:p>
    <w:p>
      <w:pPr>
        <w:pStyle w:val="TextBody"/>
        <w:bidi w:val="0"/>
        <w:spacing w:before="240" w:after="0"/>
        <w:jc w:val="left"/>
        <w:rPr>
          <w:rFonts w:ascii="Times New Roman" w:hAnsi="Times New Roman"/>
          <w:i/>
          <w:sz w:val="20"/>
        </w:rPr>
      </w:pPr>
      <w:r>
        <w:rPr>
          <w:rFonts w:ascii="Times New Roman" w:hAnsi="Times New Roman"/>
          <w:i/>
          <w:sz w:val="20"/>
        </w:rPr>
        <w:t xml:space="preserve">Withholding tax refund for holders not tax resident in Germany </w:t>
      </w:r>
    </w:p>
    <w:p>
      <w:pPr>
        <w:pStyle w:val="TextBody"/>
        <w:bidi w:val="0"/>
        <w:spacing w:before="120" w:after="0"/>
        <w:jc w:val="left"/>
        <w:rPr>
          <w:rFonts w:ascii="Times New Roman" w:hAnsi="Times New Roman"/>
          <w:sz w:val="20"/>
        </w:rPr>
      </w:pPr>
      <w:r>
        <w:rPr>
          <w:rFonts w:ascii="Times New Roman" w:hAnsi="Times New Roman"/>
          <w:sz w:val="20"/>
        </w:rPr>
        <w:t>Holders not tax resident in Germany may generally be eligible for treaty benefits under applicable double taxation treaties, as described above in the section “Material German Tax Considerations — Material German income tax consequences for holders of BioNTech ADSs — Taxation of holders not tax resident in Germany —Taxation of holders not tax resident in Germany.” Accordingly, holders not tax resident in Germany may in general be entitled to claim a refund of (i) the portion of the otherwise applicable 26.375% German withholding tax (</w:t>
      </w:r>
      <w:r>
        <w:rPr>
          <w:rFonts w:ascii="Times New Roman" w:hAnsi="Times New Roman"/>
          <w:i/>
          <w:sz w:val="20"/>
        </w:rPr>
        <w:t>Kapitalertragsteuer</w:t>
      </w:r>
      <w:r>
        <w:rPr>
          <w:rFonts w:ascii="Times New Roman" w:hAnsi="Times New Roman"/>
          <w:sz w:val="20"/>
        </w:rPr>
        <w:t>) on dividends that exceeds the applicable double taxation treaty rate and (ii) the full amount of German withholding tax (</w:t>
      </w:r>
      <w:r>
        <w:rPr>
          <w:rFonts w:ascii="Times New Roman" w:hAnsi="Times New Roman"/>
          <w:i/>
          <w:sz w:val="20"/>
        </w:rPr>
        <w:t>Kapitalertragsteuer</w:t>
      </w:r>
      <w:r>
        <w:rPr>
          <w:rFonts w:ascii="Times New Roman" w:hAnsi="Times New Roman"/>
          <w:sz w:val="20"/>
        </w:rPr>
        <w:t>) on capital gains from the disposition of BioNTech ADSs. The application for such claim is generally to be filed with the Federal Central Office of Taxation (</w:t>
      </w:r>
      <w:r>
        <w:rPr>
          <w:rFonts w:ascii="Times New Roman" w:hAnsi="Times New Roman"/>
          <w:i/>
          <w:sz w:val="20"/>
        </w:rPr>
        <w:t>Bundeszentralamt für Steuern</w:t>
      </w:r>
      <w:r>
        <w:rPr>
          <w:rFonts w:ascii="Times New Roman" w:hAnsi="Times New Roman"/>
          <w:sz w:val="20"/>
        </w:rPr>
        <w:t>) within four years after the end of the calendar year in which the capital gains or dividends have been received (</w:t>
      </w:r>
      <w:r>
        <w:rPr>
          <w:rFonts w:ascii="Times New Roman" w:hAnsi="Times New Roman"/>
          <w:i/>
          <w:sz w:val="20"/>
        </w:rPr>
        <w:t>bezogen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However, in respect of dividends, the refund described in the preceding paragraph is only possible if, due to special rules on the restriction of withholding tax credit, the following three cumulative requirements are met: (i) the holder must qualify as beneficial owner of the BioNTech ADSs for an uninterrupted minimum holding period of 45 days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refund does not apply if the holder has beneficially owned the BioNTech ADSs for at least one uninterrupted year until receipt (</w:t>
      </w:r>
      <w:r>
        <w:rPr>
          <w:rFonts w:ascii="Times New Roman" w:hAnsi="Times New Roman"/>
          <w:i/>
          <w:sz w:val="20"/>
        </w:rPr>
        <w:t>Zufluss</w:t>
      </w:r>
      <w:r>
        <w:rPr>
          <w:rFonts w:ascii="Times New Roman" w:hAnsi="Times New Roman"/>
          <w:sz w:val="20"/>
        </w:rPr>
        <w:t xml:space="preserve">) of the dividends. </w:t>
      </w:r>
    </w:p>
    <w:p>
      <w:pPr>
        <w:pStyle w:val="TextBody"/>
        <w:bidi w:val="0"/>
        <w:spacing w:before="240" w:after="0"/>
        <w:jc w:val="left"/>
        <w:rPr>
          <w:rFonts w:ascii="Times New Roman" w:hAnsi="Times New Roman"/>
          <w:sz w:val="20"/>
        </w:rPr>
      </w:pPr>
      <w:r>
        <w:rPr>
          <w:rFonts w:ascii="Times New Roman" w:hAnsi="Times New Roman"/>
          <w:sz w:val="20"/>
        </w:rPr>
        <w:t xml:space="preserve">In general, as previously discussed, investors should note that it is unclear how the German tax administration will apply the refund process to dividends on the BioNTech ADSs. Further, such refund is subject to the German anti treaty shopping rule. Generally, this rule requires that the non-German holder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Whether or not and to which extent the anti-treaty shopping rule applies to the BioNTech ADSs has to be analyzed on a case by case basis taking into account all relevant tests. In addition, the interpretation of these tests is disputed.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Due to the legal structure of the BioNTech ADSs, only limited guidance from the German tax authorities exists on the practical application of the refund process with respect to the BioNTech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hAnsi="Times New Roman"/>
          <w:i/>
          <w:sz w:val="20"/>
        </w:rPr>
        <w:t>Datenträgerverfahren</w:t>
      </w:r>
      <w:r>
        <w:rPr>
          <w:rFonts w:ascii="Times New Roman" w:hAnsi="Times New Roman"/>
          <w:sz w:val="20"/>
        </w:rPr>
        <w:t xml:space="preserve">) for claims for reimbursement based on ADRs has been suspended temporarily by the tax authorities.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Taxation of holders tax resident in Germany </w:t>
      </w:r>
    </w:p>
    <w:p>
      <w:pPr>
        <w:pStyle w:val="TextBody"/>
        <w:bidi w:val="0"/>
        <w:spacing w:before="120" w:after="0"/>
        <w:jc w:val="left"/>
        <w:rPr>
          <w:rFonts w:ascii="Times New Roman" w:hAnsi="Times New Roman"/>
          <w:sz w:val="20"/>
        </w:rPr>
      </w:pPr>
      <w:r>
        <w:rPr>
          <w:rFonts w:ascii="Times New Roman" w:hAnsi="Times New Roman"/>
          <w:sz w:val="20"/>
        </w:rPr>
        <w:t>This subsection provides an overview of dividend taxation and of capital gains taxation with regard to the general principles applicable to BioNTech ADS holders that are tax resident in Germany. A holder is a German tax resident if, in case of an individual, he or she maintains a domicile (</w:t>
      </w:r>
      <w:r>
        <w:rPr>
          <w:rFonts w:ascii="Times New Roman" w:hAnsi="Times New Roman"/>
          <w:i/>
          <w:sz w:val="20"/>
        </w:rPr>
        <w:t>Wohnsitz</w:t>
      </w:r>
      <w:r>
        <w:rPr>
          <w:rFonts w:ascii="Times New Roman" w:hAnsi="Times New Roman"/>
          <w:sz w:val="20"/>
        </w:rPr>
        <w:t>) or a usual residence (</w:t>
      </w:r>
      <w:r>
        <w:rPr>
          <w:rFonts w:ascii="Times New Roman" w:hAnsi="Times New Roman"/>
          <w:i/>
          <w:sz w:val="20"/>
        </w:rPr>
        <w:t>gewöhnlicher Aufenthalt</w:t>
      </w:r>
      <w:r>
        <w:rPr>
          <w:rFonts w:ascii="Times New Roman" w:hAnsi="Times New Roman"/>
          <w:sz w:val="20"/>
        </w:rPr>
        <w:t>) in Germany or if, in case of a corporation, it has its place of management (</w:t>
      </w:r>
      <w:r>
        <w:rPr>
          <w:rFonts w:ascii="Times New Roman" w:hAnsi="Times New Roman"/>
          <w:i/>
          <w:sz w:val="20"/>
        </w:rPr>
        <w:t>Geschäftsleitung</w:t>
      </w:r>
      <w:r>
        <w:rPr>
          <w:rFonts w:ascii="Times New Roman" w:hAnsi="Times New Roman"/>
          <w:sz w:val="20"/>
        </w:rPr>
        <w:t>) or registered seat (</w:t>
      </w:r>
      <w:r>
        <w:rPr>
          <w:rFonts w:ascii="Times New Roman" w:hAnsi="Times New Roman"/>
          <w:i/>
          <w:sz w:val="20"/>
        </w:rPr>
        <w:t>Sitz</w:t>
      </w:r>
      <w:r>
        <w:rPr>
          <w:rFonts w:ascii="Times New Roman" w:hAnsi="Times New Roman"/>
          <w:sz w:val="20"/>
        </w:rPr>
        <w:t xml:space="preserve">) in Germany. </w:t>
      </w:r>
    </w:p>
    <w:p>
      <w:pPr>
        <w:pStyle w:val="TextBody"/>
        <w:bidi w:val="0"/>
        <w:spacing w:before="240" w:after="0"/>
        <w:jc w:val="left"/>
        <w:rPr>
          <w:rFonts w:ascii="Times New Roman" w:hAnsi="Times New Roman"/>
          <w:sz w:val="20"/>
        </w:rPr>
      </w:pPr>
      <w:r>
        <w:rPr>
          <w:rFonts w:ascii="Times New Roman" w:hAnsi="Times New Roman"/>
          <w:sz w:val="20"/>
        </w:rPr>
        <w:t>The German dividend and capital gains taxation rules applicable to German tax residents require a distinction between BioNTech ADSs held as private assets (</w:t>
      </w:r>
      <w:r>
        <w:rPr>
          <w:rFonts w:ascii="Times New Roman" w:hAnsi="Times New Roman"/>
          <w:i/>
          <w:sz w:val="20"/>
        </w:rPr>
        <w:t>Privatvermögen</w:t>
      </w:r>
      <w:r>
        <w:rPr>
          <w:rFonts w:ascii="Times New Roman" w:hAnsi="Times New Roman"/>
          <w:sz w:val="20"/>
        </w:rPr>
        <w:t>) and BioNTech ADSs held as business assets (</w:t>
      </w:r>
      <w:r>
        <w:rPr>
          <w:rFonts w:ascii="Times New Roman" w:hAnsi="Times New Roman"/>
          <w:i/>
          <w:sz w:val="20"/>
        </w:rPr>
        <w:t>Betriebsvermögen</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BioNTech ADSs as private assets (Privatvermögen) </w:t>
      </w:r>
    </w:p>
    <w:p>
      <w:pPr>
        <w:pStyle w:val="TextBody"/>
        <w:bidi w:val="0"/>
        <w:spacing w:before="120" w:after="0"/>
        <w:jc w:val="left"/>
        <w:rPr>
          <w:rFonts w:ascii="Times New Roman" w:hAnsi="Times New Roman"/>
          <w:sz w:val="20"/>
        </w:rPr>
      </w:pPr>
      <w:r>
        <w:rPr>
          <w:rFonts w:ascii="Times New Roman" w:hAnsi="Times New Roman"/>
          <w:sz w:val="20"/>
        </w:rPr>
        <w:t>If the BioNTech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hAnsi="Times New Roman"/>
          <w:i/>
          <w:sz w:val="20"/>
        </w:rPr>
        <w:t>Abgeltungsteuer</w:t>
      </w:r>
      <w:r>
        <w:rPr>
          <w:rFonts w:ascii="Times New Roman" w:hAnsi="Times New Roman"/>
          <w:sz w:val="20"/>
        </w:rPr>
        <w:t>) (plus a 5.5% solidarity surcharge (</w:t>
      </w:r>
      <w:r>
        <w:rPr>
          <w:rFonts w:ascii="Times New Roman" w:hAnsi="Times New Roman"/>
          <w:i/>
          <w:sz w:val="20"/>
        </w:rPr>
        <w:t>Solidaritätszuschlag</w:t>
      </w:r>
      <w:r>
        <w:rPr>
          <w:rFonts w:ascii="Times New Roman" w:hAnsi="Times New Roman"/>
          <w:sz w:val="20"/>
        </w:rPr>
        <w:t>) thereon, resulting in an aggregate rate of 26.375%) plus church tax, if applicable, which is levied in the form of withholding tax (</w:t>
      </w:r>
      <w:r>
        <w:rPr>
          <w:rFonts w:ascii="Times New Roman" w:hAnsi="Times New Roman"/>
          <w:i/>
          <w:sz w:val="20"/>
        </w:rPr>
        <w:t>Kapitalertragsteuer</w:t>
      </w:r>
      <w:r>
        <w:rPr>
          <w:rFonts w:ascii="Times New Roman" w:hAnsi="Times New Roman"/>
          <w:sz w:val="20"/>
        </w:rPr>
        <w:t>). In other words, once deducted, the holder’s income tax liability on the dividends will be settled. Dividend payments to the extent funded from BioNTech’s tax-recognized contribution account (</w:t>
      </w:r>
      <w:r>
        <w:rPr>
          <w:rFonts w:ascii="Times New Roman" w:hAnsi="Times New Roman"/>
          <w:i/>
          <w:sz w:val="20"/>
        </w:rPr>
        <w:t>steuerliches Einlagekonto</w:t>
      </w:r>
      <w:r>
        <w:rPr>
          <w:rFonts w:ascii="Times New Roman" w:hAnsi="Times New Roman"/>
          <w:sz w:val="20"/>
        </w:rPr>
        <w:t xml:space="preserve">), subject to certain prerequisites, do not form part of the taxable dividend income but should lower the holder’s acquisition costs for the BioNTech ADSs. </w:t>
      </w:r>
    </w:p>
    <w:p>
      <w:pPr>
        <w:pStyle w:val="TextBody"/>
        <w:bidi w:val="0"/>
        <w:spacing w:before="240" w:after="0"/>
        <w:jc w:val="left"/>
        <w:rPr>
          <w:rFonts w:ascii="Times New Roman" w:hAnsi="Times New Roman"/>
          <w:sz w:val="20"/>
        </w:rPr>
      </w:pPr>
      <w:r>
        <w:rPr>
          <w:rFonts w:ascii="Times New Roman" w:hAnsi="Times New Roman"/>
          <w:sz w:val="20"/>
        </w:rPr>
        <w:t>Holders of BioNTech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BioNTech ADSs), less the saver’s allowance of 1,000 for an individual or 2,000 for a married couple and a registered civil union (</w:t>
      </w:r>
      <w:r>
        <w:rPr>
          <w:rFonts w:ascii="Times New Roman" w:hAnsi="Times New Roman"/>
          <w:i/>
          <w:sz w:val="20"/>
        </w:rPr>
        <w:t>eingetragene Lebenspartnerschaft</w:t>
      </w:r>
      <w:r>
        <w:rPr>
          <w:rFonts w:ascii="Times New Roman" w:hAnsi="Times New Roman"/>
          <w:sz w:val="20"/>
        </w:rPr>
        <w:t xml:space="preserve">) filing taxes jointly. The deduction of expenses related to the investment income (including dividends or gains with respect to BioNTech ADSs) is generally not possible for private investors. </w:t>
      </w:r>
    </w:p>
    <w:p>
      <w:pPr>
        <w:pStyle w:val="TextBody"/>
        <w:bidi w:val="0"/>
        <w:spacing w:before="240" w:after="0"/>
        <w:jc w:val="left"/>
        <w:rPr>
          <w:rFonts w:ascii="Times New Roman" w:hAnsi="Times New Roman"/>
          <w:sz w:val="20"/>
        </w:rPr>
      </w:pPr>
      <w:r>
        <w:rPr>
          <w:rFonts w:ascii="Times New Roman" w:hAnsi="Times New Roman"/>
          <w:sz w:val="20"/>
        </w:rPr>
        <w:t>Losses resulting from the disposal of BioNTech ADSs can only be offset against capital gains from the sale of any shares (</w:t>
      </w:r>
      <w:r>
        <w:rPr>
          <w:rFonts w:ascii="Times New Roman" w:hAnsi="Times New Roman"/>
          <w:i/>
          <w:sz w:val="20"/>
        </w:rPr>
        <w:t>Aktien</w:t>
      </w:r>
      <w:r>
        <w:rPr>
          <w:rFonts w:ascii="Times New Roman" w:hAnsi="Times New Roman"/>
          <w:sz w:val="20"/>
        </w:rPr>
        <w:t xml:space="preserve">) and other ADSs. If, however, a holder holds a Qualifying Participation, 60% of any capital gains resulting from the sale and transfer are taxable at the holder’s personal income tax rate (plus 5.5% solidarity surcharge thereon) plus church tax, if applicable. Conversely, 60% of any capital losses are recognized for tax purposes. </w:t>
      </w:r>
    </w:p>
    <w:p>
      <w:pPr>
        <w:pStyle w:val="TextBody"/>
        <w:bidi w:val="0"/>
        <w:spacing w:before="240" w:after="0"/>
        <w:jc w:val="left"/>
        <w:rPr>
          <w:rFonts w:ascii="Times New Roman" w:hAnsi="Times New Roman"/>
          <w:sz w:val="20"/>
        </w:rPr>
      </w:pPr>
      <w:r>
        <w:rPr>
          <w:rFonts w:ascii="Times New Roman" w:hAnsi="Times New Roman"/>
          <w:sz w:val="20"/>
        </w:rPr>
        <w:t>Since 2021, the basis for the calculation of the solidarity surcharge (</w:t>
      </w:r>
      <w:r>
        <w:rPr>
          <w:rFonts w:ascii="Times New Roman" w:hAnsi="Times New Roman"/>
          <w:i/>
          <w:sz w:val="20"/>
        </w:rPr>
        <w:t>Solidaritätszuschlag</w:t>
      </w:r>
      <w:r>
        <w:rPr>
          <w:rFonts w:ascii="Times New Roman" w:hAnsi="Times New Roman"/>
          <w:sz w:val="20"/>
        </w:rPr>
        <w:t xml:space="preserve">)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Church tax generally has to be withheld, if applicable, based on an automatic data access procedure, unless the holder of BioNTech ADSs has filed a blocking notice (</w:t>
      </w:r>
      <w:r>
        <w:rPr>
          <w:rFonts w:ascii="Times New Roman" w:hAnsi="Times New Roman"/>
          <w:i/>
          <w:sz w:val="20"/>
        </w:rPr>
        <w:t>Sperrvermerk</w:t>
      </w:r>
      <w:r>
        <w:rPr>
          <w:rFonts w:ascii="Times New Roman" w:hAnsi="Times New Roman"/>
          <w:sz w:val="20"/>
        </w:rPr>
        <w:t xml:space="preserve">) with the Federal Central Tax Office. Where church tax is not levied by way of withholding, it is determined by means of income tax assessment. </w:t>
      </w:r>
    </w:p>
    <w:p>
      <w:pPr>
        <w:pStyle w:val="TextBody"/>
        <w:bidi w:val="0"/>
        <w:spacing w:before="240" w:after="0"/>
        <w:jc w:val="left"/>
        <w:rPr>
          <w:rFonts w:ascii="Times New Roman" w:hAnsi="Times New Roman"/>
          <w:i/>
          <w:sz w:val="20"/>
        </w:rPr>
      </w:pPr>
      <w:r>
        <w:rPr>
          <w:rFonts w:ascii="Times New Roman" w:hAnsi="Times New Roman"/>
          <w:i/>
          <w:sz w:val="20"/>
        </w:rPr>
        <w:t xml:space="preserve">BioNTech ADSs as business assets (Betriebsvermögen) </w:t>
      </w:r>
    </w:p>
    <w:p>
      <w:pPr>
        <w:pStyle w:val="TextBody"/>
        <w:bidi w:val="0"/>
        <w:spacing w:before="120" w:after="0"/>
        <w:jc w:val="left"/>
        <w:rPr>
          <w:rFonts w:ascii="Times New Roman" w:hAnsi="Times New Roman"/>
          <w:sz w:val="20"/>
        </w:rPr>
      </w:pPr>
      <w:r>
        <w:rPr>
          <w:rFonts w:ascii="Times New Roman" w:hAnsi="Times New Roman"/>
          <w:sz w:val="20"/>
        </w:rPr>
        <w:t>In case the BioNTech ADSs are held as business assets, the taxation depends on the legal form of the holder (</w:t>
      </w:r>
      <w:r>
        <w:rPr>
          <w:rFonts w:ascii="Times New Roman" w:hAnsi="Times New Roman"/>
          <w:i/>
          <w:sz w:val="20"/>
        </w:rPr>
        <w:t>i.e.</w:t>
      </w:r>
      <w:r>
        <w:rPr>
          <w:rFonts w:ascii="Times New Roman" w:hAnsi="Times New Roman"/>
          <w:sz w:val="20"/>
        </w:rPr>
        <w:t xml:space="preserve">, whether the holder is a corporation or an individual). </w:t>
      </w:r>
    </w:p>
    <w:p>
      <w:pPr>
        <w:pStyle w:val="TextBody"/>
        <w:bidi w:val="0"/>
        <w:spacing w:before="240" w:after="0"/>
        <w:jc w:val="left"/>
        <w:rPr>
          <w:rFonts w:ascii="Times New Roman" w:hAnsi="Times New Roman"/>
          <w:sz w:val="20"/>
        </w:rPr>
      </w:pPr>
      <w:r>
        <w:rPr>
          <w:rFonts w:ascii="Times New Roman" w:hAnsi="Times New Roman"/>
          <w:sz w:val="20"/>
        </w:rPr>
        <w:t>Irrespective of the legal form of the holder, dividends are subject to the aggregate withholding tax rate of 26.375% plus church tax, if applicable.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BioNTech ADSs for an uninterrupted minimum holding period of 45 days occurring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BioNTech ADSs for at least one uninterrupted year until receipt (</w:t>
      </w:r>
      <w:r>
        <w:rPr>
          <w:rFonts w:ascii="Times New Roman" w:hAnsi="Times New Roman"/>
          <w:i/>
          <w:sz w:val="20"/>
        </w:rPr>
        <w:t>Zufluss</w:t>
      </w:r>
      <w:r>
        <w:rPr>
          <w:rFonts w:ascii="Times New Roman" w:hAnsi="Times New Roman"/>
          <w:sz w:val="20"/>
        </w:rPr>
        <w:t xml:space="preserve">) of the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amount withheld exceeds the income tax liability, the withholding tax may be refunded, provided that certain requirements are met (including the aforementioned requirements). </w:t>
      </w:r>
    </w:p>
    <w:p>
      <w:pPr>
        <w:pStyle w:val="TextBody"/>
        <w:bidi w:val="0"/>
        <w:spacing w:before="240" w:after="0"/>
        <w:jc w:val="left"/>
        <w:rPr>
          <w:rFonts w:ascii="Times New Roman" w:hAnsi="Times New Roman"/>
          <w:sz w:val="20"/>
        </w:rPr>
      </w:pPr>
      <w:r>
        <w:rPr>
          <w:rFonts w:ascii="Times New Roman" w:hAnsi="Times New Roman"/>
          <w:sz w:val="20"/>
        </w:rPr>
        <w:t>Special rules apply to credit institutions (</w:t>
      </w:r>
      <w:r>
        <w:rPr>
          <w:rFonts w:ascii="Times New Roman" w:hAnsi="Times New Roman"/>
          <w:i/>
          <w:sz w:val="20"/>
        </w:rPr>
        <w:t>Kreditinstitute</w:t>
      </w:r>
      <w:r>
        <w:rPr>
          <w:rFonts w:ascii="Times New Roman" w:hAnsi="Times New Roman"/>
          <w:sz w:val="20"/>
        </w:rPr>
        <w:t>), financial services institutions (</w:t>
      </w:r>
      <w:r>
        <w:rPr>
          <w:rFonts w:ascii="Times New Roman" w:hAnsi="Times New Roman"/>
          <w:i/>
          <w:sz w:val="20"/>
        </w:rPr>
        <w:t>Finanzdienstleistungsinstitute</w:t>
      </w:r>
      <w:r>
        <w:rPr>
          <w:rFonts w:ascii="Times New Roman" w:hAnsi="Times New Roman"/>
          <w:sz w:val="20"/>
        </w:rPr>
        <w:t>), financial enterprises (</w:t>
      </w:r>
      <w:r>
        <w:rPr>
          <w:rFonts w:ascii="Times New Roman" w:hAnsi="Times New Roman"/>
          <w:i/>
          <w:sz w:val="20"/>
        </w:rPr>
        <w:t>Finanzunternehmen</w:t>
      </w:r>
      <w:r>
        <w:rPr>
          <w:rFonts w:ascii="Times New Roman" w:hAnsi="Times New Roman"/>
          <w:sz w:val="20"/>
        </w:rPr>
        <w:t xml:space="preserve">), life insurance and health insurance companies, and pension funds. </w:t>
      </w:r>
    </w:p>
    <w:p>
      <w:pPr>
        <w:pStyle w:val="TextBody"/>
        <w:bidi w:val="0"/>
        <w:spacing w:before="240" w:after="0"/>
        <w:jc w:val="left"/>
        <w:rPr>
          <w:rFonts w:ascii="Times New Roman" w:hAnsi="Times New Roman"/>
          <w:sz w:val="20"/>
        </w:rPr>
      </w:pPr>
      <w:r>
        <w:rPr>
          <w:rFonts w:ascii="Times New Roman" w:hAnsi="Times New Roman"/>
          <w:sz w:val="20"/>
        </w:rPr>
        <w:t xml:space="preserve">In principle, dividends that a corporation receives from German or foreign corporations are subject to corporate income tax (and solidarity surcharge thereon) at a rate of 15.825% and also subject to trade tax at a rate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w:t>
      </w:r>
      <w:r>
        <w:rPr>
          <w:rFonts w:ascii="Times New Roman" w:hAnsi="Times New Roman"/>
          <w:i/>
          <w:sz w:val="20"/>
        </w:rPr>
        <w:t>inter alia</w:t>
      </w:r>
      <w:r>
        <w:rPr>
          <w:rFonts w:ascii="Times New Roman" w:hAnsi="Times New Roman"/>
          <w:sz w:val="20"/>
        </w:rPr>
        <w:t>, if the holder held at least 10% of the registered share capital (</w:t>
      </w:r>
      <w:r>
        <w:rPr>
          <w:rFonts w:ascii="Times New Roman" w:hAnsi="Times New Roman"/>
          <w:i/>
          <w:sz w:val="20"/>
        </w:rPr>
        <w:t>Grundkapital oder Stammkapital</w:t>
      </w:r>
      <w:r>
        <w:rPr>
          <w:rFonts w:ascii="Times New Roman" w:hAnsi="Times New Roman"/>
          <w:sz w:val="20"/>
        </w:rPr>
        <w:t>) of BioNTech at the beginning of the calendar year, such dividends which we refer to as qualifying dividends. Five percent of the capital gains and five percent of the qualifying dividends are treated as non-deductible business expenses, respectively, and, as such, are subject to corporate income tax (plus solidarity surcharge thereon);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Times New Roman" w:hAnsi="Times New Roman"/>
          <w:i/>
          <w:sz w:val="20"/>
        </w:rPr>
        <w:t>Mitunternehmerschaften</w:t>
      </w:r>
      <w:r>
        <w:rPr>
          <w:rFonts w:ascii="Times New Roman" w:hAnsi="Times New Roman"/>
          <w:sz w:val="20"/>
        </w:rPr>
        <w:t xml:space="preserve">), are attributable to the respective partner only on a pro rata basis at the ratio of its entitlement to the profits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gains and dividend income of a German tax resident corporation are generally subject to German trade tax at a rate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BioNTech ADSs are generally not tax deductible for corporate income tax and trade tax purposes. </w:t>
      </w:r>
    </w:p>
    <w:p>
      <w:pPr>
        <w:pStyle w:val="TextBody"/>
        <w:bidi w:val="0"/>
        <w:spacing w:before="240" w:after="0"/>
        <w:jc w:val="left"/>
        <w:rPr>
          <w:rFonts w:ascii="Times New Roman" w:hAnsi="Times New Roman"/>
          <w:sz w:val="20"/>
        </w:rPr>
      </w:pPr>
      <w:r>
        <w:rPr>
          <w:rFonts w:ascii="Times New Roman" w:hAnsi="Times New Roman"/>
          <w:sz w:val="20"/>
        </w:rPr>
        <w:t>With regard to individuals holding BioNTech ADSs as business assets, 60% of dividends and capital gains are taxed at the individual’s personal income tax rate (plus 5.5% solidarity surcharge thereon). Correspondingly, only 60% of business expenses related to the dividends and capital gains as well as losses from the sale of BioNTech ADSs are principally deductible for income tax purposes. Since 2021, the basis for the calculation of the solidarity surcharge (</w:t>
      </w:r>
      <w:r>
        <w:rPr>
          <w:rFonts w:ascii="Times New Roman" w:hAnsi="Times New Roman"/>
          <w:i/>
          <w:sz w:val="20"/>
        </w:rPr>
        <w:t>Solidaritätszuschlag</w:t>
      </w:r>
      <w:r>
        <w:rPr>
          <w:rFonts w:ascii="Times New Roman" w:hAnsi="Times New Roman"/>
          <w:sz w:val="20"/>
        </w:rPr>
        <w:t>) has been reduced for certain individual persons being subject to tax assessments (other than withholding taxes), and in certain cases, the solidarity surcharge has been abolished, subject to the limitations described above in the section “Material German Tax Considerations — Material German income tax consequences for holders of BioNTech ADSs — Taxation of holders tax resident in Germany — German tax resident CureVac shareholders — BioNTech ADSs as Private Assets (</w:t>
      </w:r>
      <w:r>
        <w:rPr>
          <w:rFonts w:ascii="Times New Roman" w:hAnsi="Times New Roman"/>
          <w:i/>
          <w:sz w:val="20"/>
        </w:rPr>
        <w:t>Privatvermögen</w:t>
      </w:r>
      <w:r>
        <w:rPr>
          <w:rFonts w:ascii="Times New Roman" w:hAnsi="Times New Roman"/>
          <w:sz w:val="20"/>
        </w:rPr>
        <w:t xml:space="preserve">).”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 </w:t>
      </w:r>
    </w:p>
    <w:p>
      <w:pPr>
        <w:pStyle w:val="TextBody"/>
        <w:bidi w:val="0"/>
        <w:spacing w:before="240" w:after="0"/>
        <w:jc w:val="left"/>
        <w:rPr>
          <w:rFonts w:ascii="Times New Roman" w:hAnsi="Times New Roman"/>
          <w:i/>
          <w:sz w:val="20"/>
        </w:rPr>
      </w:pPr>
      <w:r>
        <w:rPr>
          <w:rFonts w:ascii="Times New Roman" w:hAnsi="Times New Roman"/>
          <w:i/>
          <w:sz w:val="20"/>
        </w:rPr>
        <w:t xml:space="preserve">German inheritance and gift tax (Erbschaft- und Schenkungsteuer) </w:t>
      </w:r>
    </w:p>
    <w:p>
      <w:pPr>
        <w:pStyle w:val="TextBody"/>
        <w:bidi w:val="0"/>
        <w:spacing w:before="120" w:after="0"/>
        <w:jc w:val="left"/>
        <w:rPr>
          <w:rFonts w:ascii="Times New Roman" w:hAnsi="Times New Roman"/>
          <w:sz w:val="20"/>
        </w:rPr>
      </w:pPr>
      <w:r>
        <w:rPr>
          <w:rFonts w:ascii="Times New Roman" w:hAnsi="Times New Roman"/>
          <w:sz w:val="20"/>
        </w:rPr>
        <w:t xml:space="preserve">The transfer of BioNTech ADSs to another person by inheritance or gift generally should be subject to German inheritance and gift tax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decedent or donor or heir, beneficiary or other transferee (i) maintained his or her domicile or a usual residence in Germany, (ii) had its place of management or registered office in Germany at the time of the transfer, (iii) is a German citizen who has spent no more than five consecutive years (this term is extended to ten years for German expatriates with residence in the United States) outside of Germany without maintaining a domicile in Germany, or (iv)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transfer, the BioNTech ADSs are held by the decedent or donor as business assets forming part of a permanent establishment in Germany or for which a permanent representative in Germany has been appointed;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BioNTech ADSs subject to such transfer form part of a portfolio that represents at the time of the transfer 10% or more of the registered share capital of BioNTech and that has been held directly or indirectly by the decedent or donor, either alone or together with related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 provisions apply to certain German citizens living outside of Germany and former German citizens.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taxes </w:t>
      </w:r>
    </w:p>
    <w:p>
      <w:pPr>
        <w:pStyle w:val="TextBody"/>
        <w:bidi w:val="0"/>
        <w:spacing w:before="120" w:after="0"/>
        <w:jc w:val="left"/>
        <w:rPr>
          <w:rFonts w:ascii="Times New Roman" w:hAnsi="Times New Roman"/>
          <w:sz w:val="20"/>
        </w:rPr>
      </w:pPr>
      <w:r>
        <w:rPr>
          <w:rFonts w:ascii="Times New Roman" w:hAnsi="Times New Roman"/>
          <w:sz w:val="20"/>
        </w:rPr>
        <w:t xml:space="preserve">No German transfer tax, value-added tax, stamp duty, or similar taxes are assessed on dividend payments.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Responsibility of BioNTech for the withholding of tax at source </w:t>
      </w:r>
    </w:p>
    <w:p>
      <w:pPr>
        <w:pStyle w:val="TextBody"/>
        <w:bidi w:val="0"/>
        <w:spacing w:before="120" w:after="0"/>
        <w:jc w:val="left"/>
        <w:rPr>
          <w:rFonts w:ascii="Times New Roman" w:hAnsi="Times New Roman"/>
          <w:sz w:val="20"/>
        </w:rPr>
      </w:pPr>
      <w:r>
        <w:rPr>
          <w:rFonts w:ascii="Times New Roman" w:hAnsi="Times New Roman"/>
          <w:sz w:val="20"/>
        </w:rPr>
        <w:t xml:space="preserve">BioNTech does not assume any responsibility for the deduction of withholding tax (including the solidarity surcharge and, if applicable, the church tax thereon) at source, in accordance with the statutory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oc847647_64"/>
      <w:bookmarkEnd w:id="70"/>
      <w:r>
        <w:rPr>
          <w:rFonts w:ascii="Times New Roman" w:hAnsi="Times New Roman"/>
          <w:b/>
          <w:sz w:val="20"/>
        </w:rPr>
        <w:t xml:space="preserve">MATERIAL DUTCH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Dutch Income Tax Consequences of the Offer and the Post-Offer Reorganization for CureVac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This summary solely addresses certain material Dutch tax consequences of the offer and the post-offer reorganization for the CureVac shareholders and does not purport to describe every aspect of taxation that may be relevant to a particular shareholder. This summary does not describe any Dutch tax consequences arising from the Dutch Minimum Tax Act 2024 (the Dutch implementation of Council Directive (EU) 2022/2523 of 14 December 2022 on ensuring a global minimum level of taxation for multinational enterprise groups and large-scale domestic groups in the EU) which may be relevant for a particular shareholder. Tax matters are complex, and the tax consequences of the offer and the post-offer reorganization to a particular CureVac shareholder will depend in part on such shareholder’s circumstances. Accordingly, CureVac shareholders are urged to consult their tax advisor for a full understanding of the tax consequences of the offer or the post-offer reorganization to them, including the applicability and effect of Dutch tax laws,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Where in this summary English terms and expressions are used to refer to Dutch concepts, the meaning to be attributed to such terms and expressions shall be the meaning to be attributed to the equivalent Dutch concepts under Dutch tax law. Where in this summary the terms “</w:t>
      </w:r>
      <w:r>
        <w:rPr>
          <w:rFonts w:ascii="Times New Roman" w:hAnsi="Times New Roman"/>
          <w:i/>
          <w:sz w:val="20"/>
        </w:rPr>
        <w:t>the Netherlands</w:t>
      </w:r>
      <w:r>
        <w:rPr>
          <w:rFonts w:ascii="Times New Roman" w:hAnsi="Times New Roman"/>
          <w:sz w:val="20"/>
        </w:rPr>
        <w:t>” and “</w:t>
      </w:r>
      <w:r>
        <w:rPr>
          <w:rFonts w:ascii="Times New Roman" w:hAnsi="Times New Roman"/>
          <w:i/>
          <w:sz w:val="20"/>
        </w:rPr>
        <w:t>Dutch</w:t>
      </w:r>
      <w:r>
        <w:rPr>
          <w:rFonts w:ascii="Times New Roman" w:hAnsi="Times New Roman"/>
          <w:sz w:val="20"/>
        </w:rPr>
        <w:t xml:space="preserve">” are used, these refer solely to the European part of the Kingdom of the Netherlands. This summary assumes that BioNTech, CureVac, and New Topco are organized, and that their respective businesses will be conducted, in the manner outlined in this offer. It is further assumed that New Topco is regarded as a tax resident of Germany exclusively under the double tax treaty between Germany and the Netherlands. A change to such organizational structure, tax residency, or to the manner in which BioNTech, CureVac, or New Topco conducts its business may invalidate the contents of this summary, which will not be updated to reflect any such change.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tax law of the Netherlands (unpublished case law not included) as it stands at the date of this offer. The tax law upon which this summary is based, is subject to changes, possibly with retroactive effect. Any such change may invalidate the contents of this summary, which will not be updated to reflect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the Dutch tax consequences for a CureVac shareholder or a New Topco shareholder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person who may be deemed an owner of CureVac shares or New Topco A shares for Dutch tax purposes pursuant to specific statutory attribution rules in Dutch tax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although in principle subject to Dutch corporate income tax, in whole or in part, specifically exempt from that tax in connection with income from CureVac shares or New Topco A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investment institution as defined in the Dutch Corporate Income Tax Act 1969;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entity that, although in principle subject to Dutch corporate income tax, is fully or partly exempt from Dutch corporate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owns CureVac shares or New Topco A shares in connection with a membership of a management board or a supervisory board, an employment relationship, a deemed employment relationship, or management role;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substantial interest in CureVac or New Topco, or a deemed substantial interest in CureVac or New Topco, as the case may be, for Dutch tax purposes. Generally, a person holds a substantial interest if (i) such person — either alone or, in the case of an individual, together with such person’s partner or any of such person’s relatives by blood or by marriage in the direct line (including foster-children) or of those of such person’s partner for Dutch tax purposes — owns or is deemed to own, directly or indirectly, five percent or more of the shares or of any class of shares of CureVac or New Topco, as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case may be, or rights to acquire, directly or indirectly, such an interest in the shares CureVac or New Topco, as the case may be, or profit participating certificates relating to five percent or more of the annual profits or to five percent or more of the liquidation proceeds of CureVac or New Topco, as the case may be, or (ii) such person’s shares, rights to acquire shares, or profit participating certificates in CureVac or New Topco, as the case may be, are held by such person following the application of a non-recognition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Dutch tax purposes taxable as a corporate entity and resident of Aruba, Curaçao, or Sint Maarten. </w:t>
            </w:r>
          </w:p>
        </w:tc>
      </w:tr>
    </w:tbl>
    <w:p>
      <w:pPr>
        <w:pStyle w:val="TextBody"/>
        <w:bidi w:val="0"/>
        <w:spacing w:before="240" w:after="0"/>
        <w:jc w:val="left"/>
        <w:rPr>
          <w:rFonts w:ascii="Times New Roman" w:hAnsi="Times New Roman"/>
          <w:sz w:val="20"/>
        </w:rPr>
      </w:pPr>
      <w:r>
        <w:rPr>
          <w:rFonts w:ascii="Times New Roman" w:hAnsi="Times New Roman"/>
          <w:b/>
          <w:i/>
          <w:sz w:val="20"/>
        </w:rPr>
        <w:t>Income and dividend withholding tax aspects for CureVac shareholders who tender their CureVac shares in the offer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Taxes on Income and Capital Gains </w:t>
            </w:r>
          </w:p>
        </w:tc>
      </w:tr>
    </w:tbl>
    <w:p>
      <w:pPr>
        <w:pStyle w:val="TextBody"/>
        <w:bidi w:val="0"/>
        <w:spacing w:before="120" w:after="0"/>
        <w:jc w:val="left"/>
        <w:rPr>
          <w:rFonts w:ascii="Times New Roman" w:hAnsi="Times New Roman"/>
          <w:sz w:val="20"/>
        </w:rPr>
      </w:pPr>
      <w:r>
        <w:rPr>
          <w:rFonts w:ascii="Times New Roman" w:hAnsi="Times New Roman"/>
          <w:sz w:val="20"/>
          <w:u w:val="single"/>
        </w:rPr>
        <w:t>Resident CureVac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CureVac shareholder who is resident or deemed to be resident in the Netherlands for Dutch tax purposes is fully subject to Dutch income tax, if such shareholder is an individual, or fully subject to Dutch corporate income tax, if such shareholder is a corporate entity, or an entity, including an association, a partnership, or a mutual fund, taxable as a corporate entity, as described in the summary below. </w:t>
      </w:r>
    </w:p>
    <w:p>
      <w:pPr>
        <w:pStyle w:val="TextBody"/>
        <w:bidi w:val="0"/>
        <w:spacing w:before="240" w:after="0"/>
        <w:jc w:val="left"/>
        <w:rPr>
          <w:rFonts w:ascii="Times New Roman" w:hAnsi="Times New Roman"/>
          <w:i/>
          <w:sz w:val="20"/>
        </w:rPr>
      </w:pPr>
      <w:r>
        <w:rPr>
          <w:rFonts w:ascii="Times New Roman" w:hAnsi="Times New Roman"/>
          <w:i/>
          <w:sz w:val="20"/>
        </w:rPr>
        <w:t xml:space="preserve">Individuals deriving profits or deemed to be deriving profits from an enterprise </w:t>
      </w:r>
    </w:p>
    <w:p>
      <w:pPr>
        <w:pStyle w:val="TextBody"/>
        <w:bidi w:val="0"/>
        <w:spacing w:before="120" w:after="0"/>
        <w:jc w:val="left"/>
        <w:rPr>
          <w:rFonts w:ascii="Times New Roman" w:hAnsi="Times New Roman"/>
          <w:sz w:val="20"/>
        </w:rPr>
      </w:pPr>
      <w:r>
        <w:rPr>
          <w:rFonts w:ascii="Times New Roman" w:hAnsi="Times New Roman"/>
          <w:sz w:val="20"/>
        </w:rPr>
        <w:t xml:space="preserve">Any benefits derived or deemed to be derived from or in connection with CureVac shares, including as a result of tendering CureVac shares in connection with the offer, that are attributable to an enterprise from which an individual derives profits, whether as an entrepreneur or pursuant to a co-entitlement to the net value of an enterprise, other than as a shareholder, are generally subject to Dutch income tax at progressive rates up to 49.5%. </w:t>
      </w:r>
    </w:p>
    <w:p>
      <w:pPr>
        <w:pStyle w:val="TextBody"/>
        <w:bidi w:val="0"/>
        <w:spacing w:before="240" w:after="0"/>
        <w:jc w:val="left"/>
        <w:rPr>
          <w:rFonts w:ascii="Times New Roman" w:hAnsi="Times New Roman"/>
          <w:i/>
          <w:sz w:val="20"/>
        </w:rPr>
      </w:pPr>
      <w:r>
        <w:rPr>
          <w:rFonts w:ascii="Times New Roman" w:hAnsi="Times New Roman"/>
          <w:i/>
          <w:sz w:val="20"/>
        </w:rPr>
        <w:t xml:space="preserve">Individuals deriving benefits from miscellaneous activities </w:t>
      </w:r>
    </w:p>
    <w:p>
      <w:pPr>
        <w:pStyle w:val="TextBody"/>
        <w:bidi w:val="0"/>
        <w:spacing w:before="120" w:after="0"/>
        <w:jc w:val="left"/>
        <w:rPr>
          <w:rFonts w:ascii="Times New Roman" w:hAnsi="Times New Roman"/>
          <w:sz w:val="20"/>
        </w:rPr>
      </w:pPr>
      <w:r>
        <w:rPr>
          <w:rFonts w:ascii="Times New Roman" w:hAnsi="Times New Roman"/>
          <w:sz w:val="20"/>
        </w:rPr>
        <w:t xml:space="preserve">Any benefits derived or deemed to be derived from or in connection with CureVac shares, including as a result of tendering CureVac shares in connection with the offer, that constitute benefits from miscellaneous activities by an individual are generally subject to Dutch income tax at progressive rates up to 49.5%. </w:t>
      </w:r>
    </w:p>
    <w:p>
      <w:pPr>
        <w:pStyle w:val="TextBody"/>
        <w:bidi w:val="0"/>
        <w:spacing w:before="240" w:after="0"/>
        <w:jc w:val="left"/>
        <w:rPr>
          <w:rFonts w:ascii="Times New Roman" w:hAnsi="Times New Roman"/>
          <w:sz w:val="20"/>
        </w:rPr>
      </w:pPr>
      <w:r>
        <w:rPr>
          <w:rFonts w:ascii="Times New Roman" w:hAnsi="Times New Roman"/>
          <w:sz w:val="20"/>
        </w:rPr>
        <w:t xml:space="preserve">An individual may, </w:t>
      </w:r>
      <w:r>
        <w:rPr>
          <w:rFonts w:ascii="Times New Roman" w:hAnsi="Times New Roman"/>
          <w:i/>
          <w:sz w:val="20"/>
        </w:rPr>
        <w:t>inter alia</w:t>
      </w:r>
      <w:r>
        <w:rPr>
          <w:rFonts w:ascii="Times New Roman" w:hAnsi="Times New Roman"/>
          <w:sz w:val="20"/>
        </w:rPr>
        <w:t xml:space="preserve">, derive, or be deemed to derive, benefits from or in connection with CureVac shares that are taxable as benefits from miscellaneous activities if such individual’s investment activities go beyond regular active portfolio management. </w:t>
      </w:r>
    </w:p>
    <w:p>
      <w:pPr>
        <w:pStyle w:val="TextBody"/>
        <w:bidi w:val="0"/>
        <w:spacing w:before="240" w:after="0"/>
        <w:jc w:val="left"/>
        <w:rPr>
          <w:rFonts w:ascii="Times New Roman" w:hAnsi="Times New Roman"/>
          <w:i/>
          <w:sz w:val="20"/>
        </w:rPr>
      </w:pPr>
      <w:r>
        <w:rPr>
          <w:rFonts w:ascii="Times New Roman" w:hAnsi="Times New Roman"/>
          <w:i/>
          <w:sz w:val="20"/>
        </w:rPr>
        <w:t xml:space="preserve">Other individuals </w:t>
      </w:r>
    </w:p>
    <w:p>
      <w:pPr>
        <w:pStyle w:val="TextBody"/>
        <w:bidi w:val="0"/>
        <w:spacing w:before="120" w:after="0"/>
        <w:jc w:val="left"/>
        <w:rPr>
          <w:rFonts w:ascii="Times New Roman" w:hAnsi="Times New Roman"/>
          <w:sz w:val="20"/>
        </w:rPr>
      </w:pPr>
      <w:r>
        <w:rPr>
          <w:rFonts w:ascii="Times New Roman" w:hAnsi="Times New Roman"/>
          <w:sz w:val="20"/>
        </w:rPr>
        <w:t xml:space="preserve">If a CureVac shareholder is an individual whose situation has not been discussed before in this section “Material Dutch Tax Considerations — Income and dividend withholding tax aspects for CureVac shareholders who tender their shares in the offer — Taxes on Income and Capital Gains — Resident CureVac shareholders”, the value of such shareholder’s CureVac shares forms part of the yield basis for purposes of tax on benefits from savings and investments. A deemed benefit, which is calculated on the basis of a holder’s actual bank savings plus such holder’s actual other investments (including the value of such holder’s CureVac shares), minus such holder’s actual liabilities whilst taking into account a deemed benefit for each of these categories, is taxed at the rate of 36%. For the year 2025, the estimated deemed benefit rate for actual bank savings is 1.44%, the deemed benefit rate for actual other investments is 5.88%, and the estimated deemed benefit rate for actual liabilities is 2.62%. The estimated deemed return percentages will be confirmed at a future date. Actual benefits derived from or in connection with their CureVac shares, including as a result of tendering their CureVac shares in connection with the offer, are in principle not subject to Dutch income tax. </w:t>
      </w:r>
    </w:p>
    <w:p>
      <w:pPr>
        <w:pStyle w:val="TextBody"/>
        <w:bidi w:val="0"/>
        <w:spacing w:before="240" w:after="0"/>
        <w:jc w:val="left"/>
        <w:rPr>
          <w:rFonts w:ascii="Times New Roman" w:hAnsi="Times New Roman"/>
          <w:sz w:val="20"/>
        </w:rPr>
      </w:pPr>
      <w:r>
        <w:rPr>
          <w:rFonts w:ascii="Times New Roman" w:hAnsi="Times New Roman"/>
          <w:sz w:val="20"/>
        </w:rPr>
        <w:t>However, on June 6 and 14, 2024, the Dutch Supreme Court (</w:t>
      </w:r>
      <w:r>
        <w:rPr>
          <w:rFonts w:ascii="Times New Roman" w:hAnsi="Times New Roman"/>
          <w:i/>
          <w:sz w:val="20"/>
        </w:rPr>
        <w:t>Hoge Raad</w:t>
      </w:r>
      <w:r>
        <w:rPr>
          <w:rFonts w:ascii="Times New Roman" w:hAnsi="Times New Roman"/>
          <w:sz w:val="20"/>
        </w:rPr>
        <w:t xml:space="preserve">) ruled that the Dutch income tax regime for savings and investments as described above, which we refer to as the box 3 regime, in certain specific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circumstances contravenes with Section 1 of the First Protocol to the European Convention on Human Rights in combination with Section 14 of the European Convention on Human Rights, which we refer to as the rulings. In the rulings, the Dutch Supreme Court introduced a rebuttal provision (</w:t>
      </w:r>
      <w:r>
        <w:rPr>
          <w:rFonts w:ascii="Times New Roman" w:hAnsi="Times New Roman"/>
          <w:i/>
          <w:sz w:val="20"/>
        </w:rPr>
        <w:t>tegenbewijsregeling</w:t>
      </w:r>
      <w:r>
        <w:rPr>
          <w:rFonts w:ascii="Times New Roman" w:hAnsi="Times New Roman"/>
          <w:sz w:val="20"/>
        </w:rPr>
        <w:t>) pursuant to which taxpayers have the possibility to demonstrate that the actual return realized by the taxpayer in respect of their investments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Times New Roman" w:hAnsi="Times New Roman"/>
          <w:i/>
          <w:sz w:val="20"/>
        </w:rPr>
        <w:t>Wet tegenbewijsregeling box 3</w:t>
      </w:r>
      <w:r>
        <w:rPr>
          <w:rFonts w:ascii="Times New Roman" w:hAnsi="Times New Roman"/>
          <w:sz w:val="20"/>
        </w:rPr>
        <w:t xml:space="preserve">). If the taxpayer successfully demonstrates that the actual return is less than the deemed return (using a standardized form), the taxpayer will be taxed on the actual return instead of the deemed return. Therefore, CureVac shareholders who are taxed in this manner with respect to their shares are advised to consult a professional tax advisor. </w:t>
      </w:r>
    </w:p>
    <w:p>
      <w:pPr>
        <w:pStyle w:val="TextBody"/>
        <w:bidi w:val="0"/>
        <w:spacing w:before="240" w:after="0"/>
        <w:jc w:val="left"/>
        <w:rPr>
          <w:rFonts w:ascii="Times New Roman" w:hAnsi="Times New Roman"/>
          <w:i/>
          <w:sz w:val="20"/>
        </w:rPr>
      </w:pPr>
      <w:r>
        <w:rPr>
          <w:rFonts w:ascii="Times New Roman" w:hAnsi="Times New Roman"/>
          <w:i/>
          <w:sz w:val="20"/>
        </w:rPr>
        <w:t xml:space="preserve">Corporate entities </w:t>
      </w:r>
    </w:p>
    <w:p>
      <w:pPr>
        <w:pStyle w:val="TextBody"/>
        <w:bidi w:val="0"/>
        <w:spacing w:before="120" w:after="0"/>
        <w:jc w:val="left"/>
        <w:rPr>
          <w:rFonts w:ascii="Times New Roman" w:hAnsi="Times New Roman"/>
          <w:sz w:val="20"/>
        </w:rPr>
      </w:pPr>
      <w:r>
        <w:rPr>
          <w:rFonts w:ascii="Times New Roman" w:hAnsi="Times New Roman"/>
          <w:sz w:val="20"/>
        </w:rPr>
        <w:t xml:space="preserve">Any benefits derived or deemed to be derived from or in connection with CureVac shares, including as a result of tendering their CureVac shares in connection with the offer, that are held by a corporate entity, or an entity, including an association, a partnership, or a mutual fund, taxable as a corporate entity, are generally subject to Dutch corporate income tax. </w:t>
      </w:r>
    </w:p>
    <w:p>
      <w:pPr>
        <w:pStyle w:val="TextBody"/>
        <w:bidi w:val="0"/>
        <w:spacing w:before="24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 CureVac shareholder will not be deemed to be resident in the Netherlands for Dutch tax purposes by reason only of the execution and/or enforcement of the documents relating to the offer. </w:t>
      </w:r>
    </w:p>
    <w:p>
      <w:pPr>
        <w:pStyle w:val="TextBody"/>
        <w:bidi w:val="0"/>
        <w:spacing w:before="240" w:after="0"/>
        <w:jc w:val="left"/>
        <w:rPr>
          <w:rFonts w:ascii="Times New Roman" w:hAnsi="Times New Roman"/>
          <w:sz w:val="20"/>
        </w:rPr>
      </w:pPr>
      <w:r>
        <w:rPr>
          <w:rFonts w:ascii="Times New Roman" w:hAnsi="Times New Roman"/>
          <w:sz w:val="20"/>
          <w:u w:val="single"/>
        </w:rPr>
        <w:t>Non-resident CureVac shareholders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Individuals </w:t>
      </w:r>
    </w:p>
    <w:p>
      <w:pPr>
        <w:pStyle w:val="TextBody"/>
        <w:bidi w:val="0"/>
        <w:spacing w:before="120" w:after="0"/>
        <w:jc w:val="left"/>
        <w:rPr>
          <w:rFonts w:ascii="Times New Roman" w:hAnsi="Times New Roman"/>
          <w:sz w:val="20"/>
        </w:rPr>
      </w:pPr>
      <w:r>
        <w:rPr>
          <w:rFonts w:ascii="Times New Roman" w:hAnsi="Times New Roman"/>
          <w:sz w:val="20"/>
        </w:rPr>
        <w:t xml:space="preserve">If a CureVac shareholder is an individual who is neither resident nor deemed to be resident in the Netherlands for purposes of Dutch income tax, they will not be subject to Dutch income tax in respect of any benefits derived or deemed to be derived from or in connection with CureVac shares,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derive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their CureVac shares are attributable to such permanent establishment or permanent representative;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derive benefits or is deemed to derive benefits from or in connection with CureVac shares that are taxable as benefits from miscellaneous activities performed in the Netherlands.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Corporate entities </w:t>
      </w:r>
    </w:p>
    <w:p>
      <w:pPr>
        <w:pStyle w:val="TextBody"/>
        <w:bidi w:val="0"/>
        <w:spacing w:before="120" w:after="0"/>
        <w:jc w:val="left"/>
        <w:rPr>
          <w:rFonts w:ascii="Times New Roman" w:hAnsi="Times New Roman"/>
          <w:sz w:val="20"/>
        </w:rPr>
      </w:pPr>
      <w:r>
        <w:rPr>
          <w:rFonts w:ascii="Times New Roman" w:hAnsi="Times New Roman"/>
          <w:sz w:val="20"/>
        </w:rPr>
        <w:t xml:space="preserve">If a CureVac shareholder is a corporate entity, or an entity including an association, a partnership, or a mutual fund, taxable as a corporate entity, which is neither resident, nor deemed to be resident in the Netherlands for purposes of Dutch corporate income tax, it will not be subject to Dutch corporate income tax in respect of any benefits derived or deemed to be derived from or in connection with CureVac shares,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derives profits from an enterprise directly which is carried on, in whole or in part, through a permanent establishment or a permanent representative in the Netherlands, and to which permanent establishment or permanent representative its CureVac shares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derives profits pursuant to a co-entitlement to the net value of an enterprise which is managed in the Netherlands, other than as a holder of securities, and to which enterprise its CureVac shares are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(b)</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Dividend Withholding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Dutch dividend withholding tax will be withheld or deducted from the payment of the offer consideration by BioNTech to the CureVac shareholders in respect of a disposal of the CureVac shares under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Income and dividend withholding tax aspects for CureVac shareholders who do not tender their CureVac shares in the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expiration of the subsequent offering period, the post-offer reorganization will be implemented, including the legal downstream merger, which merger includes an allotment of New Topco A shares, together with a cancellation against payment of the cancellation consideration. </w:t>
      </w:r>
    </w:p>
    <w:p>
      <w:pPr>
        <w:pStyle w:val="TextBody"/>
        <w:bidi w:val="0"/>
        <w:spacing w:before="240" w:after="0"/>
        <w:jc w:val="left"/>
        <w:rPr>
          <w:rFonts w:ascii="Times New Roman" w:hAnsi="Times New Roman"/>
          <w:i/>
          <w:sz w:val="20"/>
        </w:rPr>
      </w:pPr>
      <w:r>
        <w:rPr>
          <w:rFonts w:ascii="Times New Roman" w:hAnsi="Times New Roman"/>
          <w:i/>
          <w:sz w:val="20"/>
        </w:rPr>
        <w:t xml:space="preserve">Legal downstream merger </w:t>
      </w:r>
    </w:p>
    <w:p>
      <w:pPr>
        <w:pStyle w:val="TextBody"/>
        <w:bidi w:val="0"/>
        <w:spacing w:before="120" w:after="0"/>
        <w:jc w:val="left"/>
        <w:rPr>
          <w:rFonts w:ascii="Times New Roman" w:hAnsi="Times New Roman"/>
          <w:sz w:val="20"/>
        </w:rPr>
      </w:pPr>
      <w:r>
        <w:rPr>
          <w:rFonts w:ascii="Times New Roman" w:hAnsi="Times New Roman"/>
          <w:sz w:val="20"/>
          <w:u w:val="single"/>
        </w:rPr>
        <w:t>Taxes on Income and Capital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Dutch income tax and corporate income tax consequences for CureVac shareholders in respect of a disposal of the CureVac shares under the legal downstream merger are in principle similar to the Dutch tax treatment of the disposal of the CureVac shares in connection with the offer, unless roll-over relief is available in respect of any gain realized in connection with the legal downstream merger. </w:t>
      </w:r>
    </w:p>
    <w:p>
      <w:pPr>
        <w:pStyle w:val="TextBody"/>
        <w:bidi w:val="0"/>
        <w:spacing w:before="240" w:after="0"/>
        <w:jc w:val="left"/>
        <w:rPr>
          <w:rFonts w:ascii="Times New Roman" w:hAnsi="Times New Roman"/>
          <w:sz w:val="20"/>
        </w:rPr>
      </w:pPr>
      <w:r>
        <w:rPr>
          <w:rFonts w:ascii="Times New Roman" w:hAnsi="Times New Roman"/>
          <w:sz w:val="20"/>
          <w:u w:val="single"/>
        </w:rPr>
        <w:t>Dividend Withholding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Dutch dividend withholding tax is due upon a disposal of the CureVac shares under the legal downstream merger or in respect of receipt of New Topco A shares pursuant to the legal downstream merger. </w:t>
      </w:r>
    </w:p>
    <w:p>
      <w:pPr>
        <w:pStyle w:val="TextBody"/>
        <w:bidi w:val="0"/>
        <w:spacing w:before="240" w:after="0"/>
        <w:jc w:val="left"/>
        <w:rPr>
          <w:rFonts w:ascii="Times New Roman" w:hAnsi="Times New Roman"/>
          <w:i/>
          <w:sz w:val="20"/>
        </w:rPr>
      </w:pPr>
      <w:r>
        <w:rPr>
          <w:rFonts w:ascii="Times New Roman" w:hAnsi="Times New Roman"/>
          <w:i/>
          <w:sz w:val="20"/>
        </w:rPr>
        <w:t xml:space="preserve">Cancellation </w:t>
      </w:r>
    </w:p>
    <w:p>
      <w:pPr>
        <w:pStyle w:val="TextBody"/>
        <w:bidi w:val="0"/>
        <w:spacing w:before="120" w:after="0"/>
        <w:jc w:val="left"/>
        <w:rPr>
          <w:rFonts w:ascii="Times New Roman" w:hAnsi="Times New Roman"/>
          <w:sz w:val="20"/>
        </w:rPr>
      </w:pPr>
      <w:r>
        <w:rPr>
          <w:rFonts w:ascii="Times New Roman" w:hAnsi="Times New Roman"/>
          <w:sz w:val="20"/>
          <w:u w:val="single"/>
        </w:rPr>
        <w:t>Taxes on Income and Capital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Dutch income tax and corporate income tax consequences of the cancellation for a New Topco A shareholder are in principle similar to the Dutch tax treatment of the disposal of CureVac shares in connection with the offer. </w:t>
      </w:r>
    </w:p>
    <w:p>
      <w:pPr>
        <w:pStyle w:val="TextBody"/>
        <w:bidi w:val="0"/>
        <w:spacing w:before="240" w:after="0"/>
        <w:jc w:val="left"/>
        <w:rPr>
          <w:rFonts w:ascii="Times New Roman" w:hAnsi="Times New Roman"/>
          <w:sz w:val="20"/>
        </w:rPr>
      </w:pPr>
      <w:r>
        <w:rPr>
          <w:rFonts w:ascii="Times New Roman" w:hAnsi="Times New Roman"/>
          <w:sz w:val="20"/>
          <w:u w:val="single"/>
        </w:rPr>
        <w:t>Dividend Withholding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New Topco is generally required to withhold Dutch dividend withholding tax at a rate of 15% on dividends distributed by it, subject to potential relief under Dutch domestic law, EU law, or an applicable Dutch income tax treaty, depending on the particular individual circumstances of the relevant New Topco shareholder. The term “dividends distributed by New Topco” as used in this paragraph includes, but is not limited to, payments (in cash or in kind) made pursuant to the cancellation of the New Topco A shares that exceed the fiscally recognized capital immediately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fiscally recognized capital of New Topco is, immediately following the merger effective time, equal to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cancellation consideration per New Topco A share exceeds the fiscally recognized capital of the New Topco A shares immediately prior to the cancellation effective time, the excess will, in principle, be subject to Dutch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However,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See “The Offer — The Post-Offer Reorganization and the New Topco U.S. Tax Election” for more detail. </w:t>
      </w:r>
    </w:p>
    <w:p>
      <w:pPr>
        <w:pStyle w:val="TextBody"/>
        <w:bidi w:val="0"/>
        <w:spacing w:before="240" w:after="0"/>
        <w:jc w:val="left"/>
        <w:rPr>
          <w:rFonts w:ascii="Times New Roman" w:hAnsi="Times New Roman"/>
          <w:sz w:val="20"/>
        </w:rPr>
      </w:pPr>
      <w:r>
        <w:rPr>
          <w:rFonts w:ascii="Times New Roman" w:hAnsi="Times New Roman"/>
          <w:sz w:val="20"/>
        </w:rPr>
        <w:t xml:space="preserve">Dutch resident holders and Dutch PE holders may be eligible for a (partial) refund from the Dutch tax authorities directly, depending on the particular individual circumstances of the relevant New Topco shareholder. CureVac shareholders should consult their tax advisors regarding the potential refund possibilities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as to the success of any refund request.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Dutch tax aspects for CureVac shareholders or New Topco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 Dutch registration tax, transfer tax, stamp duty, or any other similar documentary tax or duty, is payable in the Netherlands by a CureVac shareholder or a holder of New Topco A shares in connection with the offer or the post-offer reorganization,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oc847647_65"/>
      <w:bookmarkEnd w:id="71"/>
      <w:r>
        <w:rPr>
          <w:rFonts w:ascii="Times New Roman" w:hAnsi="Times New Roman"/>
          <w:b/>
          <w:sz w:val="20"/>
        </w:rPr>
        <w:t xml:space="preserve">MAJOR SHAREHOLDERS OF BIONTECH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as of October 17, 2025, regarding the beneficial ownership of BioNTech’s ordinary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BioNTech to own beneficially five percent or more of BioNTech’s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BioNTech’s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BioNTech’s management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members of BioNTech’s supervisory board and management board,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ordinary shares beneficially owned by each entity, person, and member of BioNTech’s supervisory board and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October 17, 2025, through the exercise of any option, warrant, or other right. Except as otherwise indicated, and subject to applicable community property laws, the persons named in the table have sole voting and investment power with respect to all ordinary shares held by that person. All BioNTech ordinary shares and ADSs representing BioNTech ordinary shares vote on an equal basis.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outstanding ordinary shares is computed on the basis of 240,455,450 ordinary shares outstanding as of October 17, 2025. This amount excludes 8,096,750 shares held in treasury. Amounts presented in this section include BioNTech ordinary shares held in the form of BioNTech ADSs. Unless otherwise indicated, the address for each beneficial owner is An der Goldgrube 12, D-55131 Mainz, Germany.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09"/>
        <w:gridCol w:w="375"/>
        <w:gridCol w:w="60"/>
        <w:gridCol w:w="1298"/>
        <w:gridCol w:w="60"/>
        <w:gridCol w:w="375"/>
        <w:gridCol w:w="142"/>
        <w:gridCol w:w="1110"/>
        <w:gridCol w:w="326"/>
      </w:tblGrid>
      <w:tr>
        <w:trPr/>
        <w:tc>
          <w:tcPr>
            <w:tcW w:w="4009"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0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75"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Beneficially</w:t>
              <w:br/>
              <w:t>Owned</w:t>
            </w:r>
          </w:p>
        </w:tc>
        <w:tc>
          <w:tcPr>
            <w:tcW w:w="326" w:type="dxa"/>
            <w:tcBorders/>
            <w:vAlign w:val="bottom"/>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5% shareholders</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009" w:type="dxa"/>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c>
          <w:tcPr>
            <w:tcW w:w="1953" w:type="dxa"/>
            <w:gridSpan w:val="4"/>
            <w:tcBorders/>
            <w:vAlign w:val="center"/>
          </w:tcPr>
          <w:p>
            <w:pPr>
              <w:pStyle w:val="TableContents"/>
              <w:bidi w:val="0"/>
              <w:spacing w:before="0" w:after="283"/>
              <w:jc w:val="left"/>
              <w:rPr>
                <w:sz w:val="4"/>
                <w:szCs w:val="4"/>
              </w:rPr>
            </w:pPr>
            <w:r>
              <w:rPr>
                <w:sz w:val="4"/>
                <w:szCs w:val="4"/>
              </w:rPr>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AT Impf GmbH(1)</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101,279,878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42.1</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Medine GmbH(2)</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40,131,958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16.7</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b/>
                <w:sz w:val="18"/>
              </w:rPr>
            </w:pPr>
            <w:r>
              <w:rPr>
                <w:rFonts w:ascii="Times New Roman" w:hAnsi="Times New Roman"/>
                <w:b/>
                <w:sz w:val="18"/>
              </w:rPr>
              <w:t>All 5% shareholders, as a group</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141,411,836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58.8</w:t>
            </w:r>
          </w:p>
        </w:tc>
        <w:tc>
          <w:tcPr>
            <w:tcW w:w="326" w:type="dxa"/>
            <w:tcBorders/>
            <w:vAlign w:val="bottom"/>
          </w:tcPr>
          <w:p>
            <w:pPr>
              <w:pStyle w:val="TableContents"/>
              <w:bidi w:val="0"/>
              <w:spacing w:before="0" w:after="283"/>
              <w:jc w:val="left"/>
              <w:rPr>
                <w:b/>
              </w:rPr>
            </w:pPr>
            <w:r>
              <w:rPr>
                <w:b/>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Members of the Supervisory Board and the Management Board</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Prof. Ugur Sahin, M.D.(3)</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41,415,044</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17.2</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Annemarie Hanekamp</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Ramón Zapata-Gomez</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Jens Holstein (4)</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Sierk Poetting, Ph.D.(5)</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692,539</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Ryan Richardson(6)</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23,048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James Ryan, Ph.D.</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1,426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Prof. Özlem Türeci, M.D.</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184,998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Helmut Jeggle(7)</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1,125,967</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Ulrich Wandschneider, Ph.D.(8)</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1,480</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Baroness Nicola Blackwood</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Prof. Anja Morawietz, Ph.D.(9)</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sz w:val="18"/>
              </w:rPr>
            </w:pPr>
            <w:r>
              <w:rPr>
                <w:rFonts w:ascii="Times New Roman" w:hAnsi="Times New Roman"/>
                <w:sz w:val="18"/>
              </w:rPr>
              <w:t>Michael Motschmann</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Prof. Rudolf Staudigl, Ph.D.</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(10 </w:t>
            </w:r>
          </w:p>
        </w:tc>
        <w:tc>
          <w:tcPr>
            <w:tcW w:w="326" w:type="dxa"/>
            <w:tcBorders/>
            <w:shd w:fill="CCEEFF" w:val="clear"/>
            <w:vAlign w:val="bottom"/>
          </w:tcPr>
          <w:p>
            <w:pPr>
              <w:pStyle w:val="TableContents"/>
              <w:bidi w:val="0"/>
              <w:spacing w:before="0" w:after="283"/>
              <w:jc w:val="left"/>
              <w:rPr/>
            </w:pPr>
            <w:r>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009" w:type="dxa"/>
            <w:tcBorders/>
          </w:tcPr>
          <w:p>
            <w:pPr>
              <w:pStyle w:val="TableContents"/>
              <w:bidi w:val="0"/>
              <w:spacing w:before="0" w:after="0"/>
              <w:jc w:val="left"/>
              <w:rPr>
                <w:rFonts w:ascii="Times New Roman" w:hAnsi="Times New Roman"/>
                <w:b/>
                <w:sz w:val="18"/>
              </w:rPr>
            </w:pPr>
            <w:r>
              <w:rPr>
                <w:rFonts w:ascii="Times New Roman" w:hAnsi="Times New Roman"/>
                <w:b/>
                <w:sz w:val="18"/>
              </w:rPr>
              <w:t>All members of the Supervisory Board and Management Board, as a group</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43,445,142</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b/>
              </w:rPr>
            </w:pPr>
            <w:r>
              <w:rPr>
                <w:b/>
              </w:rPr>
              <w:t>18.1</w:t>
            </w:r>
          </w:p>
        </w:tc>
        <w:tc>
          <w:tcPr>
            <w:tcW w:w="326" w:type="dxa"/>
            <w:tcBorders/>
            <w:vAlign w:val="bottom"/>
          </w:tcPr>
          <w:p>
            <w:pPr>
              <w:pStyle w:val="TableContents"/>
              <w:bidi w:val="0"/>
              <w:spacing w:before="0" w:after="283"/>
              <w:jc w:val="left"/>
              <w:rPr>
                <w:b/>
              </w:rPr>
            </w:pPr>
            <w:r>
              <w:rPr>
                <w:b/>
              </w:rPr>
              <w:t>% </w:t>
            </w:r>
          </w:p>
        </w:tc>
      </w:tr>
      <w:tr>
        <w:trPr/>
        <w:tc>
          <w:tcPr>
            <w:tcW w:w="4009"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101,279,878 ordinary shares held by AT Impf GmbH. The sole shareholder of AT Impf GmbH is ATHOS KG, and, as a result, ATHOS KG is deemed to be the beneficial owner of the securities held by AT Impf GmbH. Thomas Maier is a general partner (</w:t>
            </w:r>
            <w:r>
              <w:rPr>
                <w:rFonts w:ascii="Times New Roman" w:hAnsi="Times New Roman"/>
                <w:i/>
                <w:sz w:val="20"/>
              </w:rPr>
              <w:t>Komplementär</w:t>
            </w:r>
            <w:r>
              <w:rPr>
                <w:rFonts w:ascii="Times New Roman" w:hAnsi="Times New Roman"/>
                <w:sz w:val="20"/>
              </w:rPr>
              <w:t xml:space="preserve">) of ATHOS KG and may be deemed to be beneficial owners of the securities held by AT Impf GmbH. Mr. Maier disclaims beneficial ownership of such shares except to the extent of their pecuniary interest therein.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sole shareholder of Medine GmbH is Prof. Ugur Sahin, M.D. and, as a result, Ugur Sahin is deemed to be the beneficial owner of the securities held by Medine GmbH. Consists of 39,111,390 ordinary shares held by Medine GmbH and 1,020,568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shares described in note 2 above, plus 1,283,086 ordinary shares held directly by Ugur Sahin. He is the sole shareholder of Medine GmbH.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Holstein retired effective June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549,387 ordinary shares held by Tofino GmbH (Sierk Poetting is sole shareholder of Tofino GmbH), (ii) 141,514 ordinary shares held directly by Sierk Poetting, and (iii) 1,638 ordinary shares held by his immediate family. Mr. Poetting disclaims beneficial ownership of the 1,638 ordinary shares held by his immediate family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Richardson stepped down from his positions on September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332,316 ordinary shares held directly by Helmut Jeggle and (ii) 793,651 ordinary shares held by Salvia GmbH.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1,480 ordinary shares held by beebusy Capital GmbH. Ulrich Wandschneider is sole shareholder of beebusy Capital GmbH.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 ordinary shares held directly by Anja Morawietz and (ii) 40 ordinary shares held by her immediate family.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oc847647_66"/>
      <w:bookmarkEnd w:id="72"/>
      <w:r>
        <w:rPr>
          <w:rFonts w:ascii="Times New Roman" w:hAnsi="Times New Roman"/>
          <w:b/>
          <w:sz w:val="20"/>
        </w:rPr>
        <w:t xml:space="preserve">THE PURCHASE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offer to exchange/prospectus summarizes the material provisions of the Purchase Agreement, which is attached as Annex A to this offer to exchange/prospectus and is incorporated herein by reference. As a CureVac shareholder, you are not a third-party beneficiary of the Purchase Agreement and therefore you may not directly enforce any of its terms and conditions.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may not contain all of the information about the Purchase Agreement that is important to you. BioNTech urges you to carefully read the full text of the Purchase Agreement because it is the legal document that governs the offer. The Purchase Agreement is not intended to provide you with any factual information about BioNTech. In particular, the assertions embodied in the representations and warranties contained in the Purchase Agreement (and summarized below) are qualified by information each of BioNTech and CureVac filed with the SEC prior to the date of the Purchase Agreement, as well as by certain disclosure letters each party delivered to the other in connection with the signing of the Purchase Agreement, which modify, qualify, and create exceptions to the representations and warranties set forth in the Purchase Agreement. Moreover, some of those representations and warranties may not be accurate or complete as of any specified date, may apply contractual standards of materiality in a way that is different from what may be viewed as material by investors or that is different from standards of materiality generally applicable under the U.S. federal securities laws or may not be intended as statements of fact, but rather as a way of allocating risk among the parties to the Purchase Agreement. The representations and warranties and other provisions of the Purchase Agreement and the description of such provisions in this offer to exchange/prospectus should not be read alone but instead should be read in conjunction with the other information contained in the reports, statements, and filings that BioNTech and CureVac file with or furnish to (to the extent incorporated into this offer to exchange/prospectus by reference) the SEC and the other information in this offer to exchange/prospectus. See “Where You Can Find More Information and Incorporation by Reference” beginning on page 167. </w:t>
      </w:r>
    </w:p>
    <w:p>
      <w:pPr>
        <w:pStyle w:val="TextBody"/>
        <w:bidi w:val="0"/>
        <w:spacing w:before="240" w:after="0"/>
        <w:jc w:val="left"/>
        <w:rPr>
          <w:rFonts w:ascii="Times New Roman" w:hAnsi="Times New Roman"/>
          <w:i/>
          <w:sz w:val="20"/>
        </w:rPr>
      </w:pPr>
      <w:r>
        <w:rPr>
          <w:rFonts w:ascii="Times New Roman" w:hAnsi="Times New Roman"/>
          <w:i/>
          <w:sz w:val="20"/>
        </w:rPr>
        <w:t xml:space="preserve">BioNTech acknowledges that, notwithstanding the inclusion of the foregoing cautionary statements, BioNTech is responsible for considering whether additional specific disclosures of material information regarding material contractual provisions are required to make the statements in this offer to exchange/prospectus not misleading. </w:t>
      </w:r>
    </w:p>
    <w:p>
      <w:pPr>
        <w:pStyle w:val="TextBody"/>
        <w:bidi w:val="0"/>
        <w:spacing w:before="240" w:after="0"/>
        <w:jc w:val="left"/>
        <w:rPr>
          <w:rFonts w:ascii="Times New Roman" w:hAnsi="Times New Roman"/>
          <w:b/>
          <w:sz w:val="20"/>
        </w:rPr>
      </w:pPr>
      <w:bookmarkStart w:id="73" w:name="toc847647_67"/>
      <w:bookmarkEnd w:id="73"/>
      <w:r>
        <w:rPr>
          <w:rFonts w:ascii="Times New Roman" w:hAnsi="Times New Roman"/>
          <w:b/>
          <w:sz w:val="20"/>
        </w:rPr>
        <w:t xml:space="preserve">The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Consideration Offered to CureVac Shareholders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Purchase Agreement, BioNTech will offer to exchange each CureVac share validly tendered and not properly withdrawn pursuant to the offer for the right to receive a number of BioNTech ADS equal to the amount obtained by dividing $5.4641 by the BioNTech ADS VWAP. In the event the BioNTech ADS VWAP is greater than or equal to $126.55, the exchange ratio will be 0.04318, and in the event the BioNTech ADS VWAP is less than or equal to $84.37, the exchange ratio will be 0.06476.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Commencement and Expiration of the Offer </w:t>
      </w:r>
    </w:p>
    <w:p>
      <w:pPr>
        <w:pStyle w:val="TextBody"/>
        <w:bidi w:val="0"/>
        <w:spacing w:before="120" w:after="0"/>
        <w:jc w:val="left"/>
        <w:rPr>
          <w:rFonts w:ascii="Times New Roman" w:hAnsi="Times New Roman"/>
          <w:sz w:val="20"/>
        </w:rPr>
      </w:pPr>
      <w:r>
        <w:rPr>
          <w:rFonts w:ascii="Times New Roman" w:hAnsi="Times New Roman"/>
          <w:sz w:val="20"/>
        </w:rPr>
        <w:t>Under the Purchase Agreement, BioNTech must commence the offer promptly (and, in any event, within two business days) after the registration statement is declared effective under the Securities Act and the EU prospectus (as defined in the Purchase Agreement) is approved by the German Federal Financial Supervisory Authority (</w:t>
      </w:r>
      <w:r>
        <w:rPr>
          <w:rFonts w:ascii="Times New Roman" w:hAnsi="Times New Roman"/>
          <w:i/>
          <w:sz w:val="20"/>
        </w:rPr>
        <w:t>Bundesanstalt für Finanzdienstleistungsaufsicht</w:t>
      </w:r>
      <w:r>
        <w:rPr>
          <w:rFonts w:ascii="Times New Roman" w:hAnsi="Times New Roman"/>
          <w:sz w:val="20"/>
        </w:rPr>
        <w:t xml:space="preserve">). The offer will expire at 9:00 a.m. (New York City time) on December 3, 2025, unless extended or terminated as described below. </w:t>
      </w:r>
    </w:p>
    <w:p>
      <w:pPr>
        <w:pStyle w:val="TextBody"/>
        <w:bidi w:val="0"/>
        <w:spacing w:before="240" w:after="0"/>
        <w:jc w:val="left"/>
        <w:rPr>
          <w:rFonts w:ascii="Times New Roman" w:hAnsi="Times New Roman"/>
          <w:b/>
          <w:i/>
          <w:sz w:val="20"/>
        </w:rPr>
      </w:pPr>
      <w:r>
        <w:rPr>
          <w:rFonts w:ascii="Times New Roman" w:hAnsi="Times New Roman"/>
          <w:b/>
          <w:i/>
          <w:sz w:val="20"/>
        </w:rPr>
        <w:t xml:space="preserve">Acceptance of CureVac Shares in the Offer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BioNTech to accept for exchange, and the obligation of BioNTech to issue and cause to be transferred BioNTech ADSs in exchange for, any CureVac shares validly tendered and not properly withdrawn pursuant to the offer will be subject to the satisfaction or waiver of the closing conditions set forth below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heading “The Purchase Agreement — Conditions to Closing of the Offer.” If BioNTech accepts CureVac shares in the offer in accordance with the terms of the Purchase Agreement, then BioNTech and CureVac and their respective subsidiaries, as applicable, will effectuate or cause to be effectuated the post-offer reorganization.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Extension of the Offer </w:t>
      </w:r>
    </w:p>
    <w:p>
      <w:pPr>
        <w:pStyle w:val="TextBody"/>
        <w:bidi w:val="0"/>
        <w:spacing w:before="120" w:after="0"/>
        <w:jc w:val="left"/>
        <w:rPr>
          <w:rFonts w:ascii="Times New Roman" w:hAnsi="Times New Roman"/>
          <w:sz w:val="20"/>
        </w:rPr>
      </w:pPr>
      <w:r>
        <w:rPr>
          <w:rFonts w:ascii="Times New Roman" w:hAnsi="Times New Roman"/>
          <w:sz w:val="20"/>
        </w:rPr>
        <w:t xml:space="preserve">BioNTech may extend the offer to such other date and time as may be agreed in writing by BioNTech and CureVac, and BioNTech will extend the offer for any minimum period as required by the SEC (including, without limitation, for any period required under Rule 14d-4 or Rule 14e-1 under the Exchange Act) or Nasdaq. </w:t>
      </w:r>
    </w:p>
    <w:p>
      <w:pPr>
        <w:pStyle w:val="TextBody"/>
        <w:bidi w:val="0"/>
        <w:spacing w:before="240" w:after="0"/>
        <w:jc w:val="left"/>
        <w:rPr>
          <w:rFonts w:ascii="Times New Roman" w:hAnsi="Times New Roman"/>
          <w:sz w:val="20"/>
        </w:rPr>
      </w:pPr>
      <w:r>
        <w:rPr>
          <w:rFonts w:ascii="Times New Roman" w:hAnsi="Times New Roman"/>
          <w:sz w:val="20"/>
        </w:rPr>
        <w:t xml:space="preserve">BioNTech will also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if it is not reasonably likely that, within such 10 business-day extension period, a required antitrust approval will be obtained and/or a legal restraint will be removed.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 </w:t>
      </w:r>
    </w:p>
    <w:p>
      <w:pPr>
        <w:pStyle w:val="TextBody"/>
        <w:bidi w:val="0"/>
        <w:spacing w:before="240" w:after="0"/>
        <w:jc w:val="left"/>
        <w:rPr>
          <w:rFonts w:ascii="Times New Roman" w:hAnsi="Times New Roman"/>
          <w:sz w:val="20"/>
        </w:rPr>
      </w:pPr>
      <w:r>
        <w:rPr>
          <w:rFonts w:ascii="Times New Roman" w:hAnsi="Times New Roman"/>
          <w:sz w:val="20"/>
        </w:rPr>
        <w:t xml:space="preserve">In order to allow sufficient time to determine the BioNTech ADS VWAP, BioNTech will also extend the offer if, on any date that is less than five consecutive Nasdaq trading days prior to then-scheduled expiration time, all conditions to the offer have been satisfied or waived by BioNTech or CureVac, in each case to the extent any such condition to the offer is for the benefit of BioNTech or CureVac, respectively, such that the offer will expire at 5:00 p.m. (New York City time) on the fifth consecutive Nasdaq trading day following such date.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acceptance time, BioNTech will provide a subsequent offering period in accordance with Rule 14d-11 promulgated under the Exchange Act for not less than 10 business days (calculated in accordance with Rule 14d-1(g)(3) under the Exchange Act). </w:t>
      </w:r>
    </w:p>
    <w:p>
      <w:pPr>
        <w:pStyle w:val="TextBody"/>
        <w:bidi w:val="0"/>
        <w:spacing w:before="240" w:after="0"/>
        <w:jc w:val="left"/>
        <w:rPr>
          <w:rFonts w:ascii="Times New Roman" w:hAnsi="Times New Roman"/>
          <w:b/>
          <w:i/>
          <w:sz w:val="20"/>
        </w:rPr>
      </w:pPr>
      <w:r>
        <w:rPr>
          <w:rFonts w:ascii="Times New Roman" w:hAnsi="Times New Roman"/>
          <w:b/>
          <w:i/>
          <w:sz w:val="20"/>
        </w:rPr>
        <w:t xml:space="preserve">Treatment of CureVac Equity Awards </w:t>
      </w:r>
    </w:p>
    <w:p>
      <w:pPr>
        <w:pStyle w:val="TextBody"/>
        <w:bidi w:val="0"/>
        <w:spacing w:before="120" w:after="0"/>
        <w:jc w:val="left"/>
        <w:rPr>
          <w:rFonts w:ascii="Times New Roman" w:hAnsi="Times New Roman"/>
          <w:sz w:val="20"/>
        </w:rPr>
      </w:pPr>
      <w:r>
        <w:rPr>
          <w:rFonts w:ascii="Times New Roman" w:hAnsi="Times New Roman"/>
          <w:i/>
          <w:sz w:val="20"/>
        </w:rPr>
        <w:t>CureVac VSOP Awards</w:t>
      </w:r>
      <w:r>
        <w:rPr>
          <w:rFonts w:ascii="Times New Roman" w:hAnsi="Times New Roman"/>
          <w:sz w:val="20"/>
        </w:rPr>
        <w:t xml:space="preserve">. As promptly as practicable following the date of the Purchase Agreement, CureVac will use reasonable best efforts to 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 </w:t>
      </w:r>
    </w:p>
    <w:p>
      <w:pPr>
        <w:pStyle w:val="TextBody"/>
        <w:bidi w:val="0"/>
        <w:spacing w:before="240" w:after="0"/>
        <w:jc w:val="left"/>
        <w:rPr>
          <w:rFonts w:ascii="Times New Roman" w:hAnsi="Times New Roman"/>
          <w:sz w:val="20"/>
        </w:rPr>
      </w:pPr>
      <w:r>
        <w:rPr>
          <w:rFonts w:ascii="Times New Roman" w:hAnsi="Times New Roman"/>
          <w:i/>
          <w:sz w:val="20"/>
        </w:rPr>
        <w:t>CureVac PSUs</w:t>
      </w:r>
      <w:r>
        <w:rPr>
          <w:rFonts w:ascii="Times New Roman" w:hAnsi="Times New Roman"/>
          <w:sz w:val="20"/>
        </w:rPr>
        <w:t xml:space="preserve">.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closing of the offer, will be cancelled for no consideration. </w:t>
      </w:r>
    </w:p>
    <w:p>
      <w:pPr>
        <w:pStyle w:val="TextBody"/>
        <w:bidi w:val="0"/>
        <w:spacing w:before="240" w:after="0"/>
        <w:jc w:val="left"/>
        <w:rPr>
          <w:rFonts w:ascii="Times New Roman" w:hAnsi="Times New Roman"/>
          <w:sz w:val="20"/>
        </w:rPr>
      </w:pPr>
      <w:r>
        <w:rPr>
          <w:rFonts w:ascii="Times New Roman" w:hAnsi="Times New Roman"/>
          <w:i/>
          <w:sz w:val="20"/>
        </w:rPr>
        <w:t>CureVac RSUs</w:t>
      </w:r>
      <w:r>
        <w:rPr>
          <w:rFonts w:ascii="Times New Roman" w:hAnsi="Times New Roman"/>
          <w:sz w:val="20"/>
        </w:rPr>
        <w:t xml:space="preserve">. At the closing of the offer, each CureVac RSU that is outstanding as of immediately prior to the closing of the offer will become fully vested and will be settled in cash (without interest and subject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tax withholdings) in an amount equal to the product obtained by multiplying (i) the CureVac value per share by (ii) the total number of CureVac shares subject to such CureVac RSU as of immediately prior to the closing of the offer. </w:t>
      </w:r>
    </w:p>
    <w:p>
      <w:pPr>
        <w:pStyle w:val="TextBody"/>
        <w:bidi w:val="0"/>
        <w:spacing w:before="240" w:after="0"/>
        <w:jc w:val="left"/>
        <w:rPr>
          <w:rFonts w:ascii="Times New Roman" w:hAnsi="Times New Roman"/>
          <w:sz w:val="20"/>
        </w:rPr>
      </w:pPr>
      <w:r>
        <w:rPr>
          <w:rFonts w:ascii="Times New Roman" w:hAnsi="Times New Roman"/>
          <w:i/>
          <w:sz w:val="20"/>
        </w:rPr>
        <w:t>CureVac Options</w:t>
      </w:r>
      <w:r>
        <w:rPr>
          <w:rFonts w:ascii="Times New Roman" w:hAnsi="Times New Roman"/>
          <w:sz w:val="20"/>
        </w:rPr>
        <w:t xml:space="preserve">. 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In lieu of any fractional BioNTech ADSs that otherwise would be issuable pursuant to the offer, each holder of CureVac shares who otherwise would be entitled to receive a fraction of a BioNTech ADS pursuant to the offer (after aggregating all CureVac shares tendered in the offer (and not validly withdrawn) by such holder) will be paid an amount in cash (without interest and subject to any applicable dividend withholding tax) equal to such fractional part of a BioNTech ADS multiplied by the BioNTech ADS VWAP, rounded to the nearest whole cent. </w:t>
      </w:r>
    </w:p>
    <w:p>
      <w:pPr>
        <w:pStyle w:val="TextBody"/>
        <w:bidi w:val="0"/>
        <w:spacing w:before="240" w:after="0"/>
        <w:jc w:val="left"/>
        <w:rPr>
          <w:rFonts w:ascii="Times New Roman" w:hAnsi="Times New Roman"/>
          <w:b/>
          <w:sz w:val="20"/>
        </w:rPr>
      </w:pPr>
      <w:bookmarkStart w:id="74" w:name="toc847647_68"/>
      <w:bookmarkEnd w:id="74"/>
      <w:r>
        <w:rPr>
          <w:rFonts w:ascii="Times New Roman" w:hAnsi="Times New Roman"/>
          <w:b/>
          <w:sz w:val="20"/>
        </w:rPr>
        <w:t xml:space="preserve">The Post-Offer Reorganization and the New Topco U.S. Tax Election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following the expiration of the subsequent offering period, BioNTech will effectuate, or cause to be effectuated, in which case CureVac and its subsidiaries will effectuate, a corporate reorganization (referred to as the post-offer reorganization) consisting of the legal downstream merger, the post-downstream merger share sale, and the cancellation, in that order, provided that each step of the post-offer reorganization is permitted under applicable law. In addition, BioNTech will effectuate, or cause to be effectuated, the New Topco U.S. tax election, to be effective after the cancellation. </w:t>
      </w:r>
    </w:p>
    <w:p>
      <w:pPr>
        <w:pStyle w:val="TextBody"/>
        <w:bidi w:val="0"/>
        <w:spacing w:before="240" w:after="0"/>
        <w:jc w:val="left"/>
        <w:rPr>
          <w:rFonts w:ascii="Times New Roman" w:hAnsi="Times New Roman"/>
          <w:b/>
          <w:sz w:val="20"/>
        </w:rPr>
      </w:pPr>
      <w:bookmarkStart w:id="75" w:name="toc847647_69"/>
      <w:bookmarkEnd w:id="75"/>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contains a number of representations and warranties made by BioNTech, on the one hand, and CureVac, on the other hand. The representations and warranties were made by the parties as of the date of the Purchase Agreement and, with respect to the representations and warranties made by CureVac, are repeated, subject to materiality qualifiers with respect to specific representations and warranties, as of the expiration time for purposes of determining whether the conditions to the offer are satisfied, but do not survive the acceptance time. Certain of these representations and warranties are subject to specified exceptions and qualifications contained in the Purchase Agreement and qualified by information with respect to each of BioNTech and CureVac filed with or furnished to the SEC prior to the date of the Purchase Agreement and in the disclosure letters delivered by BioNTech and CureVac in connection with the Purchase Agreement.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Representations and Warranties of CureVac </w:t>
      </w:r>
    </w:p>
    <w:p>
      <w:pPr>
        <w:pStyle w:val="TextBody"/>
        <w:bidi w:val="0"/>
        <w:spacing w:before="120" w:after="0"/>
        <w:jc w:val="left"/>
        <w:rPr>
          <w:rFonts w:ascii="Times New Roman" w:hAnsi="Times New Roman"/>
          <w:sz w:val="20"/>
        </w:rPr>
      </w:pPr>
      <w:r>
        <w:rPr>
          <w:rFonts w:ascii="Times New Roman" w:hAnsi="Times New Roman"/>
          <w:sz w:val="20"/>
        </w:rPr>
        <w:t xml:space="preserve">In the Purchase Agreement, CureVac has made customary representations and warranties to BioNTech, including representations relating to, among other things: its organization, valid existence, and standing under the laws of the jurisdiction in which its business is being conducted; its subsidiaries; its articles of association and bylaws; its capitalization; its corporate power and authority relative to the Purchase Agreement and the transactions; required governmental authorizations or filings or other consents and approvals, and the absence of violations or conflicts of its or its subsidiaries’ organizational documents and contracts; public SEC filings and financial statements; certain business practices, including controls and procedures over disclosures and financial reporting; the absence of certain changes or events; the absence of undisclosed liabilities; compliance with laws, including sanctions laws, healthcare laws, and other regulatory matters; the absence of litigation; real property; intellectual property matters, including software, IT systems, privacy, and data protection; tax matters; tax free reorganization matters; employee benefit plan matters; labor and employment matters; environmental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contracts; financial advisor fees and expenses; the opinion of CureVac’s financial advisor with respect to the fairness of the offer consideration; insurance matters; anti-takeover measures; the accuracy of information supplied for purposes of the offer documents and the Schedule 14D-9; related party transactions and Rule 14d-10 matters; and the absence of representations and warranties by BioNTech except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in the Purchase Agreement made by CureVac are, in certain cases, modified by knowledge, materiality, and company material adverse effect (as defined below) qualifiers. For purposes of the Purchase Agreement, knowledge means the actual knowledge of certain identified employees and/or members of the CureVac boards,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For purposes of the Purchase Agreement, company material adverse effect means any fact, change, event, development, occurrence, or effect, each of which we refer to as an effect, that, individually or in the aggregate, (i) materially adversely affects, or would reasonably be expected to materially adversely affect, the business, assets, results of operations or condition of CureVac and its subsidiaries, taken as a whole, or (ii) prevents or materially impairs the ability of CureVac to consummate the transactions. Clause (i) of the definition of company material adverse effect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in Germany, the United States, the Netherlands, or any other country or region in the world in which CureVac or its subsidiaries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any financial, debt, credit, capital, banking, or securities markets or conditions, in which CureVac or any of its subsidiaries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currency, or exchange rates or in the price of any commodity, security, or market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of the Purchase Agreement in applicable law (or enforcement or the interpretation thereof), tariffs issued by any governmental authority after the date of the Purchase Agreement, or in IFRS or other applicable accounting standards (or the interpretation thereof) and changes after the date of the Purchase Agreement in stock exchange rules or listing standards (or the enforcement or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industries in which CureVac or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trading volume, or ratings of any securities or indebtedness of CureVac or any of its subsidiaries, any change of the ratings or the ratings outlook for CureVac or any of its subsidiaries by any applicable rating agency and the consequences of such ratings or outlook decrease, or failure of CureVac to meet, or the publication of any report regarding, any internal or public projections, forecasts, guidance, budgets, predictions, or estimates of or relating to CureVac or any of its subsidiaries (it being understood that the underlying facts and circumstances giving rise to any such change or failure may, if not otherwise excluded, be deemed to constitute and be taken into account in determining whether a company material adverse effect has occurred or will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continuation, occurrence, escalation, outbreak, or worsening of any civil unrest, protests and public demonstrations, cyberattacks, hostilities, war, police action, acts of terrorism, sabotage, or military conflicts, whether or not pursuant to the declaration of an emergency or war;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the Purchase Agreement or the announcement or pendency of the transactions (including by reason of the identity of BioNTech), including any disruption in supplier, distributor, customer, partner, licensing or similar relationships or any loss of employees (other than certain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occurrence, or continuation of any force majeure events, including any earthquakes, floods, hurricanes, tropical storms, fires, or other natural or manmade disasters, any epidemic,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283"/>
              <w:jc w:val="left"/>
              <w:rPr/>
            </w:pPr>
            <w:r>
              <w:rPr/>
              <w:t xml:space="preserve">pandemic, or other similar outbreak (including any non-human epidemic, pandemic, or other similar outbreak), or any other national, international, or regional calamity;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brought or threatened by shareholders of CureVac (whether on behalf of CureVac or otherwise) asserting allegations of breach of fiduciary duty relating to the Purchase Agreement or violations of securities laws in connection with the company disclosure documents (as defined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expressly required to be taken pursuant to the Purchase Agreement or any action taken at the express written direction of BioNTech;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(L)</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ongoing litigation between CureVac and BioNTech, including any potential dismissal or mutually agreed settlement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with respect to subclauses (A), (B), (C), (D), (E), (G), and (I), if such effect disproportionately affects CureVac and its subsidiaries, taken as a whole, compared to other companies operating in the same industry and market as CureVac and its subsidiaries, then, only such incremental disproportionate impact or impacts will be taken into account in determining whether there has been, or would reasonably be expected to be,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Purchase Agreement provides, among other things, that CureVac has represented that the CureVac boards, at a meeting duly called and held, (i) determined that the Purchase Agreement and the transactions are in the best interests of CureVac and the sustainable success of its business, having considered the interest of its shareholders, employees, and other relevant stakeholders, (ii) approved and adopted the Purchase Agreement (including the execution, delivery and performance thereof) and approved the transactions, and (iii) unanimously resolved, on the terms and subject to the conditions set forth in Purchase Agreement, including the no solicitation/adverse recommendation change clauses, to support the offer and to recommend acceptance of the offer by the shareholders of CureVac and to recommend approval and adoption of the matters at the EGM. </w:t>
      </w:r>
    </w:p>
    <w:p>
      <w:pPr>
        <w:pStyle w:val="TextBody"/>
        <w:bidi w:val="0"/>
        <w:spacing w:before="240" w:after="0"/>
        <w:jc w:val="left"/>
        <w:rPr>
          <w:rFonts w:ascii="Times New Roman" w:hAnsi="Times New Roman"/>
          <w:b/>
          <w:i/>
          <w:sz w:val="20"/>
        </w:rPr>
      </w:pPr>
      <w:r>
        <w:rPr>
          <w:rFonts w:ascii="Times New Roman" w:hAnsi="Times New Roman"/>
          <w:b/>
          <w:i/>
          <w:sz w:val="20"/>
        </w:rPr>
        <w:t xml:space="preserve">Representations and Warranties of BioNTech </w:t>
      </w:r>
    </w:p>
    <w:p>
      <w:pPr>
        <w:pStyle w:val="TextBody"/>
        <w:bidi w:val="0"/>
        <w:spacing w:before="120" w:after="0"/>
        <w:jc w:val="left"/>
        <w:rPr>
          <w:rFonts w:ascii="Times New Roman" w:hAnsi="Times New Roman"/>
          <w:sz w:val="20"/>
        </w:rPr>
      </w:pPr>
      <w:r>
        <w:rPr>
          <w:rFonts w:ascii="Times New Roman" w:hAnsi="Times New Roman"/>
          <w:sz w:val="20"/>
        </w:rPr>
        <w:t xml:space="preserve">In the Purchase Agreement, BioNTech has also made customary representations and warranties to CureVac that are subject to specified exemptions and qualifications contained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BioNTech’s representations and warranties include representations relating to, among other things: organization, valid existence, and standing of BioNTech; corporate power and authority relative to the Purchase Agreement and the transactions; required governmental authorizations or filings or other consents and approvals, and the absence of violations of its organizational documents; public SEC filings and financial statements; its capitalization; certain business practices, including controls and procedures over disclosures and financial reporting; the absence of certain changes or events; the absence of undisclosed liabilities; the absence of litigation; the absence of ownership of CureVac’s shares with certain exceptions, and the absence of voting trusts or other agreements to which BioNTech is party with respect to the voting of CureVac’s shares, other than the tender and support agreements; accuracy of information supplied for purposes of the offer documents and the Schedule 14D-9; tax-free reorganization matters; the absence of certain agreements; and the absence of representations and warranties by CureVac except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BioNTech’s representations and warranties are, in certain cases, modified by knowledge, materiality, and buyer material adverse effect (as defined below). For purposes of the Purchase Agreement, buyer material adverse effect means an effect that, individually or in the aggregate, (i) materially adversely affects, or would reasonably be expected to materially adversely affect, the business, assets, results of operations or condition (financial or otherwise) of BioNTech and its subsidiaries, taken as a whole, or (ii) prevents or materially impairs the ability of BioNTech to consummate the transactions. Clause (i) of the definition of buyer material adverse effect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in Germany, the United States, the Netherlands, or any other country or region in the world in which Buyer or any of its Subsidiaries conduct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any financial, debt, credit, capital, banking, or securities markets or conditions in which BioNTech or any of its subsidiaries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currency, or exchange rates or in the price of any commodity, security or market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of the Purchase Agreement in applicable law (or the enforcement or interpretation thereof), tariffs issued by any governmental authority after the date of the Purchase Agreement, changes after the date of the Purchase Agreement in IFRS or other applicable accounting standards (or the interpretation thereof), and changes after the date of the Purchase Agreement in stock exchange rules or listing standards (or the enforcement or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industries in which BioNTech or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trading volume, or ratings of any securities or indebtedness of BioNTech or any of its subsidiaries, any change or prospective change of the ratings or the ratings outlook for BioNTech or any of its subsidiaries by any applicable rating agency and the consequences of such ratings or outlook decrease, or the change in, or failure of BioNTech to meet, or the publication of any report regarding, any internal or public projections, forecasts, guidance, budgets, predictions, or estimates of or relating to BioNTech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continuation, occurrence, escalation, outbreak, or worsening of any civil unrest, protests and public demonstrations, cyberattacks, hostilities, war, police action, acts of terrorism, sabotage, or military conflicts, whether or not pursuant to the declaration of an emergency or war;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the Purchase Agreement or the announcement or pendency of the transactions (including by reason of the identity of CureVac), including any disruption in supplier, distributor, customer, partner, licensing, or similar relationships or any loss of employees (other than certain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brought or threatened by shareholders of BioNTech (whether on behalf of BioNTech or otherwise) asserting allegations of breach of fiduciary duty relating to the Purchase Agreement or violations of securities laws in connection with the offer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expressly required to be taken pursuant to the Purchase Agreement, or any action taken at the express written direction of CureVac;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ongoing litigation between the BioNTech and CureVac, including any potential dismissal or mutually agreed settlement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with respect to subclauses (A), (B), (C), (D), (E), (G), and (I), if such effect disproportionately affects BioNTech and its subsidiaries, taken as a whole, compared to other companies operating in the same industry and market as BioNTech and its subsidiaries, then, only such incremental disproportionate impact or impacts will be taken into account in determining whether there has been, or would reasonably be expected to be, a buyer material adverse effect. </w:t>
      </w:r>
    </w:p>
    <w:p>
      <w:pPr>
        <w:pStyle w:val="TextBody"/>
        <w:bidi w:val="0"/>
        <w:spacing w:before="240" w:after="0"/>
        <w:jc w:val="left"/>
        <w:rPr>
          <w:rFonts w:ascii="Times New Roman" w:hAnsi="Times New Roman"/>
          <w:b/>
          <w:sz w:val="20"/>
        </w:rPr>
      </w:pPr>
      <w:bookmarkStart w:id="76" w:name="toc847647_70"/>
      <w:bookmarkEnd w:id="76"/>
      <w:r>
        <w:rPr>
          <w:rFonts w:ascii="Times New Roman" w:hAnsi="Times New Roman"/>
          <w:b/>
          <w:sz w:val="20"/>
        </w:rPr>
        <w:t xml:space="preserve">Covenants and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Conduct of Business of CureVac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Purchase Agreement until the closing of the offer or the earlier termination of the Purchase Agreement in accordance with its terms, except as (i) expressly required or expressly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Purchase Agreement, (ii) set forth on the disclosure letter that CureVac delivered to BioNTech concurrently with the execution of the Purchase Agreement, which we refer to as the CureVac disclosure letter, (iii) required by applicable law, or (iv) consented to in advance in writing by BioNTech, CureVac has agreed to (a) conduct its business in all material respects in the ordinary course of CureVac and its subsidiaries and (b) use commercially reasonable efforts to preserve intact its business organization and material business relationships with third parties, including manufacturers, suppliers, vendors, distributors, governmental authorities, customers, licensors, licensees, and others third parties with which it has material business relationships, and keep available the services of its present officers and key employees, subject to certain exceptions. In addition to the foregoing, from the date of the Purchase Agreement until the closing of the offer or the earlier termination of the Purchase Agreement in accordance with its terms, except as (w) expressly required or expressly contemplated by the Purchase Agreement, (x) set forth on the CureVac disclosure letter, (y) required by applicable law or tax law or IFRS, or (z) as consented to in advance by BioNTech in writing (such consent not to be unreasonably withheld, conditioned or delayed), CureVac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adopt any amendment to, or otherwise change its articles of association, bylaws, or other similar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CureVac or other wholly owned subsidiaries of CureVac, (iii) redeem, repurchase, or otherwise acquire or offer to redeem, repurchase, or otherwise acquire any CureVac securities or any securities of CureVac’s subsidiaries, except as required by the terms of any CureVac equity plan or CureVac equity awards, (iv) enter into any contract with respect to the voting or registration of its share capital or any other CureVac securities or securities of CureVac’s subsidiaries, or (v) other than offers and sales pursuant to Form S-8 that are otherwise permitted under the Purchase Agreement, register the offer or sale of any class of debt or equity securities pursuant to the Securities Act or otherwise subject any class of debt or equity securities to the periodic reporting requirements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expressly permitted, (i) issue, pledge, dispose, grant, transfer, encumber (or otherwise cause to be subject to any lien), deliver or sell, or authorize the issuance, pledge, disposition, grant, transfer, encumbrance (or subjection to any lien), delivery of or sale of, any shares of any CureVac securities or securities of CureVac’s subsidiaries, other than the issuance of any CureVac shares upon the exercise of CureVac options or CureVac VSOP awards or the settlement of CureVac RSUs and CureVac PSUs that are outstanding on the date of the Purchase Agreement in each case, in accordance with the terms of such CureVac options, CureVac VSOP awards, CureVac RSUs and CureVac PSUs as of the date of the Purchase Agreement; provided that, in the event that CureVac is required to make a performance determination prior to the closing of the offer, such determination will be made in the ordinary course of business of CureVac and its subsidiaries in a manner consistent with past practice, or (ii) adjust or amend the rights of, or any term of, any CureVac security (including CureVac equity awards) or any securities of CureVac’s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acquire (whether by merger or consolidation, acquisition of stock or other securities or assets, license,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CureVac; (b) the purchase of equipment, supplies, and inventory in the ordinary course of business of CureVac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lease, license, transfer, divest, allow to lapse, dispose of (whether by merger or consolidation, sale of stock or other securities or assets, license by formation of a joint venture, or otherwise), or otherwise mortgage, encumber, or subject to any lien (other than permitted liens), to any person (including any subsidiary of CureVac) in a single transaction or series of related transactions any of its assets, securities, properties, interests or businesses, including the capital stock of subsidiaries of CureVac, except (i) in the ordinary course of business of CureVac and its subsidiaries in a manner consistent with past practice (including granting non-exclusive licenses under owned company intellectual property (as defined in the Purchase Agreement), for the purpose of enabling research and development by third parties, which, for the avoidance of doubt, will not include commercialization licenses or exclusive licenses to owned company intellectual property), and (ii) disposition of immaterial equipment and immaterial property no longer required in the operation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assign, transfer, convey, pledge, encumber, dispose, license, sublicense, abandon, cancel, waive, permit to lapse or relinquish (other than any patent or copyright expiring at the end of its statutory term and not capable of being extended), or impair any owned company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CureVac intellectual property rights, or amend or abandon any patent application or trademark application in CureVac intellectual property rights except as required by diligent prosecution, (iii) fail to exercise a right of renewal or extension under or with respect to any CureVac intellectual property right, or (iv) disclose any confidential and non-public data or information of CureVac, its subsidiaries, or its affiliates without a confidentiality agreement consistent with past practice in place protecting such confidential and non-public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commence any clinical study in respect of any CureVac product, (ii) make any material change to, discontinue, terminate, or suspend any clinical study, or (iii) qualify any new site for manufacturing of any CureVac product unless in line with existing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renew, extend, modify, terminate, or waive any rights under, in each case, in any material respect, any real property lease or material contract required under the Purchase Agreement to be listed in a specific section of the CureVac disclosure letter (or any CureVac real property lease or material contract that if entered into prior to the date of the Purchase Agreement would be a CureVac real property lease or any contract required to be listed thereunder) or any affiliate agreement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the CureVac disclosure letter, make any loans, advances, or capital contributions to, or investments in, any other person, other than loans, advances or capital contributions among CureVac and any of its wholly owned subsidiaries and capital contributions to or investments in its wholly owned subsidiaries, in each case in the ordinary course of business of CureVac and its subsidiaries in a manner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assume, or otherwise become liable for any indebtedness for borrowed money or guarantees thereof (directly, contingently or otherwise), other than indebtedness incurred between CureVac and any of its wholly owned subsidiaries or between any of such wholly owned subsidiaries or guarantees by CureVac of indebtedness of any wholly owned subsidiary of CureVac, in each case in the ordinary course of business of CureVac and its subsidiaries in a manner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the terms of a CureVac plan or collective bargaining agreement (as defined in the Purchase Agreement), in each case, in effect as of the date of the Purchase Agreement, (i) increase the annualized compensation or benefits of any then-current CureVac service provider (other than annual increases in base salary or hourly wage rate, as applicable, in the ordinary course of business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CureVac and its subsidiaries in a manner consistent with past practice), (ii) grant any equity (or equity-based) award to any current, former, or future CureVac service provider, (iii) grant any rights to severance, termination pay, retention, or change in control benefit or agreement to any CureVac service provider or increase the amount of such rights, (iv) establish, adopt, enter into, amend, or terminate any CureVac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CureVac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CureVac service provider or otherwise pay any amounts or provide any benefits (including the forgiveness of indebtedness of any loan) not required to be paid to such individual under the applicable CureVac plan or collective bargaining agreement, in each case, as in effect as of the date of the Purchase Agreement, (viii) hire or terminate the employment of any CureVac service provider (other than a termination for cause), or (ix) promote any employee (a) to a position with an annual base salary or annual base compensation of EUR 120,000 or more or (b) to the vice president level or above, in each case, other than in the ordinary course of business consistent with past practice, including to fill a vacant role;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authorize any capital expenditures, except as consistent with (i) CureVac’s current capital expenditure plan, and (ii) any other subsequent annual capital budget that (a) is prepared in the ordinary course of business of CureVac and its subsidiaries in a manner consistent with past practice by CureVac and approved by the CureVac boards, and (b) provides for total capital expenditures that do not exceed, in the aggregate, 110% of those set forth in the capital expenditure plan referred to in subclause (i)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cancel any material indebtedness (other than intercompany indebtedness canceled in compliance with law); (ii) waive, release, grant, or transfer any material claim or right of material value or consent to the termination of any material claim or right of material value; or (iii) commence any action, except in connection with a breach of the Purchase Agreement or any other agreements contemplated thereby or otherwise related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discharge, compromise, settle, or satisfy any liability (whether absolute, accrued, asserted or unasserted, contingent, or otherwise) or any action, inquiry, or investigation against CureVac or any of its subsidiaries or any of their respective directors or officers, other than (i) liabilities or actions relating to taxes, (ii) the payment, discharge, settlement, or satisfaction of claims or liabilities (a) fully covered by insurance, (b) reflected in or reserved against in the CureVac balance sheet (or the notes thereto) (as defined in the Purchase Agreement) and for amounts not in excess of such reserves, (c) related to costs and expenses incurred by CureVac in connection with the transactions, or (d) with respect to any transaction litigation in accordance with, and as permitted by the Purchase Agreement, or (iii) where the amount paid or to be paid by CureVac and its subsidiaries does not exceed $1,000,000 individually, or $5,000,000, in the aggregate (except with respect to settlement of certain matters set forth in the CureVac disclosure letter) (in each case, net of insurance proceeds, indemnity, contribution, or similar payments received or to be received by CureVac or any of its subsidiaries in respect thereof), in each case, only without the imposition of any material restrictions on the business or operations of CureVac or any of its subsidiaries or the imposition of equitable relief on, or the admission of criminal or fraudulent conduct by, CureVac or any of its subsidiaries or any of their respective officers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convene any general meeting of CureVac (or any adjournment or postponement thereof) other than the EGM and any subsequent EGM or pursuant to BioNTech’s request under the Purchase Agreement (unless CureVac determines in good faith, after consultation with outside legal counsel, that such a meeting is required by applicable law, or such a meeting would otherwise be in the ordinary course of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(P)</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changes to CureVac’s methods of accounting (including any change to CureVac’s fiscal year), except as required by concurrent changes in IFRS or in Regulation S-X as promulgated by the SEC, as agreed to by its independent public accountants;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(S)</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or agreement of complete or partial liquidation, dissolution, restructuring, recapitalization, merger, or other reorganization of CureVac or any of its subsidiaries (other than wholly owned subsidiaries or as contemplated by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new line of business outside of the business of CureVac and its subsidiaries conducted as of the date of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(U)</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certain conditions set forth in the Purchase Agreement not being satisfied, or (iv) impair its ability to perform its obligations under the Purchase Agreement or to consummate the transactions on a timely basis;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propose, authorize, 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pre-closing period (as defined in the Purchase Agreement), CureVac will take all actions and implement any measures required to remediate any deficiencies or weaknesses disclosed in any CureVac SEC document or in the CureVac disclosure letter related to CureVac’s (i) system of internal control over financial reporting (as defined in Rules 13a-15(f) and 15d-15(f) of the Exchange Act) regarding the reliability of financial reporting and the preparation of its financial statements for external purposes in accordance with IFRS, or (ii) disclosure controls and procedures (as defined in Rule 13a-15(e) of the Exchange Act).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Conduct of Business of BioNTech </w:t>
      </w:r>
    </w:p>
    <w:p>
      <w:pPr>
        <w:pStyle w:val="TextBody"/>
        <w:bidi w:val="0"/>
        <w:spacing w:before="120" w:after="0"/>
        <w:jc w:val="left"/>
        <w:rPr>
          <w:rFonts w:ascii="Times New Roman" w:hAnsi="Times New Roman"/>
          <w:sz w:val="20"/>
        </w:rPr>
      </w:pPr>
      <w:r>
        <w:rPr>
          <w:rFonts w:ascii="Times New Roman" w:hAnsi="Times New Roman"/>
          <w:sz w:val="20"/>
        </w:rPr>
        <w:t xml:space="preserve">During the pre-closing period, except as (i) expressly required or expressly contemplated by the Purchase Agreement, (ii) set forth in the disclosure letter delivered by BioNTech to CureVac, which we refer to as the BioNTech disclosure letter, (iii) required by applicable law or (iv) consented to in advance in writing by CureVac (such consent not to be unreasonably withheld, conditioned, or delayed), BioNTech will, and will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BioNTech has material business relationships; provided, that neither BioNTech nor any of its subsidiaries will be required to (or will without CureVac’s prior consent, not to be unreasonably withheld, conditioned, or delayed)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the Purchase Agreement, (x) set forth in the BioNTech disclosure letter, (y) required by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 or tax law or IFRS, or (z) consented to in advance in writing by CureVac (such consent not to be unreasonably withheld, conditioned, or delayed), BioNTech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adopt any amendment, or otherwise change (whether by merger, consolidation, or otherwise) any of the BioNTech organizational documents, except for such amendments or changes as would not have or reasonably be expected to have, individually or in the aggregate, a buyer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or pay any dividend or other distribution (whether in cash, shares, or property or any combination thereof) in respect of its shares or other equity interests, except for dividends or distributions paid by any of its subsidiaries to BioNTech or other subsidiaries of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subdivide, exchange, or reclassify the BioNTech shares or the BioNTech ADSs including pursuant to any recapitalization, merger, issuer tender, or exchange offer or other similar transaction, unless the offer consideration and any other amounts payable pursuant to the transactions are equitably adjusted in order to provide the (former) shareholders of CureVac the same economic benefit as contemplated by the Purchase Agreement prior to such event;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CureVac has agreed not to, and has agreed to cause its subsidiaries and its and their respective directors and officers not to, and CureVac has agreed to, and will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enter into, continue, or otherwise participate in any discussions or negotiations regarding any alternative acquisition proposal, or (iii) authorize, execute, or enter into any letter of intent, agreement in principle, acquisition agreement, or other similar contract (whether or not binding) with respect to an alternative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CureVac has also agreed to, and has also agreed to cause each of its subsidiaries and its and their respective directors and officers to, and will use their reasonable best efforts to cause each of the representatives of CureVac and its subsidiaries to, immediately cease and cause to be terminated any and all existing discussions or negotiations with any person conducted prior to the date of the Purchase Agreement with respect to any alternative acquisition proposal, and has agreed not to modify, amend, or terminate, or waive, release, or assign, any provisions of, any confidentiality or standstill agreement (or any similar agreement) to which CureVac or any of its subsidiaries is a party relating to any such alternative acquisition proposal and has agreed to enforce the provisions of any such agreement. CureVac, however, will be permitted to release or waive the standstill obligations solely to the extent necessary to permit the party referenced therein to submit an unsolicited </w:t>
      </w:r>
      <w:r>
        <w:rPr>
          <w:rFonts w:ascii="Times New Roman" w:hAnsi="Times New Roman"/>
          <w:i/>
          <w:sz w:val="20"/>
        </w:rPr>
        <w:t xml:space="preserve">bona fide </w:t>
      </w:r>
      <w:r>
        <w:rPr>
          <w:rFonts w:ascii="Times New Roman" w:hAnsi="Times New Roman"/>
          <w:sz w:val="20"/>
        </w:rPr>
        <w:t xml:space="preserve">written alternative acquisition proposal to the CureVac boards on a confidential basis conditioned upon such person agreeing that CureVac will not be prohibited from providing any information to BioNTech regarding any such alternative acquisition proposal in accordance with the terms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CureVac has also agreed to promptly request each person that has prior to the date of the Purchase Agreement executed a confidentiality agreement in connection with its consideration of any alternative acquisition proposal to, in accordance with the terms of such agreement, return or destroy all confidential information furnished prior to the execution of the Purchase Agreement to or for the benefit of such person by or on behalf of CureVac or any of its subsidiaries. CureVac has further agreed that it will promptly inform its representatives of the foregoing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CureVac receives an unsolicited, </w:t>
      </w:r>
      <w:r>
        <w:rPr>
          <w:rFonts w:ascii="Times New Roman" w:hAnsi="Times New Roman"/>
          <w:i/>
          <w:sz w:val="20"/>
        </w:rPr>
        <w:t>bona fide</w:t>
      </w:r>
      <w:r>
        <w:rPr>
          <w:rFonts w:ascii="Times New Roman" w:hAnsi="Times New Roman"/>
          <w:sz w:val="20"/>
        </w:rPr>
        <w:t xml:space="preserve"> written alternative acquisition proposal prior to the expiration time, CureVac may then take the following actions upon giving notice to BioNTech (but only if (i) the CureVac boards determine in good faith, after consultation with its outside legal counsel, that the failure to do so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inconsistent with its fiduciary duties under the laws of the Netherlands and (ii) (a) the CureVac boards determine in good faith, after consultation with its outside legal counsel and financial advisor, that such alternative acquisition proposal constitutes or would reasonably be expected to lead to a superior proposal and (b) the submission of such alternative acquisition proposal did not result from or arise in connection with a breach of the non-solicitation covenants undertaken by CureVac, as described in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non-public information with respect to CureVac and its subsidiaries to the person or group making such alternative acquisition proposal (and its representatives), provided that, (A) prior to furnishing any such non-public information, it receives from such person or group an executed confidentiality agreement containing terms at least as restrictive to the person or group in the aggregate as the terms contained in the respective confidentiality agreements (as defined in the Purchase Agreement) are to BioNTech, and which may not contain any exclusivity provision or other term that would restrict, in any manner, CureVac’s ability to consummate the transactions or to comply with its disclosure obligations to BioNTech pursuant to the Purchase Agreement, and (B) prior to or contemporaneously with furnishing any such non-public information to such person or group (or its representatives), it furnishes such non-public information to BioNTech to the extent BioNTech has not previously been provided with such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such person or group with respect to such alternative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CureVac is required to notify BioNTech as promptly as practicable (and in any event within 24 hours) after receipt of any alternative acquisition proposal or any request for non-public information or any inquiry that would reasonably be expected to lead to any alternative acquisition proposal, and to provide BioNTech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CureVac (or its outside legal counsel) will keep BioNTech (or its outside legal counsel) informed on a reasonably current basis regarding the status and material terms (including any changes thereto) of discussions and negotiations relating to any such alternative acquisition proposal, request, or inquiry (and within 24 hours after any changes to the material terms thereof) and (ii) CureVac will, as promptly as practicable (and in any event within 24 hours following the receipt or delivery thereof), provide BioNTech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Purchase Agreement, an alternative acquisition proposal means any inquiry, proposal, indication of interest, or offer from any person or group of persons (or the shareholders of any person) relating to, or that would reasonably be expected to lead to, any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transaction or series of transactions pursuant to which any third party acquires or would acquire, directly or indirectly, beneficial ownership (as defined in Rule 13d-3 under the Exchange Act) of more than 20% of the outstanding CureVac shares or other equity securities of CureVac (or options, rights or warrants to purchase, or securities convertible into or exchangeable for, such securities) representing more than 20% of the voting power of CureVac, including pursuant to a stock purchase, merger, consolidation, tender offer, share exchange, or other transaction involving CureVac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or series of transactions pursuant to which any third party acquires or would acquire, directly or indirectly, control of assets (including for this purpose the outstanding equity securities of the CureVac subsidiaries and any entity surviving any merger or combination including any of them) of CureVac or its subsidiaries representing more than 20% of the revenues, net income or assets (in each case, on a consolidated basis) of CureVac and its subsidiaries, taken as a whole;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disposition of assets representing more than 20% of the revenues, net income, or assets (in each case, on a consolidated basis) of CureVac and its subsidiaries,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Purchase Agreement, a superior proposal means a </w:t>
      </w:r>
      <w:r>
        <w:rPr>
          <w:rFonts w:ascii="Times New Roman" w:hAnsi="Times New Roman"/>
          <w:i/>
          <w:sz w:val="20"/>
        </w:rPr>
        <w:t>bona fide</w:t>
      </w:r>
      <w:r>
        <w:rPr>
          <w:rFonts w:ascii="Times New Roman" w:hAnsi="Times New Roman"/>
          <w:sz w:val="20"/>
        </w:rPr>
        <w:t xml:space="preserve"> unsolicited written alternative acquisition proposal that is binding (subject only to the valid termination of the Purchase Agreement) and that did not result from a breach of the non-solicitation covenants undertaken by CureVac (as described above) and that the CureVac boards have determined in good faith (after consultation with outside legal counsel and financial advisors), taking into account all legal, financial, regulatory, financing, certainty, timing, and other relevant aspects of the proposal and the person making the proposal (and taking into account any amendment or modification to the Purchase Agreement proposed by BioNTech): (i) is on balance more favorable to CureVac and the sustainable success of its business, taking into account the interests of its shareholders, employees, and other stakeholders, than the transactions, and (ii) is reasonably likely to be consummated. For purposes of the definition of superior proposal, each reference in the definition of alternative acquisition proposal to 20% is deemed to be a reference to 50%. </w:t>
      </w:r>
    </w:p>
    <w:p>
      <w:pPr>
        <w:pStyle w:val="TextBody"/>
        <w:bidi w:val="0"/>
        <w:spacing w:before="240" w:after="0"/>
        <w:jc w:val="left"/>
        <w:rPr>
          <w:rFonts w:ascii="Times New Roman" w:hAnsi="Times New Roman"/>
          <w:b/>
          <w:i/>
          <w:sz w:val="20"/>
        </w:rPr>
      </w:pPr>
      <w:r>
        <w:rPr>
          <w:rFonts w:ascii="Times New Roman" w:hAnsi="Times New Roman"/>
          <w:b/>
          <w:i/>
          <w:sz w:val="20"/>
        </w:rPr>
        <w:t xml:space="preserve">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BioNTech and CureVac have agreed that, subject to certain exceptions, the CureVac boards and committees will not: (i) withhold, qualify, or amend, in a manner adverse to BioNTech, CureVac’s recommendation in favor of the Purchase Agreement, the acceptance of the offer and the other transactions, which we refer to as the CureVac boards’ recommendation, or publicly propose to do the same, or fail to make or include the CureVac boards’ recommendation in the applicable CureVac disclosure documents, or to make any public statement inconsistent with that recommendation; (ii) recommend, adopt, or approve any alternative acquisition proposal or publicly propose to do the same; (iii) make any kind of public statement in relation to an alternative acquisition proposal other than a recommendation against it; (iv) fail to publicly recommend against any such alternative acquisition proposal or reaffirm CureVac’s recommendation within 10 business days after any such alternative proposal is made public or after BioNTech’s reasonable, written request to do so (or, under certain circumstances, earlier); or (v) publicly propose to do any of the above; any of the foregoing being referred to as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BioNTech and CureVac have also agreed that the CureVac boards and committees will not approve or recommend or allow CureVac or any of its affiliates to execute or enter into any memorandum of understanding, merger agreement, acquisition agreement, or other similar contract (i) relating to any alternative acquisition proposal or offer that would reasonably be expected to lead to an alternative acquisition proposal or (ii) requiring it to abandon, terminate, or fail to consummate the transactions, nor will it publicly propose to do the same, which we refer to as an alternative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BioNTech and CureVac have further agreed that the CureVac boards may, solely in response to receiving a superior proposal after the date of the Purchase Agreement, make an adverse recommendation change and validly terminate the Purchase Agreement to enter into an agreement in respect to the superior proposal, only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has not breached any of its non-solicitation obligations and covenants described in the section entitled “The Purchase Agreement — Covenants and Agreements — No Solicitation,” or any of its obligations and covenants described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has (a) provided BioNTech four business days’ prior written notice, which will state (x) that CureVac has received a superior proposal, (y) the material terms, consideration, and identity of the offering party along with the most current version of the alternative acquisition agreement and any ancillary documents relating to the superior proposal (with any amendment to the financial or material terms of the superior proposal requiring new notice and new three business days period), and (z) that CureVac’s boards have determined to make an adverse recommendation change and/or terminate the Purchase Agreement and have consulted with outside advisors and determined that failure to make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adverse recommendation change and/or terminate the Purchase Agreement would be inconsistent with fiduciary duties of the members of CureVac boards under the Laws of the Netherlands; and (b) prior to making an adverse recommendation change or terminating the Purchase Agreement, to the extent requested in writing by BioNTech, CureVac will engage in good faith negotiations with BioNTech during the applicable three or four business day period (as applicable) to amend the Purchase Agreement such that the alternative acquisition agreement ceases to be a superior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the end of the three or four business day period (as applicable), CureVac’s boards have determined in good faith, after consultation with its outside legal counsel and financial advisor, and after taking into account the revised terms proposed by BioNTech, that the superior proposal continues to be a superior proposal, and the failure to make an adverse recommendation change and/or terminate the Purchase Agreement would continue to be inconsistent with fiduciary duties of the members of CureVac boards under the laws of the Netherlands.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BioNTech and CureVac have agreed that the CureVac boards may, upon the occurrence of an event or change in circumstances arising after the date of the Purchase Agreement and prior to the expiration time that was not known to, or reasonably foreseeable by, CureVac’s boards as of the date of the Purchase Agreement, and that has not arisen as a result of any actions taken by CureVac in breach of the Purchase Agreement, which causes the CureVac boards to determine in good faith (after consultation with its outside legal counsel and financial advisor) that the failure to make an adverse recommendation change would be inconsistent with fiduciary duties of the members of CureVac boards under the laws of the Netherlands (subject to certain exceptions, including the receipt, existence, or terms of an alternative acquisition proposal or any matter relating thereto or consequence thereof, any change in the market price or trading volume of the CureVac shares or the BioNTech ADSs, or any ongoing litigation between the BioNTech and CureVac, among others), which we refer to as an intervening event, at any time prior to the expiration time, make an adverse recommendation change, or authorize or propose publicly to do the same, only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has (a) provided four business days’ prior written notice, which will provide (y) reasonably detailed information describing the intervening event and the rationale for the adverse recommendation change and (z) the CureVac boards’ determination to make an adverse recommendation change, and, after consultation with its outside legal counsel and financial advisors, failure to make an adverse recommendation change would be inconsistent with fiduciary duties of the members of CureVac boards under the laws of the Netherlands and (b) prior to making such an adverse recommendation change, to the extent requested in writing by BioNTech, engaged in good faith negotiations with BioNTech during the applicable four business day period to amend the Purchase Agreement in response to the intervening event in such a manner that the failure of the CureVac boards to effect an adverse recommendation change in response to the intervening event would no longer be inconsistent with fiduciary duties of the members of the CureVac boards under the laws of the Netherlands;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the end of the applicable four business day period, the CureVac boards have determined in good faith (after consultation with its outside legal counsel and financial advisors), in light of the intervening event and after taking into account any revised terms proposed by BioNTech, the failure to make an adverse recommendation change would continue to be inconsistent with fiduciary duties of the members of the CureVac boards under the laws of the Netherlands (with any material change to the circumstances causing the intervening event requiring new notice to BioNTech and a new three business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Agreement provides that nothing contained therein will prohibit CureVac or the CureVac boards from (A) taking and disclosing to CureVac’s shareholders a position contemplated by Rule 14d-9 and Rule 14e-2(a) promulgated under the Exchange Act (or any similar communication to shareholders in connection with the making or amendment of a tender offer or exchange offer) or (B) making any disclosure to the CureVac shareholders that is required by applicable law or if the CureVac boards determine in good faith (after consultation with outside legal counsel) that the failure to make such disclosure would reasonably be expected to be inconsistent with their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law; provided that any disclosures with respect to any of the foregoing will be considered an adverse recommendation change unless the CureVac boards expressly publicly reaffirm CureVac’s recommendation of approval and adoption of the matters at the EGM. </w:t>
      </w:r>
    </w:p>
    <w:p>
      <w:pPr>
        <w:pStyle w:val="TextBody"/>
        <w:bidi w:val="0"/>
        <w:spacing w:before="240" w:after="0"/>
        <w:jc w:val="left"/>
        <w:rPr>
          <w:rFonts w:ascii="Times New Roman" w:hAnsi="Times New Roman"/>
          <w:b/>
          <w:i/>
          <w:sz w:val="20"/>
        </w:rPr>
      </w:pPr>
      <w:r>
        <w:rPr>
          <w:rFonts w:ascii="Times New Roman" w:hAnsi="Times New Roman"/>
          <w:b/>
          <w:i/>
          <w:sz w:val="20"/>
        </w:rPr>
        <w:t xml:space="preserve">Schedule TO; Form F-4 </w:t>
      </w:r>
    </w:p>
    <w:p>
      <w:pPr>
        <w:pStyle w:val="TextBody"/>
        <w:bidi w:val="0"/>
        <w:spacing w:before="120" w:after="0"/>
        <w:jc w:val="left"/>
        <w:rPr>
          <w:rFonts w:ascii="Times New Roman" w:hAnsi="Times New Roman"/>
          <w:sz w:val="20"/>
        </w:rPr>
      </w:pPr>
      <w:r>
        <w:rPr>
          <w:rFonts w:ascii="Times New Roman" w:hAnsi="Times New Roman"/>
          <w:sz w:val="20"/>
        </w:rPr>
        <w:t xml:space="preserve">No later than the date on which BioNTech commences the offer, BioNTech will (i) file with the SEC a Tender Offer Statement on Schedule TO with respect to the offer, which will contain or incorporate by reference an exchange offer and a related letter of transmittal and other appropriate ancillary offer documents required to be included therein (such Schedule TO and the documents included therein, together with any amendments or supplements thereto and including exhibits thereto, we refer to as the offer documents) and (ii) cause the offer documents to be disseminated to holders of CureVac shares to the extent required by applicable U.S. federal securities laws and any other applicable law. No later than 10 business days following the date of the Purchase Agreement, BioNTech will file with the SEC a registration statement on Form F-4 to register under the Securities Act the offer and sale of BioNTech ADSs pursuant to the offer. BioNTech agreed to use its reasonable best efforts to: (a) have the Form F-4 declared effective under the Securities Act as promptly as practicable after such filing, (b) ensure that the Form F-4 complies in all material respects with the applicable provisions of the Exchange Act or Securities Act, and (c) keep the Form F-4 effective for so long as necessary to complete the issuance of BioNTech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pre-closing period, subject to the confidentiality agreements, CureVac will, and will cause each of its subsidiaries to, and CureVac and its subsidiaries will cause its and their respective representatives to, (i) afford BioNTech and its representatives reasonable access on reasonable advance notice and in a manner not unreasonably disruptive to the operations of the business of CureVac and its subsidiaries, during normal business hours, to the officers, CureVac senior employees, representatives, auditors, properties, assets, offices, and other facilities and the books and records of CureVac and its subsidiaries and (ii) promptly furnish or cause to be furnished to BioNTech and its representatives copies (including in electronic form) of books, records, and other financial, tax, operating, and other data and information (including the work papers of CureVac’s or its subsidiaries’ independent accountants upon receipt of any required consents from such accountants and subject to the execution of customary access letters) as BioNTech or its representatives may reasonably request in writing. However, the foregoing access will not permit BioNTech and its representatives to conduct any invasive environmental testing or sampling at any of the properties, offices, and other facilities of CureVac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CureVac and its subsidiaries will not be obligated to disclose any information if (i) providing such access or disclosing such information would cause significant competitive harm to CureVac or its subsidiaries, or would reasonably be expected to cause a strategic disadvantage to CureVac or its subsidiaries in ongoing legal proceedings between, among others, BioNTech or any of its affiliates, on the one hand, and CureVac or any of its affiliates, on the other hand, if the transactions are not consummated, provided, that CureVac will use its reasonable best efforts to develop an alternative to providing such information so as to address such matters that is reasonably acceptable to BioNTech and CureVac, (ii) providing such access or disclosing such information would violate any applicable law (including antitrust and privacy laws) or binding agreement entered into prior to the date of the Purchase Agreement, or (iii) in the reasonable judgement of CureVac (following consultation with its outside legal counsel) that would result in the loss of attorney-client privilege with respect to such information or would constitute a waiver of any other privilege or trade secret protection held by CureVac or any of its subsidiaries; provided, that CureVac will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BioNTech and CureVac. CureVac will advise BioNTech in such circumstances that it is unable to comply with BioNTech’s reasonable requests for information pursuant to the immediately preceding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sentence, and CureVac will reasonably describe the reasons why such information is being withheld. CureVac will be entitled to have representatives present at all times during any inspection by BioNTech or its representatives, and no notice, access, review, or investigation or information provided, made available, or delivered to BioNTech or its representatives pursuant to the foregoing provisions or otherwise will affect any representations or warranties of CureVac or conditions or rights of BioNTech contained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BioNTech and CureVac have agreed that all information and materials provided pursuant to the Purchase Agreement will be subject to the provisions of the confidentiality agreements, which will be deemed terminated as of the closing of the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Notice of Certain Events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give prompt notice to the other party of (i) any material written notice or other material communication received by it from any governmental authority during the pre-closing period in connection with the Purchase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the Purchase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Each party will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CureVac, the knowledge of CureVac of any breach of or inaccuracy in its representations or warranties set forth in the Purchase Agreement or failure to perform its covenants or agreements set forth in the Purchase Agreement to the extent such inaccuracy, breach, or failure to perform would reasonably be expected to give rise to, individually or in the aggregate, the failure of certain offer conditions or (b) in the case of BioNTech, the knowledge of BioNTech of any breach of, or inaccuracy in, the representations or warranties of BioNTech set forth in the Purchase Agreement or failure to perform the covenants or agreements of BioNTech set forth in the Purchase Agreement to the extent such inaccuracy, breach, or failure to perform would reasonably be expected to, individually or in the aggregate, prevent or materially delay or materially impair the ability of BioNTech to perform its obligations under the Purchase Agreement or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notice described above will not cure any breach of any representation, warranty, obligation, covenant, or agreement contained in the Purchase Agreement or otherwise limit or affect any remedies available in the Purchase Agreement to the party receiving such notice. </w:t>
      </w:r>
    </w:p>
    <w:p>
      <w:pPr>
        <w:pStyle w:val="TextBody"/>
        <w:bidi w:val="0"/>
        <w:spacing w:before="240" w:after="0"/>
        <w:jc w:val="left"/>
        <w:rPr>
          <w:rFonts w:ascii="Times New Roman" w:hAnsi="Times New Roman"/>
          <w:b/>
          <w:i/>
          <w:sz w:val="20"/>
        </w:rPr>
      </w:pPr>
      <w:r>
        <w:rPr>
          <w:rFonts w:ascii="Times New Roman" w:hAnsi="Times New Roman"/>
          <w:b/>
          <w:i/>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pre-closing period, CureVac and BioNTech have agreed to use their reasonable best efforts to consummate the transactions, including to (i) promptly satisfy certain offer conditions set forth in the Purchase Agreement, and (ii) avoid entry of, or effect the dissolution of, any legal orders that would have the effect of preventing or materially delaying the consummation of the transactions. These efforts include, but are not limited to, (a) filing a Notification and Report form pursuant to the HSR Act within 20 business days of the date of the Purchase Agreement, and (b) responding as promptly as practicable to any inquiries or requests received from the FTC, the DOJ, or any other governmental authority in connection with antitrust or related matters. BioNTech also agrees to make all required filings with respect to other necessary antitrust approvals and other required regulatory approvals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CureVac and BioNTech’s outside counsel will consult and cooperate with one another and consider in good faith the views of one another in connection with any proceedings relating to antitrust laws, and each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outside counsel will provide to the other, in advance, any material written analyses, presentations, memoranda, briefs and proposals made or submitted to any governmental authority in connection such proceedings. Either party may limit the disclosure of commercially sensitive portions of such materials to the outside legal counsel and consultants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BioNTech will consult and cooperate with CureVac, and consider in good faith the views of CureVac, in connection with, and will provide to CureVac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CureVac will not make any submissions related to the transactions to any governmental authority in relation to any antitrust law and other required regulatory approvals without the prior approval of BioNTech, such approval not to be unreasonably withheld, delayed, or conditioned; provided that no prior approval is required for the submission of the Notification and Report form pursuant to the HSR Act or any submission related to the transactions reasonably required to comply with CureVac’s statutory obligations. </w:t>
      </w:r>
    </w:p>
    <w:p>
      <w:pPr>
        <w:pStyle w:val="TextBody"/>
        <w:bidi w:val="0"/>
        <w:spacing w:before="240" w:after="0"/>
        <w:jc w:val="left"/>
        <w:rPr>
          <w:rFonts w:ascii="Times New Roman" w:hAnsi="Times New Roman"/>
          <w:sz w:val="20"/>
        </w:rPr>
      </w:pPr>
      <w:r>
        <w:rPr>
          <w:rFonts w:ascii="Times New Roman" w:hAnsi="Times New Roman"/>
          <w:sz w:val="20"/>
        </w:rPr>
        <w:t xml:space="preserve">CureVac and BioNTech will give each other prompt notice of any pending or threatened request, inquiry, or other action brought by a governmental authority, or brought by a third party to a governmental authority, in each case with respect to the transactions under any antitrust laws, which we refer to as an antitrust investigation. To the extent permitted by applicable law and other applicable limitations (including the preservation of attorney-client privilege), each party will use its reasonable best efforts to (i) keep the other informed of the status of any antitrust investigation, (ii) promptly notify each other’s outside counsel of any material communications received from any governmental authority in connection with any antitrust investigation, and (iii) give each other’s outside counsel reasonable advance notice of all material meetings and teleconferences with any such governmental authority. CureVac and BioNTech will consult with each other in advance and cooperate with the other party’s outside counsel and consider in good faith each other’s views in connection with any such antitrust investigation, including by providing the other party reasonable opportunity to comment on any material analysis, memorandum, or other presentation made or submitted to any such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CureVac will promptly furnish to BioNTech all information required or requested to be included in any application or filing or submission made in connection with applicable antitrust laws or for any other required regulatory approvals. CureVac will have the right to review and, to the extent reasonably practicable, to be consulted in good faith on any material information relating to it or its affiliates that might appear in any such applications or filings, and its comments will be considered by BioNTech in good faith. In the case of information (i) which is commercially sensitive or (ii) the provision of which would infringe antitrust laws, disclosure of such information may be limited to the other party’s outside legal counsel, and such counsel will not disclose such information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Each of BioNTech and CureVac further agrees to cooperate with the other and use its reasonable best efforts in order to resolve any investigation or other inquiry concerning the transactions initiated by the FTC, the DOJ, or any governmental authority. Each of BioNTech and CureVac’s outside counsel will promptly notify the other’s outside counsel of any material written notice or other communication received by such party from any governmental authority in connection with the transactions and, to the extent reasonably practicable, and allowed by the government authority, all material discussions, telephone calls, and meetings with a governmental authority regarding the transactions will include the representatives of CureVac and BioNTech. </w:t>
      </w:r>
    </w:p>
    <w:p>
      <w:pPr>
        <w:pStyle w:val="TextBody"/>
        <w:bidi w:val="0"/>
        <w:spacing w:before="240" w:after="0"/>
        <w:jc w:val="left"/>
        <w:rPr>
          <w:rFonts w:ascii="Times New Roman" w:hAnsi="Times New Roman"/>
          <w:sz w:val="20"/>
        </w:rPr>
      </w:pPr>
      <w:r>
        <w:rPr>
          <w:rFonts w:ascii="Times New Roman" w:hAnsi="Times New Roman"/>
          <w:sz w:val="20"/>
        </w:rPr>
        <w:t xml:space="preserve">BioNTech will not be required to, and “reasonable best efforts” will in no event require, or be construed to require, BioNTech or any of its affiliates (as defined in the Purchase Agreement)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defend against, vacate, modify, or suspend any injunction,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CureVac or any of its subsidiaries to take any of the foregoing actions), or otherwise proffer or agree to do any of the foregoing, with respect to any of the businesses, assets or properties of BioNTech, CureVac or any of their respective affiliates or subsidiaries, (v) terminate any existing relationships or contractual rights or obligations, (vi) take any action, or commit to take any action, or to accept any restriction, commitment, or condition, involving BioNTech, CureVac, or any of their respective affiliates or subsidiaries, or (vii) otherwise offer to take or offer to commit to take any action that would limit BioNTech’s or any of its affiliates’ freedom of action with respect to, or ability to retain, operate, or otherwise exercise full rights of ownership with respect to, businesses, assets or properties of BioNTech, CureVac, or any of their respective affiliates or subsidiaries (or equity interests held by BioNTech or any of its affiliates in entities with businesses, assets or properties). </w:t>
      </w:r>
    </w:p>
    <w:p>
      <w:pPr>
        <w:pStyle w:val="TextBody"/>
        <w:bidi w:val="0"/>
        <w:spacing w:before="240" w:after="0"/>
        <w:jc w:val="left"/>
        <w:rPr>
          <w:rFonts w:ascii="Times New Roman" w:hAnsi="Times New Roman"/>
          <w:sz w:val="20"/>
        </w:rPr>
      </w:pPr>
      <w:r>
        <w:rPr>
          <w:rFonts w:ascii="Times New Roman" w:hAnsi="Times New Roman"/>
          <w:sz w:val="20"/>
        </w:rPr>
        <w:t xml:space="preserve">BioNTech will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CureVac will, and will cause its subsidiaries to, take such actions as reasonably requested by BioNTech in connection with obtaining any such authorizations, consents, expirations, or terminations of any waiting periods, orders and approvals. </w:t>
      </w:r>
    </w:p>
    <w:p>
      <w:pPr>
        <w:pStyle w:val="TextBody"/>
        <w:bidi w:val="0"/>
        <w:spacing w:before="240" w:after="0"/>
        <w:jc w:val="left"/>
        <w:rPr>
          <w:rFonts w:ascii="Times New Roman" w:hAnsi="Times New Roman"/>
          <w:sz w:val="20"/>
        </w:rPr>
      </w:pPr>
      <w:r>
        <w:rPr>
          <w:rFonts w:ascii="Times New Roman" w:hAnsi="Times New Roman"/>
          <w:sz w:val="20"/>
        </w:rPr>
        <w:t xml:space="preserve">BioNTech and CureVac agree to refrain from, and to cause each of their respective affiliates to refrain from, acquiring or agreeing to acquire any assets or businesses that would reasonably be expected to (i) prevent, materially impede, or materially delay receipt of any authorizations, consents, orders, or approvals of governmental authorities, (ii) prevent, materially delay, or impede the closing of the offer, or (iii) cause any governmental authority to object to such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Public Announcements </w:t>
      </w:r>
    </w:p>
    <w:p>
      <w:pPr>
        <w:pStyle w:val="TextBody"/>
        <w:bidi w:val="0"/>
        <w:spacing w:before="120" w:after="0"/>
        <w:jc w:val="left"/>
        <w:rPr>
          <w:rFonts w:ascii="Times New Roman" w:hAnsi="Times New Roman"/>
          <w:sz w:val="20"/>
        </w:rPr>
      </w:pPr>
      <w:r>
        <w:rPr>
          <w:rFonts w:ascii="Times New Roman" w:hAnsi="Times New Roman"/>
          <w:sz w:val="20"/>
        </w:rPr>
        <w:t xml:space="preserve">CureVac and BioNTech have agreed, subject to certain exceptions, that they will receive consent (which consent is not to be unreasonably withheld, conditioned, or delayed) from each other before issuing, and provide each other with opportunity to review and comment upon, any press release, public announcement, public statement, or other public disclosure with respect to the Purchase Agreement or the transactions (subject to certain exceptions, including as required by applicable law). </w:t>
      </w:r>
    </w:p>
    <w:p>
      <w:pPr>
        <w:pStyle w:val="TextBody"/>
        <w:bidi w:val="0"/>
        <w:spacing w:before="240" w:after="0"/>
        <w:jc w:val="left"/>
        <w:rPr>
          <w:rFonts w:ascii="Times New Roman" w:hAnsi="Times New Roman"/>
          <w:b/>
          <w:i/>
          <w:sz w:val="20"/>
        </w:rPr>
      </w:pPr>
      <w:r>
        <w:rPr>
          <w:rFonts w:ascii="Times New Roman" w:hAnsi="Times New Roman"/>
          <w:b/>
          <w:i/>
          <w:sz w:val="20"/>
        </w:rPr>
        <w:t xml:space="preserve">Director and Officer Liability </w:t>
      </w:r>
    </w:p>
    <w:p>
      <w:pPr>
        <w:pStyle w:val="TextBody"/>
        <w:bidi w:val="0"/>
        <w:spacing w:before="120" w:after="0"/>
        <w:jc w:val="left"/>
        <w:rPr>
          <w:rFonts w:ascii="Times New Roman" w:hAnsi="Times New Roman"/>
          <w:sz w:val="20"/>
        </w:rPr>
      </w:pPr>
      <w:r>
        <w:rPr>
          <w:rFonts w:ascii="Times New Roman" w:hAnsi="Times New Roman"/>
          <w:sz w:val="20"/>
        </w:rPr>
        <w:t xml:space="preserve">From closing of the offer until six years after the completion of the transactions, BioNTech will cause CureVac and its subsidiaries to indemnify and hold harmless, and provide advances to, the present and former directors and officers of CureVac or its subsidiaries, which we refer to as indemnified persons, in respect of acts or omissions occurring at or prior to the completion of the transactions pursuant to, in accordance with the terms of, and to the fullest extent provided for in CureVac’s organizational documents, as they are in force on the date of the Purchase Agreement and any relevant indemnification agreements and as permitted by applicable law. From closing of the offer until six years after the completion of the transactions, BioNTech will cause CureVac and its subsidiaries to honor and fulfill the obligations of CureVac and its subsidiaries under any and all indemnification agreements in effect as of the date of the Purchase Agreement between CureVac or any of its subsidiaries and any indemnified person as listed in the CureVac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the closing of the offer until six years after the completion of the transactions, BioNTech will cause CureVac and its subsidiaries to cause the CureVac articles and rules and regulations (or other similar organizational documents) of CureVac and its subsidiaries to contain provisions with respect to the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indemnified persons that are no less advantageous in the aggregate to the intended beneficiaries than the corresponding provisions contained in CureVac’s and its subsidiaries’ organizational documents in effect on the date of the Purchase Agreement. To the maximum extent permitted by applicable law, such indemnification will be mandatory rather than permissive. </w:t>
      </w:r>
    </w:p>
    <w:p>
      <w:pPr>
        <w:pStyle w:val="TextBody"/>
        <w:bidi w:val="0"/>
        <w:spacing w:before="240" w:after="0"/>
        <w:jc w:val="left"/>
        <w:rPr>
          <w:rFonts w:ascii="Times New Roman" w:hAnsi="Times New Roman"/>
          <w:sz w:val="20"/>
        </w:rPr>
      </w:pPr>
      <w:r>
        <w:rPr>
          <w:rFonts w:ascii="Times New Roman" w:hAnsi="Times New Roman"/>
          <w:sz w:val="20"/>
        </w:rPr>
        <w:t xml:space="preserve">In addition, BioNTech will obtain, or cause to be obtained, as of the closing of the offer, a “tail” insurance policy with a claims period of six years after the completion of the transactions with respect to directors’ and officers’ liability insurance covering each person currently covered by CureVac’s directors’ and officers’ liability insurance policy for acts or omissions occurring at or prior to the completion of the transactions on terms that are no less favorable than those of such policy of CureVac in effect on the date of the Purchase Agreement, which insurance will be in effect and prepaid for such period, subject to a premium cap.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Measures </w:t>
      </w:r>
    </w:p>
    <w:p>
      <w:pPr>
        <w:pStyle w:val="TextBody"/>
        <w:bidi w:val="0"/>
        <w:spacing w:before="120" w:after="0"/>
        <w:jc w:val="left"/>
        <w:rPr>
          <w:rFonts w:ascii="Times New Roman" w:hAnsi="Times New Roman"/>
          <w:sz w:val="20"/>
        </w:rPr>
      </w:pPr>
      <w:r>
        <w:rPr>
          <w:rFonts w:ascii="Times New Roman" w:hAnsi="Times New Roman"/>
          <w:sz w:val="20"/>
        </w:rPr>
        <w:t xml:space="preserve">CureVac has agreed that CureVac and the CureVac boards will take all actions within their power and authority necessary so that no anti-takeover measures are or become applicable to the transactions. If any anti-takeover measure becomes applicable to any of the transactions, CureVac and the CureVac boards will grant such approvals and take such actions within their power and authority as are necessary, so that any such transactions may be consummated as promptly as practicable on the terms contemplated by the Purchase Agreement, and otherwise act within their power and authority to eliminate such anti-takeover measures in respect of such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For a one-year period beginning on the date of the closing of the offer, each individual who is an employee of CureVac or its subsidiaries immediately prior to the closing of the offer and who remains employed by CureVac or any of its affiliates (including, following the closing of the offer, BioNTech or any of its subsidiaries) as of immediately following the closing of the offer, each of which we refer to as a continuing employee, will receive from BioNTech (or its applicable affiliate) (i) at least the same base salary and the same target annual bonus opportunity that was provided to such continuing employee immediately prior to the closing of the offer;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of the offer. </w:t>
      </w:r>
    </w:p>
    <w:p>
      <w:pPr>
        <w:pStyle w:val="TextBody"/>
        <w:bidi w:val="0"/>
        <w:spacing w:before="240" w:after="0"/>
        <w:jc w:val="left"/>
        <w:rPr>
          <w:rFonts w:ascii="Times New Roman" w:hAnsi="Times New Roman"/>
          <w:sz w:val="20"/>
        </w:rPr>
      </w:pPr>
      <w:r>
        <w:rPr>
          <w:rFonts w:ascii="Times New Roman" w:hAnsi="Times New Roman"/>
          <w:sz w:val="20"/>
        </w:rPr>
        <w:t xml:space="preserve">BioNTech will, and will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of the offer, and (ii) credit each continuing employee for any copayments, deductibles, offsets, or similar payments made under a CureVac plan during the plan year that includes the closing of the offer for purposes of satisfying any applicable copayment, deductible, offset, or similar requirements under the comparable plans of BioNTech or any of its controlled affiliates. As of the closing of the offer, BioNTech will, or will cause any of its controlled affiliates to, credit to continuing employees the amount of vacation time that such employees had accrued under any applicable CureVac plan as of the closing, in each case, insofar as not prohibited by applicable law. In addition, as of the closing of the offer, BioNTech will, and will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BioNTech or its controlled affiliates that such continuing employees may be eligible to participate in after the closing of the offer for such continuing employees’ service with CureVac or any of its subsidiaries to the same extent that such service was credited for purposes of any comparable CureVac plan immediately prior to the closing of the offer, except, in each case, to the extent such treatment would result in duplicative benefits.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requested in writing by BioNTech no later than three days prior to the closing of the offer, the CureVac boards or board of directors of the applicable subsidiary (or the appropriate committee thereof)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actions necessary to terminate any CureVac plan intended to include a code section 401(k) arrangement, such termination to be effective as of the day immediately prior to the closing of the offer and contingent upon the closing of the offer. CureVac will provide BioNTech, prior to the closing of the offer, with evidence that such plan has been terminated (the form and substance of which will be subject to reasonable review and comment by BioNTech). In the event of such a termination, BioNTech will establish or designate a 401(k) retirement plan maintained by BioNTech or an affiliate to accept the rollover of participant accounts distributed from the 401(k) plan maintained by CureVac (including promissory notes evidencing employee loans, if any).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closing of the offer, BioNTech will cause CureVac and its subsidiaries to honor the terms of all collective bargaining agreements to which CureVac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and/or benefits will be governed by any such obligations, rather than the terms of the Purchase Agreement.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contains certain other covenants and agreements, including, among other things, covenants and agreements related to the following: </w:t>
      </w:r>
    </w:p>
    <w:p>
      <w:pPr>
        <w:pStyle w:val="TextBody"/>
        <w:bidi w:val="0"/>
        <w:spacing w:before="240" w:after="0"/>
        <w:jc w:val="left"/>
        <w:rPr>
          <w:rFonts w:ascii="Times New Roman" w:hAnsi="Times New Roman"/>
          <w:sz w:val="20"/>
        </w:rPr>
      </w:pPr>
      <w:r>
        <w:rPr>
          <w:rFonts w:ascii="Times New Roman" w:hAnsi="Times New Roman"/>
          <w:i/>
          <w:sz w:val="20"/>
        </w:rPr>
        <w:t>Compensation Arrangements</w:t>
      </w:r>
      <w:r>
        <w:rPr>
          <w:rFonts w:ascii="Times New Roman" w:hAnsi="Times New Roman"/>
          <w:sz w:val="20"/>
        </w:rPr>
        <w:t xml:space="preserve">. Prior to the closing of the offer, CureVac (acting through the CureVac boards and the compensation committee of the CureVac supervisory board) will take all steps that may be required, necessary, or advisable to cause (a) each employment compensation arrangement (as defined in the Purchase Agreement) that has been or, after the date of the Purchase Agreement, will be entered into by CureVac or any of its subsidiaries with any current or former CureVac service provider, (b) the treatment of the company equity awards, in accordance with the terms set forth in the Purchase Agreement, and (c) the applicable terms set forth above under the headings “The Purchase Agreement — Covenants and Agreements — Director and Officer Liability” and “The Purchase Agreement — Covenants and Agreements — Employee Matters” to be approved as an “employment compensation, severance or other employee benefit arrangement” within the meaning of Rule 14d-10(d)(2) promulgated under the Exchange Act and to satisfy the requirements of the non-exclusive safe harbor set forth in Rule 14d-10(d) promulgated under the Exchange Act. </w:t>
      </w:r>
    </w:p>
    <w:p>
      <w:pPr>
        <w:pStyle w:val="TextBody"/>
        <w:bidi w:val="0"/>
        <w:spacing w:before="240" w:after="0"/>
        <w:jc w:val="left"/>
        <w:rPr>
          <w:rFonts w:ascii="Times New Roman" w:hAnsi="Times New Roman"/>
          <w:sz w:val="20"/>
        </w:rPr>
      </w:pPr>
      <w:r>
        <w:rPr>
          <w:rFonts w:ascii="Times New Roman" w:hAnsi="Times New Roman"/>
          <w:i/>
          <w:sz w:val="20"/>
        </w:rPr>
        <w:t>Delisting</w:t>
      </w:r>
      <w:r>
        <w:rPr>
          <w:rFonts w:ascii="Times New Roman" w:hAnsi="Times New Roman"/>
          <w:sz w:val="20"/>
        </w:rPr>
        <w:t xml:space="preserve">. CureVac has agreed that, prior to the acceptance time, CureVac will cooperate with BioNTech and use reasonable best efforts to take, or cause to be taken, all actions, and do or cause to be done all things, reasonably necessary, proper, or advisable on its part under applicable laws and rules and policies of Nasdaq to cause the delisting of CureVac and the CureVac shares from Nasdaq as promptly as practicable after the offer closing and the deregistration of the CureVac shares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i/>
          <w:sz w:val="20"/>
        </w:rPr>
        <w:t>Tax Matters</w:t>
      </w:r>
      <w:r>
        <w:rPr>
          <w:rFonts w:ascii="Times New Roman" w:hAnsi="Times New Roman"/>
          <w:sz w:val="20"/>
        </w:rPr>
        <w:t xml:space="preserve">. BioNTech has agreed not to make (and to cause each of its affiliates not to make) any election under Section 338 of the code, or any similar provision of any U.S. state or local or foreign law with respect to CureVac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Except pursuant to the New Topco U.S. tax election, BioNTech will not make any entity classification election pursuant to section 301.7701-3 of the U.S. treasury regulations, with respect to BioNTech or any of its subsidiaries, which election would be effective on or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BioNTech will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U.S.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one-year period beginning on the date of the cancellation effective time, BioNTech will not transfer any of the assets of CureVac and, after the New Topco U.S. tax election pursuant to conditions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above under the heading “The Purchase Agreement — The Post-Offer Reorganization and the New Topco U.S. Tax Election,” New Topco to any entity that is treated as a corporation for U.S. federal income tax purposes of which BioNTech directly owns, or is considered to directly own, through New Topco, for U.S. federal income tax purposes, at least 80% of the total combined voting power of all classes of stock entitled to vote and at least 80% of each class of other stock. </w:t>
      </w:r>
    </w:p>
    <w:p>
      <w:pPr>
        <w:pStyle w:val="TextBody"/>
        <w:bidi w:val="0"/>
        <w:spacing w:before="240" w:after="0"/>
        <w:jc w:val="left"/>
        <w:rPr>
          <w:rFonts w:ascii="Times New Roman" w:hAnsi="Times New Roman"/>
          <w:sz w:val="20"/>
        </w:rPr>
      </w:pPr>
      <w:r>
        <w:rPr>
          <w:rFonts w:ascii="Times New Roman" w:hAnsi="Times New Roman"/>
          <w:i/>
          <w:sz w:val="20"/>
        </w:rPr>
        <w:t>Litigation</w:t>
      </w:r>
      <w:r>
        <w:rPr>
          <w:rFonts w:ascii="Times New Roman" w:hAnsi="Times New Roman"/>
          <w:sz w:val="20"/>
        </w:rPr>
        <w:t xml:space="preserve">. CureVac and BioNTech have agreed that CureVac will control any action brought against CureVac or any of its subsidiaries or their directors or officers relating in any way to the Purchase Agreement or the transactions, which together we refer to as transaction litigation; provided that CureVac will give BioNTech the right to (i) review and comment in advance on all filings or responses to be made by CureVac in connection with any transaction litigation (and any amendments thereto) and CureVac will consider in good faith any comments proposed by BioNTech, (ii) participate in (at BioNTech’s expense), but not control, the defense of such transaction litigation, (iii) consult on any settlement with respect to such transaction litigation, and (iv) participate in any negotiations or mediation with respect to such transaction litigation, and no settlement will be agreed to without BioNTech’s prior written consent in BioNTech’s sole discretion. CureVac will promptly notify BioNTech of any transaction litigation brought, or, to the knowledge of CureVac, threatened in writing, against CureVac, members of the CureVac boards, or any subsidiary of CureVac, and will keep BioNTech apprised of proposed strategy and other significant decisions with respect to the transaction litigation (to the extent that the attorney-client privilege between CureVac and its counsel is not undermined or otherwise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pending litigation among BioNTech and CureVac (and other third parties, as the case may be), BioNTech and CureVac have agreed to explore amicable solutions and to implement them, on a case-by-case basis, if and when mutually agreed. To enable such exploration, BioNTech and CureVac and their respective affiliates will take steps to suspend and preserve all on-going proceedings, and not institute new proceedings, at least until the earlier of (i) the closing of the offer, (ii) the termination of the Purchase Agreement in accordance with its terms, (iii) BioNTech no longer performing its obligations under the Purchase Agreement, the satisfaction of which are required for the closing of the offer in accordance with the Purchase Agreement, and (iv) the outside date, including obtaining relevant consents from or consulting with third parties, as applicable. </w:t>
      </w:r>
    </w:p>
    <w:p>
      <w:pPr>
        <w:pStyle w:val="TextBody"/>
        <w:bidi w:val="0"/>
        <w:spacing w:before="240" w:after="0"/>
        <w:jc w:val="left"/>
        <w:rPr>
          <w:rFonts w:ascii="Times New Roman" w:hAnsi="Times New Roman"/>
          <w:sz w:val="20"/>
        </w:rPr>
      </w:pPr>
      <w:r>
        <w:rPr>
          <w:rFonts w:ascii="Times New Roman" w:hAnsi="Times New Roman"/>
          <w:i/>
          <w:sz w:val="20"/>
        </w:rPr>
        <w:t>Business Continuity</w:t>
      </w:r>
      <w:r>
        <w:rPr>
          <w:rFonts w:ascii="Times New Roman" w:hAnsi="Times New Roman"/>
          <w:sz w:val="20"/>
        </w:rPr>
        <w:t xml:space="preserve">. After the closing of the offer, BioNTech and CureVac will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 </w:t>
      </w:r>
    </w:p>
    <w:p>
      <w:pPr>
        <w:pStyle w:val="TextBody"/>
        <w:bidi w:val="0"/>
        <w:spacing w:before="240" w:after="0"/>
        <w:jc w:val="left"/>
        <w:rPr>
          <w:rFonts w:ascii="Times New Roman" w:hAnsi="Times New Roman"/>
          <w:sz w:val="20"/>
        </w:rPr>
      </w:pPr>
      <w:r>
        <w:rPr>
          <w:rFonts w:ascii="Times New Roman" w:hAnsi="Times New Roman"/>
          <w:i/>
          <w:sz w:val="20"/>
        </w:rPr>
        <w:t xml:space="preserve">Tax Free Reorganization Matters. </w:t>
      </w:r>
      <w:r>
        <w:rPr>
          <w:rFonts w:ascii="Times New Roman" w:hAnsi="Times New Roman"/>
          <w:sz w:val="20"/>
        </w:rPr>
        <w:t xml:space="preserve">BioNTech and CureVac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U.S. treasury regulations to which one or both BioNTech and CureVac are to be parties under Section 368(b) of the code and the U.S. treasury regulations and the Purchase Agreement is intended to be, and is adopted as, a plan of reorganization for purposes of Sections 354, 361 and the 368 of the code and within the meaning of U.S. treasury regulations section 1.368-2(g). None of BioNTech or CureVac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U.S. treasury regulations. The offer, taken together with the legal downstream merger, the post-downstream merger share sale, the cancellation, and the New Topco U.S. tax election will be reported by the parties for all tax purposes in accordance with the foregoing, unless otherwise required by a governmental authority as a result of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filing of the offer documents (including any amendment or supplement thereto), each of BioNTech and CureVac will reasonably cooperate with each other in order to obtain a written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one or both of each of its outside counsel or other nationally recognized tax counsel reasonably acceptable to BioNTech or CureVac, solely to the extent one or both of such tax opinions is required by the SEC. Each tax opinion required by the SEC will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U.S. treasury regulations thereunder. </w:t>
      </w:r>
    </w:p>
    <w:p>
      <w:pPr>
        <w:pStyle w:val="TextBody"/>
        <w:bidi w:val="0"/>
        <w:spacing w:before="360" w:after="0"/>
        <w:jc w:val="left"/>
        <w:rPr>
          <w:rFonts w:ascii="Times New Roman" w:hAnsi="Times New Roman"/>
          <w:b/>
          <w:sz w:val="20"/>
        </w:rPr>
      </w:pPr>
      <w:bookmarkStart w:id="77" w:name="toc847647_71"/>
      <w:bookmarkEnd w:id="77"/>
      <w:r>
        <w:rPr>
          <w:rFonts w:ascii="Times New Roman" w:hAnsi="Times New Roman"/>
          <w:b/>
          <w:sz w:val="20"/>
        </w:rPr>
        <w:t xml:space="preserve">Conditions to Closing of the Offer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the Purchase Agreement or the offer and in addition to BioNTech’s right and obligation to extend, terminate, amend, or modify the offer pursuant to the provisions of the Purchase Agreement and subject to any applicable rules and regulations of the SEC, BioNTech will not be required to, or, in the case of the condition set forth in item (x) below, may not be permitted to, accept for exchange or exchange any CureVac share validly tendered and not properly withdrawn pursuant to the offer unless, as of the scheduled expiration time, the following conditions are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09"/>
        <w:gridCol w:w="9189"/>
      </w:tblGrid>
      <w:tr>
        <w:trPr/>
        <w:tc>
          <w:tcPr>
            <w:tcW w:w="4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CureVac shares having been validly tendered and not properly withdrawn, that, together with the CureVac shares then owned by BioNTech or its affiliates, would be sufficient to meet the minimum condition; provided, that if all other offer conditions have been satisfied and BioNTech has previously extended the offer on four or more occasions of 10 business days each, BioNTech may, in its sole discretion, reduce the minimum condition to 75% of CureVac’s issued and outstanding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necessary antitrust approvals will have been received, or be deemed to have been received due to the expiry or termination of their relevant waiting periods or applicable statutory deadlines (and any extension thereof), or through any other informal comfort letter that is satisfactory to BioNTech, and be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any applicable law or order of a governmental authority prohibiting, rendering illegal, or enjoining the consummation of the offer or the other transactions, including the post-offer reorganization, the legal downstream merger, the post-downstream merger share sale, and the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(iv)</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in all respects at and as of the date of the Purchase Agreement and at and as of the expiration time with the same effect as though made at and as of the expiration time of representations and warranties of CureVac regarding the nonexistence of a company material adverse effect since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0"/>
        <w:gridCol w:w="9188"/>
      </w:tblGrid>
      <w:tr>
        <w:trPr/>
        <w:tc>
          <w:tcPr>
            <w:tcW w:w="4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(v)</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in all respects (except for </w:t>
            </w:r>
            <w:r>
              <w:rPr>
                <w:rFonts w:ascii="Times New Roman" w:hAnsi="Times New Roman"/>
                <w:i/>
                <w:sz w:val="20"/>
              </w:rPr>
              <w:t>de minimis</w:t>
            </w:r>
            <w:r>
              <w:rPr>
                <w:rFonts w:ascii="Times New Roman" w:hAnsi="Times New Roman"/>
                <w:sz w:val="20"/>
              </w:rPr>
              <w:t xml:space="preserve"> inaccuracies)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authorized and issued and outstanding share counts, capitalization, and subsidiaries (including their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in all material respects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corporate existence and powers and authorizations to carry on its business, enter into the Purchase Agreement, and consummate the transactions, material contracts, and the fees of its financial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(vii)</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(disregarding all materiality qualifications and limitations) at and as of the date of the Purchase Agreement and at and as of the expiration time with the same effect as though made at and as of the expiration time (except to the extent expressly made at and as of an earlier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vAlign w:val="center"/>
          </w:tcPr>
          <w:p>
            <w:pPr>
              <w:pStyle w:val="TableContents"/>
              <w:bidi w:val="0"/>
              <w:spacing w:before="0" w:after="283"/>
              <w:jc w:val="left"/>
              <w:rPr/>
            </w:pPr>
            <w:r>
              <w:rPr/>
              <w:t> </w:t>
            </w:r>
          </w:p>
        </w:tc>
        <w:tc>
          <w:tcPr>
            <w:tcW w:w="9186" w:type="dxa"/>
            <w:tcBorders/>
          </w:tcPr>
          <w:p>
            <w:pPr>
              <w:pStyle w:val="TableContents"/>
              <w:bidi w:val="0"/>
              <w:spacing w:before="0" w:after="283"/>
              <w:jc w:val="left"/>
              <w:rPr/>
            </w:pPr>
            <w:r>
              <w:rPr/>
              <w:t xml:space="preserve">in which case at and as of such earlier date) of all other representations and warranties of CureVac not specified in the foregoing items (iv) through (vi), except where the failure to be true and correct would not have or reasonably be expected to have, individually or in the aggregate,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will have performed or complied with, in all material respects, each of the obligations, agreements, and covenants required to be performed by, or complied with by, it under the Purchase Agreement at or prior to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(ix)</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Purchase Agreement, there will not have occurred any company material adverse effect that is continuing (excluding for this purpose any company material adverse effects that prevent or materially impair the ability of CureVac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Purchase Agreement, there will not have occurred any buyer material adverse effect that is continuing (excluding for this purpose any buyer material adverse effects that prevent or materially impair the ability of BioNTech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0"/>
        <w:gridCol w:w="9189"/>
      </w:tblGrid>
      <w:tr>
        <w:trPr/>
        <w:tc>
          <w:tcPr>
            <w:tcW w:w="40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(xi)</w:t>
            </w:r>
          </w:p>
        </w:tc>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adoption of resolutions at the EGM approving the required resolutions;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(xii)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by CureVac to BioNTech of a certificate signed by an executive officer of CureVac, dated as of the expiration time, certifying as to the satisfaction of the conditions specified in the foregoing items (iv) through (ix);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(xiii)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no stop order suspending the effectiveness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(xiv)</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required regulatory approvals will have been obtained, or be deemed to have been obtained by applicable law, as a result of the lapse, expiration, or termination of waiting periods, or the applicable governmental authority for such approvals having declined jurisdiction or granted a derogation;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3"/>
        <w:gridCol w:w="9186"/>
      </w:tblGrid>
      <w:tr>
        <w:trPr/>
        <w:tc>
          <w:tcPr>
            <w:tcW w:w="406"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(xv)</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termination of the Purchase Agreement in accordance with the terms of the Purchase Agreement shall have occurred.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the condition set forth in item (x) above, which is for the sole benefit of CureVac and may only be waived by CureVac in writing, the foregoing conditions are for the sole benefit of BioNTech and may be asserted by BioNTech regardless of the circumstances giving rise to any such conditions and, other than the minimum condition, may be waived, subject to applicable law, by BioNTech in whole or in part at any time and from time to time in its sole discretion, in each case, subject to the terms of the Purchase Agreement. </w:t>
      </w:r>
    </w:p>
    <w:p>
      <w:pPr>
        <w:pStyle w:val="TextBody"/>
        <w:bidi w:val="0"/>
        <w:spacing w:before="240" w:after="0"/>
        <w:jc w:val="left"/>
        <w:rPr>
          <w:rFonts w:ascii="Times New Roman" w:hAnsi="Times New Roman"/>
          <w:b/>
          <w:sz w:val="20"/>
        </w:rPr>
      </w:pPr>
      <w:bookmarkStart w:id="78" w:name="toc847647_72"/>
      <w:bookmarkEnd w:id="78"/>
      <w:r>
        <w:rPr>
          <w:rFonts w:ascii="Times New Roman" w:hAnsi="Times New Roman"/>
          <w:b/>
          <w:sz w:val="20"/>
        </w:rPr>
        <w:t xml:space="preserve">Termination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may be terminated and the transactions may be abandoned at any time prior to the acceptance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BioNTech and CureVac;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BioNTech and CureVac,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time has not occurred on or before the outside date, which we refer to as an outside date termination, provided that the outside date termination will not be available to any party that is in breach of its covenants or agreements under the Purchase Agreement where such breach proximately caused the failure of the acceptance time to occur by the outside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offer condition relating to there not being a law or order issued by a governmental authority prohibiting the consummation of the offer is not satisfied, and the applicable law or order has become final, permanent, and non-appealable, which we refer to as a restraints termination, provided that the party seeking to exercise the restraints termination must have complied in all material respects with its obligations described under the section “The Purchase Agreement — Conditions to Closing of the Offer”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has expired without all of the conditions to the offer having been satisfied, which we refer to as a condition failure termination, provided that the condition failure termination will not be available to any party to the Purchase Agreement whose breach of any provision of the Purchase Agreement proximately caused the offer to expire without all of the conditions to the offer having been satisfied, and will not be available to BioNTech if BioNTech has not extended the offer in circumstances where BioNTech is required to extend the offer under the Purchase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BioNTech: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CureVac breaches any of its representations or warranties or fails to perform any of its covenants or agreements set forth in the Purchase Agreement, which breach or failure would result in any of the conditions to the offer not being satisfied and such breach or failure cannot be or has not been cured by CureVac by the earlier of (x) the second business day prior to the outside date or (y) 30 days after receipt by CureVac of written notice of such breach or failure, which we refer to as a CureVac breach termination, provided that a CureVac breach termination will not be available if BioNTech is then in material breach of its representations or warranties or then materially failing to perform its covenants, obligations or agreements under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an adverse recommendation change, which we refer to as an adverse recommendation change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subsequent EGM has been held and been concluded and the governance resolutions have not been adopted, or the post-offer reorganization resolutions have not been adopted, which we refer to as an EGM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 willful breach of any of CureVac’s obligations as set forth above under the heading “The Purchase Agreement — Covenants and Agreements — No Solicitation” in any material respect, which we refer to as a solicitation breach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CureVac: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 CureVac has received a superior proposal, (x) the CureVac boards approve, and CureVac concurrently with or immediately following the termination of the Purchase Agreement, enters into, a definitive agreement with respect to such superior proposal, (y) prior to or concurrently with such termination, CureVac pays to BioNTech the company termination compensation (as defined in the Purchase Agreement), and (z) CureVac has not breached in any material respect any of its obligations restricting solicitation under the Purchase Agreement, which we refer to as a superior proposal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BioNTech breaches any of its representations or warranties or fails to perform any covenant or agreement set forth in the Purchase Agreement, which breach or failure would result in any of the conditions to the offer not being satisfied and such breach or failure cannot be or has not been cured by the earlier of the second business day prior to the outside date or 30 days after receipt by BioNTech of written notice of such breach or failure, which we refer to as a BioNTech breach termination, provided that a BioNTech breach termination will not be available if CureVac is then in material breach of its representations or warranties or then materially failing to perform its covenants, obligations, or agreements contained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(x) the acceptance time has occurred and (y) the first capital increase has not become effective within ninety calendar days after the acceptance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(v) the acceptance time has occurred, (w) BioNTech has failed to exchange the first company shares (as defined in the Purchase Agreement) within 10 business days following the effectiveness of the first capital increase, (x) the first capital increase has become effective, (y) CureVac delivers written notice to BioNTech demanding that BioNTech after the occurrence of the events described in clauses (v), (w), and (x) make (or cause to be made) such exchange, and (z) BioNTech fails to make (or cause to be made) such exchange within three business days of receiving such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Payments </w:t>
      </w:r>
    </w:p>
    <w:p>
      <w:pPr>
        <w:pStyle w:val="TextBody"/>
        <w:bidi w:val="0"/>
        <w:spacing w:before="120" w:after="0"/>
        <w:jc w:val="left"/>
        <w:rPr>
          <w:rFonts w:ascii="Times New Roman" w:hAnsi="Times New Roman"/>
          <w:sz w:val="20"/>
        </w:rPr>
      </w:pPr>
      <w:r>
        <w:rPr>
          <w:rFonts w:ascii="Times New Roman" w:hAnsi="Times New Roman"/>
          <w:sz w:val="20"/>
        </w:rPr>
        <w:t xml:space="preserve">CureVac and BioNTech will each pay all of its own fees, costs, and expenses incurred in connection with the transactions (whether or not they are consummated). In addition, CureVac has agreed to pay BioNTech an amount equal to $43,750,000 (without interest and less any applicable withholding taxes), which we refer to as the company termination compensation,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CureVac terminates the Purchase Agreement pursuant to a superior proposal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terminates the Purchase Agreement pursuant to an adverse recommendation change termination or a solicitation breach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 alternative acquisition proposal has been publicly made or otherwise become generally known to the public prior to the acceptance time, (b) the Purchase Agreement is terminated (x) by BioNTech or CureVac pursuant to an outside date termination (subject to certain exceptions), (y) by CureVac or BioNTech pursuant to a condition failure termination and the minimum condition has not been satisfied as of the expiration time (provided that the antitrust clearance condition and the restraints condition have been satisfied as of such date), or (z) by BioNTech pursuant to a CureVac breach termination or an EGM termination, and (c) within 12 months of such termination, CureVac enters into a definitive agreement with any third party to consummate, or consummates, any transaction referenced in the definition of alternative acquisition proposal (provided that any references in such definition to 20% will be deemed to be references to 50%) whether or not such third party is the same party whose alternative acquisition proposal has been publicly made or otherwise become generally known.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BioNTech has agreed to pay CureVac an amount equal to $62,500,000, which we refer to as the purchaser termination compensation,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or CureVac terminates the Purchase Agreement pursuant to an outside date termination, but only if the conditions to the offer that are still unsatisfied at the time of such termination are either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or CureVac terminates the Purchase Agreement pursuant to a restraints termination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BioNTech or CureVac terminates the Purchase Agreement pursuant to a condition failure termination, but only if the conditions to the offer that are still unsatisfied at the time of such termination are any of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BioNTech is not obligated to pay the purchaser termination compensation if CureVac’s breach of its representations, covenants, or agreements under the Purchase Agreement proximately caused a legal restraint on the satisfaction of the offer, or if BioNTech was, at the time of CureVac’s termination, entitled to terminate pursuant to a CureVac breach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parties to the Purchase Agreement have agreed that the purchaser termination compensation and company termination compensation will, as applicable and except for claims for the willful breach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Agreement or fraud, be the sole and exclusive remedy of each party and its respective affiliates, on one hand, against the other party and its former, current, or future shareholders, directors, officers, affiliates, agents, or other representatives, on the other hand, for any loss suffered as a result of any breach of any representation, warranty, covenant, or agreement in the Purchase Agreement or the transactions. Each party will compensate the other for all expenses incurred in connection with enforcing the terms of the Purchase Agreement with respect to payment of either the purchaser termination compensation or the company termination compensation. Upon payment of either such amount, the paying party (and its former, current, or future shareholders, directors, officers, affiliates, agents, or other representative) will cease to have any liability under the Purchase Agreement, except with respect to fraud or willful breach.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the Purchase Agreement is validly terminated in accordance with its terms, notice of such termination will be given to the non-terminating party, the Purchase Agreement will become void and of no effect, with no liability remaining on the part of any party to the Purchase Agreement (or any director, officer, employee, shareholder, representative, agent, or advisor of such party). In no event will any such termination relieve any party to the Purchase Agreement from its obligations under the confidentiality agreements and under the Purchase Agreement (i) restricting public disclosure of the transactions, (ii) with respect to the payment of any expenses and each of the purchaser termination compensation and company termination compensation under the Purchase Agreement, and (iii) certain other provisions regarding termination and other miscellaneous provisions. In no event will either party to the Purchase Agreement be relieved of any liability for damages resulting from such party’s fraud or willful breach of the Purchase Agreement prior to its termination. </w:t>
      </w:r>
    </w:p>
    <w:p>
      <w:pPr>
        <w:pStyle w:val="TextBody"/>
        <w:bidi w:val="0"/>
        <w:spacing w:before="240" w:after="0"/>
        <w:jc w:val="left"/>
        <w:rPr>
          <w:rFonts w:ascii="Times New Roman" w:hAnsi="Times New Roman"/>
          <w:b/>
          <w:sz w:val="20"/>
        </w:rPr>
      </w:pPr>
      <w:bookmarkStart w:id="79" w:name="toc847647_73"/>
      <w:bookmarkEnd w:id="79"/>
      <w:r>
        <w:rPr>
          <w:rFonts w:ascii="Times New Roman" w:hAnsi="Times New Roman"/>
          <w:b/>
          <w:sz w:val="20"/>
        </w:rPr>
        <w:t xml:space="preserve">Miscellaneous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Purchase Agreement have agreed that irreparable damage would occur if any provision of the Purchase Agreement were not performed in accordance with the Purchase Agreement and that the parties to the Purchase Agreement will be entitled to seek injunctive relief to prevent breaches of the Purchase Agreement or to enforce specifically the performance of the terms and provisions of the Purchase Agreement, in addition to any other remedy to which they are entitled at law or in equity.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Amendment;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for in the offer conditions, the Purchase Agreement may only be amended or supplemented at any time by additional written agreements signed by, or on behalf of, the parties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no provision of the Purchase Agreement may be waived or extended except by a written instrument signed by the party against whom the waiver or extension is to be effective. No failure or delay on the part of any party in the exercise of any right under the Purchase Agreement will impair such right or be construed to be a waiver of, or acquiescence in, any breach of any representation, warranty, or agreement in the Purchase Agreement, nor will any single or partial exercise of any such right preclude any other or further exercise thereof or of any other right. </w:t>
      </w:r>
    </w:p>
    <w:p>
      <w:pPr>
        <w:pStyle w:val="TextBody"/>
        <w:bidi w:val="0"/>
        <w:spacing w:before="24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will be governed by and construed in accordance with Delaware law, except that any matters concerning or implicating the fiduciary duties of the members of the CureVac boards will be governed by and construed in accordance with the applicable fiduciary duty laws of 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Dispute Resolution </w:t>
      </w:r>
    </w:p>
    <w:p>
      <w:pPr>
        <w:pStyle w:val="TextBody"/>
        <w:bidi w:val="0"/>
        <w:spacing w:before="120" w:after="0"/>
        <w:jc w:val="left"/>
        <w:rPr>
          <w:rFonts w:ascii="Times New Roman" w:hAnsi="Times New Roman"/>
          <w:sz w:val="20"/>
        </w:rPr>
      </w:pPr>
      <w:r>
        <w:rPr>
          <w:rFonts w:ascii="Times New Roman" w:hAnsi="Times New Roman"/>
          <w:sz w:val="20"/>
        </w:rPr>
        <w:t xml:space="preserve">Any dispute, controversy, or claim arising out of or relating to the Purchase Agreement (and any subsequent amendments thereof), or the breach, termination, or validity thereof, or the transactions, each a dispute, will be resolved in accordance with this section. </w:t>
      </w:r>
    </w:p>
    <w:p>
      <w:pPr>
        <w:pStyle w:val="TextBody"/>
        <w:bidi w:val="0"/>
        <w:spacing w:before="240" w:after="0"/>
        <w:jc w:val="left"/>
        <w:rPr>
          <w:rFonts w:ascii="Times New Roman" w:hAnsi="Times New Roman"/>
          <w:sz w:val="20"/>
        </w:rPr>
      </w:pPr>
      <w:r>
        <w:rPr>
          <w:rFonts w:ascii="Times New Roman" w:hAnsi="Times New Roman"/>
          <w:i/>
          <w:sz w:val="20"/>
        </w:rPr>
        <w:t>Consent to Jurisdiction</w:t>
      </w:r>
      <w:r>
        <w:rPr>
          <w:rFonts w:ascii="Times New Roman" w:hAnsi="Times New Roman"/>
          <w:sz w:val="20"/>
        </w:rPr>
        <w:t xml:space="preserve">. For purposes of resolving any dispute, BioNTech and CureVac each (i) irrevocably and unconditionally submit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which we refer to as the chosen court, (ii) will not attempt to deny or defeat such personal jurisdiction by motion or other request for leave from any such chosen court, (iii) waives any claim of improper venue or any claim that the chosen court is an inconvenient forum, and (iv) agrees that, subject to section (b) below, it will not bring any action relating to a dispute in any court other than the chosen court. Each of BioNTech and CureVac irrevocably and unconditionally waives, and agrees not to assert, by way of motion or as a defense, counterclaim or otherwise, in any action or proceeding arising out of or relating to the Purchase Agreement or the transactions: (a) any claim that BioNTech or CureVac is not personally subject to the jurisdiction of the chosen courts as described in the Purchase Agreement for any reason; (b)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(c) that (x) the action in any such court is brought in an inconvenient forum, (y) the venue of such action is improper, or (z) the Purchase Agreement, or the subject matter thereof, may not be enforced in or by such chosen court. </w:t>
      </w:r>
    </w:p>
    <w:p>
      <w:pPr>
        <w:pStyle w:val="TextBody"/>
        <w:bidi w:val="0"/>
        <w:spacing w:before="240" w:after="0"/>
        <w:jc w:val="left"/>
        <w:rPr>
          <w:rFonts w:ascii="Times New Roman" w:hAnsi="Times New Roman"/>
          <w:sz w:val="20"/>
        </w:rPr>
      </w:pPr>
      <w:r>
        <w:rPr>
          <w:rFonts w:ascii="Times New Roman" w:hAnsi="Times New Roman"/>
          <w:i/>
          <w:sz w:val="20"/>
        </w:rPr>
        <w:t>Arbitration</w:t>
      </w:r>
      <w:r>
        <w:rPr>
          <w:rFonts w:ascii="Times New Roman" w:hAnsi="Times New Roman"/>
          <w:sz w:val="20"/>
        </w:rPr>
        <w:t xml:space="preserve">. In the event that a chosen court of first instance declines jurisdiction over an action brought in accordance with this section, the associated dispute will be resolved by final and binding arbitration administered by the International Chamber of Commerce, which we refer to as ICC, in accordance with its rules of arbitration in effect at the time, which we refer to as rules of arbitration, except as modified in the Purchase Agreement. </w:t>
      </w:r>
    </w:p>
    <w:p>
      <w:pPr>
        <w:pStyle w:val="TextBody"/>
        <w:bidi w:val="0"/>
        <w:spacing w:before="240" w:after="0"/>
        <w:jc w:val="left"/>
        <w:rPr>
          <w:rFonts w:ascii="Times New Roman" w:hAnsi="Times New Roman"/>
          <w:sz w:val="20"/>
        </w:rPr>
      </w:pPr>
      <w:r>
        <w:rPr>
          <w:rFonts w:ascii="Times New Roman" w:hAnsi="Times New Roman"/>
          <w:i/>
          <w:sz w:val="20"/>
        </w:rPr>
        <w:t>Waiver of jury trial</w:t>
      </w:r>
      <w:r>
        <w:rPr>
          <w:rFonts w:ascii="Times New Roman" w:hAnsi="Times New Roman"/>
          <w:sz w:val="20"/>
        </w:rPr>
        <w:t xml:space="preserve">. BioNTech and CureVac have acknowledged and agree that any controversy that may arise under the Purchase Agreement is likely to involve complicated and difficult issues and, therefore, BioNTech and CureVac each have irrevocably and unconditionally waived any right it may have to a trial by jury in respect of any action (whether based on contract, tort, or otherwise) directly or indirectly arising out of or relating to the Purchase Agreement, the other documents and agreements delivered in connection therewith or the transactions or the actions of BioNTech and CureVac in the negotiation, administration, performance, and enforcement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oc847647_74"/>
      <w:bookmarkEnd w:id="80"/>
      <w:r>
        <w:rPr>
          <w:rFonts w:ascii="Times New Roman" w:hAnsi="Times New Roman"/>
          <w:b/>
          <w:sz w:val="20"/>
        </w:rPr>
        <w:t xml:space="preserve">THE TENDER AND SUPPORT AGREEMENTS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offer to exchange/prospectus summarizes the material provisions of the tender and support agreements, a form of which are attached as Annex B to this offer to exchange/prospectus and are incorporated herein by reference. As a CureVac shareholder, you are not a third party beneficiary of the tender and support agreements and therefore you may not directly enforce any of their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Dievini, KfW, Glaxo Group Limited, which we refer to in this section as GSK, and all members of the CureVac boards, which hold approximately 57% of CureVac shares, in the aggregate, have entered into tender and support agreements pursuant to which they have agreed, among other things, to (i) accept the offer in respect of CureVac shares held by them and (ii) vote in favor of all resolutions proposed by CureVac at the EGM (and any subsequent EGM) and against certain proposals incompatible with the transactions, subject to the conditions and in accordance with the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Dievini’s tender and support agreement, which we refer to as the dievini TSA,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 After the expiration of both periods, the BioNTech ADSs dievini receives in the transactions will be freely tradeable. BioNTech has agreed in the dievini TSA that dievini may terminate such agreement in the event that a modification to the Purchase Agreement is effected without dievini’s consent and is materially adverse to dievini relative to other shareholders of CureVac, or if BioNTech is in violation of the obligation described in the next sentence. Additionally, BioNTech agreed in the dievini TSA that it will not, without dievini’s prior written consent, (i) impose any additional offer condition other than those set forth in the Purchase Agreement, (ii) amend, modify, or supplement such offer conditions or terms of the offer in a manner adverse to dievini, or (iii) make any modification or amendment that decreases the offer consideration or changes the form of consideration payable to dievini pursuant to the terms of the Purchase Agreement. Additionally, the dievini TSA includes a most favored nation provision with respect to tender and support and similar agreements entered into with other shareholders of CureVac, subject to certain exclusions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dievini has waived its rights to bring or participate in claims against BioNTech, CureVac, or any of their respective affiliates or successors, or their respective boards of directors (or similar governing bodies), relating to the negotiation, execution, or delivery of the dievini TSA or the consummation of the transactions or the transactions contemplated by the dievini TSA, such waiver by dievini excludes its right to commence claims or other actions under applicable law with respect to disclosure violations in connection with the dievini TSA, the offer, or the post-offer reorganization to the same extent as other shareholders of CureVac. </w:t>
      </w:r>
    </w:p>
    <w:p>
      <w:pPr>
        <w:pStyle w:val="TextBody"/>
        <w:bidi w:val="0"/>
        <w:spacing w:before="240" w:after="0"/>
        <w:jc w:val="left"/>
        <w:rPr>
          <w:rFonts w:ascii="Times New Roman" w:hAnsi="Times New Roman"/>
          <w:sz w:val="20"/>
        </w:rPr>
      </w:pPr>
      <w:r>
        <w:rPr>
          <w:rFonts w:ascii="Times New Roman" w:hAnsi="Times New Roman"/>
          <w:sz w:val="20"/>
        </w:rPr>
        <w:t xml:space="preserve">KfW’s tender and support agreement, which we refer to as the KfW TSA, provides that KfW may terminate such agreement in the event that a modification to the Purchase Agreement is effected without KfW’s consent and is materially adverse to KfW relative to other shareholders of CureVac, or if BioNTech is in violation of the obligations described in the next sentence. Additionally, BioNTech agreed in the KfW TSA that it will not, without KfW’s prior written consent, (i) impose any additional offer condition other than those set forth in the Purchase Agreement, (ii) amend, modify, or supplement such offer conditions or terms of the offer in a manner adverse to KfW, or (iii) make any modification or amendment that decreases the offer consideration or changes the form of consideration payable to KfW pursuant to the terms of the Purchase Agreement. Additionally, the KfW TSA includes a most favored nation provision with respect to tender and support and similar agreements entered into with other shareholders of CureVac, subject to certain exclusions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KfW has waived its rights to bring or participate in claims against BioNTech, CureVac, or any of their respective affiliates or successors, or their respective boards of directors (or similar governing bodies), relating to the negotiation, execution, or delivery of the KfW TSA or the consummation of the transactions or the transactions contemplated by the KfW TSA, such waiver by KfW excludes its right to commence claims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under applicable law with respect to disclosure violations in connection with the KfW TSA, the offer, or the post-offer reorganization to the same extent as other shareholders of CureVac. </w:t>
      </w:r>
    </w:p>
    <w:p>
      <w:pPr>
        <w:pStyle w:val="TextBody"/>
        <w:bidi w:val="0"/>
        <w:spacing w:before="240" w:after="0"/>
        <w:jc w:val="left"/>
        <w:rPr>
          <w:rFonts w:ascii="Times New Roman" w:hAnsi="Times New Roman"/>
          <w:sz w:val="20"/>
        </w:rPr>
      </w:pPr>
      <w:r>
        <w:rPr>
          <w:rFonts w:ascii="Times New Roman" w:hAnsi="Times New Roman"/>
          <w:sz w:val="20"/>
        </w:rPr>
        <w:t xml:space="preserve">GSK’s tender and support agreement, which we refer to as the GSK TSA, provides that GSK may terminate such agreement in the event that a modification to the Purchase Agreement is effected without GSK’s consent and is materially adverse to GSK relative to other shareholders of CureVac, or if BioNTech is in violation of the obligation described in the next sentence. Additionally, BioNTech agreed in the GSK TSA that it will not, without GSK’s prior written consent, (i) impose any additional offer condition other than those set forth in the Purchase Agreement, (ii) amend, modify, or supplement such offer conditions or terms of the offer in a manner adverse to GSK, or (iii) make any modification or amendment that decreases the offer consideration or changes the form of consideration payable to GSK pursuant to the terms of the Purchase Agreement. Additionally, the GSK TSA includes a most favored nation provision with respect to tender and support and similar agreements entered into with other shareholders of CureVac, subject to certain exclusions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GSK has waived its rights to bring claims against BioNTech, CureVac, or any of their respective affiliates or successors, or their respective boards of directors (or similar governing bodies), relating to the negotiation, execution, or delivery of the GSK TSA or the consummation of the transactions or the transactions contemplated by the GSK TSA, such waiver by GSK excludes its right to commence claims or other actions under applicable law with respect to disclosure violations in connection with the GSK TSA, the offer, or the post-offer reorganization to the same extent as other shareholders of CureVac.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oc847647_75"/>
      <w:bookmarkEnd w:id="81"/>
      <w:r>
        <w:rPr>
          <w:rFonts w:ascii="Times New Roman" w:hAnsi="Times New Roman"/>
          <w:b/>
          <w:sz w:val="20"/>
        </w:rPr>
        <w:t xml:space="preserve">DESCRIPTION OF BIONTECH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sets forth certain material terms and provisions of BioNTech ordinary shares and BioNTech ADSs representing BioNTech ordinary shares that are registered under Section 12 of the Exchange Act. This description also summarizes certain provisions of the articles of association of BioNTech, as amended from time to time, which we refer to as the BioNTech articles, and German law as of the date of this offer to exchange/prospectus. This summary does not purport to be complete and is qualified in its entirety by the provisions of the BioNTech articles filed with the SEC, which is included as an exhibit to the registration statement, as well as to the applicable provisions of German legislation on stock corporations. We encourage you to read the BioNTech articles and the applicable provisions of German law for additional information. References in this section to “we,” “us,” “our,” or similar pronouns refer to BioNTech. </w:t>
      </w:r>
    </w:p>
    <w:p>
      <w:pPr>
        <w:pStyle w:val="TextBody"/>
        <w:bidi w:val="0"/>
        <w:spacing w:before="240" w:after="0"/>
        <w:jc w:val="left"/>
        <w:rPr>
          <w:rFonts w:ascii="Times New Roman" w:hAnsi="Times New Roman"/>
          <w:b/>
          <w:sz w:val="20"/>
        </w:rPr>
      </w:pPr>
      <w:r>
        <w:rPr>
          <w:rFonts w:ascii="Times New Roman" w:hAnsi="Times New Roman"/>
          <w:b/>
          <w:sz w:val="20"/>
        </w:rPr>
        <w:t xml:space="preserve">Ordinary Shares </w:t>
      </w:r>
    </w:p>
    <w:p>
      <w:pPr>
        <w:pStyle w:val="TextBody"/>
        <w:bidi w:val="0"/>
        <w:spacing w:before="120" w:after="0"/>
        <w:jc w:val="left"/>
        <w:rPr>
          <w:rFonts w:ascii="Times New Roman" w:hAnsi="Times New Roman"/>
          <w:sz w:val="20"/>
        </w:rPr>
      </w:pPr>
      <w:r>
        <w:rPr>
          <w:rFonts w:ascii="Times New Roman" w:hAnsi="Times New Roman"/>
          <w:sz w:val="20"/>
        </w:rPr>
        <w:t>We were incorporated as a German stock corporation (</w:t>
      </w:r>
      <w:r>
        <w:rPr>
          <w:rFonts w:ascii="Times New Roman" w:hAnsi="Times New Roman"/>
          <w:i/>
          <w:sz w:val="20"/>
        </w:rPr>
        <w:t>Aktiengesellschaft</w:t>
      </w:r>
      <w:r>
        <w:rPr>
          <w:rFonts w:ascii="Times New Roman" w:hAnsi="Times New Roman"/>
          <w:sz w:val="20"/>
        </w:rPr>
        <w:t>) with the legal name Petersberg 91. V V AG under the laws of the Federal Republic of Germany on June 2, 2008. We changed our name to BioNTech AG on November 10, 2008. Effective as of March 8, 2019, the date on which the change of legal form and company was registered with the commercial register (</w:t>
      </w:r>
      <w:r>
        <w:rPr>
          <w:rFonts w:ascii="Times New Roman" w:hAnsi="Times New Roman"/>
          <w:i/>
          <w:sz w:val="20"/>
        </w:rPr>
        <w:t>Handelsregister</w:t>
      </w:r>
      <w:r>
        <w:rPr>
          <w:rFonts w:ascii="Times New Roman" w:hAnsi="Times New Roman"/>
          <w:sz w:val="20"/>
        </w:rPr>
        <w:t>) of the local court (</w:t>
      </w:r>
      <w:r>
        <w:rPr>
          <w:rFonts w:ascii="Times New Roman" w:hAnsi="Times New Roman"/>
          <w:i/>
          <w:sz w:val="20"/>
        </w:rPr>
        <w:t>Amtsgericht</w:t>
      </w:r>
      <w:r>
        <w:rPr>
          <w:rFonts w:ascii="Times New Roman" w:hAnsi="Times New Roman"/>
          <w:sz w:val="20"/>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which we refer to as the SE Regulation, the German Law on the Implementation of Council Regulation (EC) No 2157/2001 of October 8, 2001 on the Statute for a European company (SE) (</w:t>
      </w:r>
      <w:r>
        <w:rPr>
          <w:rFonts w:ascii="Times New Roman" w:hAnsi="Times New Roman"/>
          <w:i/>
          <w:sz w:val="20"/>
        </w:rPr>
        <w:t>Gesetz zur Ausführung der Verordnung (EG) NR. 2157/2001 des Rates vom 8. Oktober 2001 über das Statut der Europäischen Gesellschaft (SE) (SE-Ausführungsgesetz-SEAG)</w:t>
      </w:r>
      <w:r>
        <w:rPr>
          <w:rFonts w:ascii="Times New Roman" w:hAnsi="Times New Roman"/>
          <w:sz w:val="20"/>
        </w:rPr>
        <w:t>), and the German Stock Corporation Act (</w:t>
      </w:r>
      <w:r>
        <w:rPr>
          <w:rFonts w:ascii="Times New Roman" w:hAnsi="Times New Roman"/>
          <w:i/>
          <w:sz w:val="20"/>
        </w:rPr>
        <w:t>Aktiengesetz</w:t>
      </w:r>
      <w:r>
        <w:rPr>
          <w:rFonts w:ascii="Times New Roman" w:hAnsi="Times New Roman"/>
          <w:sz w:val="20"/>
        </w:rPr>
        <w:t xml:space="preserve">), in each case as amended. </w:t>
      </w:r>
    </w:p>
    <w:p>
      <w:pPr>
        <w:pStyle w:val="TextBody"/>
        <w:bidi w:val="0"/>
        <w:spacing w:before="240" w:after="0"/>
        <w:jc w:val="left"/>
        <w:rPr>
          <w:rFonts w:ascii="Times New Roman" w:hAnsi="Times New Roman"/>
          <w:sz w:val="20"/>
        </w:rPr>
      </w:pPr>
      <w:r>
        <w:rPr>
          <w:rFonts w:ascii="Times New Roman" w:hAnsi="Times New Roman"/>
          <w:sz w:val="20"/>
        </w:rPr>
        <w:t>We are registered with the commercial register (</w:t>
      </w:r>
      <w:r>
        <w:rPr>
          <w:rFonts w:ascii="Times New Roman" w:hAnsi="Times New Roman"/>
          <w:i/>
          <w:sz w:val="20"/>
        </w:rPr>
        <w:t>Handelsregister</w:t>
      </w:r>
      <w:r>
        <w:rPr>
          <w:rFonts w:ascii="Times New Roman" w:hAnsi="Times New Roman"/>
          <w:sz w:val="20"/>
        </w:rPr>
        <w:t>) of the local court (</w:t>
      </w:r>
      <w:r>
        <w:rPr>
          <w:rFonts w:ascii="Times New Roman" w:hAnsi="Times New Roman"/>
          <w:i/>
          <w:sz w:val="20"/>
        </w:rPr>
        <w:t>Amtsgericht</w:t>
      </w:r>
      <w:r>
        <w:rPr>
          <w:rFonts w:ascii="Times New Roman" w:hAnsi="Times New Roman"/>
          <w:sz w:val="20"/>
        </w:rPr>
        <w:t>) in Mainz, Germany, under number HRB 48720. Our statutory seat is in Mainz, Germany, and our registered office is An der Goldgrube 12, D-55131 Mainz, Germany. Copies of the BioNTech articles (</w:t>
      </w:r>
      <w:r>
        <w:rPr>
          <w:rFonts w:ascii="Times New Roman" w:hAnsi="Times New Roman"/>
          <w:i/>
          <w:sz w:val="20"/>
        </w:rPr>
        <w:t>Satzung</w:t>
      </w:r>
      <w:r>
        <w:rPr>
          <w:rFonts w:ascii="Times New Roman" w:hAnsi="Times New Roman"/>
          <w:sz w:val="20"/>
        </w:rPr>
        <w:t>) are publicly available from the commercial register (</w:t>
      </w:r>
      <w:r>
        <w:rPr>
          <w:rFonts w:ascii="Times New Roman" w:hAnsi="Times New Roman"/>
          <w:i/>
          <w:sz w:val="20"/>
        </w:rPr>
        <w:t>Handelsregister</w:t>
      </w:r>
      <w:r>
        <w:rPr>
          <w:rFonts w:ascii="Times New Roman" w:hAnsi="Times New Roman"/>
          <w:sz w:val="20"/>
        </w:rPr>
        <w:t xml:space="preserve">) at the local court of Mainz, Germany, electronically at www. handelsregister.de, and included as an exhibit to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sz w:val="20"/>
        </w:rPr>
      </w:pPr>
      <w:r>
        <w:rPr>
          <w:rFonts w:ascii="Times New Roman" w:hAnsi="Times New Roman"/>
          <w:sz w:val="20"/>
        </w:rPr>
        <w:t>We have share capital registered in the commercial register (</w:t>
      </w:r>
      <w:r>
        <w:rPr>
          <w:rFonts w:ascii="Times New Roman" w:hAnsi="Times New Roman"/>
          <w:i/>
          <w:sz w:val="20"/>
        </w:rPr>
        <w:t>Handelsregister</w:t>
      </w:r>
      <w:r>
        <w:rPr>
          <w:rFonts w:ascii="Times New Roman" w:hAnsi="Times New Roman"/>
          <w:sz w:val="20"/>
        </w:rPr>
        <w:t>) in the amount of 248,552,200, which is divided into 248,552,200 registered shares (</w:t>
      </w:r>
      <w:r>
        <w:rPr>
          <w:rFonts w:ascii="Times New Roman" w:hAnsi="Times New Roman"/>
          <w:i/>
          <w:sz w:val="20"/>
        </w:rPr>
        <w:t>Namensaktien</w:t>
      </w:r>
      <w:r>
        <w:rPr>
          <w:rFonts w:ascii="Times New Roman" w:hAnsi="Times New Roman"/>
          <w:sz w:val="20"/>
        </w:rPr>
        <w:t>). All shares are shares with no par value (</w:t>
      </w:r>
      <w:r>
        <w:rPr>
          <w:rFonts w:ascii="Times New Roman" w:hAnsi="Times New Roman"/>
          <w:i/>
          <w:sz w:val="20"/>
        </w:rPr>
        <w:t>Stückaktien ohne Nennbetrag</w:t>
      </w:r>
      <w:r>
        <w:rPr>
          <w:rFonts w:ascii="Times New Roman" w:hAnsi="Times New Roman"/>
          <w:sz w:val="20"/>
        </w:rPr>
        <w:t xml:space="preserve">) with a notional amount attributable to each ordinary share of 1.00. Each issued BioNTech ordinary share is fully paid. </w:t>
      </w:r>
    </w:p>
    <w:p>
      <w:pPr>
        <w:pStyle w:val="TextBody"/>
        <w:bidi w:val="0"/>
        <w:spacing w:before="240" w:after="0"/>
        <w:jc w:val="left"/>
        <w:rPr>
          <w:rFonts w:ascii="Times New Roman" w:hAnsi="Times New Roman"/>
          <w:b/>
          <w:sz w:val="20"/>
        </w:rPr>
      </w:pPr>
      <w:r>
        <w:rPr>
          <w:rFonts w:ascii="Times New Roman" w:hAnsi="Times New Roman"/>
          <w:b/>
          <w:sz w:val="20"/>
        </w:rPr>
        <w:t xml:space="preserve">Form, Certification, and Transferability of Shares </w:t>
      </w:r>
    </w:p>
    <w:p>
      <w:pPr>
        <w:pStyle w:val="TextBody"/>
        <w:bidi w:val="0"/>
        <w:spacing w:before="120" w:after="0"/>
        <w:jc w:val="left"/>
        <w:rPr>
          <w:rFonts w:ascii="Times New Roman" w:hAnsi="Times New Roman"/>
          <w:sz w:val="20"/>
        </w:rPr>
      </w:pPr>
      <w:r>
        <w:rPr>
          <w:rFonts w:ascii="Times New Roman" w:hAnsi="Times New Roman"/>
          <w:sz w:val="20"/>
        </w:rPr>
        <w:t xml:space="preserve">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 </w:t>
      </w:r>
    </w:p>
    <w:p>
      <w:pPr>
        <w:pStyle w:val="TextBody"/>
        <w:bidi w:val="0"/>
        <w:spacing w:before="240" w:after="0"/>
        <w:jc w:val="left"/>
        <w:rPr>
          <w:rFonts w:ascii="Times New Roman" w:hAnsi="Times New Roman"/>
          <w:sz w:val="20"/>
        </w:rPr>
      </w:pPr>
      <w:r>
        <w:rPr>
          <w:rFonts w:ascii="Times New Roman" w:hAnsi="Times New Roman"/>
          <w:sz w:val="20"/>
        </w:rPr>
        <w:t xml:space="preserve">Our shares are freely transferable under German law. </w:t>
      </w:r>
    </w:p>
    <w:p>
      <w:pPr>
        <w:pStyle w:val="TextBody"/>
        <w:bidi w:val="0"/>
        <w:spacing w:before="240" w:after="0"/>
        <w:jc w:val="left"/>
        <w:rPr>
          <w:rFonts w:ascii="Times New Roman" w:hAnsi="Times New Roman"/>
          <w:b/>
          <w:sz w:val="20"/>
        </w:rPr>
      </w:pPr>
      <w:r>
        <w:rPr>
          <w:rFonts w:ascii="Times New Roman" w:hAnsi="Times New Roman"/>
          <w:b/>
          <w:sz w:val="20"/>
        </w:rPr>
        <w:t xml:space="preserve">Anti-takeover Provisions of Our Charter Documents </w:t>
      </w:r>
    </w:p>
    <w:p>
      <w:pPr>
        <w:pStyle w:val="TextBody"/>
        <w:bidi w:val="0"/>
        <w:spacing w:before="120" w:after="0"/>
        <w:jc w:val="left"/>
        <w:rPr>
          <w:rFonts w:ascii="Times New Roman" w:hAnsi="Times New Roman"/>
          <w:sz w:val="20"/>
        </w:rPr>
      </w:pPr>
      <w:r>
        <w:rPr>
          <w:rFonts w:ascii="Times New Roman" w:hAnsi="Times New Roman"/>
          <w:sz w:val="20"/>
        </w:rPr>
        <w:t>The BioNTech articles (</w:t>
      </w:r>
      <w:r>
        <w:rPr>
          <w:rFonts w:ascii="Times New Roman" w:hAnsi="Times New Roman"/>
          <w:i/>
          <w:sz w:val="20"/>
        </w:rPr>
        <w:t>Satzung</w:t>
      </w:r>
      <w:r>
        <w:rPr>
          <w:rFonts w:ascii="Times New Roman" w:hAnsi="Times New Roman"/>
          <w:sz w:val="20"/>
        </w:rPr>
        <w:t xml:space="preserve">) do not include any provisions that would have a direct effect of delaying, deferring, or preventing a change of control. However, in the event of a hostile takeover, we could use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 </w:t>
      </w:r>
    </w:p>
    <w:p>
      <w:pPr>
        <w:pStyle w:val="TextBody"/>
        <w:bidi w:val="0"/>
        <w:spacing w:before="240" w:after="0"/>
        <w:jc w:val="left"/>
        <w:rPr>
          <w:rFonts w:ascii="Times New Roman" w:hAnsi="Times New Roman"/>
          <w:b/>
          <w:sz w:val="20"/>
        </w:rPr>
      </w:pPr>
      <w:r>
        <w:rPr>
          <w:rFonts w:ascii="Times New Roman" w:hAnsi="Times New Roman"/>
          <w:b/>
          <w:sz w:val="20"/>
        </w:rPr>
        <w:t xml:space="preserve">Future Changes to the 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Authorized Capital </w:t>
      </w:r>
    </w:p>
    <w:p>
      <w:pPr>
        <w:pStyle w:val="TextBody"/>
        <w:bidi w:val="0"/>
        <w:spacing w:before="120" w:after="0"/>
        <w:jc w:val="left"/>
        <w:rPr>
          <w:rFonts w:ascii="Times New Roman" w:hAnsi="Times New Roman"/>
          <w:sz w:val="20"/>
        </w:rPr>
      </w:pPr>
      <w:r>
        <w:rPr>
          <w:rFonts w:ascii="Times New Roman" w:hAnsi="Times New Roman"/>
          <w:sz w:val="20"/>
        </w:rPr>
        <w:t>Under the relevant law, the general meeting of a European stock corporation (</w:t>
      </w:r>
      <w:r>
        <w:rPr>
          <w:rFonts w:ascii="Times New Roman" w:hAnsi="Times New Roman"/>
          <w:i/>
          <w:sz w:val="20"/>
        </w:rPr>
        <w:t>Societas Europaea</w:t>
      </w:r>
      <w:r>
        <w:rPr>
          <w:rFonts w:ascii="Times New Roman" w:hAnsi="Times New Roman"/>
          <w:sz w:val="20"/>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hAnsi="Times New Roman"/>
          <w:i/>
          <w:sz w:val="20"/>
        </w:rPr>
        <w:t>Handelsregister</w:t>
      </w:r>
      <w:r>
        <w:rPr>
          <w:rFonts w:ascii="Times New Roman" w:hAnsi="Times New Roman"/>
          <w:sz w:val="20"/>
        </w:rPr>
        <w:t xml:space="preserve">) and is valid for a maximum period of five years. </w:t>
      </w:r>
    </w:p>
    <w:p>
      <w:pPr>
        <w:pStyle w:val="TextBody"/>
        <w:bidi w:val="0"/>
        <w:spacing w:before="240" w:after="0"/>
        <w:jc w:val="left"/>
        <w:rPr>
          <w:rFonts w:ascii="Times New Roman" w:hAnsi="Times New Roman"/>
          <w:sz w:val="20"/>
        </w:rPr>
      </w:pPr>
      <w:r>
        <w:rPr>
          <w:rFonts w:ascii="Times New Roman" w:hAnsi="Times New Roman"/>
          <w:sz w:val="20"/>
        </w:rPr>
        <w:t>Under § 4(5) of the BioNTech articles (</w:t>
      </w:r>
      <w:r>
        <w:rPr>
          <w:rFonts w:ascii="Times New Roman" w:hAnsi="Times New Roman"/>
          <w:i/>
          <w:sz w:val="20"/>
        </w:rPr>
        <w:t>Satzung</w:t>
      </w:r>
      <w:r>
        <w:rPr>
          <w:rFonts w:ascii="Times New Roman" w:hAnsi="Times New Roman"/>
          <w:sz w:val="20"/>
        </w:rPr>
        <w:t xml:space="preserve">), the BioNTech management board is authorized, with the approval of the BioNTech supervisory board, to increase BioNTech’s share capital on one or more occasions in the period up to May 15, 2030, by a total of up to 124,276,100 by issuing up to 124,276,100 new no-par value registered shares in return for cash and/or non-cash contributions, which we refer to as the authorized capital 2025. The BioNTech management board is authorized, with the approval of the BioNTech supervisory board, to determine the further content of the share rights and the conditions of the share issue. </w:t>
      </w:r>
    </w:p>
    <w:p>
      <w:pPr>
        <w:pStyle w:val="TextBody"/>
        <w:bidi w:val="0"/>
        <w:spacing w:before="240" w:after="0"/>
        <w:jc w:val="left"/>
        <w:rPr>
          <w:rFonts w:ascii="Times New Roman" w:hAnsi="Times New Roman"/>
          <w:sz w:val="20"/>
        </w:rPr>
      </w:pPr>
      <w:r>
        <w:rPr>
          <w:rFonts w:ascii="Times New Roman" w:hAnsi="Times New Roman"/>
          <w:sz w:val="20"/>
        </w:rPr>
        <w:t>Shareholders must generally be granted subscription rights. The shares may also be acquired by one or more credit institutions, securities institutions, or other companies within the meaning of Section 186 para. 5 sentence 1 German Stock Corporation Act (</w:t>
      </w:r>
      <w:r>
        <w:rPr>
          <w:rFonts w:ascii="Times New Roman" w:hAnsi="Times New Roman"/>
          <w:i/>
          <w:sz w:val="20"/>
        </w:rPr>
        <w:t>Aktiengesetz</w:t>
      </w:r>
      <w:r>
        <w:rPr>
          <w:rFonts w:ascii="Times New Roman" w:hAnsi="Times New Roman"/>
          <w:sz w:val="20"/>
        </w:rPr>
        <w:t xml:space="preserve">) determined by the BioNTech management board with the obligation to offer them to BioNTech’s shareholders for subscription (indirect subscription right). </w:t>
      </w:r>
    </w:p>
    <w:p>
      <w:pPr>
        <w:pStyle w:val="TextBody"/>
        <w:bidi w:val="0"/>
        <w:spacing w:before="240" w:after="0"/>
        <w:jc w:val="left"/>
        <w:rPr>
          <w:rFonts w:ascii="Times New Roman" w:hAnsi="Times New Roman"/>
          <w:sz w:val="20"/>
        </w:rPr>
      </w:pPr>
      <w:r>
        <w:rPr>
          <w:rFonts w:ascii="Times New Roman" w:hAnsi="Times New Roman"/>
          <w:sz w:val="20"/>
        </w:rPr>
        <w:t xml:space="preserve">However, the BioNTech management board is authorized, with the approval of the BioNTech supervisory board, to exclude shareholders’ subscription rights for one or more capital increases as part of the authorized capital 2025,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exclude fractional amounts from the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of a capital increase against cash contributions, if the issue price of the new shares is not significantly lower than the market price; the market price is also deemed to be the price of one BioNTech ADS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BioNTech ADSs issued or sold during the term of this authorization in direct or analogous application of Section 186 para. 3 sentence 4 German Stock Corporation Act (</w:t>
            </w:r>
            <w:r>
              <w:rPr>
                <w:rFonts w:ascii="Times New Roman" w:hAnsi="Times New Roman"/>
                <w:i/>
                <w:sz w:val="20"/>
              </w:rPr>
              <w:t>Aktiengesetz</w:t>
            </w:r>
            <w:r>
              <w:rPr>
                <w:rFonts w:ascii="Times New Roman" w:hAnsi="Times New Roman"/>
                <w:sz w:val="20"/>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hAnsi="Times New Roman"/>
                <w:i/>
                <w:sz w:val="20"/>
              </w:rPr>
              <w:t>Aktiengesetz</w:t>
            </w:r>
            <w:r>
              <w:rPr>
                <w:rFonts w:ascii="Times New Roman" w:hAnsi="Times New Roman"/>
                <w:sz w:val="20"/>
              </w:rPr>
              <w:t xml:space="preserve">) with the exclusion of subscription rights. The above issue limitation applies to BioNTech ADSs, provided that the number of BioNTech ADSs is to be divided by the number of BioNTech ADSs representing one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BioNTech and its group companies as well as license or industrial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service option or conversion rights or obligations arising from bonds issued or to be issued by BioNTech and/or companies in which BioNTech directly or indirectly holds a majority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implement a scrip dividend, whereby shareholders are offered the option of contributing their dividend entitlement (in whole or in part) to BioNTech as a contribution in kind in return for the issuance of new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if the new shares are issued as part of an incentive program and/or as share-based compensation to members of BioNTech’s management board, members of the management of companies affiliated with BioNTech within the meaning of sections 15 et seq. German Stock Corporation Act (</w:t>
            </w:r>
            <w:r>
              <w:rPr>
                <w:rFonts w:ascii="Times New Roman" w:hAnsi="Times New Roman"/>
                <w:i/>
                <w:sz w:val="20"/>
              </w:rPr>
              <w:t>Aktiengesetz</w:t>
            </w:r>
            <w:r>
              <w:rPr>
                <w:rFonts w:ascii="Times New Roman" w:hAnsi="Times New Roman"/>
                <w:sz w:val="20"/>
              </w:rPr>
              <w:t>) or employees of BioNTech or of companies affiliated with BioNTech within the meaning of sections 15 et seq. German Stock Corporation Act (</w:t>
            </w:r>
            <w:r>
              <w:rPr>
                <w:rFonts w:ascii="Times New Roman" w:hAnsi="Times New Roman"/>
                <w:i/>
                <w:sz w:val="20"/>
              </w:rPr>
              <w:t>Aktiengesetz</w:t>
            </w:r>
            <w:r>
              <w:rPr>
                <w:rFonts w:ascii="Times New Roman" w:hAnsi="Times New Roman"/>
                <w:sz w:val="20"/>
              </w:rPr>
              <w:t xml:space="preserve">); restrictions relating to the shares issued may be agreed. If shares are to be issued to members of the BioNTech management board, the BioNTech supervisory board decides on the allocation in accordance with the allocation of responsibilities under stock corporation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BioNTech ADSs that are issued or sold during the term of this authorization on the basis of other authorizations with the exclusion of subscription rights, with the exception of treasury shares or BioNTech ADSs used in accordance with para. c) (iv), (v), or (vi) of the resolution on agenda item 10 of BioNTech’s Annual General Meeting on May 17, 2024, also in conjunction with para. f) of the resolution on agenda item 11 of BioNTech’s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BioNTech ADSs with the proviso that the number of BioNTech ADSs is to be divided by the number of BioNTech ADSs representing one share.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Conditional Capital </w:t>
      </w:r>
    </w:p>
    <w:p>
      <w:pPr>
        <w:pStyle w:val="TextBody"/>
        <w:bidi w:val="0"/>
        <w:spacing w:before="120" w:after="0"/>
        <w:jc w:val="left"/>
        <w:rPr>
          <w:rFonts w:ascii="Times New Roman" w:hAnsi="Times New Roman"/>
          <w:sz w:val="20"/>
        </w:rPr>
      </w:pPr>
      <w:r>
        <w:rPr>
          <w:rFonts w:ascii="Times New Roman" w:hAnsi="Times New Roman"/>
          <w:sz w:val="20"/>
        </w:rPr>
        <w:t>Pursuant to § 4(6) of the BioNTech articles (</w:t>
      </w:r>
      <w:r>
        <w:rPr>
          <w:rFonts w:ascii="Times New Roman" w:hAnsi="Times New Roman"/>
          <w:i/>
          <w:sz w:val="20"/>
        </w:rPr>
        <w:t>Satzung</w:t>
      </w:r>
      <w:r>
        <w:rPr>
          <w:rFonts w:ascii="Times New Roman" w:hAnsi="Times New Roman"/>
          <w:sz w:val="20"/>
        </w:rPr>
        <w:t>), our share capital is conditionally increased by 4,943,452 through issuance of new registered shares with no par value, which we refer to as the Conditional Capital ESOP 2017/2019 (</w:t>
      </w:r>
      <w:r>
        <w:rPr>
          <w:rFonts w:ascii="Times New Roman" w:hAnsi="Times New Roman"/>
          <w:i/>
          <w:sz w:val="20"/>
        </w:rPr>
        <w:t>Bedingtes Kapital ESOP 2017/2019</w:t>
      </w:r>
      <w:r>
        <w:rPr>
          <w:rFonts w:ascii="Times New Roman" w:hAnsi="Times New Roman"/>
          <w:sz w:val="20"/>
        </w:rPr>
        <w:t xml:space="preserve">). The Conditional Capital ESOP 2017/2019 may only be used to issue shares to the holders of option rights granted under the authorization for the Conditional Capital ESOP 2017/2019, which we refer to as the Authorization 2017/2019. </w:t>
      </w:r>
    </w:p>
    <w:p>
      <w:pPr>
        <w:pStyle w:val="TextBody"/>
        <w:bidi w:val="0"/>
        <w:spacing w:before="240" w:after="0"/>
        <w:jc w:val="left"/>
        <w:rPr>
          <w:rFonts w:ascii="Times New Roman" w:hAnsi="Times New Roman"/>
          <w:sz w:val="20"/>
        </w:rPr>
      </w:pPr>
      <w:r>
        <w:rPr>
          <w:rFonts w:ascii="Times New Roman" w:hAnsi="Times New Roman"/>
          <w:sz w:val="20"/>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the BioNTech articles (</w:t>
      </w:r>
      <w:r>
        <w:rPr>
          <w:rFonts w:ascii="Times New Roman" w:hAnsi="Times New Roman"/>
          <w:i/>
          <w:sz w:val="20"/>
        </w:rPr>
        <w:t>Satzung</w:t>
      </w:r>
      <w:r>
        <w:rPr>
          <w:rFonts w:ascii="Times New Roman" w:hAnsi="Times New Roman"/>
          <w:sz w:val="20"/>
        </w:rPr>
        <w:t xml:space="preserve">) will be entitled to dividends from the beginning of the previous financial year in case they are created by the exercise of subscription rights until the start of our Annual General Meeting and otherwise from the beginning of the financial year in which they are created as a result of the exercise of the stock options. </w:t>
      </w:r>
    </w:p>
    <w:p>
      <w:pPr>
        <w:pStyle w:val="TextBody"/>
        <w:bidi w:val="0"/>
        <w:spacing w:before="240" w:after="0"/>
        <w:jc w:val="left"/>
        <w:rPr>
          <w:rFonts w:ascii="Times New Roman" w:hAnsi="Times New Roman"/>
          <w:sz w:val="20"/>
        </w:rPr>
      </w:pPr>
      <w:r>
        <w:rPr>
          <w:rFonts w:ascii="Times New Roman" w:hAnsi="Times New Roman"/>
          <w:sz w:val="20"/>
        </w:rPr>
        <w:t>Pursuant to § 4(7) of the BioNTech articles (</w:t>
      </w:r>
      <w:r>
        <w:rPr>
          <w:rFonts w:ascii="Times New Roman" w:hAnsi="Times New Roman"/>
          <w:i/>
          <w:sz w:val="20"/>
        </w:rPr>
        <w:t>Satzung</w:t>
      </w:r>
      <w:r>
        <w:rPr>
          <w:rFonts w:ascii="Times New Roman" w:hAnsi="Times New Roman"/>
          <w:sz w:val="20"/>
        </w:rPr>
        <w:t>), our share capital is conditionally increased by 24,855,220 through issuance of new registered shares with no par value, which we refer to as the Conditional Capital WSV 2024 (</w:t>
      </w:r>
      <w:r>
        <w:rPr>
          <w:rFonts w:ascii="Times New Roman" w:hAnsi="Times New Roman"/>
          <w:i/>
          <w:sz w:val="20"/>
        </w:rPr>
        <w:t>Bedingtes Kapital WSV 2024</w:t>
      </w:r>
      <w:r>
        <w:rPr>
          <w:rFonts w:ascii="Times New Roman" w:hAnsi="Times New Roman"/>
          <w:sz w:val="20"/>
        </w:rPr>
        <w:t xml:space="preserve">). The conditional capital may only be used until May 16, 2029 to issue shares to the holders or creditors of option rights or conversion rights or those under an obligation to convert under warrant-linked or convertible bonds their option rights or conversion rights or where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or other forms of fulfilment are not utilized for servicing. </w:t>
      </w:r>
    </w:p>
    <w:p>
      <w:pPr>
        <w:pStyle w:val="TextBody"/>
        <w:bidi w:val="0"/>
        <w:spacing w:before="240" w:after="0"/>
        <w:jc w:val="left"/>
        <w:rPr>
          <w:rFonts w:ascii="Times New Roman" w:hAnsi="Times New Roman"/>
          <w:sz w:val="20"/>
        </w:rPr>
      </w:pPr>
      <w:r>
        <w:rPr>
          <w:rFonts w:ascii="Times New Roman" w:hAnsi="Times New Roman"/>
          <w:sz w:val="20"/>
        </w:rPr>
        <w:t>Any new shares issued under the Conditional Capital WSV 2024 pursuant to § 4(7) of the BioNTech articles (</w:t>
      </w:r>
      <w:r>
        <w:rPr>
          <w:rFonts w:ascii="Times New Roman" w:hAnsi="Times New Roman"/>
          <w:i/>
          <w:sz w:val="20"/>
        </w:rPr>
        <w:t>Satzung</w:t>
      </w:r>
      <w:r>
        <w:rPr>
          <w:rFonts w:ascii="Times New Roman" w:hAnsi="Times New Roman"/>
          <w:sz w:val="20"/>
        </w:rPr>
        <w:t>) will be entitled to dividends from the beginning of the financial year in which they are created; however, as far as the law permits, the BioNTech management board, with the consent of the BioNTech supervisory board, can confer dividend rights for new shares in derogation of the foregoing and also in deviation from Section 60 para. 2 of the German Stock Corporation Act (</w:t>
      </w:r>
      <w:r>
        <w:rPr>
          <w:rFonts w:ascii="Times New Roman" w:hAnsi="Times New Roman"/>
          <w:i/>
          <w:sz w:val="20"/>
        </w:rPr>
        <w:t>Aktiengesetz</w:t>
      </w:r>
      <w:r>
        <w:rPr>
          <w:rFonts w:ascii="Times New Roman" w:hAnsi="Times New Roman"/>
          <w:sz w:val="20"/>
        </w:rPr>
        <w:t xml:space="preserve">) for a financial year that has already expired. The BioNTech management board is authorized, with the approval of the BioNTech supervisory board, to determine the further details of the implementation of the conditional capital increase. </w:t>
      </w:r>
    </w:p>
    <w:p>
      <w:pPr>
        <w:pStyle w:val="TextBody"/>
        <w:bidi w:val="0"/>
        <w:spacing w:before="240" w:after="0"/>
        <w:jc w:val="left"/>
        <w:rPr>
          <w:rFonts w:ascii="Times New Roman" w:hAnsi="Times New Roman"/>
          <w:sz w:val="20"/>
        </w:rPr>
      </w:pPr>
      <w:r>
        <w:rPr>
          <w:rFonts w:ascii="Times New Roman" w:hAnsi="Times New Roman"/>
          <w:sz w:val="20"/>
        </w:rPr>
        <w:t>Pursuant to § 4(8) of the BioNTech articles (</w:t>
      </w:r>
      <w:r>
        <w:rPr>
          <w:rFonts w:ascii="Times New Roman" w:hAnsi="Times New Roman"/>
          <w:i/>
          <w:sz w:val="20"/>
        </w:rPr>
        <w:t>Satzung</w:t>
      </w:r>
      <w:r>
        <w:rPr>
          <w:rFonts w:ascii="Times New Roman" w:hAnsi="Times New Roman"/>
          <w:sz w:val="20"/>
        </w:rPr>
        <w:t>), our share capital is conditionally increased by 1,300,000 through issuance of new, registered shares with no par value, which we refer to as the Conditional Capital ESOP 2021 (</w:t>
      </w:r>
      <w:r>
        <w:rPr>
          <w:rFonts w:ascii="Times New Roman" w:hAnsi="Times New Roman"/>
          <w:i/>
          <w:sz w:val="20"/>
        </w:rPr>
        <w:t>Bedingtes Kapital ESOP 2021</w:t>
      </w:r>
      <w:r>
        <w:rPr>
          <w:rFonts w:ascii="Times New Roman" w:hAnsi="Times New Roman"/>
          <w:sz w:val="20"/>
        </w:rPr>
        <w:t xml:space="preserve">). The Conditional Capital ESOP 2021 serves exclusively to grant rights to the holders of stock options issued by us in accordance with the authorization granted by the Annual General Meeting on June 22, 2021 under agenda item 6 letter (d) also as amended by the resolution of the Annual General Meeting on May 17, 2024 under agenda items 12 and 13, which we refer to as authorization 2021. </w:t>
      </w:r>
    </w:p>
    <w:p>
      <w:pPr>
        <w:pStyle w:val="TextBody"/>
        <w:bidi w:val="0"/>
        <w:spacing w:before="240" w:after="0"/>
        <w:jc w:val="left"/>
        <w:rPr>
          <w:rFonts w:ascii="Times New Roman" w:hAnsi="Times New Roman"/>
          <w:sz w:val="20"/>
        </w:rPr>
      </w:pPr>
      <w:r>
        <w:rPr>
          <w:rFonts w:ascii="Times New Roman" w:hAnsi="Times New Roman"/>
          <w:sz w:val="20"/>
        </w:rPr>
        <w:t>The conditional capital increase will only be implemented to the extent that stock options under our ESOP are exercised by the holders of the stock options issued by us on the basis of authorization 2021 and such stock options are not settled by us with treasury shares or through cash payments. Any new shares issued under the Conditional Capital ESOP 2021 pursuant to § 4(8) of the BioNTech articles (</w:t>
      </w:r>
      <w:r>
        <w:rPr>
          <w:rFonts w:ascii="Times New Roman" w:hAnsi="Times New Roman"/>
          <w:i/>
          <w:sz w:val="20"/>
        </w:rPr>
        <w:t>Satzung</w:t>
      </w:r>
      <w:r>
        <w:rPr>
          <w:rFonts w:ascii="Times New Roman" w:hAnsi="Times New Roman"/>
          <w:sz w:val="20"/>
        </w:rPr>
        <w:t xml:space="preserve">)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w:t>
      </w:r>
    </w:p>
    <w:p>
      <w:pPr>
        <w:pStyle w:val="TextBody"/>
        <w:bidi w:val="0"/>
        <w:spacing w:before="240" w:after="0"/>
        <w:jc w:val="left"/>
        <w:rPr>
          <w:rFonts w:ascii="Times New Roman" w:hAnsi="Times New Roman"/>
          <w:sz w:val="20"/>
        </w:rPr>
      </w:pPr>
      <w:r>
        <w:rPr>
          <w:rFonts w:ascii="Times New Roman" w:hAnsi="Times New Roman"/>
          <w:sz w:val="20"/>
        </w:rPr>
        <w:t>Pursuant to § 4(9) of the BioNTech articles (</w:t>
      </w:r>
      <w:r>
        <w:rPr>
          <w:rFonts w:ascii="Times New Roman" w:hAnsi="Times New Roman"/>
          <w:i/>
          <w:sz w:val="20"/>
        </w:rPr>
        <w:t>Satzung</w:t>
      </w:r>
      <w:r>
        <w:rPr>
          <w:rFonts w:ascii="Times New Roman" w:hAnsi="Times New Roman"/>
          <w:sz w:val="20"/>
        </w:rPr>
        <w:t>), our share capital is conditionally increased by 6,213,805 through issuance of new, registered shares with no par value, which we refer to as the Conditional Capital ESOP 2024 (</w:t>
      </w:r>
      <w:r>
        <w:rPr>
          <w:rFonts w:ascii="Times New Roman" w:hAnsi="Times New Roman"/>
          <w:i/>
          <w:sz w:val="20"/>
        </w:rPr>
        <w:t>Bedingtes Kapital ESOP 2024</w:t>
      </w:r>
      <w:r>
        <w:rPr>
          <w:rFonts w:ascii="Times New Roman" w:hAnsi="Times New Roman"/>
          <w:sz w:val="20"/>
        </w:rPr>
        <w:t xml:space="preserve">). The Conditional Capital ESOP 2024 serves exclusively to grant rights to the holders of stock options issued by us in accordance with the authorization granted by the Annual General Meeting on May 17, 2024, under agenda item 13 letter (f), which we refer to as authorization 2024. </w:t>
      </w:r>
    </w:p>
    <w:p>
      <w:pPr>
        <w:pStyle w:val="TextBody"/>
        <w:bidi w:val="0"/>
        <w:spacing w:before="240" w:after="0"/>
        <w:jc w:val="left"/>
        <w:rPr>
          <w:rFonts w:ascii="Times New Roman" w:hAnsi="Times New Roman"/>
          <w:sz w:val="20"/>
        </w:rPr>
      </w:pPr>
      <w:r>
        <w:rPr>
          <w:rFonts w:ascii="Times New Roman" w:hAnsi="Times New Roman"/>
          <w:sz w:val="20"/>
        </w:rPr>
        <w:t>The conditional capital increase will only be implemented to the extent that stock options under our ESOP are exercised by the holders of the stock options issued by us on the basis of authorization 2024 and such stock options are not settled by us through cash payments or with treasury shares in another listed company or other forms of fulfilment. Any new shares issued under the Conditional Capital ESOP 2024 pursuant to § 4(9) of the BioNTech articles (</w:t>
      </w:r>
      <w:r>
        <w:rPr>
          <w:rFonts w:ascii="Times New Roman" w:hAnsi="Times New Roman"/>
          <w:i/>
          <w:sz w:val="20"/>
        </w:rPr>
        <w:t>Satzung</w:t>
      </w:r>
      <w:r>
        <w:rPr>
          <w:rFonts w:ascii="Times New Roman" w:hAnsi="Times New Roman"/>
          <w:sz w:val="20"/>
        </w:rPr>
        <w:t xml:space="preserve">)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The BioNTech management board is authorized, with the approval of the BioNTech supervisory board, to determine the further details of the issue and the further conditions of the stock options; in deviation from this, the BioNTech supervisory board shall also decide in this respect for the members of the BioNTech management board.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hAnsi="Times New Roman"/>
          <w:i/>
          <w:sz w:val="20"/>
        </w:rPr>
        <w:t>mittelbares Bezugsrecht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hAnsi="Times New Roman"/>
          <w:i/>
          <w:sz w:val="20"/>
        </w:rPr>
        <w:t>BGH</w:t>
      </w:r>
      <w:r>
        <w:rPr>
          <w:rFonts w:ascii="Times New Roman" w:hAnsi="Times New Roman"/>
          <w:sz w:val="20"/>
        </w:rPr>
        <w:t>). The German Federal Court of Justice (</w:t>
      </w:r>
      <w:r>
        <w:rPr>
          <w:rFonts w:ascii="Times New Roman" w:hAnsi="Times New Roman"/>
          <w:i/>
          <w:sz w:val="20"/>
        </w:rPr>
        <w:t>BGH</w:t>
      </w:r>
      <w:r>
        <w:rPr>
          <w:rFonts w:ascii="Times New Roman" w:hAnsi="Times New Roman"/>
          <w:sz w:val="20"/>
        </w:rPr>
        <w:t xml:space="preserve">)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Shareholders’ Meetings and Voting Rights </w:t>
      </w:r>
    </w:p>
    <w:p>
      <w:pPr>
        <w:pStyle w:val="TextBody"/>
        <w:bidi w:val="0"/>
        <w:spacing w:before="120" w:after="0"/>
        <w:jc w:val="left"/>
        <w:rPr>
          <w:rFonts w:ascii="Times New Roman" w:hAnsi="Times New Roman"/>
          <w:sz w:val="20"/>
        </w:rPr>
      </w:pPr>
      <w:r>
        <w:rPr>
          <w:rFonts w:ascii="Times New Roman" w:hAnsi="Times New Roman"/>
          <w:sz w:val="20"/>
        </w:rPr>
        <w:t>Pursuant to the BioNTech articles (</w:t>
      </w:r>
      <w:r>
        <w:rPr>
          <w:rFonts w:ascii="Times New Roman" w:hAnsi="Times New Roman"/>
          <w:i/>
          <w:sz w:val="20"/>
        </w:rPr>
        <w:t>Satzung</w:t>
      </w:r>
      <w:r>
        <w:rPr>
          <w:rFonts w:ascii="Times New Roman" w:hAnsi="Times New Roman"/>
          <w:sz w:val="20"/>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hAnsi="Times New Roman"/>
          <w:i/>
          <w:sz w:val="20"/>
        </w:rPr>
        <w:t>Bundesanzeiger</w:t>
      </w:r>
      <w:r>
        <w:rPr>
          <w:rFonts w:ascii="Times New Roman" w:hAnsi="Times New Roman"/>
          <w:sz w:val="20"/>
        </w:rPr>
        <w:t xml:space="preserve">) or via mail or email, in each case generally at least 30 days before the meeting. </w:t>
      </w:r>
    </w:p>
    <w:p>
      <w:pPr>
        <w:pStyle w:val="TextBody"/>
        <w:bidi w:val="0"/>
        <w:spacing w:before="240" w:after="0"/>
        <w:jc w:val="left"/>
        <w:rPr>
          <w:rFonts w:ascii="Times New Roman" w:hAnsi="Times New Roman"/>
          <w:sz w:val="20"/>
        </w:rPr>
      </w:pPr>
      <w:r>
        <w:rPr>
          <w:rFonts w:ascii="Times New Roman" w:hAnsi="Times New Roman"/>
          <w:sz w:val="20"/>
        </w:rPr>
        <w:t>Shareholders may participate and vote in the shareholders’ meeting if they are registered as a shareholder with our share register. A shareholder who wishes to attend the shareholders’ meeting — either in person or by proxy, which may also be appointed by us (</w:t>
      </w:r>
      <w:r>
        <w:rPr>
          <w:rFonts w:ascii="Times New Roman" w:hAnsi="Times New Roman"/>
          <w:i/>
          <w:sz w:val="20"/>
        </w:rPr>
        <w:t>Stimmrechtsvertreter</w:t>
      </w:r>
      <w:r>
        <w:rPr>
          <w:rFonts w:ascii="Times New Roman" w:hAnsi="Times New Roman"/>
          <w:sz w:val="20"/>
        </w:rPr>
        <w:t xml:space="preserve">) — must register for the meeting, which registration must occur no later than six days before the meeting (or at a later date, if so determined by our management board). </w:t>
      </w:r>
    </w:p>
    <w:p>
      <w:pPr>
        <w:pStyle w:val="TextBody"/>
        <w:bidi w:val="0"/>
        <w:spacing w:before="240" w:after="0"/>
        <w:jc w:val="left"/>
        <w:rPr>
          <w:rFonts w:ascii="Times New Roman" w:hAnsi="Times New Roman"/>
          <w:sz w:val="20"/>
        </w:rPr>
      </w:pPr>
      <w:r>
        <w:rPr>
          <w:rFonts w:ascii="Times New Roman" w:hAnsi="Times New Roman"/>
          <w:sz w:val="20"/>
        </w:rPr>
        <w:t>Each share carries one vote at a shareholders’ meeting. Resolutions are, in accordance with the BioNTech articles (</w:t>
      </w:r>
      <w:r>
        <w:rPr>
          <w:rFonts w:ascii="Times New Roman" w:hAnsi="Times New Roman"/>
          <w:i/>
          <w:sz w:val="20"/>
        </w:rPr>
        <w:t>Satzung</w:t>
      </w:r>
      <w:r>
        <w:rPr>
          <w:rFonts w:ascii="Times New Roman" w:hAnsi="Times New Roman"/>
          <w:sz w:val="20"/>
        </w:rPr>
        <w:t xml:space="preserve">),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 </w:t>
      </w:r>
    </w:p>
    <w:p>
      <w:pPr>
        <w:pStyle w:val="TextBody"/>
        <w:bidi w:val="0"/>
        <w:spacing w:before="240" w:after="0"/>
        <w:jc w:val="left"/>
        <w:rPr>
          <w:rFonts w:ascii="Times New Roman" w:hAnsi="Times New Roman"/>
          <w:b/>
          <w:sz w:val="20"/>
        </w:rPr>
      </w:pPr>
      <w:r>
        <w:rPr>
          <w:rFonts w:ascii="Times New Roman" w:hAnsi="Times New Roman"/>
          <w:b/>
          <w:sz w:val="20"/>
        </w:rPr>
        <w:t xml:space="preserve">Claims against Directors and Shareholders’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 </w:t>
      </w:r>
    </w:p>
    <w:p>
      <w:pPr>
        <w:pStyle w:val="TextBody"/>
        <w:bidi w:val="0"/>
        <w:spacing w:before="240" w:after="0"/>
        <w:jc w:val="left"/>
        <w:rPr>
          <w:rFonts w:ascii="Times New Roman" w:hAnsi="Times New Roman"/>
          <w:sz w:val="20"/>
        </w:rPr>
      </w:pPr>
      <w:r>
        <w:rPr>
          <w:rFonts w:ascii="Times New Roman" w:hAnsi="Times New Roman"/>
          <w:sz w:val="20"/>
        </w:rPr>
        <w:t xml:space="preserve">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company is unable to fulfill its third-party obligations, the company’s creditors may pursue the company’s damage claims against members of the management board for certain wrongdoings. </w:t>
      </w:r>
    </w:p>
    <w:p>
      <w:pPr>
        <w:pStyle w:val="TextBody"/>
        <w:bidi w:val="0"/>
        <w:spacing w:before="240" w:after="0"/>
        <w:jc w:val="left"/>
        <w:rPr>
          <w:rFonts w:ascii="Times New Roman" w:hAnsi="Times New Roman"/>
          <w:sz w:val="20"/>
        </w:rPr>
      </w:pPr>
      <w:r>
        <w:rPr>
          <w:rFonts w:ascii="Times New Roman" w:hAnsi="Times New Roman"/>
          <w:sz w:val="20"/>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BioNTech articles (</w:t>
      </w:r>
      <w:r>
        <w:rPr>
          <w:rFonts w:ascii="Times New Roman" w:hAnsi="Times New Roman"/>
          <w:i/>
          <w:sz w:val="20"/>
        </w:rPr>
        <w:t>Satzung</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 </w:t>
      </w:r>
    </w:p>
    <w:p>
      <w:pPr>
        <w:pStyle w:val="TextBody"/>
        <w:bidi w:val="0"/>
        <w:spacing w:before="240" w:after="0"/>
        <w:jc w:val="left"/>
        <w:rPr>
          <w:rFonts w:ascii="Times New Roman" w:hAnsi="Times New Roman"/>
          <w:sz w:val="20"/>
        </w:rPr>
      </w:pPr>
      <w:r>
        <w:rPr>
          <w:rFonts w:ascii="Times New Roman" w:hAnsi="Times New Roman"/>
          <w:sz w:val="20"/>
        </w:rPr>
        <w:t xml:space="preserve">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 </w:t>
      </w:r>
    </w:p>
    <w:p>
      <w:pPr>
        <w:pStyle w:val="TextBody"/>
        <w:bidi w:val="0"/>
        <w:spacing w:before="240" w:after="0"/>
        <w:jc w:val="left"/>
        <w:rPr>
          <w:rFonts w:ascii="Times New Roman" w:hAnsi="Times New Roman"/>
          <w:b/>
          <w:sz w:val="20"/>
        </w:rPr>
      </w:pPr>
      <w:r>
        <w:rPr>
          <w:rFonts w:ascii="Times New Roman" w:hAnsi="Times New Roman"/>
          <w:b/>
          <w:sz w:val="20"/>
        </w:rPr>
        <w:t xml:space="preserve">Authorization to Purchase and Sell Our Own Shares </w:t>
      </w:r>
    </w:p>
    <w:p>
      <w:pPr>
        <w:pStyle w:val="TextBody"/>
        <w:bidi w:val="0"/>
        <w:spacing w:before="120" w:after="0"/>
        <w:jc w:val="left"/>
        <w:rPr>
          <w:rFonts w:ascii="Times New Roman" w:hAnsi="Times New Roman"/>
          <w:sz w:val="20"/>
        </w:rPr>
      </w:pPr>
      <w:r>
        <w:rPr>
          <w:rFonts w:ascii="Times New Roman" w:hAnsi="Times New Roman"/>
          <w:sz w:val="20"/>
        </w:rPr>
        <w:t>We may not purchase our own shares unless authorized by the shareholders’ meeting or in other very limited circumstances as set out in the German Stock Corporation Act (</w:t>
      </w:r>
      <w:r>
        <w:rPr>
          <w:rFonts w:ascii="Times New Roman" w:hAnsi="Times New Roman"/>
          <w:i/>
          <w:sz w:val="20"/>
        </w:rPr>
        <w:t>Aktiengesetz</w:t>
      </w:r>
      <w:r>
        <w:rPr>
          <w:rFonts w:ascii="Times New Roman" w:hAnsi="Times New Roman"/>
          <w:sz w:val="20"/>
        </w:rPr>
        <w:t>). Our shareholders’ meeting held on May 17, 2024 authorized the management board until May 16, 2029, provided it complies with the legal requirement of equal treatment, to acquire treasury shares up to a total of 10% of our share capital at the time of the relevant resolution or at the time the authorization is exercised. These shares held by us (including shares attributable to it pursuant to the German Stock Corporation Act (</w:t>
      </w:r>
      <w:r>
        <w:rPr>
          <w:rFonts w:ascii="Times New Roman" w:hAnsi="Times New Roman"/>
          <w:i/>
          <w:sz w:val="20"/>
        </w:rPr>
        <w:t>Aktiengesetz</w:t>
      </w:r>
      <w:r>
        <w:rPr>
          <w:rFonts w:ascii="Times New Roman" w:hAnsi="Times New Roman"/>
          <w:sz w:val="20"/>
        </w:rPr>
        <w:t xml:space="preserve">)) must never exceed 10% of the share capital. The shares may be purchased (i) through the stock exchange, (ii) by means of a public offer directed to all shareholders of us, (iii) by means of a public invitation to the shareholders to make a sales offer, or (iv) from the Bill &amp; Melinda Gates Foundation under very limited circumstances as specified in the authorization. Such shares may not be purchased for trading purposes. Our management board is authorized to use the shares only as specified in the authorization. </w:t>
      </w:r>
    </w:p>
    <w:p>
      <w:pPr>
        <w:pStyle w:val="TextBody"/>
        <w:bidi w:val="0"/>
        <w:spacing w:before="240" w:after="0"/>
        <w:jc w:val="left"/>
        <w:rPr>
          <w:rFonts w:ascii="Times New Roman" w:hAnsi="Times New Roman"/>
          <w:b/>
          <w:sz w:val="20"/>
        </w:rPr>
      </w:pPr>
      <w:r>
        <w:rPr>
          <w:rFonts w:ascii="Times New Roman" w:hAnsi="Times New Roman"/>
          <w:b/>
          <w:sz w:val="20"/>
        </w:rPr>
        <w:t xml:space="preserve">Squeeze-Out of Minority Shareholders </w:t>
      </w:r>
    </w:p>
    <w:p>
      <w:pPr>
        <w:pStyle w:val="TextBody"/>
        <w:bidi w:val="0"/>
        <w:spacing w:before="120" w:after="0"/>
        <w:jc w:val="left"/>
        <w:rPr>
          <w:rFonts w:ascii="Times New Roman" w:hAnsi="Times New Roman"/>
          <w:sz w:val="20"/>
        </w:rPr>
      </w:pPr>
      <w:r>
        <w:rPr>
          <w:rFonts w:ascii="Times New Roman" w:hAnsi="Times New Roman"/>
          <w:sz w:val="20"/>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hAnsi="Times New Roman"/>
          <w:i/>
          <w:sz w:val="20"/>
        </w:rPr>
        <w:t>Ausschluss von Minderheitsaktionären</w:t>
      </w:r>
      <w:r>
        <w:rPr>
          <w:rFonts w:ascii="Times New Roman" w:hAnsi="Times New Roman"/>
          <w:sz w:val="20"/>
        </w:rPr>
        <w:t>). This amount must take into account the full value of the company at the time of the resolution, which is generally determined using the future earnings value method (</w:t>
      </w:r>
      <w:r>
        <w:rPr>
          <w:rFonts w:ascii="Times New Roman" w:hAnsi="Times New Roman"/>
          <w:i/>
          <w:sz w:val="20"/>
        </w:rPr>
        <w:t>Ertragswertmethode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squeeze-out in the context of a merger (</w:t>
      </w:r>
      <w:r>
        <w:rPr>
          <w:rFonts w:ascii="Times New Roman" w:hAnsi="Times New Roman"/>
          <w:i/>
          <w:sz w:val="20"/>
        </w:rPr>
        <w:t>umwandlungsrechtlicher Squeeze-Out</w:t>
      </w:r>
      <w:r>
        <w:rPr>
          <w:rFonts w:ascii="Times New Roman" w:hAnsi="Times New Roman"/>
          <w:sz w:val="20"/>
        </w:rPr>
        <w:t xml:space="preserve">) only requires a majority shareholder to hold at least 90% of the share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w:t>
      </w:r>
      <w:r>
        <w:rPr>
          <w:rFonts w:ascii="Times New Roman" w:hAnsi="Times New Roman"/>
          <w:i/>
          <w:sz w:val="20"/>
        </w:rPr>
        <w:t>Aktiengesetz</w:t>
      </w:r>
      <w:r>
        <w:rPr>
          <w:rFonts w:ascii="Times New Roman" w:hAnsi="Times New Roman"/>
          <w:sz w:val="20"/>
        </w:rPr>
        <w:t xml:space="preserve">) provides certain protections for creditors, which must be observed in the event of liquidation. </w:t>
      </w:r>
    </w:p>
    <w:p>
      <w:pPr>
        <w:pStyle w:val="TextBody"/>
        <w:bidi w:val="0"/>
        <w:spacing w:before="24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The applicable provisions of the SE Regulation, in conjunction with the German Stock Corporation Act (</w:t>
      </w:r>
      <w:r>
        <w:rPr>
          <w:rFonts w:ascii="Times New Roman" w:hAnsi="Times New Roman"/>
          <w:i/>
          <w:sz w:val="20"/>
        </w:rPr>
        <w:t>Aktiengesetz</w:t>
      </w:r>
      <w:r>
        <w:rPr>
          <w:rFonts w:ascii="Times New Roman" w:hAnsi="Times New Roman"/>
          <w:sz w:val="20"/>
        </w:rPr>
        <w: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w:t>
      </w:r>
      <w:r>
        <w:rPr>
          <w:rFonts w:ascii="Times New Roman" w:hAnsi="Times New Roman"/>
          <w:i/>
          <w:sz w:val="20"/>
        </w:rPr>
        <w:t>Aktiengesetz</w:t>
      </w:r>
      <w:r>
        <w:rPr>
          <w:rFonts w:ascii="Times New Roman" w:hAnsi="Times New Roman"/>
          <w:sz w:val="20"/>
        </w:rPr>
        <w:t xml:space="preserve">)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3"/>
        <w:gridCol w:w="103"/>
        <w:gridCol w:w="5160"/>
        <w:gridCol w:w="103"/>
        <w:gridCol w:w="3356"/>
      </w:tblGrid>
      <w:tr>
        <w:trPr/>
        <w:tc>
          <w:tcPr>
            <w:tcW w:w="148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51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148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51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3" w:type="dxa"/>
            <w:tcBorders/>
            <w:vAlign w:val="bottom"/>
          </w:tcPr>
          <w:p>
            <w:pPr>
              <w:pStyle w:val="TableContents"/>
              <w:bidi w:val="0"/>
              <w:spacing w:before="0" w:after="283"/>
              <w:jc w:val="left"/>
              <w:rPr/>
            </w:pPr>
            <w:r>
              <w:rPr/>
              <w:t> </w:t>
            </w:r>
          </w:p>
        </w:tc>
        <w:tc>
          <w:tcPr>
            <w:tcW w:w="33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83" w:type="dxa"/>
            <w:tcBorders/>
          </w:tcPr>
          <w:p>
            <w:pPr>
              <w:pStyle w:val="TableContents"/>
              <w:bidi w:val="0"/>
              <w:spacing w:before="0" w:after="283"/>
              <w:jc w:val="left"/>
              <w:rPr/>
            </w:pPr>
            <w:r>
              <w:rPr/>
              <w:t>Board System</w:t>
            </w:r>
          </w:p>
        </w:tc>
        <w:tc>
          <w:tcPr>
            <w:tcW w:w="103" w:type="dxa"/>
            <w:tcBorders/>
            <w:vAlign w:val="bottom"/>
          </w:tcPr>
          <w:p>
            <w:pPr>
              <w:pStyle w:val="TableContents"/>
              <w:bidi w:val="0"/>
              <w:spacing w:before="0" w:after="283"/>
              <w:jc w:val="left"/>
              <w:rPr/>
            </w:pPr>
            <w:r>
              <w:rPr/>
              <w:t> </w:t>
            </w:r>
          </w:p>
        </w:tc>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A European stock corporation may choose to have a two-tier board structure composed of the Management Board (</w:t>
            </w:r>
            <w:r>
              <w:rPr>
                <w:rFonts w:ascii="Times New Roman" w:hAnsi="Times New Roman"/>
                <w:i/>
                <w:sz w:val="20"/>
              </w:rPr>
              <w:t>Vorstand</w:t>
            </w:r>
            <w:r>
              <w:rPr>
                <w:rFonts w:ascii="Times New Roman" w:hAnsi="Times New Roman"/>
                <w:sz w:val="20"/>
              </w:rPr>
              <w:t>) and the Supervisory Board (</w:t>
            </w:r>
            <w:r>
              <w:rPr>
                <w:rFonts w:ascii="Times New Roman" w:hAnsi="Times New Roman"/>
                <w:i/>
                <w:sz w:val="20"/>
              </w:rPr>
              <w:t>Aufsichtsrat</w:t>
            </w:r>
            <w:r>
              <w:rPr>
                <w:rFonts w:ascii="Times New Roman" w:hAnsi="Times New Roman"/>
                <w:sz w:val="20"/>
              </w:rPr>
              <w:t>). We have chosen this structure.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Management Board is responsible for running the company’s affairs and representing the company in dealings with third parties.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Supervisory Board of a European stock corporation under German law has a control and supervisory function. The Supervisory Board does not actively manage the company but certain Management Board actions require the approval of the Supervisory Board.</w:t>
            </w:r>
          </w:p>
        </w:tc>
        <w:tc>
          <w:tcPr>
            <w:tcW w:w="103"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corporation has a unitary board structure, and it is the responsibility of the board of directors to appoint and oversee the management of the corporation on behalf of and in the best interests of the stockholders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Management is responsible for running the corporation and overseeing its day-to-day operations.</w:t>
            </w:r>
          </w:p>
        </w:tc>
      </w:tr>
      <w:tr>
        <w:trPr>
          <w:trHeight w:val="120" w:hRule="atLeast"/>
        </w:trPr>
        <w:tc>
          <w:tcPr>
            <w:tcW w:w="1483" w:type="dxa"/>
            <w:tcBorders/>
            <w:vAlign w:val="center"/>
          </w:tcPr>
          <w:p>
            <w:pPr>
              <w:pStyle w:val="TableContents"/>
              <w:bidi w:val="0"/>
              <w:spacing w:before="0" w:after="283"/>
              <w:jc w:val="left"/>
              <w:rPr>
                <w:sz w:val="4"/>
                <w:szCs w:val="4"/>
              </w:rPr>
            </w:pPr>
            <w:r>
              <w:rPr>
                <w:sz w:val="4"/>
                <w:szCs w:val="4"/>
              </w:rPr>
            </w:r>
          </w:p>
        </w:tc>
        <w:tc>
          <w:tcPr>
            <w:tcW w:w="5263" w:type="dxa"/>
            <w:gridSpan w:val="2"/>
            <w:tcBorders/>
            <w:vAlign w:val="center"/>
          </w:tcPr>
          <w:p>
            <w:pPr>
              <w:pStyle w:val="TableContents"/>
              <w:bidi w:val="0"/>
              <w:spacing w:before="0" w:after="283"/>
              <w:jc w:val="left"/>
              <w:rPr>
                <w:sz w:val="4"/>
                <w:szCs w:val="4"/>
              </w:rPr>
            </w:pPr>
            <w:r>
              <w:rPr>
                <w:sz w:val="4"/>
                <w:szCs w:val="4"/>
              </w:rPr>
            </w:r>
          </w:p>
        </w:tc>
        <w:tc>
          <w:tcPr>
            <w:tcW w:w="3459" w:type="dxa"/>
            <w:gridSpan w:val="2"/>
            <w:tcBorders/>
            <w:vAlign w:val="center"/>
          </w:tcPr>
          <w:p>
            <w:pPr>
              <w:pStyle w:val="TableContents"/>
              <w:bidi w:val="0"/>
              <w:spacing w:before="0" w:after="283"/>
              <w:jc w:val="left"/>
              <w:rPr>
                <w:sz w:val="4"/>
                <w:szCs w:val="4"/>
              </w:rPr>
            </w:pPr>
            <w:r>
              <w:rPr>
                <w:sz w:val="4"/>
                <w:szCs w:val="4"/>
              </w:rPr>
            </w:r>
          </w:p>
        </w:tc>
      </w:tr>
      <w:tr>
        <w:trPr/>
        <w:tc>
          <w:tcPr>
            <w:tcW w:w="1483" w:type="dxa"/>
            <w:tcBorders/>
          </w:tcPr>
          <w:p>
            <w:pPr>
              <w:pStyle w:val="TableContents"/>
              <w:bidi w:val="0"/>
              <w:spacing w:before="0" w:after="283"/>
              <w:jc w:val="left"/>
              <w:rPr/>
            </w:pPr>
            <w:r>
              <w:rPr/>
              <w:t>Appointment and Number of Directors</w:t>
            </w:r>
          </w:p>
        </w:tc>
        <w:tc>
          <w:tcPr>
            <w:tcW w:w="103" w:type="dxa"/>
            <w:tcBorders/>
            <w:vAlign w:val="bottom"/>
          </w:tcPr>
          <w:p>
            <w:pPr>
              <w:pStyle w:val="TableContents"/>
              <w:bidi w:val="0"/>
              <w:spacing w:before="0" w:after="283"/>
              <w:jc w:val="left"/>
              <w:rPr/>
            </w:pPr>
            <w:r>
              <w:rPr/>
              <w:t> </w:t>
            </w:r>
          </w:p>
        </w:tc>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Under applicable European and German law, a European stock corporation governed by German law with a share capital of at least 3 million generally must have at least two members on its Management Board and the number of members shall be determined by or in the manner provided in the company’s articles of association.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Supervisory Board must consist of at least three but-depending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w:t>
            </w:r>
          </w:p>
        </w:tc>
        <w:tc>
          <w:tcPr>
            <w:tcW w:w="103"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Under Delaware law, a corporation must have at least one director and the number of directors shall be fixed by or in the manner provided in the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2"/>
        <w:gridCol w:w="5205"/>
        <w:gridCol w:w="102"/>
        <w:gridCol w:w="3368"/>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2" w:type="dxa"/>
            <w:tcBorders/>
            <w:vAlign w:val="bottom"/>
          </w:tcPr>
          <w:p>
            <w:pPr>
              <w:pStyle w:val="TableContents"/>
              <w:bidi w:val="0"/>
              <w:spacing w:before="0" w:after="283"/>
              <w:jc w:val="left"/>
              <w:rPr/>
            </w:pPr>
            <w:r>
              <w:rPr/>
              <w:t> </w:t>
            </w:r>
          </w:p>
        </w:tc>
        <w:tc>
          <w:tcPr>
            <w:tcW w:w="33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competent court may appoint additional members as needed to meet the quorum. The provisions of German law in relation to employees’ co-determination do not apply to BioNTech.</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Removal of Directors</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Members of the Management Board of a European stock corporation are appointed by the Supervisory Board for a maximum period of six years with 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their term only for cause, such as gross breach of duties (</w:t>
            </w:r>
            <w:r>
              <w:rPr>
                <w:rFonts w:ascii="Times New Roman" w:hAnsi="Times New Roman"/>
                <w:i/>
                <w:sz w:val="20"/>
              </w:rPr>
              <w:t>grobe Pflichtverletzung</w:t>
            </w:r>
            <w:r>
              <w:rPr>
                <w:rFonts w:ascii="Times New Roman" w:hAnsi="Times New Roman"/>
                <w:sz w:val="20"/>
              </w:rPr>
              <w:t>), the inability to manage the business properly (</w:t>
            </w:r>
            <w:r>
              <w:rPr>
                <w:rFonts w:ascii="Times New Roman" w:hAnsi="Times New Roman"/>
                <w:i/>
                <w:sz w:val="20"/>
              </w:rPr>
              <w:t>Unfähigkeit zur ordnungsgemäßen Pflichtausübung</w:t>
            </w:r>
            <w:r>
              <w:rPr>
                <w:rFonts w:ascii="Times New Roman" w:hAnsi="Times New Roman"/>
                <w:sz w:val="20"/>
              </w:rPr>
              <w:t>), or a vote of no-confidence during the shareholders’ meeting (</w:t>
            </w:r>
            <w:r>
              <w:rPr>
                <w:rFonts w:ascii="Times New Roman" w:hAnsi="Times New Roman"/>
                <w:i/>
                <w:sz w:val="20"/>
              </w:rPr>
              <w:t>Vertrauensentzug</w:t>
            </w:r>
            <w:r>
              <w:rPr>
                <w:rFonts w:ascii="Times New Roman" w:hAnsi="Times New Roman"/>
                <w:sz w:val="20"/>
              </w:rPr>
              <w:t>). The shareholders themselves are not entitled to appoint or dismiss the members of the Management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their removal would be sufficient to elect them if then cumulatively voted at an election of the entire board of directors, or, if there are classes of directors, at an election of the class of directors of which they is a part.</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Vacancies on the Board of Directors</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1"/>
        <w:gridCol w:w="5206"/>
        <w:gridCol w:w="101"/>
        <w:gridCol w:w="3369"/>
      </w:tblGrid>
      <w:tr>
        <w:trPr/>
        <w:tc>
          <w:tcPr>
            <w:tcW w:w="14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2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1" w:type="dxa"/>
            <w:tcBorders/>
            <w:vAlign w:val="bottom"/>
          </w:tcPr>
          <w:p>
            <w:pPr>
              <w:pStyle w:val="TableContents"/>
              <w:bidi w:val="0"/>
              <w:spacing w:before="0" w:after="283"/>
              <w:jc w:val="left"/>
              <w:rPr/>
            </w:pPr>
            <w:r>
              <w:rPr/>
              <w:t> </w:t>
            </w:r>
          </w:p>
        </w:tc>
        <w:tc>
          <w:tcPr>
            <w:tcW w:w="33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Annual General Meeting</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A European stock corporation, which is governed by 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Under Delaware law, the annual meeting of stockholders shall be held at such place, on such date and at such time as may be designated from time to time by the board of directors or as provided in the certificate of incorporation or by the bylaws.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General Meeting</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Under the law, extraordinary shareholders’ meetings, in addition to the annual shareholders’ meetings, may be called either by the Management Board or the Supervisory Board. Shareholders holding at least five percent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Under Delaware law, special meetings of the stockholders may be called by the board of directors or by such person or persons as may be authorized by the certificate of incorporation or by the bylaws.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Notice of General Meetings</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0"/>
              <w:jc w:val="left"/>
              <w:rPr>
                <w:rFonts w:ascii="Times New Roman" w:hAnsi="Times New Roman"/>
                <w:sz w:val="20"/>
              </w:rPr>
            </w:pPr>
            <w:r>
              <w:rPr>
                <w:rFonts w:ascii="Times New Roman" w:hAnsi="Times New Roman"/>
                <w:sz w:val="20"/>
              </w:rPr>
              <w:t>Under applicable European and German law, unless a 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all shareholders entitled to attend the shareholders’ meeting are present or represented and do not object to the meeting being held, the formalities of calling and holding of a shareholders’ meeting do not apply.</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Proxy</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0"/>
              <w:jc w:val="left"/>
              <w:rPr>
                <w:rFonts w:ascii="Times New Roman" w:hAnsi="Times New Roman"/>
                <w:sz w:val="20"/>
              </w:rPr>
            </w:pPr>
            <w:r>
              <w:rPr>
                <w:rFonts w:ascii="Times New Roman" w:hAnsi="Times New Roman"/>
                <w:sz w:val="20"/>
              </w:rPr>
              <w:t>A shareholder may designate another person to attend, speak, and vote at a shareholders’ meeting of the company on such shareholder’s behalf by proxy.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respect to Management Board meetings, a Management Board member may transmit its (written or verbal) vote via another Management Board member.</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Under Delaware law, at any meeting of stockholders, a stockholder may designate another person to act for such stockholder by proxy, but no such proxy shall be voted or acted upon after three years from its date, unless the proxy provides for a longer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2"/>
        <w:gridCol w:w="5205"/>
        <w:gridCol w:w="102"/>
        <w:gridCol w:w="3368"/>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2" w:type="dxa"/>
            <w:tcBorders/>
            <w:vAlign w:val="bottom"/>
          </w:tcPr>
          <w:p>
            <w:pPr>
              <w:pStyle w:val="TableContents"/>
              <w:bidi w:val="0"/>
              <w:spacing w:before="0" w:after="283"/>
              <w:jc w:val="left"/>
              <w:rPr/>
            </w:pPr>
            <w:r>
              <w:rPr/>
              <w:t> </w:t>
            </w:r>
          </w:p>
        </w:tc>
        <w:tc>
          <w:tcPr>
            <w:tcW w:w="33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respect to Supervisory Board meetings, a Supervisory Board member may participate in voting by issuing a written vote to another Supervisory Board member or any third party entitled to attend the Supervisory Board meeting.</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period. A director of a Delaware corporation may not issue a proxy representing the director’s voting rights as a director.</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Preemptive Rights</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Under the law applicable to European stock corporations 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Under Delaware law, stockholders have no preemptive rights to subscribe to additional issues of stock or to any security convertible into such stock unless, and except to the extent that, such rights are expressly provided for in the certificate of incorporation.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Authority to Allot</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Under applicable European and German law, the 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 (</w:t>
            </w:r>
            <w:r>
              <w:rPr>
                <w:i/>
              </w:rPr>
              <w:t>Aktiengesetz</w:t>
            </w:r>
            <w:r>
              <w:rPr/>
              <w: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Liability of Directors and Officers</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breach of the director’s duty of loyalty to the corporation or its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1"/>
        <w:gridCol w:w="5206"/>
        <w:gridCol w:w="101"/>
        <w:gridCol w:w="3369"/>
      </w:tblGrid>
      <w:tr>
        <w:trPr/>
        <w:tc>
          <w:tcPr>
            <w:tcW w:w="14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2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1" w:type="dxa"/>
            <w:tcBorders/>
            <w:vAlign w:val="bottom"/>
          </w:tcPr>
          <w:p>
            <w:pPr>
              <w:pStyle w:val="TableContents"/>
              <w:bidi w:val="0"/>
              <w:spacing w:before="0" w:after="283"/>
              <w:jc w:val="left"/>
              <w:rPr/>
            </w:pPr>
            <w:r>
              <w:rPr/>
              <w:t> </w:t>
            </w:r>
          </w:p>
        </w:tc>
        <w:tc>
          <w:tcPr>
            <w:tcW w:w="33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intentional or negligent payment of unlawful dividends or stock purchases or redemptions;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transaction from which the director derives an improper personal benefit.</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Voting Rights</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Under the relevant European and German law, each share, except for statutory non-voting preferred shares (</w:t>
            </w:r>
            <w:r>
              <w:rPr>
                <w:i/>
              </w:rPr>
              <w:t>nicht stimmberechtigte Vorzugsaktien</w:t>
            </w:r>
            <w:r>
              <w:rPr/>
              <w:t>), entitles its holder to vote at 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Delaware law provides that, unless otherwise provided in the certificate of incorporation, each stockholder is entitled to one vote for each share of capital stock held by such stockholder.</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Shareholder Vote on Certain Transactions</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Under applicable European and German law, certain shareholders’ resolutions of fundamental importance require 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i/>
              </w:rPr>
              <w:t>Unternehmensverträge</w:t>
            </w:r>
            <w:r>
              <w:rPr/>
              <w:t>), in particular domination agreements (</w:t>
            </w:r>
            <w:r>
              <w:rPr>
                <w:i/>
              </w:rPr>
              <w:t>Beherrschungsverträge</w:t>
            </w:r>
            <w:r>
              <w:rPr/>
              <w:t>), and profit and loss transfer agreements (</w:t>
            </w:r>
            <w:r>
              <w:rPr>
                <w:i/>
              </w:rPr>
              <w:t>Ergebnisabführungsverträge</w:t>
            </w:r>
            <w:r>
              <w:rPr/>
              <w:t>).</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approval of the board of directors;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Standard of Conduct for Directors</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Under applicable European and German law, both Management and Supervisory Board members must conduct their affairs with “the care and diligence of a prudent business man” and act in the best interest of the company. The scope of the fiduciary duties of Management and Supervisory Board members is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1"/>
        <w:gridCol w:w="5206"/>
        <w:gridCol w:w="101"/>
        <w:gridCol w:w="3369"/>
      </w:tblGrid>
      <w:tr>
        <w:trPr/>
        <w:tc>
          <w:tcPr>
            <w:tcW w:w="14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2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1" w:type="dxa"/>
            <w:tcBorders/>
            <w:vAlign w:val="bottom"/>
          </w:tcPr>
          <w:p>
            <w:pPr>
              <w:pStyle w:val="TableContents"/>
              <w:bidi w:val="0"/>
              <w:spacing w:before="0" w:after="283"/>
              <w:jc w:val="left"/>
              <w:rPr/>
            </w:pPr>
            <w:r>
              <w:rPr/>
              <w:t> </w:t>
            </w:r>
          </w:p>
        </w:tc>
        <w:tc>
          <w:tcPr>
            <w:tcW w:w="33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0"/>
              <w:jc w:val="left"/>
              <w:rPr>
                <w:rFonts w:ascii="Times New Roman" w:hAnsi="Times New Roman"/>
                <w:sz w:val="20"/>
              </w:rPr>
            </w:pPr>
            <w:r>
              <w:rPr>
                <w:rFonts w:ascii="Times New Roman" w:hAnsi="Times New Roman"/>
                <w:sz w:val="20"/>
              </w:rPr>
              <w:t>generally determined by European and German legislation and by the courts.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Statutory and fiduciary duties of members of the Management Board to the company include, among others: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act in accordance with the law, the company’s articles of association and the rules of procedure for the Management Board, if any;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report to the Supervisory Board on a regular basis as well as on certain important occasions;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exercise reasonable care, skill, and diligence;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maintain a proper accounting system;</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not compete, directly or indirectly, with the company without permission by the supervisory board;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secure that no further transactions are made in case of insolvency.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Statutory and fiduciary duties of members of the Supervisory Board to the company include, among others: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effectively supervise the Management Board’s handling of the company’s affairs;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evaluate and issue a resolution on certain transactions which can only be conducted by the Management Board after approval of the Supervisory Board;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approve the company’s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appoint the Management Board members and to represent the company in transactions between the company and members of the Management Board;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approve service contracts between individual members of the Management Board and the company.</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left"/>
              <w:rPr>
                <w:rFonts w:ascii="Times New Roman" w:hAnsi="Times New Roman"/>
                <w:sz w:val="20"/>
              </w:rPr>
            </w:pPr>
            <w:r>
              <w:rPr>
                <w:rFonts w:ascii="Times New Roman" w:hAnsi="Times New Roman"/>
                <w:sz w:val="20"/>
              </w:rPr>
              <w:t>well-informed basis, and in a manner they reasonably believe to be in the best interest of the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they reasonably believes to be in the best interests of the corporation. They must not use their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pPr>
            <w:r>
              <w:rPr/>
              <w:t>Stockholder Actions</w:t>
            </w:r>
          </w:p>
        </w:tc>
        <w:tc>
          <w:tcPr>
            <w:tcW w:w="101"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left"/>
              <w:rPr/>
            </w:pPr>
            <w:r>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Under Delaware law, a stockholder may initiate a derivative action to enforce a right of a corporation if the corporation fails to enforce the right itself. The complaint must: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102"/>
        <w:gridCol w:w="5206"/>
        <w:gridCol w:w="101"/>
        <w:gridCol w:w="3368"/>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2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European Union/Federal Republic of Germany</w:t>
            </w:r>
          </w:p>
        </w:tc>
        <w:tc>
          <w:tcPr>
            <w:tcW w:w="101" w:type="dxa"/>
            <w:tcBorders/>
            <w:vAlign w:val="bottom"/>
          </w:tcPr>
          <w:p>
            <w:pPr>
              <w:pStyle w:val="TableContents"/>
              <w:bidi w:val="0"/>
              <w:spacing w:before="0" w:after="283"/>
              <w:jc w:val="left"/>
              <w:rPr/>
            </w:pPr>
            <w:r>
              <w:rPr/>
              <w:t> </w:t>
            </w:r>
          </w:p>
        </w:tc>
        <w:tc>
          <w:tcPr>
            <w:tcW w:w="33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4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0"/>
              <w:jc w:val="left"/>
              <w:rPr>
                <w:rFonts w:ascii="Times New Roman" w:hAnsi="Times New Roman"/>
                <w:sz w:val="20"/>
              </w:rPr>
            </w:pPr>
            <w:r>
              <w:rPr>
                <w:rFonts w:ascii="Times New Roman" w:hAnsi="Times New Roman"/>
                <w:sz w:val="20"/>
              </w:rPr>
              <w:t>by its Management Board, or, in the case of a wrong committed by a member of the Management Board, by the Supervisory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Additionally, pursuant to German case law, the Supervisory Board is obliged to pursue the company’s claims against the Management Board, unless the interest of the company keeps them from doing so.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 the company is unable to fulfill its third-party obligations, the company’s creditors may pursue the company’s damage claims against members of the Management Board for certain wrongdoings.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that the plaintiff was a stockholder at the time of the transaction of which the plaintiff complains or that the plaintiffs shares thereafter devolved on the plaintiff by operation of law;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either (i) allege with particularity the efforts made by the plaintiff to obtain the action the plaintiff desires from the directors and the reasons for the plaintiff’s failure to obtain the action, or (ii) or state the reasons for not making the effort.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Additionally, the plaintiff must remain a stockholder through the duration of the derivative suit. The action will not be dismissed or compromised without the approval of the Delaware Court of Chancery.</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the BioNTech ADSs. Each BioNTech ADS will represent one share (or a right to receive one share) deposited with The Bank of New York Mellon SA/NV as custodian for the depositary in Germany. Each BioNTech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BioNTech ADSs will be administered and its principal executive office are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You may hold BioNTech ADSs either (i) directly (a) by having an American Depositary Receipt, which we refer to as an ADR, which is a certificate evidencing a specific number of BioNTech ADSs registered in your name, or (b) by having uncertificated BioNTech ADSs registered in your name, or (ii) indirectly by holding a security entitlement in BioNTech ADSs through your broker or other financial institution that is a direct or indirect participant in the DTC. If you hold BioNTech ADSs directly, you are a registered BioNTech ADS holder, or a BioNTech ADS holder. This description assumes you are a BioNTech ADS holder. If you hold the BioNTech ADSs indirectly, you must rely on the procedures of your broker or other financial institution to assert the rights of BioNTech ADS holders described in this section. You should consult with your broker or financial institution to find out what those procedures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Registered holders of uncertificated BioNTech ADSs will receive statements from the depositary confirming their holdings. </w:t>
      </w:r>
    </w:p>
    <w:p>
      <w:pPr>
        <w:pStyle w:val="TextBody"/>
        <w:bidi w:val="0"/>
        <w:spacing w:before="240" w:after="0"/>
        <w:jc w:val="left"/>
        <w:rPr>
          <w:rFonts w:ascii="Times New Roman" w:hAnsi="Times New Roman"/>
          <w:sz w:val="20"/>
        </w:rPr>
      </w:pPr>
      <w:r>
        <w:rPr>
          <w:rFonts w:ascii="Times New Roman" w:hAnsi="Times New Roman"/>
          <w:sz w:val="20"/>
        </w:rPr>
        <w:t xml:space="preserve">As a BioNTech ADS holder, we will not treat you as one of our shareholders and you will not have shareholder rights. European and German law govern shareholder rights. The depositary will be the holder of the shares underlying your BioNTech ADSs. As a registered holder of BioNTech ADSs, you will have BioNTech ADS holder rights. A deposit agreement among us, the depositary, BioNTech ADS holders and all other persons indirectly or beneficially holding BioNTech ADSs sets out BioNTech ADS holder rights as well as the rights and obligations of the depositary. New York law governs the deposit agreement and the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Those documents are included as exhibits to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BioNTech ADS holders receive dividends and other 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pay or distribute to BioNTech ADS holders the cash dividends or other distributions it or the custodian receives on shares or other deposited securities, upon payment or deduction of its fees and expenses. You will receive these distributions in proportion to the number of shares your BioNTech ADSs represent. </w:t>
      </w:r>
    </w:p>
    <w:p>
      <w:pPr>
        <w:pStyle w:val="TextBody"/>
        <w:bidi w:val="0"/>
        <w:spacing w:before="240" w:after="0"/>
        <w:jc w:val="left"/>
        <w:rPr>
          <w:rFonts w:ascii="Times New Roman" w:hAnsi="Times New Roman"/>
          <w:sz w:val="20"/>
        </w:rPr>
      </w:pPr>
      <w:r>
        <w:rPr>
          <w:rFonts w:ascii="Times New Roman" w:hAnsi="Times New Roman"/>
          <w:i/>
          <w:sz w:val="20"/>
        </w:rPr>
        <w:t>Cash</w:t>
      </w:r>
      <w:r>
        <w:rPr>
          <w:rFonts w:ascii="Times New Roman" w:hAnsi="Times New Roman"/>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BioNTech ADS holders to whom it is possible to do so. It will hold the foreign currency it cannot convert for the account of the BioNTech ADS holders who have not been paid. It will not invest the foreign currency and it will not be liable for any interest.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hAnsi="Times New Roman"/>
          <w:i/>
          <w:sz w:val="20"/>
        </w:rPr>
        <w:t>If the exchange rates fluctuate during a time when the depositary cannot convert the foreign currency, you may lose some of the value of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Shares.</w:t>
      </w:r>
      <w:r>
        <w:rPr>
          <w:rFonts w:ascii="Times New Roman" w:hAnsi="Times New Roman"/>
          <w:sz w:val="20"/>
        </w:rPr>
        <w:t xml:space="preserve"> The depositary may distribute additional BioNTech ADSs representing any shares we distribute as a dividend or free distribution. The depositary will only distribute whole BioNTech ADSs. It will sell shares which would require it to deliver a fraction of a BioNTech ADS (or BioNTech ADSs representing those shares) and distribute the net proceeds in the same way as it does with cash. If the depositary does not distribute additional BioNTech ADSs, the outstanding BioNTech ADSs will also represent the new shares. The depositary may sell a portion of the distributed shares (or BioNTech ADSs representing those shares) sufficient to pay its fees and expenses in connection with that distribution. </w:t>
      </w:r>
    </w:p>
    <w:p>
      <w:pPr>
        <w:pStyle w:val="TextBody"/>
        <w:bidi w:val="0"/>
        <w:spacing w:before="240" w:after="0"/>
        <w:jc w:val="left"/>
        <w:rPr>
          <w:rFonts w:ascii="Times New Roman" w:hAnsi="Times New Roman"/>
          <w:sz w:val="20"/>
        </w:rPr>
      </w:pPr>
      <w:r>
        <w:rPr>
          <w:rFonts w:ascii="Times New Roman" w:hAnsi="Times New Roman"/>
          <w:i/>
          <w:sz w:val="20"/>
        </w:rPr>
        <w:t>Rights to purchase additional shares.</w:t>
      </w:r>
      <w:r>
        <w:rPr>
          <w:rFonts w:ascii="Times New Roman" w:hAnsi="Times New Roman"/>
          <w:sz w:val="20"/>
        </w:rPr>
        <w:t xml:space="preserve"> If we offer holders of our securities any rights to subscribe for additional shares or any other rights, the depositary may (i) exercise those rights on behalf of BioNTech ADS holders, (ii) distribute those rights to BioNTech ADS holders, or (iii) sell those rights and distribute the net proceeds to BioNTech ADS holders, in each case after deduction or upon payment of its fees and expenses. To the extent the depositary does not do any of those things, it will allow the rights to lapse. </w:t>
      </w:r>
      <w:r>
        <w:rPr>
          <w:rFonts w:ascii="Times New Roman" w:hAnsi="Times New Roman"/>
          <w:b/>
          <w:sz w:val="20"/>
        </w:rPr>
        <w:t>In that case, holders of BioNTech ADSs will receive no value for such rights.</w:t>
      </w:r>
      <w:r>
        <w:rPr>
          <w:rFonts w:ascii="Times New Roman" w:hAnsi="Times New Roman"/>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BioNTech ADSs representing the new shares, to subscribing BioNTech ADS holders, but only if BioNTech ADS holders have paid the exercise price to the depositary. U.S. securities laws may restrict the ability of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distribute rights or BioNTech ADSs or other securities issued on exercise of rights to all or certain BioNTech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i/>
          <w:sz w:val="20"/>
        </w:rPr>
        <w:t>Other Distributions.</w:t>
      </w:r>
      <w:r>
        <w:rPr>
          <w:rFonts w:ascii="Times New Roman" w:hAnsi="Times New Roman"/>
          <w:sz w:val="20"/>
        </w:rPr>
        <w:t xml:space="preserve"> The depositary will send to BioNTech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BioNTech ADSs will also represent the newly distributed property. However, the depositary is not required to distribute any securities (other than BioNTech ADSs) to BioNTech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BioNTech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BioNTech ADS holders. We have no obligation to register BioNTech ADSs, shares, rights, or other securities under the Securities Act. We also have no obligation to take any other action to permit the distribution of BioNTech ADSs, shares, rights, or anything else to BioNTech ADS holders. </w:t>
      </w:r>
      <w:r>
        <w:rPr>
          <w:rFonts w:ascii="Times New Roman" w:hAnsi="Times New Roman"/>
          <w:b/>
          <w:sz w:val="20"/>
        </w:rPr>
        <w:t>This means that you may not receive the distributions we make on our shares or any value for them if it is illegal or impractical for us to make them available to you.</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are BioNTech ADSs issued?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deliver BioNTech ADSs if you or your broker deposits shares or evidence of rights to receive shares with the custodian. Upon payment of its fees and expenses and of any taxes or charges, such as stamp taxes or stock transfer taxes or fees, the depositary will register the appropriate number of BioNTech ADSs in the names you request and will deliver the BioNTech ADSs to or upon the order of the person or persons that made the deposit. </w:t>
      </w:r>
    </w:p>
    <w:p>
      <w:pPr>
        <w:pStyle w:val="TextBody"/>
        <w:bidi w:val="0"/>
        <w:spacing w:before="240" w:after="0"/>
        <w:jc w:val="left"/>
        <w:rPr>
          <w:rFonts w:ascii="Times New Roman" w:hAnsi="Times New Roman"/>
          <w:b/>
          <w:i/>
          <w:sz w:val="20"/>
        </w:rPr>
      </w:pPr>
      <w:r>
        <w:rPr>
          <w:rFonts w:ascii="Times New Roman" w:hAnsi="Times New Roman"/>
          <w:b/>
          <w:i/>
          <w:sz w:val="20"/>
        </w:rPr>
        <w:t xml:space="preserve">How can ADS holders withdraw the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BioNTech ADSs to the depositary for the purpose of withdrawal. Upon payment of its fees and expenses and of any taxes or charges, such as stamp taxes or stock transfer taxes or fees, the depositary will deliver the shares and any other deposited securities underlying the BioNTech ADSs to the BioNTech ADS holder or a person the BioNTech ADS holder designates at the office of the custodian. Or, at your request, risk, and expense, the depositary will deliver the deposited securities at its office, if feasible. However, the depositary is not required to accept surrender of BioNTech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How do BioNTech ADS holders interchange between certificated BioNTech ADSs and uncertificated BioNTech ADSs?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ADR to the depositary for the purpose of exchanging your ADR for uncertificated BioNTech ADSs. The depositary will cancel that ADR and will send to the BioNTech ADS holder a statement confirming that the BioNTech ADS holder is the registered holder of uncertificated BioNTech ADSs. Upon receipt by the depositary of a proper instruction from a registered holder of uncertificated BioNTech ADSs requesting the exchange of uncertificated BioNTech ADSs for certificated BioNTech ADSs, the depositary will execute and deliver to the BioNTech ADS holder an ADR evidencing those BioNTech ADSs. </w:t>
      </w:r>
    </w:p>
    <w:p>
      <w:pPr>
        <w:pStyle w:val="TextBody"/>
        <w:bidi w:val="0"/>
        <w:spacing w:before="24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BioNTech ADS holders vote? </w:t>
      </w:r>
    </w:p>
    <w:p>
      <w:pPr>
        <w:pStyle w:val="TextBody"/>
        <w:bidi w:val="0"/>
        <w:spacing w:before="120" w:after="0"/>
        <w:jc w:val="left"/>
        <w:rPr>
          <w:rFonts w:ascii="Times New Roman" w:hAnsi="Times New Roman"/>
          <w:sz w:val="20"/>
        </w:rPr>
      </w:pPr>
      <w:r>
        <w:rPr>
          <w:rFonts w:ascii="Times New Roman" w:hAnsi="Times New Roman"/>
          <w:sz w:val="20"/>
        </w:rPr>
        <w:t xml:space="preserve">BioNTech ADS holders may instruct the depositary how to vote the number of deposited shares their BioNTech ADSs represent. If we request the depositary to solicit your voting instructions (and we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required to do so), the depositary will notify you of a shareholders’ meeting and send or make voting materials available to you. Those materials will describe the matters to be voted on and explain how BioNTech ADS holders may instruct the depositary how to vote. For instructions to be valid, they must reach the depositary by a date set by the depositary. The depositary will try, as far as practical, subject to the laws of the State of New York and the provisions of the BioNTech articles (</w:t>
      </w:r>
      <w:r>
        <w:rPr>
          <w:rFonts w:ascii="Times New Roman" w:hAnsi="Times New Roman"/>
          <w:i/>
          <w:sz w:val="20"/>
        </w:rPr>
        <w:t>Satzung</w:t>
      </w:r>
      <w:r>
        <w:rPr>
          <w:rFonts w:ascii="Times New Roman" w:hAnsi="Times New Roman"/>
          <w:sz w:val="20"/>
        </w:rPr>
        <w:t xml:space="preserve">) or similar documents, to vote or to have its agents vote the shares or other deposited securities as instructed by BioNTech ADS holders. If we do not request the depositary to solicit your voting instructions, you can still send voting instructions, and, in that case, the depositary may try to vote as you instruct, but it is not required to do so. </w:t>
      </w:r>
    </w:p>
    <w:p>
      <w:pPr>
        <w:pStyle w:val="TextBody"/>
        <w:bidi w:val="0"/>
        <w:spacing w:before="240" w:after="0"/>
        <w:jc w:val="left"/>
        <w:rPr>
          <w:rFonts w:ascii="Times New Roman" w:hAnsi="Times New Roman"/>
          <w:sz w:val="20"/>
        </w:rPr>
      </w:pPr>
      <w:r>
        <w:rPr>
          <w:rFonts w:ascii="Times New Roman" w:hAnsi="Times New Roman"/>
          <w:b/>
          <w:sz w:val="20"/>
        </w:rPr>
        <w:t>Except by instructing the depositary as described above, you won’t be able to exercise voting rights unless you surrender your BioNTech ADSs and withdraw the shares. However, you may not know about the meeting enough in advance to withdraw the shares.</w:t>
      </w:r>
      <w:r>
        <w:rPr>
          <w:rFonts w:ascii="Times New Roman" w:hAnsi="Times New Roman"/>
          <w:sz w:val="20"/>
        </w:rPr>
        <w:t xml:space="preserve"> In any event, the 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wish the depositary to vote uninstructed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reasonably do not know of any substantial shareholder opposition to a particular question;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particular question is not materially adverse to the interests of shareholders, the depositary will consider you to have authorized and directed it to vote the number of deposited securities represented by your BioNTech ADSs in favor of any resolution that we proposed in the invitation to the shareholders’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hAnsi="Times New Roman"/>
          <w:b/>
          <w:sz w:val="20"/>
        </w:rPr>
        <w:t>This means that you may not be able to exercise voting rights and there may be nothing you can do if your shares are not voted as you requested.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center"/>
              <w:rPr/>
            </w:pPr>
            <w:r>
              <w:rPr>
                <w:b/>
                <w:i/>
              </w:rPr>
              <w:t>Persons depositing or withdrawing</w:t>
              <w:br/>
              <w:t>shares or BioNTech ADS holders must pay</w:t>
            </w:r>
            <w:r>
              <w:rPr>
                <w:b/>
              </w:rPr>
              <w:t>:</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center"/>
              <w:rPr/>
            </w:pPr>
            <w:r>
              <w:rPr>
                <w:b/>
                <w:i/>
              </w:rPr>
              <w:t>For</w:t>
            </w:r>
            <w:r>
              <w:rPr>
                <w:b/>
              </w:rPr>
              <w: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$5.00 (or less) per 100 BioNTech ADSs (or portion of 100 BioNTech ADSs)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BioNTech ADSs, including issuances resulting from a distribution of shares or rights or other property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Cancellation of BioNTech ADSs for the purpose of withdrawal, including if the deposit agreement terminates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$0.05 (or less) per BioNTech ADS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Any cash distribution to BioNTech ADS 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 fee equivalent to the fee that would be payable if securities distributed to you had been shares and the shares had been deposited for issuance of BioNTech ADSs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Distribution of securities distributed to holders of deposited securities (including rights) that are distributed by the depositary to BioNTech ADS 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$0.05 (or less) per BioNTech ADS per calendar year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Depositary services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Registration or transfer fees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Transfer and registration of shares on our share register to or from the name of the depositary or its agent when you deposit or withdraw shares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Expenses of the depositary</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Cable and facsimile transmissions (when expressly provided in the deposit agreement)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Converting foreign currency to U.S. dollars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Taxes and other governmental charges the depositary or the custodian has to pay on any BioNTech ADSs or shares underlying BioNTech ADSs, such as stock transfer taxes, stamp duty, or withholding taxes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As necessary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Any charges incurred by the depositary or its agents for servicing the deposited securities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As necessary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collects its fees for delivery and surrender of BioNTech ADSs directly from investors depositing shares or surrendering BioNTech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BioNTech ADS holders that are obligated to pay those fees. The depositary may generally refuse to provide fee-attracting services until its fees for those services are paid.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BioNTech ADS program, waive fees and expenses for services provided to us by the depositary or share revenue from the fees collected from BioNTech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BioNTech ADS holders, subject to the depositary’s obligations under the deposit agreement. The methodology used to determine exchange rates used in currency conversions is available upon request. </w:t>
      </w:r>
    </w:p>
    <w:p>
      <w:pPr>
        <w:pStyle w:val="TextBody"/>
        <w:bidi w:val="0"/>
        <w:spacing w:before="24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on your BioNTech ADSs or on the deposited securities represented by any of your BioNTech ADSs. The depositary may refuse to register any transfer of your BioNTech ADSs or allow you to withdraw the deposited securities represented by your BioNTech ADSs until those taxes or other charges are paid. It may apply payments owed to you or sell deposited securities represented by your BioNTech ADSs to pay any taxes owed and you will remain liable for any deficiency. If the depositary sells deposited securities, it will, if appropriate, reduce the number of BioNTech ADSs to reflect the sale and pay to BioNTech ADS holders any proceeds, or send to BioNTech ADS holders any property, remaining after it has paid the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by a BioNTech ADS holder surrendering BioNTech ADSs and subject to any conditions or procedures the depositary may establish. </w:t>
      </w:r>
    </w:p>
    <w:p>
      <w:pPr>
        <w:pStyle w:val="TextBody"/>
        <w:bidi w:val="0"/>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BioNTech ADSs and distribute the net redemption money to the holders of called BioNTech ADSs upon surrender of those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BioNTech ADS holders or for any other reason, the depositary may instead sell the replacement securities and distribute the net proceeds upon surrender of the BioNTech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BioNTech ADSs representing the new deposited securities or ask you to surrender your outstanding ADRs in exchange for new ADRs identifying the new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there are no deposited securities underlying BioNTech ADSs, including if the deposited securities are cancelled, or if the deposited securities underlying BioNTech ADSs have become apparently worthless, the depositary may call for surrender or of those BioNTech ADSs or cancel those BioNTech ADSs upon notice to the BioNTech ADS holders.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BioNTech ADS holders, it will not become effective for outstanding BioNTech ADSs until 30 days after the depositary notifies BioNTech ADS holders of the amendment. </w:t>
      </w:r>
      <w:r>
        <w:rPr>
          <w:rFonts w:ascii="Times New Roman" w:hAnsi="Times New Roman"/>
          <w:b/>
          <w:sz w:val="20"/>
        </w:rPr>
        <w:t>At the time an amendment becomes effective, you are considered, by continuing to hold your BioNTech ADSs, to agree to the amendment and to be bound by the ADRs and the deposit agreement as amended.</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the BioNTech ADSs from an exchange in the United States on which they were listed and do not list the BioNTech ADSs on another exchange in the United States or make arrangements for trading of BioNTech ADSs on the U.S.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our ordinary shares from an exchange outside the United States on which they were listed and do not list the shares on another exchange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reason to believe the BioNTech ADSs have become, or will become, ineligible for registration on Form F-6 under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appear to be insolvent or enter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deposited securities underlying the BioNTech ADSs or the underlying deposited securities have become apparently worthless;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BioNTech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BioNTech ADS holders that have not surrendered their BioNTech ADSs. Normally, the depositary will sell as soon as practicable after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After the termination date and before the depositary sells, BioNTech ADS holders can still surrender their BioNTech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BioNTech ADSs or distribute any dividends or other distributions on deposited securities to the BioNTech ADSs holder (until they surrender their BioNTech ADSs) or give any notices or perform any other duties under the deposit agreement except as described in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BioNTech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only obligated to take the actions specifically set forth in the deposit agreement without negligence or bad faith, and the depositary will not be a fiduciary or have any fiduciary duty to holders of BioNTech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or it exercises discretion permitted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inability of any holder of BioNTech ADSs to benefit from any distribution on deposited securities that is not made available to holders of BioNTech ADSs under the terms of the deposit agreement, or for any special,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BioNTech ADSs or the deposit agreement on your behalf or on behalf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or any liability for any tax consequences that may be incurred by BioNTech ADS holders as a result of owning or holding BioNTech ADSs or be liable for the inability or failure of a BioNTech ADS holder to obtain the benefit of a foreign tax credit, reduced rate of withholding, or refund of amounts withheld in respect of tax or any other tax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Depositary Actions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will deliver or register a transfer of BioNTech ADSs, make a distribution on BioNTech ADSs, or permit withdrawal of shares, the depositary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BioNTech ADSs or register transfers of BioNTech ADSs when the transfer books of the depositary or our transfer books are closed or at any time if the depositary or we think it advisable to do so. </w:t>
      </w:r>
    </w:p>
    <w:p>
      <w:pPr>
        <w:pStyle w:val="TextBody"/>
        <w:bidi w:val="0"/>
        <w:spacing w:before="240" w:after="0"/>
        <w:jc w:val="left"/>
        <w:rPr>
          <w:rFonts w:ascii="Times New Roman" w:hAnsi="Times New Roman"/>
          <w:b/>
          <w:sz w:val="20"/>
        </w:rPr>
      </w:pPr>
      <w:r>
        <w:rPr>
          <w:rFonts w:ascii="Times New Roman" w:hAnsi="Times New Roman"/>
          <w:b/>
          <w:sz w:val="20"/>
        </w:rPr>
        <w:t xml:space="preserve">Your Right to Receive the Shares Underlying your BioNTech ADSs </w:t>
      </w:r>
    </w:p>
    <w:p>
      <w:pPr>
        <w:pStyle w:val="TextBody"/>
        <w:bidi w:val="0"/>
        <w:spacing w:before="120" w:after="0"/>
        <w:jc w:val="left"/>
        <w:rPr>
          <w:rFonts w:ascii="Times New Roman" w:hAnsi="Times New Roman"/>
          <w:sz w:val="20"/>
        </w:rPr>
      </w:pPr>
      <w:r>
        <w:rPr>
          <w:rFonts w:ascii="Times New Roman" w:hAnsi="Times New Roman"/>
          <w:sz w:val="20"/>
        </w:rPr>
        <w:t xml:space="preserve">BioNTech ADS holders have the right to cancel their BioNTech ADSs and withdraw the underlying shares at any time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shares is blocked to permit voting at a shareholders’ meeting, or (iii) we are paying a dividend on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BioNTech ADSs or to the withdrawal of shares or other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which we refer to as the DRS, and Profile Modification System, which we refer to as the Profile, will apply to the BioNTech ADSs. DRS is a system administered by DTC that facilitates interchange between registered holding of uncertificated ADSs and holding of security entitlements in BioNTech ADSs through DTC and a DTC participant. Profile is a feature of DRS that allows a DTC participant, claiming to act on behalf of a registered holder of uncertificated BioNTech ADSs, to direct the depositary to register a transfer of those BioNTech ADSs to DTC or its nominee and to deliver those BioNTech ADSs to the DTC account of that DTC participant without receipt by the depositary of prior authorization from the BioNTech ADS holder to register that transfer.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claiming to be acting on behalf of a BioNTech ADS holder in requesting registration of transfer and delivery as described in the paragraph above has the actual authority to act on behalf of the BioNTech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 Communications; Inspection of Register of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BioNTech ADSs, but not for the purpose of contacting those holders about a matter unrelated to our business or the BioNTech ADSs. </w:t>
      </w:r>
    </w:p>
    <w:p>
      <w:pPr>
        <w:pStyle w:val="TextBody"/>
        <w:bidi w:val="0"/>
        <w:spacing w:before="24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BioNTech ADS holders waive the right to a jury trial of any claim they may have against us or the depositary arising out of or relating to our shares, the BioNTech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w:t>
      </w:r>
    </w:p>
    <w:p>
      <w:pPr>
        <w:pStyle w:val="TextBody"/>
        <w:bidi w:val="0"/>
        <w:spacing w:before="240" w:after="0"/>
        <w:jc w:val="left"/>
        <w:rPr>
          <w:rFonts w:ascii="Times New Roman" w:hAnsi="Times New Roman"/>
          <w:sz w:val="20"/>
        </w:rPr>
      </w:pPr>
      <w:r>
        <w:rPr>
          <w:rFonts w:ascii="Times New Roman" w:hAnsi="Times New Roman"/>
          <w:sz w:val="20"/>
        </w:rPr>
        <w:t xml:space="preserve">You will not, by agreeing to the terms of the deposit agreement, be deemed to have waived our or the depositary’s compliance with U.S. federal securities laws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oc847647_76"/>
      <w:bookmarkEnd w:id="82"/>
      <w:r>
        <w:rPr>
          <w:rFonts w:ascii="Times New Roman" w:hAnsi="Times New Roman"/>
          <w:b/>
          <w:sz w:val="20"/>
        </w:rPr>
        <w:t xml:space="preserve">COMPARISON OF RIGHTS OF BIONTECH SHAREHOLDERS AND </w:t>
      </w:r>
    </w:p>
    <w:p>
      <w:pPr>
        <w:pStyle w:val="TextBody"/>
        <w:bidi w:val="0"/>
        <w:spacing w:before="0" w:after="0"/>
        <w:jc w:val="center"/>
        <w:rPr>
          <w:rFonts w:ascii="Times New Roman" w:hAnsi="Times New Roman"/>
          <w:b/>
          <w:sz w:val="20"/>
        </w:rPr>
      </w:pPr>
      <w:r>
        <w:rPr>
          <w:rFonts w:ascii="Times New Roman" w:hAnsi="Times New Roman"/>
          <w:b/>
          <w:sz w:val="20"/>
        </w:rPr>
        <w:t xml:space="preserve">CUREVAC SHAREHOLDERS </w:t>
      </w:r>
    </w:p>
    <w:p>
      <w:pPr>
        <w:pStyle w:val="TextBody"/>
        <w:bidi w:val="0"/>
        <w:spacing w:before="240" w:after="0"/>
        <w:jc w:val="left"/>
        <w:rPr>
          <w:rFonts w:ascii="Times New Roman" w:hAnsi="Times New Roman"/>
          <w:sz w:val="20"/>
        </w:rPr>
      </w:pPr>
      <w:r>
        <w:rPr>
          <w:rFonts w:ascii="Times New Roman" w:hAnsi="Times New Roman"/>
          <w:sz w:val="20"/>
        </w:rPr>
        <w:t>The rights of CureVac shareholders are currently governed by Dutch law and the CureVac articles. The rights of BioNTech shareholders are governed by European and German law, including, but not limited to, the SE Regulation, the German Act on the Implementation of the SE Regulation, which we refer to as the SEAG, the German Stock Corporation Act (</w:t>
      </w:r>
      <w:r>
        <w:rPr>
          <w:rFonts w:ascii="Times New Roman" w:hAnsi="Times New Roman"/>
          <w:i/>
          <w:sz w:val="20"/>
        </w:rPr>
        <w:t>Aktiengesetz</w:t>
      </w:r>
      <w:r>
        <w:rPr>
          <w:rFonts w:ascii="Times New Roman" w:hAnsi="Times New Roman"/>
          <w:sz w:val="20"/>
        </w:rPr>
        <w:t xml:space="preserve">) (each as amended from time to time), and by the provisions of the BioNTech articles. The following is a summary of the material differences between the rights of CureVac shareholders and BioNTech shareholders. These differences arise from differences between Dutch law and the CureVac articles on the one hand, and European and German law and the BioNTech articles on the other hand. This summary does not include a complete description of all differences between the rights of CureVac shareholders and BioNTech shareholders, nor does it include a complete description of the specific rights of these respective holders. Furthermore, the identification of some of the differences in the rights of these holders as material is not intended to indicate that other differences do not exist.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transactions, CureVac shareholders will become holders of BioNTech ADSs, each of which will represent one BioNTech ordinary share. You should refer to the description of the BioNTech ADSs in the section “Description of BioNTech Capital Stock” on page 123 for a description of the BioNTech ADSs and the BioNTech deposit agreement and a discussion of the ways in which the rights of holders of BioNTech ADSs may differ from those of holders of BioNTech ordinary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202"/>
        <w:gridCol w:w="4900"/>
      </w:tblGrid>
      <w:tr>
        <w:trPr/>
        <w:tc>
          <w:tcPr>
            <w:tcW w:w="510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Management Board / Supervisory Board / Shareholders’ Meeting</w:t>
            </w:r>
          </w:p>
        </w:tc>
      </w:tr>
      <w:tr>
        <w:trPr>
          <w:trHeight w:val="12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t>CureVac has a two-tier governance system with a separate management board and supervisory board.</w:t>
            </w:r>
          </w:p>
        </w:tc>
        <w:tc>
          <w:tcPr>
            <w:tcW w:w="20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BioNTech has a two-tier governance system with a separate management board and a supervisory board.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Authorized Capital / Outstanding Stock</w:t>
            </w:r>
          </w:p>
        </w:tc>
      </w:tr>
      <w:tr>
        <w:trPr>
          <w:trHeight w:val="12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The CureVac articles provide for an authorized share capital of 92,700,000, divided into (i) 386,250,000 ordinary shares with a nominal value of 0.12 each, and (ii) 386,250,000 preferred shares with a nominal value of 0.12 each.</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Based on the information in the Dutch trade register (</w:t>
            </w:r>
            <w:r>
              <w:rPr>
                <w:rFonts w:ascii="Times New Roman" w:hAnsi="Times New Roman"/>
                <w:i/>
                <w:sz w:val="20"/>
              </w:rPr>
              <w:t>handelregister</w:t>
            </w:r>
            <w:r>
              <w:rPr>
                <w:rFonts w:ascii="Times New Roman" w:hAnsi="Times New Roman"/>
                <w:sz w:val="20"/>
              </w:rPr>
              <w:t>), the issued share capital of CureVac is 27,021,797.64, divided into 225,181,647 ordinary shares with a nominal value of 0.12 each, all of which are fully paid-up.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the proposal of the management board of CureVac, approved by the supervisory board of CureVac, the general meeting of CureVac may designate another corporate body such as the CureVac management board as the competent body to issue shares in the capital of CureVac (or grant rights to subscribe for such shares), to limit or exclude pre-emption rights with regard to such issue or grant, and to determine the issue price and other conditions of the issue for a specified period not exceeding five years. Preferred shares cannot be issued or granted and shall not be part of CureVac’s issued share capital until the expiration of the later of (i) the</w:t>
            </w:r>
          </w:p>
        </w:tc>
        <w:tc>
          <w:tcPr>
            <w:tcW w:w="20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BioNTech has share capital registered in the commercial register (</w:t>
            </w:r>
            <w:r>
              <w:rPr>
                <w:rFonts w:ascii="Times New Roman" w:hAnsi="Times New Roman"/>
                <w:i/>
                <w:sz w:val="20"/>
              </w:rPr>
              <w:t>Handelsregister</w:t>
            </w:r>
            <w:r>
              <w:rPr>
                <w:rFonts w:ascii="Times New Roman" w:hAnsi="Times New Roman"/>
                <w:sz w:val="20"/>
              </w:rPr>
              <w:t>) in the amount of 248,552,200, which is divided into 248,552,200 registered shares (</w:t>
            </w:r>
            <w:r>
              <w:rPr>
                <w:rFonts w:ascii="Times New Roman" w:hAnsi="Times New Roman"/>
                <w:i/>
                <w:sz w:val="20"/>
              </w:rPr>
              <w:t>Namensaktien</w:t>
            </w:r>
            <w:r>
              <w:rPr>
                <w:rFonts w:ascii="Times New Roman" w:hAnsi="Times New Roman"/>
                <w:sz w:val="20"/>
              </w:rPr>
              <w:t>). All shares are shares with no par value (</w:t>
            </w:r>
            <w:r>
              <w:rPr>
                <w:rFonts w:ascii="Times New Roman" w:hAnsi="Times New Roman"/>
                <w:i/>
                <w:sz w:val="20"/>
              </w:rPr>
              <w:t>Stückaktien ohne Nennbetrag</w:t>
            </w:r>
            <w:r>
              <w:rPr>
                <w:rFonts w:ascii="Times New Roman" w:hAnsi="Times New Roman"/>
                <w:sz w:val="20"/>
              </w:rPr>
              <w:t>) with a notional amount attributable to each ordinary share of 1.00. Each issued ordinary share is fully paid.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 4(5) of BioNTech’s articles of association (</w:t>
            </w:r>
            <w:r>
              <w:rPr>
                <w:rFonts w:ascii="Times New Roman" w:hAnsi="Times New Roman"/>
                <w:i/>
                <w:sz w:val="20"/>
              </w:rPr>
              <w:t>Satzung</w:t>
            </w:r>
            <w:r>
              <w:rPr>
                <w:rFonts w:ascii="Times New Roman" w:hAnsi="Times New Roman"/>
                <w:sz w:val="20"/>
              </w:rPr>
              <w:t>), the management board is authorized, with the approval of the supervisory board, to increase BioNTech’s share capital, on one or more occasions, in the period up to May 15, 2030, by a total of up to 124,276,100 by issuing up to 124,276,100 new no-par value registered shares in return for cash and/or non-cash contributions (authorized capital 2025).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BioNTech ADSs are listed on Nasdaq.</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4"/>
        <w:gridCol w:w="202"/>
        <w:gridCol w:w="4899"/>
      </w:tblGrid>
      <w:tr>
        <w:trPr/>
        <w:tc>
          <w:tcPr>
            <w:tcW w:w="510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04"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899"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Initial Period or (ii) the Initial Approval Period (both as defined in the CureVac articles).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CureVac management board has been authorized for a period of five years until August 14, 2025, to issue ordinary shares or grant rights to subscribe for ordinary shares up to CureVac’s authorized share capital from time to time. CureVac was granted renewal of this authorization at its 2025 annual general meeting that was held on June 24, 2025.</w:t>
            </w:r>
          </w:p>
          <w:p>
            <w:pPr>
              <w:pStyle w:val="TableContents"/>
              <w:bidi w:val="0"/>
              <w:spacing w:before="0" w:after="0"/>
              <w:jc w:val="left"/>
              <w:rPr>
                <w:rFonts w:ascii="Times New Roman" w:hAnsi="Times New Roman"/>
                <w:sz w:val="20"/>
              </w:rPr>
            </w:pPr>
            <w:r>
              <w:rPr>
                <w:rFonts w:ascii="Times New Roman" w:hAnsi="Times New Roman"/>
                <w:sz w:val="20"/>
              </w:rPr>
              <w:t>Resolutions of the CureVac supervisory board to approve a resolution of the CureVac management board to exclude or limit pre-emption rights (except in connection with the ordinary operation of CureVac’s equity incentive plans), or to issue shares against non-cash contribution, require approval by a Special Committee of the CureVac supervisory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CureVac shares are listed on Nasdaq.</w:t>
            </w:r>
          </w:p>
        </w:tc>
        <w:tc>
          <w:tcPr>
            <w:tcW w:w="20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Board Committees</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283"/>
              <w:jc w:val="left"/>
              <w:rPr/>
            </w:pPr>
            <w:r>
              <w:rPr/>
              <w:t>The supervisory board has established the following standing committees: an Audit Committee, a Compensation Committee, a Nomination and Corporate Governance Committee, a Special Committee, and an Independent Committee. The supervisory board has drawn up (and/or included in the supervisory board rules) rules concerning the organization, decision-making, and other internal matters of these committees.</w:t>
            </w:r>
          </w:p>
        </w:tc>
        <w:tc>
          <w:tcPr>
            <w:tcW w:w="20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The supervisory board may form committees and may refer items for resolution to these committees within the scope of what is permitted by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supervisory board has established an Audit Committee, a Compensation, Nominating, and Corporate Governance Committee, a Capital Markets Committee and a Product Committee by resolution.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Voting</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Each person with a meeting right under Dutch law (generally being a shareholder, a usufructuary, or pledgee with voting or meeting rights or a holder of depository receipts for shares issued with CureVac’s cooperation) has the right to attend, address and, if applicable, vote at CureVac’s general meetings, whether in person or represented by the holder of a written proxy (also by electronic means of communication, if so decided by the CureVac management board). Each share, irrespective of which class it concerns, shall give the right to cast one vote at the CureVac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Unless a greater majority is required by law or by the CureVac articles, all resolutions of the CureVac general meeting shall be passed by a simple majority of the votes cast. Under applicable Dutch law, a number of resolutions must be passed by a majority of at least two thirds of the votes cast if less than half of</w:t>
            </w:r>
          </w:p>
        </w:tc>
        <w:tc>
          <w:tcPr>
            <w:tcW w:w="202"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The holders of BioNTech ordinary shares may exercise their voting rights only in the shareholders’ meeting. One vote is afforded to each BioNTech ordinary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Resolutions are, in accordance with BioNTech articles, generally taken by simple majority of the votes cast. However, under applicable German and European law, a number of resolutions must be passed by either a three-quarter majority of the votes cast or a three-quarter majority of the share capital represented at the meeting. In addition, unless a larger majority is required by law, resolutions to amend the articles (</w:t>
            </w:r>
            <w:r>
              <w:rPr>
                <w:rFonts w:ascii="Times New Roman" w:hAnsi="Times New Roman"/>
                <w:i/>
                <w:sz w:val="20"/>
              </w:rPr>
              <w:t>Satzung</w:t>
            </w:r>
            <w:r>
              <w:rPr>
                <w:rFonts w:ascii="Times New Roman" w:hAnsi="Times New Roman"/>
                <w:sz w:val="20"/>
              </w:rPr>
              <w:t>) require a majority of at least two-thirds of the votes cast and of the share capital represented, if at least half of the share capital is not represented. The fact that in these cases the quorum is determined in relation to the share capital or shares present (as opposed to, for example, all shares eligible to vote) means that holders of a minority of BioNTech ordinary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2"/>
        <w:gridCol w:w="4901"/>
      </w:tblGrid>
      <w:tr>
        <w:trPr/>
        <w:tc>
          <w:tcPr>
            <w:tcW w:w="51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1"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283"/>
              <w:jc w:val="left"/>
              <w:rPr/>
            </w:pPr>
            <w:r>
              <w:rPr/>
              <w:t>the issued share capital is represented at a CureVac general meeting.</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shares could potentially control the outcome of resolutions.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Distributions / Dividends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A distribution can only be made to the extent that CureVac’s equity exceeds the amount of the paid up and called up part of its capital plus the reserves which must be maintained by law. This rule applies to both dividend distributions (out of profit) and distributions out of freely distributable reserves (such as share premium). A distribution of profits may be made only after the adoption of the annual accounts that show that such distribution is allowed.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the management board of CureVac, with the approval of the CureVac supervisory board, may resolve to make interim distributions, provided that it appears from interim accounts to be prepared in accordance with Dutch law that CureVac’s equity exceeds the amount of the paid up and called up part of its capital plus the reserves which must be maintained by Dutch law and, if applicable, the order of priority, as laid down in Article 37.1 paragraph a. through d. of the CureVac articles, is taken into account.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Taking into account the order of priority, as laid down in Article 37.1 paragraph a. through d. of the CureVac articles, more specifically in relation to the preferred shares, the Preferred Distribution (as defined in the CureVac articles) and the authorization of CureVac’s management board to reserve the profits, the remaining profits shall be at the disposal of CureVac’s general meeting for distribution on the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CureVac general meeting may resolve, that all or part of a distribution, instead of being made in cash, shall be made in the form of shares in CureVac’s capital or in the form of CureVac’s assets. This resolution can only be passed at the proposal of CureVac’s management board, which shall require the approval of the supervisory board of CureVac.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Furthermore, in case of remaining profits, the management board of CureVac shall determine which part thereof shall be added to CureVac’s reserves. In case some of the distributions described in Article 37.1 paragraphs a. through c. (or any part thereof) of CureVac articles cannot be paid out of the profits shown in the annual accounts, any such deficit shall in</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rFonts w:ascii="Times New Roman" w:hAnsi="Times New Roman"/>
                <w:sz w:val="20"/>
              </w:rPr>
            </w:pPr>
            <w:r>
              <w:rPr>
                <w:rFonts w:ascii="Times New Roman" w:hAnsi="Times New Roman"/>
                <w:sz w:val="20"/>
              </w:rPr>
              <w:t>The shareholders’ meeting decides on the use of the accumulated retained earnings for each financial year according to BioNTech’s annual financial statements as approved by the supervisory board. In particular, the shareholders’ meeting may resolve to distribute a dividend per no-par value share out of the accumulated retained earnings. The shareholders’ meeting may resolve to make distributions in kind, in lieu of or in addition to cash distributions.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4"/>
        <w:gridCol w:w="201"/>
        <w:gridCol w:w="4900"/>
      </w:tblGrid>
      <w:tr>
        <w:trPr/>
        <w:tc>
          <w:tcPr>
            <w:tcW w:w="510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4"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1"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principle be distributed from CureVac’s reserves. See the section “</w:t>
            </w:r>
            <w:r>
              <w:rPr>
                <w:rFonts w:ascii="Times New Roman" w:hAnsi="Times New Roman"/>
                <w:i/>
                <w:sz w:val="20"/>
              </w:rPr>
              <w:t>Reserves</w:t>
            </w:r>
            <w:r>
              <w:rPr>
                <w:rFonts w:ascii="Times New Roman" w:hAnsi="Times New Roman"/>
                <w:sz w:val="20"/>
              </w:rPr>
              <w:t>” below.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claim for payment of a distribution shall lapse after five years have expired after the distribution became payable.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the purpose of calculating the amount or allocation of any distribution, shares held by CureVac in its own capital shall not be taken into account. No distribution shall be made to CureVac in respect of shares held by it in its own capital.</w:t>
            </w:r>
          </w:p>
        </w:tc>
        <w:tc>
          <w:tcPr>
            <w:tcW w:w="201"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Purchase and Repurchase of Shares</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The acquisition by CureVac of shares (including depository receipts for shares) in its own capital which have not been fully paid up shall be null and void. CureVac may only acquire fully paid up shares in its own capital either (i) for no consideration or (ii) for consideration (in cash consideration satisfied in the form of assets) if and to the extent that CureVac’s general meeting has authorized CureVac’s management board for this purpose and all other relevant statutory requirements under Dutch law are observed.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CureVac’s management board currently has no such authorization.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abovementioned does not apply to shares acquired by CureVac under universal title of succession.</w:t>
            </w:r>
          </w:p>
        </w:tc>
        <w:tc>
          <w:tcPr>
            <w:tcW w:w="201"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BioNTech may not purchase its own shares unless authorized by the shareholders’ meeting or in other very limited circumstances as set out in the German Stock Corporation Act (</w:t>
            </w:r>
            <w:r>
              <w:rPr>
                <w:i/>
              </w:rPr>
              <w:t>Aktiengesetz</w:t>
            </w:r>
            <w:r>
              <w:rPr/>
              <w:t>). BioNTech’s shareholders’ meeting held on May 17, 2024 authorized the management board until May 16, 2029, provided it complies with the legal requirement of equal treatment, to acquire treasury shares up to a total of 10% of BioNTech’s share capital at the time of the relevant resolution or at the time the authorization is exercised. These shares held by BioNTech (including shares attributable to it pursuant to the German Stock Corporation Act (</w:t>
            </w:r>
            <w:r>
              <w:rPr>
                <w:i/>
              </w:rPr>
              <w:t>Aktiengesetz</w:t>
            </w:r>
            <w:r>
              <w:rPr/>
              <w:t>)) must never exceed 10% of the share capital. The shares may be purchased (i) through the stock exchange, (ii) by means of a public offer directed to all shareholders of BioNTech,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Reserves</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Dutch corporate law, a public limited liability company (</w:t>
            </w:r>
            <w:r>
              <w:rPr>
                <w:rFonts w:ascii="Times New Roman" w:hAnsi="Times New Roman"/>
                <w:i/>
                <w:sz w:val="20"/>
              </w:rPr>
              <w:t>naamloze vennootschap</w:t>
            </w:r>
            <w:r>
              <w:rPr>
                <w:rFonts w:ascii="Times New Roman" w:hAnsi="Times New Roman"/>
                <w:sz w:val="20"/>
              </w:rPr>
              <w:t>) such as CureVac must maintain certain statutory reserves out of which no distributions can be made.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reserves maintained by CureVac shall be attached exclusively to the ordinary shares. Distributions from a reserve shall in principle be made exclusively on the ordinary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management board of CureVac may resolve to charge amounts to be paid up on shares against</w:t>
            </w:r>
          </w:p>
        </w:tc>
        <w:tc>
          <w:tcPr>
            <w:tcW w:w="201"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According to Section 150 of the German Stock Corporation Act (</w:t>
            </w:r>
            <w:r>
              <w:rPr>
                <w:rFonts w:ascii="Times New Roman" w:hAnsi="Times New Roman"/>
                <w:i/>
                <w:sz w:val="20"/>
              </w:rPr>
              <w:t>Aktiengesetz</w:t>
            </w:r>
            <w:r>
              <w:rPr>
                <w:rFonts w:ascii="Times New Roman" w:hAnsi="Times New Roman"/>
                <w:sz w:val="20"/>
              </w:rPr>
              <w:t xml:space="preserve">), BioNTech must establish statutory reserves </w:t>
            </w:r>
            <w:r>
              <w:rPr>
                <w:rFonts w:ascii="Times New Roman" w:hAnsi="Times New Roman"/>
                <w:i/>
                <w:sz w:val="20"/>
              </w:rPr>
              <w:t xml:space="preserve">(gesetzlichhe Rücklage) </w:t>
            </w:r>
            <w:r>
              <w:rPr>
                <w:rFonts w:ascii="Times New Roman" w:hAnsi="Times New Roman"/>
                <w:sz w:val="20"/>
              </w:rPr>
              <w:t xml:space="preserve">in the amount of 10% of the share capital. Capital reserves </w:t>
            </w:r>
            <w:r>
              <w:rPr>
                <w:rFonts w:ascii="Times New Roman" w:hAnsi="Times New Roman"/>
                <w:i/>
                <w:sz w:val="20"/>
              </w:rPr>
              <w:t xml:space="preserve">(Kapitalrücklagen) </w:t>
            </w:r>
            <w:r>
              <w:rPr>
                <w:rFonts w:ascii="Times New Roman" w:hAnsi="Times New Roman"/>
                <w:sz w:val="20"/>
              </w:rPr>
              <w:t xml:space="preserve">built up in accordance with the provisions of Section 272 para. 2 no. 1 to 3 of the German Commercial Code </w:t>
            </w:r>
            <w:r>
              <w:rPr>
                <w:rFonts w:ascii="Times New Roman" w:hAnsi="Times New Roman"/>
                <w:i/>
                <w:sz w:val="20"/>
              </w:rPr>
              <w:t xml:space="preserve">(HGB) </w:t>
            </w:r>
            <w:r>
              <w:rPr>
                <w:rFonts w:ascii="Times New Roman" w:hAnsi="Times New Roman"/>
                <w:sz w:val="20"/>
              </w:rPr>
              <w:t>count towards this threshold.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statutory reserves and the abovementioned capital reserves may only be used for restricted purposes as set out in Section 150 of the German Stock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4"/>
        <w:gridCol w:w="4899"/>
      </w:tblGrid>
      <w:tr>
        <w:trPr/>
        <w:tc>
          <w:tcPr>
            <w:tcW w:w="510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4" w:type="dxa"/>
            <w:tcBorders/>
            <w:vAlign w:val="bottom"/>
          </w:tcPr>
          <w:p>
            <w:pPr>
              <w:pStyle w:val="TableContents"/>
              <w:bidi w:val="0"/>
              <w:spacing w:before="0" w:after="283"/>
              <w:jc w:val="left"/>
              <w:rPr/>
            </w:pPr>
            <w:r>
              <w:rPr/>
              <w:t> </w:t>
            </w:r>
          </w:p>
        </w:tc>
        <w:tc>
          <w:tcPr>
            <w:tcW w:w="4899"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283"/>
              <w:jc w:val="left"/>
              <w:rPr/>
            </w:pPr>
            <w:r>
              <w:rPr/>
              <w:t>CureVac’s reserves, irrespective of whether those shares are issued to existing shareholders.</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Act (</w:t>
            </w:r>
            <w:r>
              <w:rPr>
                <w:rFonts w:ascii="Times New Roman" w:hAnsi="Times New Roman"/>
                <w:i/>
                <w:sz w:val="20"/>
              </w:rPr>
              <w:t>Aktiengesetz</w:t>
            </w:r>
            <w:r>
              <w:rPr>
                <w:rFonts w:ascii="Times New Roman" w:hAnsi="Times New Roman"/>
                <w:sz w:val="20"/>
              </w:rPr>
              <w:t>). Voluntarily built up capital reserves within the meaning of Section 272 para. 2 no.4 HGB are not subject to such restrictions.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Other revenue reserves </w:t>
            </w:r>
            <w:r>
              <w:rPr>
                <w:rFonts w:ascii="Times New Roman" w:hAnsi="Times New Roman"/>
                <w:i/>
                <w:sz w:val="20"/>
              </w:rPr>
              <w:t xml:space="preserve">(andere Gewinnrücklagen) </w:t>
            </w:r>
            <w:r>
              <w:rPr>
                <w:rFonts w:ascii="Times New Roman" w:hAnsi="Times New Roman"/>
                <w:sz w:val="20"/>
              </w:rPr>
              <w:t>to which such restrictions do not apply can be established as follows: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 the management board approves the annual financial statements, then it may appropriate the annual profit for the year to other revenue reserves in whole or in part. The appropriation of more than half of the annual profit for the year is not admissible, however, if the other revenue reserves exceed half of the share capital or insofar as they would exceed half of the share capital following such appropriation. Those amounts which have to be appropriated to the statutory reserve and any accumulated deficit brought forward from the prior year have to be deducted from the annual profit for the year in advance.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Additionally, the shareholders’ meeting may resolve to allocate amounts out of the accumulated retained earnings to other revenue reserves when deciding on the use of the accumulated retained earnings.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Appraisal / Dissenters’ Rights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Subject to certain exceptions, Dutch law does not recognize the concept of appraisal or dissenters’ rights. However, Dutch law does provide for squeeze-out procedures. Also, Dutch law provides for cash exit rights in certain situations for dissenting shareholders of a company organized under Dutch law entering into certain types of mergers or cross-border conversion or demergers. In those situations, a dissenting shareholder may file a claim with the Dutch company for compensation and/or challenge a proposed cash compensation or exchange ratio by requesting a review thereof by independent experts, subject to certain exceptions.</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certain structural measures involving BioNTech (in particular, but not limited to, certain cases of a merger or spin-off involving BioNTech as transferring entity under the German Transformation Act </w:t>
            </w:r>
            <w:r>
              <w:rPr>
                <w:rFonts w:ascii="Times New Roman" w:hAnsi="Times New Roman"/>
                <w:i/>
                <w:sz w:val="20"/>
              </w:rPr>
              <w:t xml:space="preserve">(UmwG), </w:t>
            </w:r>
            <w:r>
              <w:rPr>
                <w:rFonts w:ascii="Times New Roman" w:hAnsi="Times New Roman"/>
                <w:sz w:val="20"/>
              </w:rPr>
              <w:t>the conclusion of a domination and/or profit and loss transfer agreement with BioNTech as dependent entity or the relocation of BioNTech’s registered seat to another member state of the European Union), shareholders may be entitled to receive an adequate compensation in cash or in shares of another entity. The adequacy of the compensation may be reviewed by court upon motion of one or more shareholders in a special appraisal proceeding; the court may also determine a higher compensation.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Apart from that, each shareholder of BioNTech may challenge the validity of any shareholders’ meeting’s resolution provided that such resolution violates statutory provisions or the provisions of the BioNTech articles in a relevant manner.</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Preemptive Rights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Based on Dutch law and the CureVac articles, each holder of ordinary shares shall have a pre-emptive right in proportion to the aggregate nominal value of their</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German law generally provides shareholders with preemptive rights when new shares, convertible bonds,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upon an issue of shares. No pre-emptive rights are attached to preferred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However, holders of ordinary shares do not have pre-emptive rights in respect of: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preferred shares;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issued against non-cash contribution;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issued to employees of CureVac or of a group company of CureVac.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CureVac shall announce an issue with pre-emptive rights and the period during which those rights can be exercised in the Dutch State Gazette and in a nationally distributed newspaper. The pre-emptive rights can be exercised for a period of at least two weeks after the date of announcement in the Dutch State Gazette.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Pre-emption rights may be limited or excluded by a resolution of CureVac’s general meeting or of the body authorized to issue shares, if that body was authorized by CureVac’s general meeting for this purpose for a specified period not exceeding five years. The CureVac management board has been authorized for a period of five years until August 14, 2025, to limit or exclude pre-emption rights in respect of an issue of shares or a grant of rights to subscribe for shares under the authorization of the management board described above under “Authorized Capital/Outstanding Stock”. CureVac was granted renewal of this authorization at its 2025 annual general meeting that was held on June 24, 2025.</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bonds with warrants, profit participation rights, or participating bonds are issued.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BioNTech articles, the management board may, however, with the consent of the supervisory board, exclude such preemptive rights in a capital increase from the authorized capital 2025 in the following circumstances: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exclude fractional amounts from the subscription right;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the event of a capital increase against cash contributions, if the issue price of the new shares is not significantly lower than the market price; the market price is also deemed to be the price of one BioNTech ADS of BioNTech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para. 3 sentence 4 German Stock Corporation Act (</w:t>
            </w:r>
            <w:r>
              <w:rPr>
                <w:rFonts w:ascii="Times New Roman" w:hAnsi="Times New Roman"/>
                <w:i/>
              </w:rPr>
              <w:t>Aktiengesetz</w:t>
            </w:r>
            <w:r>
              <w:rPr>
                <w:rFonts w:ascii="Times New Roman" w:hAnsi="Times New Roman"/>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hAnsi="Times New Roman"/>
                <w:i/>
              </w:rPr>
              <w:t>Aktiengesetz</w:t>
            </w:r>
            <w:r>
              <w:rPr>
                <w:rFonts w:ascii="Times New Roman" w:hAnsi="Times New Roman"/>
              </w:rPr>
              <w:t>) with the exclusion of subscription rights. The above issue limitation applies to BioNTech ADSs, provided that the number of BioNTech ADSs is to be divided by the number of BioNTech ADSs representing one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the event of a capital increase against contributions in kind, in particular for the issuance of shares as part of business combinations and the acquisition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4"/>
        <w:gridCol w:w="203"/>
        <w:gridCol w:w="4898"/>
      </w:tblGrid>
      <w:tr>
        <w:trPr/>
        <w:tc>
          <w:tcPr>
            <w:tcW w:w="51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04"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898"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0"/>
              <w:jc w:val="left"/>
              <w:rPr/>
            </w:pPr>
            <w:r>
              <w:rPr/>
              <w:t>companies, parts of companies and interests in companies or other assets or claims to the acquisition of assets including receivables from the Company and its group companies as well as license or industrial property rights;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service option or conversion rights or obligations arising from bonds issued or to be issued by BioNTech and/or companies in which BioNTech directly or indirectly holds a majority interest;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to implement a scrip dividend, whereby shareholders are offered the option of contributing their dividend entitlement (in whole or in part) to BioNTech as a contribution in kind in return for the issuance of new shares;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if the new shares are issued as part of an incentive program and/or as share-based compensation to members of BioNTech’s management board, members of the management of companies affiliated with the Company within the meaning of sections 15 et seq. German Stock Corporation Act (</w:t>
            </w:r>
            <w:r>
              <w:rPr>
                <w:rFonts w:ascii="Times New Roman" w:hAnsi="Times New Roman"/>
                <w:i/>
              </w:rPr>
              <w:t>Aktiengesetz</w:t>
            </w:r>
            <w:r>
              <w:rPr>
                <w:rFonts w:ascii="Times New Roman" w:hAnsi="Times New Roman"/>
              </w:rPr>
              <w:t>) or employees of the Company or of companies affiliated with BioNTech within the meaning of sections 15 et seq. German Stock Corporation Act (</w:t>
            </w:r>
            <w:r>
              <w:rPr>
                <w:rFonts w:ascii="Times New Roman" w:hAnsi="Times New Roman"/>
                <w:i/>
              </w:rPr>
              <w:t>Aktiengesetz</w:t>
            </w:r>
            <w:r>
              <w:rPr>
                <w:rFonts w:ascii="Times New Roman" w:hAnsi="Times New Roman"/>
              </w:rPr>
              <w:t>); restrictions relating to the shares issued may be agreed. If shares are to be issued to members of the management board, the supervisory board of BioNTech decides on the allocation in accordance with the allocation of responsibilities under stock corporation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Amendments to CureVac Articles, BioNTech Articles, and BioNTech Rules of Procedure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Based on the CureVac articles, the resolution to amend the CureVac articles can only be passed by the CureVac general meeting at the proposal of CureVac’s management board, subject to the approval of the supervisory board of CureVac. In respect of certain provisions in the CureVac articles, dealing with a situation where no dievini Nominee or no KfW Nominee (in each case as defined in the CureVac articles) is in office during the relevant Initial Nomination Period (as defined in the CureVac articles), an amendment to such provision will require the affirmative vote of dievini or KfW, as applicable.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case of a reduction of CureVac’s issued share capital by reducing the nominal value of shares by virtue of an amendment to the CureVac articles, the resolution shall require a majority of at least two thirds of the votes cast if less than half of the issued share capital is represented at the CureVac general meeting (and a simple majority of votes cast in other cases). In case such resolution relates to preferred shares, such resolution shall always require the prior or simultaneous approval of the class meeting of preferred shares.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As a rule, the BioNTech articles may only be amended by resolution of the shareholders’ meeting. Pursuant to the BioNTech articles, the resolutions require a majority of at least two-thirds of the votes cast and of the share capital represented, if at least half of the share capital is not represented.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supervisory board may amend the BioNTech articles provided that such amendment affects the wording only but not the sense or meaning thereof.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supervisory board may issue Rules of Procedure for itself within the framework of the statutory provisions and the provisions of BioNTech articles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Number of Directors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CureVac’s management board must consist of one or more managing directors, provided that, during the Initial Period (as defined in the CureVac articles), the management board shall consist of up to seven managing directors. The management board shall be composed of individuals. The supervisory board shall determine the number of managing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CureVac’s supervisory board must consist of three or more supervisory directors provided that, during either Initial Nomination Period (as defined in the CureVac articles), the supervisory board shall consist of up to eight supervisory directors. The supervisory board shall be composed of individuals. The supervisory board shall determine the number of supervisory directors, which shall be no less than the number of supervisory directors as are necessary in order to allow dievini and KfW, to exercise their respective nomination rights under the CureVac articles during their respective Initial Nomination Period (as defined in the CureVac articles).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The supervisory board shall comprise of six members.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management board shall consist of at least two persons. The number of members of the management board is otherwise determined by the supervisory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4"/>
        <w:gridCol w:w="4899"/>
      </w:tblGrid>
      <w:tr>
        <w:trPr/>
        <w:tc>
          <w:tcPr>
            <w:tcW w:w="510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4" w:type="dxa"/>
            <w:tcBorders/>
            <w:vAlign w:val="bottom"/>
          </w:tcPr>
          <w:p>
            <w:pPr>
              <w:pStyle w:val="TableContents"/>
              <w:bidi w:val="0"/>
              <w:spacing w:before="0" w:after="283"/>
              <w:jc w:val="left"/>
              <w:rPr/>
            </w:pPr>
            <w:r>
              <w:rPr/>
              <w:t> </w:t>
            </w:r>
          </w:p>
        </w:tc>
        <w:tc>
          <w:tcPr>
            <w:tcW w:w="4899"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Election of Directors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All members of the CureVac boards shall be appointed by CureVac’s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Managing directors can only be appointed by the general meeting upon a nomination by the supervisory board of CureVac. CureVac’s general meeting can at any time resolve to render such nomination to be non-binding in accordance with the CureVac articles.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Furthermore, supervisory directors can only be appointed upon a nomination by: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supervisory board;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dievini in accordance with Article 22.3 paragraph a. of the CureVac articles, during the Initial Nomination Period (as defined in the CureVac articles) for dievini;</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KfW in accordance with Article 22.3 paragraph b. of the CureVac articles during the Initial Nomination Period (as defined in the CureVac articles) for KfW;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Nomination Concert (as defined in the CureVac articles) in accordance with Article 22.4 of the CureVac articles.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CureVac’s general meeting can at any time resolve to render such nomination to be non-binding by a simple majority of votes cast representing at least one-third of CureVac’s issued share capital in accordance with the CureVac articles.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During the respective Initial Nomination Periods for dievini (as regards paragraph (a) below) or KfW (as regards paragraph (b) below):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 dievini may nominate the following number of supervisory directors: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if dievini and its Affiliates and Ultimate Beneficiaries (as defined in the CureVac articles) (individually or collectively) hold shares representing at least 70% of CureVac’s issued share capital: four supervisory directors;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if dievini and its Affiliates and Ultimate Beneficiaries (as defined in the CureVac articles) (individually or collectively) hold shares representing at least 50%, but less than 70%, of CureVac’s issued share capital: three supervisory directors;</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All members of the supervisory board are elected by the shareholders’ meeting. Unless the shareholders’ meeting determines a shorter term, the members of the supervisory board are elected for a term ending with the close of the shareholders’ meeting which resolves on the formal approval of their acts for the fourth fiscal year following the commencement of their term, not counting the year in which their term of office commences; provided that a term shall not be more than six years. Reappointments are permissible. The BioNTech management board are appointed by resolution of the supervisory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if dievini and its Affiliates and Ultimate Beneficiaries (as defined in the CureVac articles) (individually or collectively) hold shares representing at least 30%, but less than 50%, of CureVac’s issued share capital: two supervisory directors;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if dievini and its Affiliates and Ultimate Beneficiaries (as defined in the CureVac articles) (individually or collectively) hold shares representing at least 10%, but less than 30%, of CureVac’s issued share capital: one supervisory director;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 KfW may nominate one supervisory director.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Nomination Concert (as defined in the CureVac articles) may nominate one supervisory director for each 20% of the issued share capital represented by that respective Nomination Concert. Such nominee must be independent from the Nomination Concert (as defined in the CureVac articles) and CureVac under the standards applicable to CureVac under the DCGC and United States securities laws and stock exchange rules.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Other than as set out above, members of the CureVac supervisory board can only be appointed by the general meeting upon a nomination by the supervisory board of CureVac.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CureVac general meeting can at any time resolve to render any of the above-mentioned nominations to be non-binding by a simple majority of votes cast representing at least one-third of CureVac’s issued share capital in accordance with the CureVac articles.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Removal of Board Members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CureVac’s general meeting may at any time suspend or dismiss any managing director or supervisory director. In addition, the supervisory board may at any time suspend a managing director. A suspension by the supervisory board can at any time be lifted by CureVac’s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resolution of the CureVac general meeting to suspend or dismiss a managing director or supervisory director shall require a majority of at least two thirds of the votes cast representing more than half of the issued share capital, unless the resolution is passed at the proposal of the supervisory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CureVac general meeting may at any time suspend or dismiss any supervisory director. A resolution of the</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The supervisory board may remove a member of the management board prior to the expiration of their term only for cause, such as gross breach of duties (</w:t>
            </w:r>
            <w:r>
              <w:rPr>
                <w:rFonts w:ascii="Times New Roman" w:hAnsi="Times New Roman"/>
                <w:i/>
                <w:sz w:val="20"/>
              </w:rPr>
              <w:t>grobe</w:t>
            </w:r>
            <w:r>
              <w:rPr>
                <w:rFonts w:ascii="Times New Roman" w:hAnsi="Times New Roman"/>
                <w:sz w:val="20"/>
              </w:rPr>
              <w:t xml:space="preserve"> </w:t>
            </w:r>
            <w:r>
              <w:rPr>
                <w:rFonts w:ascii="Times New Roman" w:hAnsi="Times New Roman"/>
                <w:i/>
                <w:sz w:val="20"/>
              </w:rPr>
              <w:t>Pflichtverletzung</w:t>
            </w:r>
            <w:r>
              <w:rPr>
                <w:rFonts w:ascii="Times New Roman" w:hAnsi="Times New Roman"/>
                <w:sz w:val="20"/>
              </w:rPr>
              <w:t>), the inability to manage the business properly (</w:t>
            </w:r>
            <w:r>
              <w:rPr>
                <w:rFonts w:ascii="Times New Roman" w:hAnsi="Times New Roman"/>
                <w:i/>
                <w:sz w:val="20"/>
              </w:rPr>
              <w:t>Unfähigkeit zur ordnungsgemäßen Pflichtausübung</w:t>
            </w:r>
            <w:r>
              <w:rPr>
                <w:rFonts w:ascii="Times New Roman" w:hAnsi="Times New Roman"/>
                <w:sz w:val="20"/>
              </w:rPr>
              <w:t>) or a vote of no-confidence during the shareholders’ meeting (</w:t>
            </w:r>
            <w:r>
              <w:rPr>
                <w:rFonts w:ascii="Times New Roman" w:hAnsi="Times New Roman"/>
                <w:i/>
                <w:sz w:val="20"/>
              </w:rPr>
              <w:t>Vertrauensentzug</w:t>
            </w:r>
            <w:r>
              <w:rPr>
                <w:rFonts w:ascii="Times New Roman" w:hAnsi="Times New Roman"/>
                <w:sz w:val="20"/>
              </w:rPr>
              <w:t>). The shareholders themselves are not entitled to appoint or dismiss the members of the management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Members of the supervisory board may be removed with or without cause by way of a shareholders’ meeting resolution.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CureVac general meeting to suspend or dismiss a supervisory director shall require a majority of at least two thirds of the votes cast representing more than half of the issued share capital, unless the resolution is passed (i) at the proposal of the supervisory board, (ii) during the Initial Nomination Period (as defined in the CureVac articles) for dievini, at the proposal of dievini (in respect of a dievini Nominee (as defined in the CureVac articles)), or (iii) during the Initial Nomination Period (as defined in the CureVac articles) for KfW, at the proposal of KfW (in respect of the KfW Nominee (as defined in the CureVac articles)).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managing director or supervisory director is suspended and the CureVac general meeting does not dismiss them within three months from the date of such suspension, the suspension shall lapse.</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Inability of Board Members to Serve and Vacancies on the Board</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Based on the CureVac articles, if a managing director is absent or incapacitated, they may be replaced temporarily by a person whom the management board has designated for that purpose and, until then, the other managing director(s) shall be charged with the management of CureVac. If all managing directors are absent or incapacitated, the management of CureVac shall be attributed to the supervisory board. The person(s) charged with the management of CureVac in this manner, may designate one or more persons to be charged with the management of CureVac instead of, or together with, such person(s).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Where a supervisory director is no longer in office or is unable to act, they may be replaced temporarily by a person whom the supervisory board has designated for that purpose and, until then, the other supervisory directors(s) shall be charged with the supervision of CureVac. Where a supervisory director who has been appointed upon a nomination by dievini or KfW in accordance with the CureVac articles is no longer in office or is unable to act, they may only be temporarily replaced by a person designated for such purposes by dievini or KfW, as applicable. The replacement becomes effective and the supervisory director so designated shall immediately have all rights, responsibilities, tasks and duties of a supervisory director (including any voting rights and specific rights awarded to the supervisory director they are replacing at the supervisory board) and (in relation to dievini to the fullest extent permitted by applicable law and at all times subject to KfW’s right to designate a supervisory director in accordance with the</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2"/>
        <w:gridCol w:w="4901"/>
      </w:tblGrid>
      <w:tr>
        <w:trPr/>
        <w:tc>
          <w:tcPr>
            <w:tcW w:w="51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1"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CureVac articles) shall become a full member of the supervisory board with the rights of a KfW Nominee (as defined in the CureVac articles) or dievini Nominee (as defined in the CureVac articles), as the case may be, as soon as a written designation to that effect has been received by the chairman or the vice-chairman of the CureVac supervisory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case all supervisory directors are no longer in office or are unable to act, the supervision of CureVac shall be attributed to:</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former supervisory director who most recently ceased to hold office as the chairman, provided that they are willing and able to accept that position;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during the Initial Nomination Period (as defined in the CureVac articles) for dievini, a person designated for such purpose by dievini, unless the former supervisory director referred to above was appointed upon a nomination by dievini pursuant to the CureVac articles and they are willing and able to accept the position;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during the Initial Nomination Period (as defined in the CureVac articles) for KfW, a person designated for such purpose by KfW, unless the former supervisory director referred to above was appointed upon a nomination by KfW pursuant to the CureVac articles and they are willing and able to accept the position,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which persons jointly may designate one or more other persons to be charged with the supervision of CureVac (instead of, or together with, such person). The persons charged with the supervision of CureVac pursuant to the previous sentence shall cease to hold that position when the CureVac general meeting has appointed one or more persons as supervisory director(s) with due observance of the CureVac articles.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Furthermore, if for whatever reason, there is no dievini Nominee or no KfW Nominee (both as defined in the CureVac articles) in office during the Initial Nomination Period (as defined in the CureVac articles) for dievini or KfW, as relevant, and a decision needs to be taken with respect to any matter referred to in the applicable supervisory board rules, then the supervisory board shall not take any such decision until the replacement supervisory director of dievini or KfW, respectively, has validly become a full member</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283"/>
              <w:jc w:val="left"/>
              <w:rPr/>
            </w:pPr>
            <w:r>
              <w:rPr/>
              <w:t>of the supervisory board following their designation, unless dievini or KfW, as the case may be, has failed to notify the designation to the chairman of the CureVac supervisory board within four weeks after such Chairman has notified dievini or KfW, as the case may be, in writing of the absence of the nominee. Dievini or KfW, as the case may, shall notify the designation of the replacement supervisory director of dievini or KfW, respectively, to the chairman of the CureVac supervisory board as soon as reasonably and practicably possible, but in any event within the four-week period as referred to in the previous sentence.</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Action by Written Consent</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Under Dutch law, resolutions of CureVac’s general meeting may be adopted in writing without holding a meeting of shareholders, provided that (i) the articles of association allow such action by written consent, (ii) CureVac has not issued bearer shares or, with its cooperation, depository receipts for shares in its capital, and (iii) the resolution is adopted unanimously by all shareholders that are entitled to vote. Although the CureVac articles allow for resolutions of the general meeting to be adopted in writing, the requirement of unanimity renders the adoption of shareholder resolutions without holding a meeting not feasible for CureVac as a publicly traded company.</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BioNTech shareholders may not act by written consent apart from the possibility of postal voting in the context of shareholders’ meetings (for details, please see below).</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Annual Shareholders Meetings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Based on Dutch law and the CureVac articles, at least one general meeting shall be held annually. This annual general meeting shall be held within six months after the end of CureVac’s financial year. General meetings must be held in the place CureVac has its corporate seat, being Amsterdam, the Netherlands, or in Arnhem, Assen, The Hague, Haarlem, ‘s-Hertogenbosch, Groningen, Leeuwarden, Lelystad, Maastricht, Middelburg, Rotterdam, Schiphol (Haarlemmermeer), Utrecht, or Zwolle, each also in the Netherlands.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As a European stock corporation governed by German law, BioNTech must hold an annual shareholders’ meeting within six months of the end of its fiscal year. The annual shareholders’ meeting shall be held at BioNTech’s seat or, if applicable, at the venue (in Germany) where its shares are listed. Under the BioNTech articles, the management board is authorized to provide for the Annual shareholders’ meeting to be held without the physical presence of the shareholders or their proxies at the location of the annual shareholders’ meeting (virtual annual shareholders’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Advance Notice Requirements for Shareholder Nominations and Other Proposals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A general meeting must be convened with due observance of the relevant statutory minimum convening period. All persons with meeting rights (generally being shareholders, usufructuaries, or pledgees with voting or meeting rights or holders of</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Shareholders representing in the aggregate at least five percent of BioNTech’s ordinary shares or owning shares with an aggregate nominal amount of at least 500,000 may request the addition of one or several items to the agenda of any shareholders’ meeting. Such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2"/>
        <w:gridCol w:w="4901"/>
      </w:tblGrid>
      <w:tr>
        <w:trPr/>
        <w:tc>
          <w:tcPr>
            <w:tcW w:w="51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1"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depository receipts for shares issued with CureVac’s cooperation) must be convened for the CureVac general meeting in accordance with Dutch law. The shareholders may be convened for the CureVac general meeting by means of convening letters sent to the addresses of those shareholders. This does not prejudice the possibility of sending a convening notice by electronic means in accordance with Dutch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convocation notice of the general meeting of shareholders of CureVac shall state the items to be discussed and which items to be voted on (including for the annual CureVac general meeting, among other matters, the discussion and adoption of the annual accounts, the appropriation of profits, and proposals relating to the CureVac management board and supervisory board), the place and time of the meeting, and the procedure for participating at the meeting whether or not by written proxy-holder. The notice of the meeting shall also state the record date and the manner in which the persons entitled to attend or vote at a meeting may procure their registration and exercise their rights (including by electronic means of communication, if applicable).</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requests must be submitted to the management board in writing, stating the reasons or a draft resolution, and must be received by BioNTech at least 30 days before the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Extraordinary Meeting of Shareholders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Dutch law, one or more shareholders and/or persons with meeting right, who solely or jointly represent at least 10% of the issued and outstanding share capital, may request the CureVac management board in writing to convene a CureVac general meeting. If the CureVac management board has not taken the steps necessary to ensure that such meeting can be held within six weeks after the request, the requesting shareholder(s) and or other persons with meeting rights may at their request be authorized by the competent Dutch court in preliminary relief proceedings to convene a CureVac general meeting. The court shall refuse the application if it does not appear that the applicant(s) has/have previously requested the CureVac management board to convene a CureVac general meeting and the CureVac management board has not taken the necessary steps so that the CureVac general meeting could be held within six weeks after the request. Such a request to CureVac’s management board is subject to certain additional requirements. Additionally, the applicant must have a reasonable interest in the meeting being held.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One or more shareholders, alone or together, representing at least three percent of the issued and outstanding share capital may also request to include</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Extraordinary shareholders’ meetings of BioNTech may be convened if the interests of BioNTech so require. Such meetings are generally called by the management board or the supervisory board. In addition, shareholders whose shares represent at least five percent of the share capital may request that a general meeting be convened. If the management board or supervisory does not comply with such a request, the court may order the special meeting to be convened or may authorize the requesting shareholders to convene the meeting themselves.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2"/>
        <w:gridCol w:w="4901"/>
      </w:tblGrid>
      <w:tr>
        <w:trPr/>
        <w:tc>
          <w:tcPr>
            <w:tcW w:w="51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1"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items in the agenda of a CureVac general meeting. Requests must be made in writing and received by the CureVac management board at least 60 days before the day of the meeting. No resolutions shall be adopted on items other than those which have been included in the agenda. In accordance with the DCGC, a shareholder may only request the inclusion of an item on the agenda after consulting the CureVac management board in that respect. If one or more shareholders intend to request that an item be put on the agenda that may result in a change in CureVac’s strategy, the CureVac management board must be given the opportunity to invoke a reasonable period to respond to such intention. Such period shall not exceed 180 days (or such other period as may be stipulated for such purpose by Dutch law and/or the DCGC from time to time). If invoked, the CureVac management board must use such response period for further deliberation and constructive consultation, in any event with the shareholders(s) concerned, and must explore the alternatives. At the end of the response time, the CureVac management board must report on this consultation and the exploration of alternatives to the CureVac general meeting. The response period may be invoked only once for any given general meeting and shall not apply: (i) in respect of a matter for which a response period or a cooling-off period (as discussed below) has been previously invoked; or (ii) if a shareholder holds at least 75% of CureVac’s issued share capital as a consequence of a successful public bid. The response period may also be invoked in response to shareholders or others with meeting rights under Dutch law requesting that a CureVac general meeting be convened, as described above.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 statutory cooling-off period, similar to the aforementioned response time under the DCGC, but with a maximum of 250 days, applies in the Netherlands. According to this statutory rule, the cooling-off period could be invoked by the CureVac management board in the event: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shareholders, using either their shareholder proposal right or their right to request a CureVac general meeting, propose an agenda item for the CureVac general meeting to dismiss, suspend or appoint a CureVac managing director or supervisory director (or to amend any provision in the CureVac articles dealing with those matters); or</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4"/>
        <w:gridCol w:w="203"/>
        <w:gridCol w:w="4898"/>
      </w:tblGrid>
      <w:tr>
        <w:trPr/>
        <w:tc>
          <w:tcPr>
            <w:tcW w:w="51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04"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898"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public offer for CureVac has been announced or made without agreement having been reached with CureVac on such offer,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provided, in each case, that in the opinion of the CureVac management board, such proposal or offer materially conflicts with the interests of CureVac and its business.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cooling-off period, if invoked, ends upon the earliest of the following events: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expiration of 250 days from:</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case of shareholders using their shareholder proposal right, the day after the deadline for making such proposal for the next CureVac general meeting has expired;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case of shareholders using their right to request a CureVac general meeting, the day when they obtain court authorization to do so;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case of a public offer as described above being made without agreement having been reached with CureVac on such offer, the first following day;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day after a public offer without agreement having been reached with CureVac on such offer, having been declared unconditional;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CureVac management board deciding to end the cooling-off period earlier.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one or more shareholders representing at least 3% of CureVac’s issued share capital may request the Enterprise Chamber for early termination of the cooling-off period. The Enterprise Chamber must rule in favor of the request if the shareholders can demonstrate that: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CureVac management board, in light of the circumstances at hand when the cooling-off period was invoked, could not reasonably have come to the conclusion that the relevant shareholder proposal or hostile offer constituted a material conflict with the interests of CureVac and its business;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CureVac management board cannot reasonably believe that a continuation of the</w:t>
            </w:r>
          </w:p>
        </w:tc>
        <w:tc>
          <w:tcPr>
            <w:tcW w:w="203"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2"/>
        <w:gridCol w:w="4901"/>
      </w:tblGrid>
      <w:tr>
        <w:trPr/>
        <w:tc>
          <w:tcPr>
            <w:tcW w:w="51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1"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pPr>
            <w:r>
              <w:rPr/>
              <w:t>cooling-off period would contribute to careful policy-making;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other defensive measures, having the same purpose, nature and scope as the cooling-off period, have been activated during the cooling-off period and are not terminated or suspended at the relevant shareholders’ written request within a reasonable period following the request (i.e., no ‘stacking’ of defensive measures).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During the cooling-off period, if invoked, the CureVac management board must gather all relevant information necessary for a careful decision-making process. In this context, the CureVac management board must at least consult with shareholders representing at least three percent of CureVac’s issued share capital at the time the cooling-off period was invoked and with CureVac’s works council (if applicable). Formal statements expressed by these stakeholders during such consultations must be published on CureVac’s website to the extent these stakeholders have approved that publication. Ultimately one week following the last day of the cooling-off period, CureVac management board must publish a report in respect of its policy and conduct of affairs during the cooling-off period on the CureVac website. This report must also remain available for inspection by CureVac’s shareholders and others with meeting rights under Dutch law at CureVac’s office and must be tabled for discussion at the next general meeting.</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Quorum for Meetings of Shareholders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Under the CureVac articles, no general quorum requirement applies to the CureVac general meeting. However, certain resolutions can only be adopted by the CureVac general meeting by a(n) (enhanced) majority of the votes, representing a certain part of the issued share capital.</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As a rule, resolutions of the shareholders’ meeting do not require a quorum to be present at the shareholders’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Liability of Directors and Officers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Under Dutch law, members of the management board and the supervisory board may be held liable for damages in the event of improper or negligent performance of their duties. They may be held jointly and severally liable for damages to CureVac and third parties for infringement of the articles of association or of certain provisions of the Dutch Civil Code. In certain circumstances, including in the event of</w:t>
            </w:r>
          </w:p>
        </w:tc>
        <w:tc>
          <w:tcPr>
            <w:tcW w:w="202"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283"/>
              <w:jc w:val="left"/>
              <w:rPr/>
            </w:pPr>
            <w:r>
              <w:rPr/>
              <w:t>bankruptcy of the company, directors may incur additional specific civil and criminal liabilities.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Indemnification of Directors and Officers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Under Dutch law, indemnification provisions may be included in a company’s articles of association. Pursuant to the CureVac articles, CureVac shall indemnify and hold harmless each of its current and former managing directors and supervisory directors and such other current or former officers or employee of CureVac or its group companies as designated by the management board subject to the approval of the supervisory board, which we refer to each as an indemnified officer, against (i) any financial losses or damages incurred by such indemnified officer, and (ii) any expense reasonably paid or incurred by such indemnified officer in connection with any threatened, pending, or completed suit, claim, action, or legal proceedings of a civil, criminal, administrative, or other nature, formal, or informal, in which they becomes involved, to the extent this relates to their current or former position with CureVac and/or a CureVac group company and in each case to the extent permitted by applicable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indemnification shall be given to an indemnified officer (i) if a competent court or arbitral tribunal has established, without having (or no longer having) the possibility for appeal, that the acts or omissions of such indemnified officer that led to the financial losses, damages, expenses, suit, claim, action, or legal proceedings are of an unlawful nature (including acts or omissions which are considered to constitute</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BioNTech may not, as a general matter, indemnify its supervisory board members and management board members to the extent such indemnification is related to a breach of duty of care as a member of the supervisory board or management board, respectively. It may, however, purchase directors’ and officers’ liability insurance. The insurance may be subject to any mandatory restrictions imposed by German law, including a deductible. However, BioNTech may indemnify a member of the supervisory board or management board to the extent such indemnification is not related to a breach of the respective duty of care.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4"/>
        <w:gridCol w:w="4899"/>
      </w:tblGrid>
      <w:tr>
        <w:trPr/>
        <w:tc>
          <w:tcPr>
            <w:tcW w:w="510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4" w:type="dxa"/>
            <w:tcBorders/>
            <w:vAlign w:val="bottom"/>
          </w:tcPr>
          <w:p>
            <w:pPr>
              <w:pStyle w:val="TableContents"/>
              <w:bidi w:val="0"/>
              <w:spacing w:before="0" w:after="283"/>
              <w:jc w:val="left"/>
              <w:rPr/>
            </w:pPr>
            <w:r>
              <w:rPr/>
              <w:t> </w:t>
            </w:r>
          </w:p>
        </w:tc>
        <w:tc>
          <w:tcPr>
            <w:tcW w:w="4899"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283"/>
              <w:jc w:val="left"/>
              <w:rPr/>
            </w:pPr>
            <w:r>
              <w:rPr/>
              <w:t>malice), gross negligence, intentional recklessness, and/or serious culpability attributable to such indemnified officer; (ii) to the extent that their financial losses, damages, and expenses are covered under insurance and the relevant insurer has settled, or has provided reimbursement for, these financial losses, damages and expenses (or has irrevocably undertaken to do so); (iii) in relation to proceedings brought by such indemnified officer against CureVac, except for proceedings brought to enforce indemnification to which they is entitled pursuant to the CureVac articles, pursuant to an agreement between such indemnified officer and CureVac which has been approved by the management board or pursuant to insurance taken out by CureVac for the benefit of such Indemnified Officer; or (iv) for any financial losses, damages or expenses incurred in connection with a settlement of any proceedings effected without CureVac’s prior consent.</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Conflict of Interest Transactions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According to Dutch law, a managing director or supervisory director shall not take part in the deliberation and decision-making if they have a direct or indirect personal interest therein, which is in conflict with the interests of CureVac and its business. In case all managing directors have a conflict of interest, the resolutions will be adopted by the supervisory board. In case all supervisory directors have a conflict of interest, the resolutions may nevertheless be passed by the supervisory board as if none of the supervisory directors has a conflict of interest.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managing director or supervisory director does not comply with the provisions on conflicts of interest, the resolution concerned is subject to nullification by the competent Dutch court and the person concerned may be held liable towards CureVac. However, even if such a resolution were nullified, the nullification would not affect any acts performed on CureVac’s behalf pursuant to the (invalid) resolution.</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Members of the management board and the supervisory board are required to act in the best interests of BioNTech and to avoid conflicts of interest. In the event of a potential conflict of interest there is an obligation to promptly disclose this conflict to the relevant corporate body. Affected members are typically not permitted to participate in discussion or votes regarding the transaction in question. Breaches of the disclosure and conduct obligations in connection with conflicts of interest may result in claims for damages by BioNTech against the relevant board member.</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Information Rights and Rights of Inspections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Shareholders will be provided, at the CureVac general meeting, with all information that the shareholders require, unless doing so would be contrary to an overriding interest of CureVac. Under the DCGC, CureVac is expected to give reasons to shareholders for electing not to provide such information on the basis of an overriding interest. In principle, individual</w:t>
            </w:r>
          </w:p>
        </w:tc>
        <w:tc>
          <w:tcPr>
            <w:tcW w:w="204"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Under German law</w:t>
            </w:r>
            <w:r>
              <w:rPr>
                <w:i/>
              </w:rPr>
              <w:t xml:space="preserve">, </w:t>
            </w:r>
            <w:r>
              <w:rPr/>
              <w:t xml:space="preserve">a list of participants </w:t>
            </w:r>
            <w:r>
              <w:rPr>
                <w:i/>
              </w:rPr>
              <w:t xml:space="preserve">(Teilnehmerverzeichnis) </w:t>
            </w:r>
            <w:r>
              <w:rPr/>
              <w:t>has to be drawn up at any shareholders’ meeting including, in particular, the (company) name and place of residence/seat of the shareholders present or represented at the shareholders’ meeting and/or of the representatives of shareholders (if any). The list of participants has to be made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2"/>
        <w:gridCol w:w="203"/>
        <w:gridCol w:w="4900"/>
      </w:tblGrid>
      <w:tr>
        <w:trPr/>
        <w:tc>
          <w:tcPr>
            <w:tcW w:w="51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3"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have no right to obtain specific information they would like to receive outside a CureVac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application by a shareholder or a pledgee or usufructuary of CureVac shares, the management board shall furnish an extract from the shareholders’ register, free of charge, insofar as it relates to the applicant’s right in respect of the relevant share(s).</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available in the shareholders’ meeting to all participants prior to the first vote. Upon request, each shareholder may inspect such list of participants for a period of two years after the respective shareholders’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German law does not permit BioNTech’s shareholders to inspect corporate books and records. However, Section 131 of the German Stock Corporation Act (</w:t>
            </w:r>
            <w:r>
              <w:rPr>
                <w:rFonts w:ascii="Times New Roman" w:hAnsi="Times New Roman"/>
                <w:i/>
                <w:sz w:val="20"/>
              </w:rPr>
              <w:t>Aktiengesetz</w:t>
            </w:r>
            <w:r>
              <w:rPr>
                <w:rFonts w:ascii="Times New Roman" w:hAnsi="Times New Roman"/>
                <w:sz w:val="20"/>
              </w:rPr>
              <w:t>) provides each shareholder with a right to information at the shareholders’ meeting, to the extent that such information is necessary to permit a proper evaluation of the relevant item on the agenda or the respective information has been given to a shareholder prior to the shareholders’ meeting in its capacity as shareholder. The right to information is a right only to oral information. Information may be given in writing to shareholders, but under Section 131 of the German Stock Corporation Act (</w:t>
            </w:r>
            <w:r>
              <w:rPr>
                <w:rFonts w:ascii="Times New Roman" w:hAnsi="Times New Roman"/>
                <w:i/>
                <w:sz w:val="20"/>
              </w:rPr>
              <w:t>Aktiengesetz</w:t>
            </w:r>
            <w:r>
              <w:rPr>
                <w:rFonts w:ascii="Times New Roman" w:hAnsi="Times New Roman"/>
                <w:sz w:val="20"/>
              </w:rPr>
              <w:t>) they are neither entitled to receive written information nor to inspect documents.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Apart from that, BioNTech is obliged to publish and make available information and documents as stipulated by European and German law (</w:t>
            </w:r>
            <w:r>
              <w:rPr>
                <w:rFonts w:ascii="Times New Roman" w:hAnsi="Times New Roman"/>
                <w:i/>
                <w:sz w:val="20"/>
              </w:rPr>
              <w:t>e.g.</w:t>
            </w:r>
            <w:r>
              <w:rPr>
                <w:rFonts w:ascii="Times New Roman" w:hAnsi="Times New Roman"/>
                <w:sz w:val="20"/>
              </w:rPr>
              <w:t>, the publication of its annual financial statements or in preparation of resolutions of the shareholders’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notices of BioNTech are published in the Federal Gazette </w:t>
            </w:r>
            <w:r>
              <w:rPr>
                <w:rFonts w:ascii="Times New Roman" w:hAnsi="Times New Roman"/>
                <w:i/>
                <w:sz w:val="20"/>
              </w:rPr>
              <w:t xml:space="preserve">(Bundesanzeiger), </w:t>
            </w:r>
            <w:r>
              <w:rPr>
                <w:rFonts w:ascii="Times New Roman" w:hAnsi="Times New Roman"/>
                <w:sz w:val="20"/>
              </w:rPr>
              <w:t>unless specified otherwise by law. Information to shareholders can also be conveyed by electronic means. The shareholders’ right pursuant to Sections 125 paragraph 2 and 128 paragraph 1 of the German Stock Corporation Act (</w:t>
            </w:r>
            <w:r>
              <w:rPr>
                <w:rFonts w:ascii="Times New Roman" w:hAnsi="Times New Roman"/>
                <w:i/>
                <w:sz w:val="20"/>
              </w:rPr>
              <w:t>Aktiengesetz</w:t>
            </w:r>
            <w:r>
              <w:rPr>
                <w:rFonts w:ascii="Times New Roman" w:hAnsi="Times New Roman"/>
                <w:sz w:val="20"/>
              </w:rPr>
              <w:t>) to receive notifications pursuant to Section 125 paragraph 1 of the German Stock Corporation Act (</w:t>
            </w:r>
            <w:r>
              <w:rPr>
                <w:rFonts w:ascii="Times New Roman" w:hAnsi="Times New Roman"/>
                <w:i/>
                <w:sz w:val="20"/>
              </w:rPr>
              <w:t>Aktiengesetz</w:t>
            </w:r>
            <w:r>
              <w:rPr>
                <w:rFonts w:ascii="Times New Roman" w:hAnsi="Times New Roman"/>
                <w:sz w:val="20"/>
              </w:rPr>
              <w:t>) is limited to transmission of the notifications via electronic communication. Irrespective of that, the supervisory board remains entitled, but is not obliged, to use other forms of transmission, if and insofar this does not conflict with any statutory provisions.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Shareholder Suits</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In the event a third-party is liable to CureVac, only CureVac itself can bring a civil action against that party. The individual shareholders do not have the right to bring an action on behalf of CureVac. Only in the event that the cause for the liability of a third-party to CureVac also constitutes a tortious act directly against a shareholder does that shareholder have an</w:t>
            </w:r>
          </w:p>
        </w:tc>
        <w:tc>
          <w:tcPr>
            <w:tcW w:w="203"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Under German stock corporation law, any shareholder of a (European) stock corporation may file an action against the corporation challenging the validity of resolutions of the shareholders’ meeting of shareholders based on a violation by the respective resolution of statutory law or the articles of association of the corporation. Generally, there is no quorum for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3"/>
        <w:gridCol w:w="202"/>
        <w:gridCol w:w="4900"/>
      </w:tblGrid>
      <w:tr>
        <w:trPr/>
        <w:tc>
          <w:tcPr>
            <w:tcW w:w="510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CUREVAC</w:t>
            </w:r>
          </w:p>
        </w:tc>
        <w:tc>
          <w:tcPr>
            <w:tcW w:w="202"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center"/>
              <w:rPr>
                <w:rFonts w:ascii="Times New Roman" w:hAnsi="Times New Roman"/>
                <w:b/>
                <w:i/>
                <w:sz w:val="20"/>
              </w:rPr>
            </w:pPr>
            <w:r>
              <w:rPr>
                <w:rFonts w:ascii="Times New Roman" w:hAnsi="Times New Roman"/>
                <w:b/>
                <w:i/>
                <w:sz w:val="20"/>
              </w:rPr>
              <w:t>BIONTECH</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managing, directors, supervisory directors, and officers can still be subject to liability under U.S. securities 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Further, corporate disputes in the Netherlands are typically brought before the Enterprise Chamber, a specialized business court with exclusive jurisdiction over certain statutory proceedings related to corporate disputes. In so-called inquiry proceedings, the Enterprise Chamber may, at the request of one or more parties that have standing to initiate such proceedings, order an inquiry into the policy and course of affairs of a company and provide injunctive relief by ordering a wide range of immediate measures (provided certain admissibility criteria are met).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general court proceedings existing under Dutch law are available to (minority) shareholders. This includes regular and preliminary relief proceedings, tort claims, and requests for a declaration of right. Generally, Dutch law allows claims for both specific performance and damages. Also, court proceedings in other jurisdictions may be available (</w:t>
            </w:r>
            <w:r>
              <w:rPr>
                <w:rFonts w:ascii="Times New Roman" w:hAnsi="Times New Roman"/>
                <w:i/>
                <w:sz w:val="20"/>
              </w:rPr>
              <w:t>e.g.</w:t>
            </w:r>
            <w:r>
              <w:rPr>
                <w:rFonts w:ascii="Times New Roman" w:hAnsi="Times New Roman"/>
                <w:sz w:val="20"/>
              </w:rPr>
              <w:t>, claims against a non-Dutch co-shareholder).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shareholder may, for example, challenge a resolution adopted by a corporate body of the company.</w:t>
            </w:r>
          </w:p>
        </w:tc>
        <w:tc>
          <w:tcPr>
            <w:tcW w:w="20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0"/>
              <w:jc w:val="left"/>
              <w:rPr>
                <w:rFonts w:ascii="Times New Roman" w:hAnsi="Times New Roman"/>
                <w:sz w:val="20"/>
              </w:rPr>
            </w:pPr>
            <w:r>
              <w:rPr>
                <w:rFonts w:ascii="Times New Roman" w:hAnsi="Times New Roman"/>
                <w:sz w:val="20"/>
              </w:rPr>
              <w:t>such action and the action does not need to be based on a violation of individual rights of the claimant. However, subject to certain exceptions, only shareholders are entitled to such action who were shareholders already at the time of the convocation of the respective shareholders’ meeting of shareholders and requested at the meeting that an objection to the respective shareholders’ resolution be included in the minutes of the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Claims of the corporation against the members of its supervisory board and management board may generally only be pursued by the corporation itself. The corporation is obliged to pursue such claims upon demand of the shareholders’ meeting of shareholders by resolution requiring a simple majority of the votes cast. Upon the motion of shareholders whose aggregate shareholdings amount to at least 10% of the share capital or one million Euro, a special representative will be appointed by court and authorized to represent the corporation for purposes of the pursuit of such claims. Furthermore, shareholders’ derivative suits for such claims may also be filed by shareholders whose aggregate shareholdings amount to at least one percent of the share capital or 100,000 Euro upon authorization by court. However, certain additional requirements for such authorization by a court apply: (i) the shareholders must provide evidence that they acquired the shares before they should have learned from a publication about the alleged breaches of duty or alleged damages, (ii) the shareholders must demonstrate that they requested in vain that the corporation file a law suit within an appropriate period of time, (iii) facts must exist that give reason to suspect that the corporation has suffered a loss as a result of improprieties or gross breaches of statutory provisions or articles of association, and (iv) no predominate interest of the corporation exists which would prevent the assertion of the claim for damages.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Shareholder Rights Plans</w:t>
            </w:r>
          </w:p>
        </w:tc>
      </w:tr>
      <w:tr>
        <w:trPr>
          <w:trHeight w:val="12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t>N/A</w:t>
            </w:r>
          </w:p>
        </w:tc>
        <w:tc>
          <w:tcPr>
            <w:tcW w:w="20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oc847647_77"/>
      <w:bookmarkEnd w:id="8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BioNTech by Covington &amp; Burling LLP. The validity of the BioNTech ordinary shares to be issued in connection with the offer will be passed upon for BioNTech by Hengeler Mueller Partnerschaft von Rechtsanwälten mbB. </w:t>
      </w:r>
    </w:p>
    <w:p>
      <w:pPr>
        <w:pStyle w:val="TextBody"/>
        <w:bidi w:val="0"/>
        <w:spacing w:before="360" w:after="0"/>
        <w:jc w:val="center"/>
        <w:rPr>
          <w:rFonts w:ascii="Times New Roman" w:hAnsi="Times New Roman"/>
          <w:b/>
          <w:sz w:val="20"/>
        </w:rPr>
      </w:pPr>
      <w:bookmarkStart w:id="84" w:name="toc847647_78"/>
      <w:bookmarkEnd w:id="8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BioNTech appearing in BioNTech’s Annual Report (Form 20-F) for the year ended December 31, 2024, and the effectiveness of BioNTech’s internal control over financial reporting as of December 31, 2024, have been audited by EY GmbH &amp; Co. KG Wirtschaftsprüfungsgesellschaft, independent registered public accounting firm, as set forth in their reports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CureVac as of December 31, 2024 and 2023, and for each of the years in the two-year period ended December 31, 2024, and management’s assessment of the effectiveness of internal control over financial reporting as of December 31, 2024 have been incorporated by reference herein in reliance upon the reports of KPMG AG Wirtschaftsprüfungsgesellschaft,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on the effectiveness of internal control over financial reporting as of December 31, 2024, expresses an opinion that CureVac did not maintain effective internal control over financial reporting as of December 31, 2024 because of the effect of material weaknesses on the achievement of the objectives of the control criteria and contains an explanatory paragraph that states material weaknesses were identified related to (i) inadequate maintenance of general information technology controls related to segregation of duties over user access to our accounting system that is critical to CureVac’s financial reporting process; and (ii) lack of sufficiently trained personnel within the organization with expertise, responsibility, and accountability for the design, effective operation, and documentation of internal control over financial reporting. This resulted in (a) the inadequate design and documentation of management review controls to sufficiently address the appropriate level of precision used in the design, performance and documentation of such controls; (b) the failure to design and maintain effective controls over the review, approval, and documentation of manual journal entries; and (c) a lack of consistent performance of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CureVac for the year ended December 31, 2022 appearing in CureVac’s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oc847647_79"/>
      <w:bookmarkEnd w:id="85"/>
      <w:r>
        <w:rPr>
          <w:rFonts w:ascii="Times New Roman" w:hAnsi="Times New Roman"/>
          <w:b/>
          <w:sz w:val="20"/>
        </w:rPr>
        <w:t xml:space="preserve">SERVICE OF PROCESS AND ENFORCEMENT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BioNTech is incorporated and currently existing under European laws and the laws of the Federal Republic of Germany. In addition, all members of BioNTech’s supervisory board and management board reside outside of the United States and BioNTech’s assets and those of its non-U.S. subsidiaries are located outside of the United States. As a result, it may not be possible for investors to effect service of process on BioNTech or those persons in the United States or to enforce in the United States judgments obtained in U.S. courts against us or those persons based on the civil liability or other provisions of the U.S. securities laws or other laws. </w:t>
      </w:r>
    </w:p>
    <w:p>
      <w:pPr>
        <w:pStyle w:val="TextBody"/>
        <w:bidi w:val="0"/>
        <w:spacing w:before="240" w:after="0"/>
        <w:jc w:val="left"/>
        <w:rPr>
          <w:rFonts w:ascii="Times New Roman" w:hAnsi="Times New Roman"/>
          <w:sz w:val="20"/>
        </w:rPr>
      </w:pPr>
      <w:r>
        <w:rPr>
          <w:rFonts w:ascii="Times New Roman" w:hAnsi="Times New Roman"/>
          <w:sz w:val="20"/>
        </w:rPr>
        <w:t xml:space="preserve">Awards of punitive damages in actions brought in the United States or elsewhere may be unenforceable in Germany. In addition, actions brought in a German court against BioNTech or the members of BioNTech’s supervisory board or management board, BioNTech’s other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w:t>
      </w:r>
    </w:p>
    <w:p>
      <w:pPr>
        <w:pStyle w:val="TextBody"/>
        <w:bidi w:val="0"/>
        <w:spacing w:before="240" w:after="0"/>
        <w:jc w:val="left"/>
        <w:rPr>
          <w:rFonts w:ascii="Times New Roman" w:hAnsi="Times New Roman"/>
          <w:sz w:val="20"/>
        </w:rPr>
      </w:pPr>
      <w:r>
        <w:rPr>
          <w:rFonts w:ascii="Times New Roman" w:hAnsi="Times New Roman"/>
          <w:sz w:val="20"/>
        </w:rPr>
        <w:t xml:space="preserve">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BioNTech, certain members of BioNTech’s supervisory board or management board, other senior managers, or the experts named in this offer to exchange/prospectus.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BioNTech, the members of BioNTech’s supervisory board or management board, other senior managers, or the experts named in this offer to exchange/prospectus based on the civil liability provisions of the U.S. federal securities laws is obtained, a U.S. investor may not be able to enforce it in U.S. or German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oc847647_80"/>
      <w:bookmarkEnd w:id="86"/>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BioNTech has filed with the SEC a registration statement on Form F-4, of which this offer to exchange/prospectus forms a part. The registration statement registers the BioNTech ADSs to be issued, and paid by BioNTech to CureVac shareholders, in the offer. The registration statement, including the exhibits and schedules thereto, contains additional relevant information about the BioNTech ADSs. The rules and regulations of the SEC allow BioNTech to omit certain information included in the registration statement from this offer to exchange/prospectus.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 allows BioNTech to disclose important information to you by referring you to other documents filed separately with the SEC. This information is considered to be a part of this offer to exchange/prospectus, except for any information that is superseded by information included directly in this offer to exchange/prospectus or later filed. This offer to exchange/prospectus contains summaries of certain provisions contained in some of the BioNTech documents described herein, but reference is made to the actual documents for complete information. All of the summaries are qualified in their entirety by reference to the actual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offer to exchange/prospectus incorporates by reference the documents listed below that BioNTech has previously filed with or furnished to the SEC. The documents listed below contain important information about BioNTech, its financial condition or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20-F</w:t>
              </w:r>
            </w:hyperlink>
            <w:r>
              <w:rPr>
                <w:rFonts w:ascii="Times New Roman" w:hAnsi="Times New Roman"/>
                <w:sz w:val="20"/>
              </w:rPr>
              <w:t xml:space="preserve"> for the fiscal year ended December 31, 2024, as filed with the SEC on March 10,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Reports on Form 6-K furnished to the SEC on </w:t>
            </w:r>
            <w:hyperlink r:id="rId4">
              <w:r>
                <w:rPr>
                  <w:rStyle w:val="InternetLink"/>
                  <w:rFonts w:ascii="Times New Roman" w:hAnsi="Times New Roman"/>
                  <w:sz w:val="20"/>
                </w:rPr>
                <w:t>February 3, 2025</w:t>
              </w:r>
            </w:hyperlink>
            <w:r>
              <w:rPr>
                <w:rFonts w:ascii="Times New Roman" w:hAnsi="Times New Roman"/>
                <w:sz w:val="20"/>
              </w:rPr>
              <w:t xml:space="preserve">, </w:t>
            </w:r>
            <w:hyperlink r:id="rId5">
              <w:r>
                <w:rPr>
                  <w:rStyle w:val="InternetLink"/>
                  <w:rFonts w:ascii="Times New Roman" w:hAnsi="Times New Roman"/>
                  <w:sz w:val="20"/>
                </w:rPr>
                <w:t>March  4, 2025</w:t>
              </w:r>
            </w:hyperlink>
            <w:r>
              <w:rPr>
                <w:rFonts w:ascii="Times New Roman" w:hAnsi="Times New Roman"/>
                <w:sz w:val="20"/>
              </w:rPr>
              <w:t xml:space="preserve">, </w:t>
            </w:r>
            <w:hyperlink r:id="rId6">
              <w:r>
                <w:rPr>
                  <w:rStyle w:val="InternetLink"/>
                  <w:rFonts w:ascii="Times New Roman" w:hAnsi="Times New Roman"/>
                  <w:sz w:val="20"/>
                </w:rPr>
                <w:t>April  2, 2025</w:t>
              </w:r>
            </w:hyperlink>
            <w:r>
              <w:rPr>
                <w:rFonts w:ascii="Times New Roman" w:hAnsi="Times New Roman"/>
                <w:sz w:val="20"/>
              </w:rPr>
              <w:t xml:space="preserve">, </w:t>
            </w:r>
            <w:hyperlink r:id="rId7">
              <w:r>
                <w:rPr>
                  <w:rStyle w:val="InternetLink"/>
                  <w:rFonts w:ascii="Times New Roman" w:hAnsi="Times New Roman"/>
                  <w:sz w:val="20"/>
                </w:rPr>
                <w:t>April  4, 2025</w:t>
              </w:r>
            </w:hyperlink>
            <w:r>
              <w:rPr>
                <w:rFonts w:ascii="Times New Roman" w:hAnsi="Times New Roman"/>
                <w:sz w:val="20"/>
              </w:rPr>
              <w:t xml:space="preserve">, </w:t>
            </w:r>
            <w:hyperlink r:id="rId8">
              <w:r>
                <w:rPr>
                  <w:rStyle w:val="InternetLink"/>
                  <w:rFonts w:ascii="Times New Roman" w:hAnsi="Times New Roman"/>
                  <w:sz w:val="20"/>
                </w:rPr>
                <w:t>May 5, 2025</w:t>
              </w:r>
            </w:hyperlink>
            <w:r>
              <w:rPr>
                <w:rFonts w:ascii="Times New Roman" w:hAnsi="Times New Roman"/>
                <w:sz w:val="20"/>
              </w:rPr>
              <w:t xml:space="preserve"> (Film  </w:t>
            </w:r>
            <w:hyperlink r:id="rId9">
              <w:r>
                <w:rPr>
                  <w:rStyle w:val="InternetLink"/>
                  <w:rFonts w:ascii="Times New Roman" w:hAnsi="Times New Roman"/>
                  <w:sz w:val="20"/>
                </w:rPr>
                <w:t>No. 25910931</w:t>
              </w:r>
            </w:hyperlink>
            <w:r>
              <w:rPr>
                <w:rFonts w:ascii="Times New Roman" w:hAnsi="Times New Roman"/>
                <w:sz w:val="20"/>
              </w:rPr>
              <w:t xml:space="preserve">), </w:t>
            </w:r>
            <w:hyperlink r:id="rId10">
              <w:r>
                <w:rPr>
                  <w:rStyle w:val="InternetLink"/>
                  <w:rFonts w:ascii="Times New Roman" w:hAnsi="Times New Roman"/>
                  <w:sz w:val="20"/>
                </w:rPr>
                <w:t>May  16, 2025</w:t>
              </w:r>
            </w:hyperlink>
            <w:r>
              <w:rPr>
                <w:rFonts w:ascii="Times New Roman" w:hAnsi="Times New Roman"/>
                <w:sz w:val="20"/>
              </w:rPr>
              <w:t xml:space="preserve"> (as to Exhibit 99.2 only), </w:t>
            </w:r>
            <w:hyperlink r:id="rId11">
              <w:r>
                <w:rPr>
                  <w:rStyle w:val="InternetLink"/>
                  <w:rFonts w:ascii="Times New Roman" w:hAnsi="Times New Roman"/>
                  <w:sz w:val="20"/>
                </w:rPr>
                <w:t>May  20, 2025</w:t>
              </w:r>
            </w:hyperlink>
            <w:r>
              <w:rPr>
                <w:rFonts w:ascii="Times New Roman" w:hAnsi="Times New Roman"/>
                <w:sz w:val="20"/>
              </w:rPr>
              <w:t xml:space="preserve">, </w:t>
            </w:r>
            <w:hyperlink r:id="rId12">
              <w:r>
                <w:rPr>
                  <w:rStyle w:val="InternetLink"/>
                  <w:rFonts w:ascii="Times New Roman" w:hAnsi="Times New Roman"/>
                  <w:sz w:val="20"/>
                </w:rPr>
                <w:t>June 2, 2025</w:t>
              </w:r>
            </w:hyperlink>
            <w:r>
              <w:rPr>
                <w:rFonts w:ascii="Times New Roman" w:hAnsi="Times New Roman"/>
                <w:sz w:val="20"/>
              </w:rPr>
              <w:t xml:space="preserve">, </w:t>
            </w:r>
            <w:hyperlink r:id="rId13">
              <w:r>
                <w:rPr>
                  <w:rStyle w:val="InternetLink"/>
                  <w:rFonts w:ascii="Times New Roman" w:hAnsi="Times New Roman"/>
                  <w:sz w:val="20"/>
                </w:rPr>
                <w:t>June 12, 2025</w:t>
              </w:r>
            </w:hyperlink>
            <w:r>
              <w:rPr>
                <w:rFonts w:ascii="Times New Roman" w:hAnsi="Times New Roman"/>
                <w:sz w:val="20"/>
              </w:rPr>
              <w:t xml:space="preserve">, June 17, 2025 (Film Nos.  </w:t>
            </w:r>
            <w:hyperlink r:id="rId14">
              <w:r>
                <w:rPr>
                  <w:rStyle w:val="InternetLink"/>
                  <w:rFonts w:ascii="Times New Roman" w:hAnsi="Times New Roman"/>
                  <w:sz w:val="20"/>
                </w:rPr>
                <w:t>251053519</w:t>
              </w:r>
            </w:hyperlink>
            <w:r>
              <w:rPr>
                <w:rFonts w:ascii="Times New Roman" w:hAnsi="Times New Roman"/>
                <w:sz w:val="20"/>
              </w:rPr>
              <w:t xml:space="preserve"> and </w:t>
            </w:r>
            <w:hyperlink r:id="rId15">
              <w:r>
                <w:rPr>
                  <w:rStyle w:val="InternetLink"/>
                  <w:rFonts w:ascii="Times New Roman" w:hAnsi="Times New Roman"/>
                  <w:sz w:val="20"/>
                </w:rPr>
                <w:t>251053885</w:t>
              </w:r>
            </w:hyperlink>
            <w:r>
              <w:rPr>
                <w:rFonts w:ascii="Times New Roman" w:hAnsi="Times New Roman"/>
                <w:sz w:val="20"/>
              </w:rPr>
              <w:t xml:space="preserve">), </w:t>
            </w:r>
            <w:hyperlink r:id="rId16">
              <w:r>
                <w:rPr>
                  <w:rStyle w:val="InternetLink"/>
                  <w:rFonts w:ascii="Times New Roman" w:hAnsi="Times New Roman"/>
                  <w:sz w:val="20"/>
                </w:rPr>
                <w:t>July 17, 2025</w:t>
              </w:r>
            </w:hyperlink>
            <w:r>
              <w:rPr>
                <w:rFonts w:ascii="Times New Roman" w:hAnsi="Times New Roman"/>
                <w:sz w:val="20"/>
              </w:rPr>
              <w:t xml:space="preserve">, </w:t>
            </w:r>
            <w:hyperlink r:id="rId17">
              <w:r>
                <w:rPr>
                  <w:rStyle w:val="InternetLink"/>
                  <w:rFonts w:ascii="Times New Roman" w:hAnsi="Times New Roman"/>
                  <w:sz w:val="20"/>
                </w:rPr>
                <w:t>July  25, 2025</w:t>
              </w:r>
            </w:hyperlink>
            <w:r>
              <w:rPr>
                <w:rFonts w:ascii="Times New Roman" w:hAnsi="Times New Roman"/>
                <w:sz w:val="20"/>
              </w:rPr>
              <w:t xml:space="preserve">, </w:t>
            </w:r>
            <w:hyperlink r:id="rId18">
              <w:r>
                <w:rPr>
                  <w:rStyle w:val="InternetLink"/>
                  <w:rFonts w:ascii="Times New Roman" w:hAnsi="Times New Roman"/>
                  <w:sz w:val="20"/>
                </w:rPr>
                <w:t>August 4, 2025</w:t>
              </w:r>
            </w:hyperlink>
            <w:r>
              <w:rPr>
                <w:rFonts w:ascii="Times New Roman" w:hAnsi="Times New Roman"/>
                <w:sz w:val="20"/>
              </w:rPr>
              <w:t xml:space="preserve"> (Film No.  251178061), </w:t>
            </w:r>
            <w:hyperlink r:id="rId19">
              <w:r>
                <w:rPr>
                  <w:rStyle w:val="InternetLink"/>
                  <w:rFonts w:ascii="Times New Roman" w:hAnsi="Times New Roman"/>
                  <w:sz w:val="20"/>
                </w:rPr>
                <w:t>August 11, 2025</w:t>
              </w:r>
            </w:hyperlink>
            <w:r>
              <w:rPr>
                <w:rFonts w:ascii="Times New Roman" w:hAnsi="Times New Roman"/>
                <w:sz w:val="20"/>
              </w:rPr>
              <w:t xml:space="preserve">, </w:t>
            </w:r>
            <w:hyperlink r:id="rId20">
              <w:r>
                <w:rPr>
                  <w:rStyle w:val="InternetLink"/>
                  <w:rFonts w:ascii="Times New Roman" w:hAnsi="Times New Roman"/>
                  <w:sz w:val="20"/>
                </w:rPr>
                <w:t>August 27, 2025</w:t>
              </w:r>
            </w:hyperlink>
            <w:r>
              <w:rPr>
                <w:rFonts w:ascii="Times New Roman" w:hAnsi="Times New Roman"/>
                <w:sz w:val="20"/>
              </w:rPr>
              <w:t xml:space="preserve">, </w:t>
            </w:r>
            <w:hyperlink r:id="rId21">
              <w:r>
                <w:rPr>
                  <w:rStyle w:val="InternetLink"/>
                  <w:rFonts w:ascii="Times New Roman" w:hAnsi="Times New Roman"/>
                  <w:sz w:val="20"/>
                </w:rPr>
                <w:t>September  5, 2025</w:t>
              </w:r>
            </w:hyperlink>
            <w:r>
              <w:rPr>
                <w:rFonts w:ascii="Times New Roman" w:hAnsi="Times New Roman"/>
                <w:sz w:val="20"/>
              </w:rPr>
              <w:t xml:space="preserve">, and September 8, 2025 (Film Nos. </w:t>
            </w:r>
            <w:hyperlink r:id="rId22">
              <w:r>
                <w:rPr>
                  <w:rStyle w:val="InternetLink"/>
                  <w:rFonts w:ascii="Times New Roman" w:hAnsi="Times New Roman"/>
                  <w:sz w:val="20"/>
                </w:rPr>
                <w:t>251298528</w:t>
              </w:r>
            </w:hyperlink>
            <w:r>
              <w:rPr>
                <w:rFonts w:ascii="Times New Roman" w:hAnsi="Times New Roman"/>
                <w:sz w:val="20"/>
              </w:rPr>
              <w:t xml:space="preserve"> and </w:t>
            </w:r>
            <w:hyperlink r:id="rId23">
              <w:r>
                <w:rPr>
                  <w:rStyle w:val="InternetLink"/>
                  <w:rFonts w:ascii="Times New Roman" w:hAnsi="Times New Roman"/>
                  <w:sz w:val="20"/>
                </w:rPr>
                <w:t>251300550</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reference in BioNTech’s reports on Form 6-K previously furnished to the SEC to any such reports being incorporated by reference into any registration statement, no previously furnished BioNTech report on Form 6-K, other than as specifically mentioned above, shall be incorporated by reference herein. In addition, all subsequent reports on Form 20-F or Form 6-K filed or furnished by BioNTech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 </w:t>
      </w:r>
    </w:p>
    <w:p>
      <w:pPr>
        <w:pStyle w:val="TextBody"/>
        <w:bidi w:val="0"/>
        <w:spacing w:before="240" w:after="0"/>
        <w:jc w:val="left"/>
        <w:rPr>
          <w:rFonts w:ascii="Times New Roman" w:hAnsi="Times New Roman"/>
          <w:sz w:val="20"/>
        </w:rPr>
      </w:pPr>
      <w:r>
        <w:rPr>
          <w:rFonts w:ascii="Times New Roman" w:hAnsi="Times New Roman"/>
          <w:sz w:val="20"/>
        </w:rPr>
        <w:t xml:space="preserve">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documents listed above from the SEC, through the SEC’s website at the address described below or from BioNTech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BioNTech SE </w:t>
      </w:r>
    </w:p>
    <w:p>
      <w:pPr>
        <w:pStyle w:val="TextBody"/>
        <w:bidi w:val="0"/>
        <w:spacing w:before="0" w:after="0"/>
        <w:jc w:val="center"/>
        <w:rPr>
          <w:rFonts w:ascii="Times New Roman" w:hAnsi="Times New Roman"/>
          <w:sz w:val="20"/>
        </w:rPr>
      </w:pPr>
      <w:r>
        <w:rPr>
          <w:rFonts w:ascii="Times New Roman" w:hAnsi="Times New Roman"/>
          <w:sz w:val="20"/>
        </w:rPr>
        <w:t xml:space="preserve">An der Goldgrube 12 </w:t>
      </w:r>
    </w:p>
    <w:p>
      <w:pPr>
        <w:pStyle w:val="TextBody"/>
        <w:bidi w:val="0"/>
        <w:spacing w:before="0" w:after="0"/>
        <w:jc w:val="center"/>
        <w:rPr>
          <w:rFonts w:ascii="Times New Roman" w:hAnsi="Times New Roman"/>
          <w:sz w:val="20"/>
        </w:rPr>
      </w:pPr>
      <w:r>
        <w:rPr>
          <w:rFonts w:ascii="Times New Roman" w:hAnsi="Times New Roman"/>
          <w:sz w:val="20"/>
        </w:rPr>
        <w:t xml:space="preserve">D-55131 Mainz </w:t>
      </w:r>
    </w:p>
    <w:p>
      <w:pPr>
        <w:pStyle w:val="TextBody"/>
        <w:bidi w:val="0"/>
        <w:spacing w:before="0" w:after="0"/>
        <w:jc w:val="center"/>
        <w:rPr>
          <w:rFonts w:ascii="Times New Roman" w:hAnsi="Times New Roman"/>
          <w:sz w:val="20"/>
        </w:rPr>
      </w:pPr>
      <w:r>
        <w:rPr>
          <w:rFonts w:ascii="Times New Roman" w:hAnsi="Times New Roman"/>
          <w:sz w:val="20"/>
        </w:rPr>
        <w:t xml:space="preserve">Germany </w:t>
      </w:r>
    </w:p>
    <w:p>
      <w:pPr>
        <w:pStyle w:val="TextBody"/>
        <w:bidi w:val="0"/>
        <w:spacing w:before="0" w:after="0"/>
        <w:jc w:val="center"/>
        <w:rPr>
          <w:rFonts w:ascii="Times New Roman" w:hAnsi="Times New Roman"/>
          <w:sz w:val="20"/>
        </w:rPr>
      </w:pPr>
      <w:r>
        <w:rPr>
          <w:rFonts w:ascii="Times New Roman" w:hAnsi="Times New Roman"/>
          <w:sz w:val="20"/>
        </w:rPr>
        <w:t xml:space="preserve">+49 6131-9084-0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documents are available from BioNTech without charge, excluding any exhibits to them unless the exhibit is specifically listed as an exhibit to the registration statement of which this offer to exchange/prospectus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SEC also maintains an Internet website that contains filings of issuers, including BioNTech, who file electronically with the SEC. The address of that site is www.sec.gov. You may also consult BioNTech’s website for more information about BioNTech. BioNTech’s website is www.biontech.com. Except as expressly set forth herein, information included on these websites is not incorporated by reference into this offer to exchange/prospectus. </w:t>
      </w:r>
    </w:p>
    <w:p>
      <w:pPr>
        <w:pStyle w:val="TextBody"/>
        <w:bidi w:val="0"/>
        <w:spacing w:before="240" w:after="0"/>
        <w:jc w:val="left"/>
        <w:rPr>
          <w:rFonts w:ascii="Times New Roman" w:hAnsi="Times New Roman"/>
          <w:sz w:val="20"/>
        </w:rPr>
      </w:pPr>
      <w:r>
        <w:rPr>
          <w:rFonts w:ascii="Times New Roman" w:hAnsi="Times New Roman"/>
          <w:sz w:val="20"/>
        </w:rPr>
        <w:t xml:space="preserve">During the offer, an indicative exchange ratio (calculated in the manner described in this offer to exchange/prospectus) will be available at www.envisionreports.com/CureVacOffer, beginning on October 22, 2025. </w:t>
      </w:r>
    </w:p>
    <w:p>
      <w:pPr>
        <w:pStyle w:val="TextBody"/>
        <w:bidi w:val="0"/>
        <w:spacing w:before="240" w:after="0"/>
        <w:jc w:val="left"/>
        <w:rPr>
          <w:rFonts w:ascii="Times New Roman" w:hAnsi="Times New Roman"/>
          <w:sz w:val="20"/>
        </w:rPr>
      </w:pPr>
      <w:r>
        <w:rPr>
          <w:rFonts w:ascii="Times New Roman" w:hAnsi="Times New Roman"/>
          <w:sz w:val="20"/>
        </w:rPr>
        <w:t xml:space="preserve">This offer to exchange/prospectus also incorporates by reference the documents listed below that CureVac has previously filed with or furnished to the SEC. The documents listed below contain important information about CureVac, its financial condition or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20-F for the fiscal year ended December 31, 2024, as filed with the SEC on </w:t>
            </w:r>
            <w:hyperlink r:id="rId24">
              <w:r>
                <w:rPr>
                  <w:rStyle w:val="InternetLink"/>
                  <w:rFonts w:ascii="Times New Roman" w:hAnsi="Times New Roman"/>
                  <w:sz w:val="20"/>
                </w:rPr>
                <w:t>April 11,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Reports on Form 6-K furnished to the SEC on </w:t>
            </w:r>
            <w:hyperlink r:id="rId25">
              <w:r>
                <w:rPr>
                  <w:rStyle w:val="InternetLink"/>
                  <w:rFonts w:ascii="Times New Roman" w:hAnsi="Times New Roman"/>
                  <w:sz w:val="20"/>
                </w:rPr>
                <w:t>March 27, 2025</w:t>
              </w:r>
            </w:hyperlink>
            <w:r>
              <w:rPr>
                <w:rFonts w:ascii="Times New Roman" w:hAnsi="Times New Roman"/>
                <w:sz w:val="20"/>
              </w:rPr>
              <w:t xml:space="preserve"> (excluding the statements of CureVac’s Chief Executive Officer contained in Exhibit 99.1 thereto), </w:t>
            </w:r>
            <w:hyperlink r:id="rId26">
              <w:r>
                <w:rPr>
                  <w:rStyle w:val="InternetLink"/>
                  <w:rFonts w:ascii="Times New Roman" w:hAnsi="Times New Roman"/>
                  <w:sz w:val="20"/>
                </w:rPr>
                <w:t>April 7, 2025</w:t>
              </w:r>
            </w:hyperlink>
            <w:r>
              <w:rPr>
                <w:rFonts w:ascii="Times New Roman" w:hAnsi="Times New Roman"/>
                <w:sz w:val="20"/>
              </w:rPr>
              <w:t xml:space="preserve"> (excluding the statements of CureVac’s Chief Scientific Officer and Chief Executive Officer contained in Exhibit 99.1 thereto), </w:t>
            </w:r>
            <w:hyperlink r:id="rId27">
              <w:r>
                <w:rPr>
                  <w:rStyle w:val="InternetLink"/>
                  <w:rFonts w:ascii="Times New Roman" w:hAnsi="Times New Roman"/>
                  <w:sz w:val="20"/>
                </w:rPr>
                <w:t>May  15, 2025</w:t>
              </w:r>
            </w:hyperlink>
            <w:r>
              <w:rPr>
                <w:rFonts w:ascii="Times New Roman" w:hAnsi="Times New Roman"/>
                <w:sz w:val="20"/>
              </w:rPr>
              <w:t xml:space="preserve">, </w:t>
            </w:r>
            <w:hyperlink r:id="rId28">
              <w:r>
                <w:rPr>
                  <w:rStyle w:val="InternetLink"/>
                  <w:rFonts w:ascii="Times New Roman" w:hAnsi="Times New Roman"/>
                  <w:sz w:val="20"/>
                </w:rPr>
                <w:t>May 20, 2025</w:t>
              </w:r>
            </w:hyperlink>
            <w:r>
              <w:rPr>
                <w:rFonts w:ascii="Times New Roman" w:hAnsi="Times New Roman"/>
                <w:sz w:val="20"/>
              </w:rPr>
              <w:t xml:space="preserve"> (Film No.  25969105), </w:t>
            </w:r>
            <w:hyperlink r:id="rId29">
              <w:r>
                <w:rPr>
                  <w:rStyle w:val="InternetLink"/>
                  <w:rFonts w:ascii="Times New Roman" w:hAnsi="Times New Roman"/>
                  <w:sz w:val="20"/>
                </w:rPr>
                <w:t>May 23, 2025</w:t>
              </w:r>
            </w:hyperlink>
            <w:r>
              <w:rPr>
                <w:rFonts w:ascii="Times New Roman" w:hAnsi="Times New Roman"/>
                <w:sz w:val="20"/>
              </w:rPr>
              <w:t xml:space="preserve">, </w:t>
            </w:r>
            <w:hyperlink r:id="rId30">
              <w:r>
                <w:rPr>
                  <w:rStyle w:val="InternetLink"/>
                  <w:rFonts w:ascii="Times New Roman" w:hAnsi="Times New Roman"/>
                  <w:sz w:val="20"/>
                </w:rPr>
                <w:t>June  12, 2025</w:t>
              </w:r>
            </w:hyperlink>
            <w:r>
              <w:rPr>
                <w:rFonts w:ascii="Times New Roman" w:hAnsi="Times New Roman"/>
                <w:sz w:val="20"/>
              </w:rPr>
              <w:t xml:space="preserve">, </w:t>
            </w:r>
            <w:hyperlink r:id="rId31">
              <w:r>
                <w:rPr>
                  <w:rStyle w:val="InternetLink"/>
                  <w:rFonts w:ascii="Times New Roman" w:hAnsi="Times New Roman"/>
                  <w:sz w:val="20"/>
                </w:rPr>
                <w:t>June 16, 2025</w:t>
              </w:r>
            </w:hyperlink>
            <w:r>
              <w:rPr>
                <w:rFonts w:ascii="Times New Roman" w:hAnsi="Times New Roman"/>
                <w:sz w:val="20"/>
              </w:rPr>
              <w:t xml:space="preserve">, </w:t>
            </w:r>
            <w:hyperlink r:id="rId32">
              <w:r>
                <w:rPr>
                  <w:rStyle w:val="InternetLink"/>
                  <w:rFonts w:ascii="Times New Roman" w:hAnsi="Times New Roman"/>
                  <w:sz w:val="20"/>
                </w:rPr>
                <w:t>June 24, 2025</w:t>
              </w:r>
            </w:hyperlink>
            <w:r>
              <w:rPr>
                <w:rFonts w:ascii="Times New Roman" w:hAnsi="Times New Roman"/>
                <w:sz w:val="20"/>
              </w:rPr>
              <w:t xml:space="preserve">, </w:t>
            </w:r>
            <w:hyperlink r:id="rId33">
              <w:r>
                <w:rPr>
                  <w:rStyle w:val="InternetLink"/>
                  <w:rFonts w:ascii="Times New Roman" w:hAnsi="Times New Roman"/>
                  <w:sz w:val="20"/>
                </w:rPr>
                <w:t>June 26, 2025</w:t>
              </w:r>
            </w:hyperlink>
            <w:r>
              <w:rPr>
                <w:rFonts w:ascii="Times New Roman" w:hAnsi="Times New Roman"/>
                <w:sz w:val="20"/>
              </w:rPr>
              <w:t xml:space="preserve">, </w:t>
            </w:r>
            <w:hyperlink r:id="rId34">
              <w:r>
                <w:rPr>
                  <w:rStyle w:val="InternetLink"/>
                  <w:rFonts w:ascii="Times New Roman" w:hAnsi="Times New Roman"/>
                  <w:sz w:val="20"/>
                </w:rPr>
                <w:t>August 8, 2025</w:t>
              </w:r>
            </w:hyperlink>
            <w:r>
              <w:rPr>
                <w:rFonts w:ascii="Times New Roman" w:hAnsi="Times New Roman"/>
                <w:sz w:val="20"/>
              </w:rPr>
              <w:t xml:space="preserve">, and </w:t>
            </w:r>
            <w:hyperlink r:id="rId35">
              <w:r>
                <w:rPr>
                  <w:rStyle w:val="InternetLink"/>
                  <w:rFonts w:ascii="Times New Roman" w:hAnsi="Times New Roman"/>
                  <w:sz w:val="20"/>
                </w:rPr>
                <w:t>August 15,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reference in CureVac’s reports on Form 6-K previously furnished to the SEC to any such reports being incorporated by reference into any registration statement, no previously furnished CureVac report on Form 6-K, other than as specifically mentioned above, shall be incorporated by reference herein. In addition, all subsequent reports on Form 20-F or Form 6-K filed or furnished by CureVac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 </w:t>
      </w:r>
    </w:p>
    <w:p>
      <w:pPr>
        <w:pStyle w:val="TextBody"/>
        <w:bidi w:val="0"/>
        <w:spacing w:before="240" w:after="0"/>
        <w:jc w:val="left"/>
        <w:rPr>
          <w:rFonts w:ascii="Times New Roman" w:hAnsi="Times New Roman"/>
          <w:sz w:val="20"/>
        </w:rPr>
      </w:pPr>
      <w:r>
        <w:rPr>
          <w:rFonts w:ascii="Times New Roman" w:hAnsi="Times New Roman"/>
          <w:sz w:val="20"/>
        </w:rPr>
        <w:t xml:space="preserve">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documents listed above from the SEC, through the SEC’s website at the address described above or from CureVac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CureVac N.V. </w:t>
      </w:r>
    </w:p>
    <w:p>
      <w:pPr>
        <w:pStyle w:val="TextBody"/>
        <w:bidi w:val="0"/>
        <w:spacing w:before="0" w:after="0"/>
        <w:jc w:val="center"/>
        <w:rPr>
          <w:rFonts w:ascii="Times New Roman" w:hAnsi="Times New Roman"/>
          <w:sz w:val="20"/>
        </w:rPr>
      </w:pPr>
      <w:r>
        <w:rPr>
          <w:rFonts w:ascii="Times New Roman" w:hAnsi="Times New Roman"/>
          <w:sz w:val="20"/>
        </w:rPr>
        <w:t xml:space="preserve">Friedrich-Miescher-Strasse 15 </w:t>
      </w:r>
    </w:p>
    <w:p>
      <w:pPr>
        <w:pStyle w:val="TextBody"/>
        <w:bidi w:val="0"/>
        <w:spacing w:before="0" w:after="0"/>
        <w:jc w:val="center"/>
        <w:rPr>
          <w:rFonts w:ascii="Times New Roman" w:hAnsi="Times New Roman"/>
          <w:sz w:val="20"/>
        </w:rPr>
      </w:pPr>
      <w:r>
        <w:rPr>
          <w:rFonts w:ascii="Times New Roman" w:hAnsi="Times New Roman"/>
          <w:sz w:val="20"/>
        </w:rPr>
        <w:t xml:space="preserve">72076 Tübingen </w:t>
      </w:r>
    </w:p>
    <w:p>
      <w:pPr>
        <w:pStyle w:val="TextBody"/>
        <w:bidi w:val="0"/>
        <w:spacing w:before="0" w:after="0"/>
        <w:jc w:val="center"/>
        <w:rPr>
          <w:rFonts w:ascii="Times New Roman" w:hAnsi="Times New Roman"/>
          <w:sz w:val="20"/>
        </w:rPr>
      </w:pPr>
      <w:r>
        <w:rPr>
          <w:rFonts w:ascii="Times New Roman" w:hAnsi="Times New Roman"/>
          <w:sz w:val="20"/>
        </w:rPr>
        <w:t xml:space="preserve">Germany </w:t>
      </w:r>
    </w:p>
    <w:p>
      <w:pPr>
        <w:pStyle w:val="TextBody"/>
        <w:bidi w:val="0"/>
        <w:spacing w:before="0" w:after="0"/>
        <w:jc w:val="center"/>
        <w:rPr>
          <w:rFonts w:ascii="Times New Roman" w:hAnsi="Times New Roman"/>
          <w:sz w:val="20"/>
        </w:rPr>
      </w:pPr>
      <w:r>
        <w:rPr>
          <w:rFonts w:ascii="Times New Roman" w:hAnsi="Times New Roman"/>
          <w:sz w:val="20"/>
        </w:rPr>
        <w:t xml:space="preserve">+49 7071 9883 0 </w:t>
      </w:r>
    </w:p>
    <w:p>
      <w:pPr>
        <w:pStyle w:val="TextBody"/>
        <w:bidi w:val="0"/>
        <w:spacing w:before="240" w:after="0"/>
        <w:jc w:val="left"/>
        <w:rPr>
          <w:rFonts w:ascii="Times New Roman" w:hAnsi="Times New Roman"/>
          <w:sz w:val="20"/>
        </w:rPr>
      </w:pPr>
      <w:r>
        <w:rPr>
          <w:rFonts w:ascii="Times New Roman" w:hAnsi="Times New Roman"/>
          <w:sz w:val="20"/>
        </w:rPr>
        <w:t xml:space="preserve">These documents are available from CureVac without charge, excluding any exhibits to them unless the exhibit is specifically listed as an exhibit to the registration statement of which this offer to exchange/prospectus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consult CureVac’s website for more information about CureVac. CureVac’s website is www.curevac.com. Information included on this website is not incorporated by reference into this offer to exchange/prospectus.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the offer, or you need additional copies of this offer to exchange/prospectus, you can also contact Georgeson LLC, BioNTech’s information agent, at the following addresses and telephone numbers: </w:t>
      </w:r>
    </w:p>
    <w:p>
      <w:pPr>
        <w:pStyle w:val="TextBody"/>
        <w:bidi w:val="0"/>
        <w:spacing w:before="240" w:after="0"/>
        <w:jc w:val="center"/>
        <w:rPr>
          <w:rFonts w:ascii="Times New Roman" w:hAnsi="Times New Roman"/>
          <w:sz w:val="20"/>
        </w:rPr>
      </w:pPr>
      <w:r>
        <w:rPr>
          <w:rFonts w:ascii="Times New Roman" w:hAnsi="Times New Roman"/>
          <w:sz w:val="20"/>
        </w:rPr>
        <w:t xml:space="preserve">Georgeson LLC </w:t>
      </w:r>
    </w:p>
    <w:p>
      <w:pPr>
        <w:pStyle w:val="TextBody"/>
        <w:bidi w:val="0"/>
        <w:spacing w:before="0" w:after="0"/>
        <w:jc w:val="center"/>
        <w:rPr>
          <w:rFonts w:ascii="Times New Roman" w:hAnsi="Times New Roman"/>
          <w:sz w:val="20"/>
        </w:rPr>
      </w:pPr>
      <w:r>
        <w:rPr>
          <w:rFonts w:ascii="Times New Roman" w:hAnsi="Times New Roman"/>
          <w:sz w:val="20"/>
        </w:rPr>
        <w:t xml:space="preserve">51 West 52nd Street, 6th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10019 </w:t>
      </w:r>
    </w:p>
    <w:p>
      <w:pPr>
        <w:pStyle w:val="TextBody"/>
        <w:bidi w:val="0"/>
        <w:spacing w:before="0" w:after="0"/>
        <w:jc w:val="center"/>
        <w:rPr>
          <w:rFonts w:ascii="Times New Roman" w:hAnsi="Times New Roman"/>
          <w:sz w:val="20"/>
        </w:rPr>
      </w:pPr>
      <w:r>
        <w:rPr>
          <w:rFonts w:ascii="Times New Roman" w:hAnsi="Times New Roman"/>
          <w:sz w:val="20"/>
        </w:rPr>
        <w:t xml:space="preserve">Call Collect (732) 353-1948 </w:t>
      </w:r>
    </w:p>
    <w:p>
      <w:pPr>
        <w:pStyle w:val="TextBody"/>
        <w:bidi w:val="0"/>
        <w:spacing w:before="0" w:after="0"/>
        <w:jc w:val="center"/>
        <w:rPr>
          <w:rFonts w:ascii="Times New Roman" w:hAnsi="Times New Roman"/>
          <w:sz w:val="20"/>
        </w:rPr>
      </w:pPr>
      <w:r>
        <w:rPr>
          <w:rFonts w:ascii="Times New Roman" w:hAnsi="Times New Roman"/>
          <w:sz w:val="20"/>
        </w:rPr>
        <w:t xml:space="preserve">Call Toll-Free (888) 686-7195 </w:t>
      </w:r>
    </w:p>
    <w:p>
      <w:pPr>
        <w:pStyle w:val="TextBody"/>
        <w:bidi w:val="0"/>
        <w:spacing w:before="0" w:after="0"/>
        <w:jc w:val="center"/>
        <w:rPr>
          <w:rFonts w:ascii="Times New Roman" w:hAnsi="Times New Roman"/>
          <w:sz w:val="20"/>
        </w:rPr>
      </w:pPr>
      <w:r>
        <w:rPr>
          <w:rFonts w:ascii="Times New Roman" w:hAnsi="Times New Roman"/>
          <w:sz w:val="20"/>
        </w:rPr>
        <w:t xml:space="preserve">Email: Curevacoffer@georgeson.com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an offer to exchange/prospectus of BioNTech. BioNTech has not authorized anyone to give any information or make any representation about the offer or BioNTech that is different from, or in addition to, that contained in this offer to exchange/prospectus or in any of the materials that BioNTech has incorporated by reference into this offer to exchange/prospectus. Therefore, if anyone does give you different, additional, or inconsistent information, you should not rely on it. The information contained in this offer to exchange/prospectus speaks only as of the date of this offer to exchange/prospectus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after the registration statement is declared effective by the SEC, BioNTech intends to file the Schedule TO with the SEC and, soon thereafter, CureVac intends to file the Schedule 14D-9 with respect to the exchange offer. Before making any decision with respect to the exchange offer, CureVac shareholders are encouraged to read the Schedule TO (including the offer to exchange/prospectus, related letter of transmittal, and other offer documents)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opinions of CureVac’s financial advisor. Investors will be able to obtain free copies of the Schedule TO and Schedule 14D-9, as each may be amended from time to time, and other relevant documents filed by BioNTech and CureVac with the SEC (when they become available) at the SEC’s website or BioNTech’s website or by contacting BioNTech at the address and phone number set out above. These documents will also be available free of charge from CureVac’s website or by contacting CureVac at the address and phone number set out above. The information found on, or otherwise accessible through, these websites is not incorporated into, and does not form a part of, this offer to exchange/prospectus.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7" w:name="anxa"/>
      <w:bookmarkStart w:id="88" w:name="toc847647_81"/>
      <w:bookmarkEnd w:id="87"/>
      <w:bookmarkEnd w:id="88"/>
      <w:r>
        <w:rPr>
          <w:rFonts w:ascii="Times New Roman" w:hAnsi="Times New Roman"/>
          <w:b/>
          <w:sz w:val="20"/>
        </w:rPr>
        <w:t xml:space="preserve">Annex A </w:t>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June 12, 2025 </w:t>
      </w:r>
    </w:p>
    <w:p>
      <w:pPr>
        <w:pStyle w:val="TextBody"/>
        <w:bidi w:val="0"/>
        <w:spacing w:before="48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480" w:after="0"/>
        <w:jc w:val="center"/>
        <w:rPr>
          <w:rFonts w:ascii="Times New Roman" w:hAnsi="Times New Roman"/>
          <w:b/>
          <w:sz w:val="20"/>
        </w:rPr>
      </w:pPr>
      <w:r>
        <w:rPr>
          <w:rFonts w:ascii="Times New Roman" w:hAnsi="Times New Roman"/>
          <w:b/>
          <w:sz w:val="20"/>
        </w:rPr>
        <w:t xml:space="preserve">BIONTECH SE </w:t>
      </w:r>
    </w:p>
    <w:p>
      <w:pPr>
        <w:pStyle w:val="TextBody"/>
        <w:bidi w:val="0"/>
        <w:spacing w:before="480" w:after="0"/>
        <w:jc w:val="center"/>
        <w:rPr>
          <w:rFonts w:ascii="Times New Roman" w:hAnsi="Times New Roman"/>
          <w:b/>
          <w:sz w:val="20"/>
        </w:rPr>
      </w:pPr>
      <w:r>
        <w:rPr>
          <w:rFonts w:ascii="Times New Roman" w:hAnsi="Times New Roman"/>
          <w:b/>
          <w:sz w:val="20"/>
        </w:rPr>
        <w:t xml:space="preserve">and </w:t>
      </w:r>
    </w:p>
    <w:p>
      <w:pPr>
        <w:pStyle w:val="TextBody"/>
        <w:bidi w:val="0"/>
        <w:spacing w:before="480" w:after="0"/>
        <w:jc w:val="center"/>
        <w:rPr>
          <w:rFonts w:ascii="Times New Roman" w:hAnsi="Times New Roman"/>
          <w:b/>
          <w:sz w:val="20"/>
        </w:rPr>
      </w:pPr>
      <w:r>
        <w:rPr>
          <w:rFonts w:ascii="Times New Roman" w:hAnsi="Times New Roman"/>
          <w:b/>
          <w:sz w:val="20"/>
        </w:rPr>
        <w:t xml:space="preserve">CUREVAC N.V.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1"/>
        <w:gridCol w:w="83"/>
        <w:gridCol w:w="8190"/>
        <w:gridCol w:w="122"/>
        <w:gridCol w:w="60"/>
        <w:gridCol w:w="515"/>
        <w:gridCol w:w="64"/>
      </w:tblGrid>
      <w:tr>
        <w:trPr/>
        <w:tc>
          <w:tcPr>
            <w:tcW w:w="1171"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1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Article 1</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DEFINITIONS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Definitions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Other Definitional and Interpretative Provisions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Article 2</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THE OFFER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The Offer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Company Action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Equity Awards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Extraordinary General Meeting</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Directors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Further Actions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Post-Offer Reorganization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Exchange of Company Shares.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Adjustments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Withholding</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Transfer Taxes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Article 3</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center"/>
              <w:rPr/>
            </w:pPr>
            <w:r>
              <w:rPr/>
              <w:t>REPRESENTATIONS AND WARRANTIES OF THE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71" w:type="dxa"/>
            <w:tcBorders/>
            <w:vAlign w:val="center"/>
          </w:tcPr>
          <w:p>
            <w:pPr>
              <w:pStyle w:val="TableContents"/>
              <w:bidi w:val="0"/>
              <w:spacing w:before="0" w:after="283"/>
              <w:jc w:val="left"/>
              <w:rPr>
                <w:sz w:val="4"/>
                <w:szCs w:val="4"/>
              </w:rPr>
            </w:pPr>
            <w:r>
              <w:rPr>
                <w:sz w:val="4"/>
                <w:szCs w:val="4"/>
              </w:rPr>
            </w:r>
          </w:p>
        </w:tc>
        <w:tc>
          <w:tcPr>
            <w:tcW w:w="827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Corporate Existence and Power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Corporate Authorization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Governmental Authorization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Non-contravention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Capitalization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Subsidiaries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SEC Filings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Financial Statements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Internal Controls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Disclosure Documents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Absence of Certain Changes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No Undisclosed Liabilities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Compliance with Laws; Regulatory Matters; Healthcare Laws; Subsidies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Litigation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Properties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Intellectual Property; Privacy and Data Protection.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Taxes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Tax Free Reorganization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Employee Benefit Plans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Employee and Labor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Environmental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Material Contracts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Financial Advisor Fees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Opinion of Company Financial Advisor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Insurance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83" w:type="dxa"/>
            <w:tcBorders/>
            <w:vAlign w:val="bottom"/>
          </w:tcPr>
          <w:p>
            <w:pPr>
              <w:pStyle w:val="TableContents"/>
              <w:bidi w:val="0"/>
              <w:spacing w:before="0" w:after="283"/>
              <w:jc w:val="left"/>
              <w:rPr/>
            </w:pPr>
            <w:r>
              <w:rPr/>
              <w:t> </w:t>
            </w:r>
          </w:p>
        </w:tc>
        <w:tc>
          <w:tcPr>
            <w:tcW w:w="8190" w:type="dxa"/>
            <w:tcBorders/>
            <w:vAlign w:val="bottom"/>
          </w:tcPr>
          <w:p>
            <w:pPr>
              <w:pStyle w:val="TableContents"/>
              <w:bidi w:val="0"/>
              <w:spacing w:before="0" w:after="283"/>
              <w:jc w:val="left"/>
              <w:rPr/>
            </w:pPr>
            <w:r>
              <w:rPr/>
              <w:t>Anti-Takeover Measures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92"/>
        <w:gridCol w:w="8124"/>
        <w:gridCol w:w="124"/>
        <w:gridCol w:w="60"/>
        <w:gridCol w:w="517"/>
        <w:gridCol w:w="64"/>
      </w:tblGrid>
      <w:tr>
        <w:trPr/>
        <w:tc>
          <w:tcPr>
            <w:tcW w:w="1224"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812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Information Supplied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Related Party Transactions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Rule 14d-10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3.30</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No Other Representations and Warranties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Article 4</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REPRESENTATIONS AND WARRANTIES OF BUYER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Corporate Existence and Power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Corporate Authorization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Governmental Authorization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Non-Contravention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Capitalization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SEC Filings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Financial Statements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Internal Controls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Disclosure Documents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Absence of Certain Changes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No Undisclosed Liabilities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Litigation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Ownership of Company Shares; Investment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Tax-Free Reorganization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Absence of Certain Agreements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No Other Representations and Warranties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Article 5</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COVENANTS OF THE COMPANY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Conduct of the Company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Access to Information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No Solicitation; Adverse Recommendation Change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Compensation Arrangements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Delisting; Deregistration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Anti-Takeover Measures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Internal Controls Remediation Actions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2"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Article 6</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COVENANTS OF BUYER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Director and Officer Liability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Employee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Stock Exchange Listing</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Conduct of Buyer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Tax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Article 7</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center"/>
              <w:rPr/>
            </w:pPr>
            <w:r>
              <w:rPr/>
              <w:t>COVENANTS OF THE PARTIES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65"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Regulatory Approvals; Efforts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12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2"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Certain Filings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055" w:type="dxa"/>
        <w:jc w:val="center"/>
        <w:tblInd w:w="0" w:type="dxa"/>
        <w:tblLayout w:type="fixed"/>
        <w:tblCellMar>
          <w:top w:w="0" w:type="dxa"/>
          <w:left w:w="0" w:type="dxa"/>
          <w:bottom w:w="0" w:type="dxa"/>
          <w:right w:w="0" w:type="dxa"/>
        </w:tblCellMar>
      </w:tblPr>
      <w:tblGrid>
        <w:gridCol w:w="1040"/>
        <w:gridCol w:w="60"/>
        <w:gridCol w:w="920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Public Announcements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Notices of Certain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Business Continuity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Tax Free Reorganization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center"/>
              <w:rPr/>
            </w:pPr>
            <w:r>
              <w:rPr/>
              <w:t>Article 8</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center"/>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Expenses; Termination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Buyer Termination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center"/>
              <w:rPr/>
            </w:pPr>
            <w:r>
              <w:rPr/>
              <w:t>Article 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center"/>
              <w:rPr/>
            </w:pPr>
            <w:r>
              <w:rPr/>
              <w:t>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6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Non-Survival of Representations and Warranties; Survival of Certain Covenants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Rules of Construction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Assignment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Dispute Resolution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Counterparts; Electronic Delivery; Effectiveness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Entire Agreement; No Third-Party Beneficiaries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60" w:type="dxa"/>
            <w:tcBorders/>
            <w:vAlign w:val="bottom"/>
          </w:tcPr>
          <w:p>
            <w:pPr>
              <w:pStyle w:val="TableContents"/>
              <w:bidi w:val="0"/>
              <w:spacing w:before="0" w:after="283"/>
              <w:jc w:val="left"/>
              <w:rPr/>
            </w:pPr>
            <w:r>
              <w:rPr/>
              <w:t> </w:t>
            </w:r>
          </w:p>
        </w:tc>
        <w:tc>
          <w:tcPr>
            <w:tcW w:w="9200" w:type="dxa"/>
            <w:tcBorders/>
            <w:vAlign w:val="bottom"/>
          </w:tcPr>
          <w:p>
            <w:pPr>
              <w:pStyle w:val="TableContents"/>
              <w:bidi w:val="0"/>
              <w:spacing w:before="0" w:after="283"/>
              <w:jc w:val="left"/>
              <w:rPr/>
            </w:pPr>
            <w:r>
              <w:rPr/>
              <w:t>Specific Performance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Annex I </w:t>
            </w:r>
            <w:r>
              <w:rPr>
                <w:rFonts w:ascii="Times New Roman" w:hAnsi="Times New Roman"/>
                <w:sz w:val="20"/>
              </w:rPr>
              <w:t>— Offer Conditions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Exhibit A </w:t>
            </w:r>
            <w:r>
              <w:rPr>
                <w:rFonts w:ascii="Times New Roman" w:hAnsi="Times New Roman"/>
                <w:sz w:val="20"/>
              </w:rPr>
              <w:t>— Form of Legal Downstream Merger Deed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Exhibits B-1 and B-2 </w:t>
            </w:r>
            <w:r>
              <w:rPr>
                <w:rFonts w:ascii="Times New Roman" w:hAnsi="Times New Roman"/>
                <w:sz w:val="20"/>
              </w:rPr>
              <w:t>— Form of Legal Downstream Merger Proposal and Notes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Exhibit C </w:t>
            </w:r>
            <w:r>
              <w:rPr>
                <w:rFonts w:ascii="Times New Roman" w:hAnsi="Times New Roman"/>
                <w:sz w:val="20"/>
              </w:rPr>
              <w:t>— Form of Post-Downstream Merger Share Sale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240" w:after="0"/>
        <w:jc w:val="left"/>
        <w:rPr>
          <w:rFonts w:ascii="Times New Roman" w:hAnsi="Times New Roman"/>
          <w:sz w:val="20"/>
        </w:rPr>
      </w:pPr>
      <w:r>
        <w:rPr>
          <w:rFonts w:ascii="Times New Roman" w:hAnsi="Times New Roman"/>
          <w:sz w:val="20"/>
        </w:rPr>
        <w:t>This PURCHASE AGREEMENT (this “</w:t>
      </w:r>
      <w:r>
        <w:rPr>
          <w:rFonts w:ascii="Times New Roman" w:hAnsi="Times New Roman"/>
          <w:sz w:val="20"/>
          <w:u w:val="single"/>
        </w:rPr>
        <w:t>Agreement</w:t>
      </w:r>
      <w:r>
        <w:rPr>
          <w:rFonts w:ascii="Times New Roman" w:hAnsi="Times New Roman"/>
          <w:sz w:val="20"/>
        </w:rPr>
        <w:t>”) dated as of June 12, 2025, by and between BioNTech SE, a European stock corporation (</w:t>
      </w:r>
      <w:r>
        <w:rPr>
          <w:rFonts w:ascii="Times New Roman" w:hAnsi="Times New Roman"/>
          <w:i/>
          <w:sz w:val="20"/>
        </w:rPr>
        <w:t>Societas Europaea</w:t>
      </w:r>
      <w:r>
        <w:rPr>
          <w:rFonts w:ascii="Times New Roman" w:hAnsi="Times New Roman"/>
          <w:sz w:val="20"/>
        </w:rPr>
        <w:t>) organized under the Laws of Germany and the European Union registered with the commercial register at the district court of Mainz under HRB 48720 (“</w:t>
      </w:r>
      <w:r>
        <w:rPr>
          <w:rFonts w:ascii="Times New Roman" w:hAnsi="Times New Roman"/>
          <w:sz w:val="20"/>
          <w:u w:val="single"/>
        </w:rPr>
        <w:t>Buyer</w:t>
      </w:r>
      <w:r>
        <w:rPr>
          <w:rFonts w:ascii="Times New Roman" w:hAnsi="Times New Roman"/>
          <w:sz w:val="20"/>
        </w:rPr>
        <w:t>”), and CureVac N.V., a public limited liability company (</w:t>
      </w:r>
      <w:r>
        <w:rPr>
          <w:rFonts w:ascii="Times New Roman" w:hAnsi="Times New Roman"/>
          <w:i/>
          <w:sz w:val="20"/>
        </w:rPr>
        <w:t>naamloze vennootschap</w:t>
      </w:r>
      <w:r>
        <w:rPr>
          <w:rFonts w:ascii="Times New Roman" w:hAnsi="Times New Roman"/>
          <w:sz w:val="20"/>
        </w:rPr>
        <w:t>) organized under the Laws of The Netherlands, having its registered office (</w:t>
      </w:r>
      <w:r>
        <w:rPr>
          <w:rFonts w:ascii="Times New Roman" w:hAnsi="Times New Roman"/>
          <w:i/>
          <w:sz w:val="20"/>
        </w:rPr>
        <w:t>statutaire zetel</w:t>
      </w:r>
      <w:r>
        <w:rPr>
          <w:rFonts w:ascii="Times New Roman" w:hAnsi="Times New Roman"/>
          <w:sz w:val="20"/>
        </w:rPr>
        <w:t>) in Amsterdam, The Netherlands, registered with the Dutch trade registered under number 77798031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Buyer desires to acquire the Company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management board of the Company (the “</w:t>
      </w:r>
      <w:r>
        <w:rPr>
          <w:rFonts w:ascii="Times New Roman" w:hAnsi="Times New Roman"/>
          <w:sz w:val="20"/>
          <w:u w:val="single"/>
        </w:rPr>
        <w:t>Management Board</w:t>
      </w:r>
      <w:r>
        <w:rPr>
          <w:rFonts w:ascii="Times New Roman" w:hAnsi="Times New Roman"/>
          <w:sz w:val="20"/>
        </w:rPr>
        <w:t>”) and the supervisory board of the Company (the “</w:t>
      </w:r>
      <w:r>
        <w:rPr>
          <w:rFonts w:ascii="Times New Roman" w:hAnsi="Times New Roman"/>
          <w:sz w:val="20"/>
          <w:u w:val="single"/>
        </w:rPr>
        <w:t>Supervisory Board</w:t>
      </w:r>
      <w:r>
        <w:rPr>
          <w:rFonts w:ascii="Times New Roman" w:hAnsi="Times New Roman"/>
          <w:sz w:val="20"/>
        </w:rPr>
        <w:t>” and together with the Management Board, the “</w:t>
      </w:r>
      <w:r>
        <w:rPr>
          <w:rFonts w:ascii="Times New Roman" w:hAnsi="Times New Roman"/>
          <w:sz w:val="20"/>
          <w:u w:val="single"/>
        </w:rPr>
        <w:t>Company Boards</w:t>
      </w:r>
      <w:r>
        <w:rPr>
          <w:rFonts w:ascii="Times New Roman" w:hAnsi="Times New Roman"/>
          <w:sz w:val="20"/>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WHEREAS, Buyer shall commence an exchange offer (as it may be amended from time to time as permitted by this Agreement, the “</w:t>
      </w:r>
      <w:r>
        <w:rPr>
          <w:rFonts w:ascii="Times New Roman" w:hAnsi="Times New Roman"/>
          <w:sz w:val="20"/>
          <w:u w:val="single"/>
        </w:rPr>
        <w:t>Offer</w:t>
      </w:r>
      <w:r>
        <w:rPr>
          <w:rFonts w:ascii="Times New Roman" w:hAnsi="Times New Roman"/>
          <w:sz w:val="20"/>
        </w:rPr>
        <w:t>”) to purchase any (subject to the Minimum Condition) and all of the ordinary shares, par value 0.12 per share, of the Company (collectively, the “</w:t>
      </w:r>
      <w:r>
        <w:rPr>
          <w:rFonts w:ascii="Times New Roman" w:hAnsi="Times New Roman"/>
          <w:sz w:val="20"/>
          <w:u w:val="single"/>
        </w:rPr>
        <w:t>Company Shares</w:t>
      </w:r>
      <w:r>
        <w:rPr>
          <w:rFonts w:ascii="Times New Roman" w:hAnsi="Times New Roman"/>
          <w:sz w:val="20"/>
        </w:rPr>
        <w:t xml:space="preserve">”) for the consideration and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hAnsi="Times New Roman"/>
          <w:sz w:val="20"/>
          <w:u w:val="single"/>
        </w:rPr>
        <w:t>Tender and Support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Buyer and the Company desire to make certain representations, warranties, covenants and agreements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in this Agreement,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As used in this Agreement, the following terms have the following meanings: </w:t>
      </w:r>
    </w:p>
    <w:p>
      <w:pPr>
        <w:pStyle w:val="TextBody"/>
        <w:bidi w:val="0"/>
        <w:spacing w:before="120" w:after="0"/>
        <w:jc w:val="left"/>
        <w:rPr/>
      </w:pPr>
      <w:r>
        <w:rPr/>
        <w:t>“</w:t>
      </w:r>
      <w:r>
        <w:rPr>
          <w:rFonts w:ascii="Times New Roman" w:hAnsi="Times New Roman"/>
          <w:sz w:val="20"/>
          <w:u w:val="single"/>
        </w:rPr>
        <w:t>1933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1934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shall have the meaning set forth in </w:t>
      </w:r>
      <w:r>
        <w:rPr>
          <w:rFonts w:ascii="Times New Roman" w:hAnsi="Times New Roman"/>
          <w:sz w:val="20"/>
          <w:u w:val="single"/>
        </w:rPr>
        <w:t>Section 5.03(b)(i)</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Acceptance Time</w:t>
      </w:r>
      <w:r>
        <w:rPr>
          <w:rFonts w:ascii="Times New Roman" w:hAnsi="Times New Roman"/>
          <w:sz w:val="20"/>
        </w:rPr>
        <w:t xml:space="preserve">” shall have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litigation, action, claim, complaint, investigation, suit, hearing, arbitration, mediation, interference, cancellation, opposition, reexamination or other proceeding (public or private) by or before, or otherwise involving, any Governmental Authority.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shall have the meaning set forth in </w:t>
      </w:r>
      <w:r>
        <w:rPr>
          <w:rFonts w:ascii="Times New Roman" w:hAnsi="Times New Roman"/>
          <w:sz w:val="20"/>
          <w:u w:val="single"/>
        </w:rPr>
        <w:t>Section 5.03(d)(i)</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Affiliate Agreement</w:t>
      </w:r>
      <w:r>
        <w:rPr>
          <w:rFonts w:ascii="Times New Roman" w:hAnsi="Times New Roman"/>
          <w:sz w:val="20"/>
        </w:rPr>
        <w:t xml:space="preserve">” shall have the meaning set forth in </w:t>
      </w:r>
      <w:r>
        <w:rPr>
          <w:rFonts w:ascii="Times New Roman" w:hAnsi="Times New Roman"/>
          <w:sz w:val="20"/>
          <w:u w:val="single"/>
        </w:rPr>
        <w:t>Section 3.28</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Aggregate Withholding Amount</w:t>
      </w:r>
      <w:r>
        <w:rPr>
          <w:rFonts w:ascii="Times New Roman" w:hAnsi="Times New Roman"/>
          <w:sz w:val="20"/>
        </w:rPr>
        <w:t xml:space="preserve">” shall have the meaning set forth in </w:t>
      </w:r>
      <w:r>
        <w:rPr>
          <w:rFonts w:ascii="Times New Roman" w:hAnsi="Times New Roman"/>
          <w:sz w:val="20"/>
          <w:u w:val="single"/>
        </w:rPr>
        <w:t>Section 2.08(i)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Alternative Acquisition Agreement</w:t>
      </w:r>
      <w:r>
        <w:rPr>
          <w:rFonts w:ascii="Times New Roman" w:hAnsi="Times New Roman"/>
          <w:sz w:val="20"/>
        </w:rPr>
        <w:t xml:space="preserve">” shall have the meaning set forth in </w:t>
      </w:r>
      <w:r>
        <w:rPr>
          <w:rFonts w:ascii="Times New Roman" w:hAnsi="Times New Roman"/>
          <w:sz w:val="20"/>
          <w:u w:val="single"/>
        </w:rPr>
        <w:t>Section 5.03(d)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Acquisition Proposal</w:t>
      </w:r>
      <w:r>
        <w:rPr>
          <w:rFonts w:ascii="Times New Roman" w:hAnsi="Times New Roman"/>
          <w:sz w:val="20"/>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hAnsi="Times New Roman"/>
          <w:sz w:val="20"/>
          <w:u w:val="single"/>
        </w:rPr>
        <w:t>Company Third Party</w:t>
      </w:r>
      <w:r>
        <w:rPr>
          <w:rFonts w:ascii="Times New Roman" w:hAnsi="Times New Roman"/>
          <w:sz w:val="20"/>
        </w:rPr>
        <w:t xml:space="preserve">”)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Anti-Corruption Laws</w:t>
      </w:r>
      <w:r>
        <w:rPr>
          <w:rFonts w:ascii="Times New Roman" w:hAnsi="Times New Roman"/>
          <w:sz w:val="20"/>
        </w:rPr>
        <w:t xml:space="preserve">”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 </w:t>
      </w:r>
    </w:p>
    <w:p>
      <w:pPr>
        <w:pStyle w:val="TextBody"/>
        <w:bidi w:val="0"/>
        <w:spacing w:before="240" w:after="0"/>
        <w:jc w:val="left"/>
        <w:rPr/>
      </w:pPr>
      <w:r>
        <w:rPr/>
        <w:t>“</w:t>
      </w:r>
      <w:r>
        <w:rPr>
          <w:rFonts w:ascii="Times New Roman" w:hAnsi="Times New Roman"/>
          <w:sz w:val="20"/>
          <w:u w:val="single"/>
        </w:rPr>
        <w:t>Anti-Takeover Measure</w:t>
      </w:r>
      <w:r>
        <w:rPr>
          <w:rFonts w:ascii="Times New Roman" w:hAnsi="Times New Roman"/>
          <w:sz w:val="20"/>
        </w:rPr>
        <w:t xml:space="preserve">” shall have the meaning set forth in </w:t>
      </w:r>
      <w:r>
        <w:rPr>
          <w:rFonts w:ascii="Times New Roman" w:hAnsi="Times New Roman"/>
          <w:sz w:val="20"/>
          <w:u w:val="single"/>
        </w:rPr>
        <w:t>Section 3.26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Antitrust Investigation</w:t>
      </w:r>
      <w:r>
        <w:rPr>
          <w:rFonts w:ascii="Times New Roman" w:hAnsi="Times New Roman"/>
          <w:sz w:val="20"/>
        </w:rPr>
        <w:t xml:space="preserve">” shall have the meaning set forth in </w:t>
      </w:r>
      <w:r>
        <w:rPr>
          <w:rFonts w:ascii="Times New Roman" w:hAnsi="Times New Roman"/>
          <w:sz w:val="20"/>
          <w:u w:val="single"/>
        </w:rPr>
        <w:t>Section 7.01(d)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 </w:t>
      </w:r>
    </w:p>
    <w:p>
      <w:pPr>
        <w:pStyle w:val="TextBody"/>
        <w:bidi w:val="0"/>
        <w:spacing w:before="240" w:after="0"/>
        <w:jc w:val="left"/>
        <w:rPr/>
      </w:pPr>
      <w:r>
        <w:rPr/>
        <w:t>“</w:t>
      </w:r>
      <w:r>
        <w:rPr>
          <w:rFonts w:ascii="Times New Roman" w:hAnsi="Times New Roman"/>
          <w:sz w:val="20"/>
          <w:u w:val="single"/>
        </w:rPr>
        <w:t>BaFin</w:t>
      </w:r>
      <w:r>
        <w:rPr>
          <w:rFonts w:ascii="Times New Roman" w:hAnsi="Times New Roman"/>
          <w:sz w:val="20"/>
        </w:rPr>
        <w:t>” means the German Federal Financial Supervisory Authority (</w:t>
      </w:r>
      <w:r>
        <w:rPr>
          <w:rFonts w:ascii="Times New Roman" w:hAnsi="Times New Roman"/>
          <w:i/>
          <w:sz w:val="20"/>
        </w:rPr>
        <w:t>Bundesanstalt für. Finanzdienstleistungsaufsicht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other than Saturday, Sunday or other day on which commercial banks in Mainz and Tübingen, Germany, Amsterdam, The Netherlands, New York, New York, United States or London, United Kingdom are authorized or required by applicable Law to close. </w:t>
      </w:r>
    </w:p>
    <w:p>
      <w:pPr>
        <w:pStyle w:val="TextBody"/>
        <w:bidi w:val="0"/>
        <w:spacing w:before="240" w:after="0"/>
        <w:jc w:val="left"/>
        <w:rPr/>
      </w:pPr>
      <w:r>
        <w:rPr/>
        <w:t>“</w:t>
      </w:r>
      <w:r>
        <w:rPr>
          <w:rFonts w:ascii="Times New Roman" w:hAnsi="Times New Roman"/>
          <w:sz w:val="20"/>
          <w:u w:val="single"/>
        </w:rPr>
        <w:t>Buyer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Buyer ADS</w:t>
      </w:r>
      <w:r>
        <w:rPr>
          <w:rFonts w:ascii="Times New Roman" w:hAnsi="Times New Roman"/>
          <w:sz w:val="20"/>
        </w:rPr>
        <w:t xml:space="preserve">” shall have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Buyer ADS VWAP</w:t>
      </w:r>
      <w:r>
        <w:rPr>
          <w:rFonts w:ascii="Times New Roman" w:hAnsi="Times New Roman"/>
          <w:sz w:val="20"/>
        </w:rPr>
        <w:t xml:space="preserve">” means the volume-weighted average share price per Buyer ADS taken to four decimal places over the period of ten (10) consecutive trading days concluding with the market closing trade on Nasdaq on the fifth (5th) trading day immediately preceding the Expiration Time, as calculated by Bloomberg Financial LP under the function “VWAP” (or, if not available, in another authoritative source mutually selected by the Company and Buyer). </w:t>
      </w:r>
    </w:p>
    <w:p>
      <w:pPr>
        <w:pStyle w:val="TextBody"/>
        <w:bidi w:val="0"/>
        <w:spacing w:before="240" w:after="0"/>
        <w:jc w:val="left"/>
        <w:rPr/>
      </w:pPr>
      <w:r>
        <w:rPr/>
        <w:t>“</w:t>
      </w:r>
      <w:r>
        <w:rPr>
          <w:rFonts w:ascii="Times New Roman" w:hAnsi="Times New Roman"/>
          <w:sz w:val="20"/>
          <w:u w:val="single"/>
        </w:rPr>
        <w:t>Buyer ADSs Sale</w:t>
      </w:r>
      <w:r>
        <w:rPr>
          <w:rFonts w:ascii="Times New Roman" w:hAnsi="Times New Roman"/>
          <w:sz w:val="20"/>
        </w:rPr>
        <w:t xml:space="preserve">” shall have the meaning set forth in </w:t>
      </w:r>
      <w:r>
        <w:rPr>
          <w:rFonts w:ascii="Times New Roman" w:hAnsi="Times New Roman"/>
          <w:sz w:val="20"/>
          <w:u w:val="single"/>
        </w:rPr>
        <w:t>Section 2.08(i)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Buyer Balance Sheet</w:t>
      </w:r>
      <w:r>
        <w:rPr>
          <w:rFonts w:ascii="Times New Roman" w:hAnsi="Times New Roman"/>
          <w:sz w:val="20"/>
        </w:rPr>
        <w:t xml:space="preserve">” means the consolidated balance sheet of Buyer as of December 31, 2024, and the notes thereto set forth in the Form 20-F of Buyer filed with the SEC on March 10, 2025. </w:t>
      </w:r>
    </w:p>
    <w:p>
      <w:pPr>
        <w:pStyle w:val="TextBody"/>
        <w:bidi w:val="0"/>
        <w:spacing w:before="240" w:after="0"/>
        <w:jc w:val="left"/>
        <w:rPr/>
      </w:pPr>
      <w:r>
        <w:rPr/>
        <w:t>“</w:t>
      </w:r>
      <w:r>
        <w:rPr>
          <w:rFonts w:ascii="Times New Roman" w:hAnsi="Times New Roman"/>
          <w:sz w:val="20"/>
          <w:u w:val="single"/>
        </w:rPr>
        <w:t>Buyer Equity Plan</w:t>
      </w:r>
      <w:r>
        <w:rPr>
          <w:rFonts w:ascii="Times New Roman" w:hAnsi="Times New Roman"/>
          <w:sz w:val="20"/>
        </w:rPr>
        <w:t xml:space="preserve">” means each of the Buyer’s 2024 Non-North America Employee Participation Plan, 2024 North America Employee Participation Plan, 2020 Employee Equity Plan and 2020 Restricted Stock Unit Plan for North America Employees. </w:t>
      </w:r>
    </w:p>
    <w:p>
      <w:pPr>
        <w:pStyle w:val="TextBody"/>
        <w:bidi w:val="0"/>
        <w:spacing w:before="240" w:after="0"/>
        <w:jc w:val="left"/>
        <w:rPr/>
      </w:pPr>
      <w:r>
        <w:rPr/>
        <w:t>“</w:t>
      </w:r>
      <w:r>
        <w:rPr>
          <w:rFonts w:ascii="Times New Roman" w:hAnsi="Times New Roman"/>
          <w:sz w:val="20"/>
          <w:u w:val="single"/>
        </w:rPr>
        <w:t>Buyer Letter</w:t>
      </w:r>
      <w:r>
        <w:rPr>
          <w:rFonts w:ascii="Times New Roman" w:hAnsi="Times New Roman"/>
          <w:sz w:val="20"/>
        </w:rPr>
        <w:t xml:space="preserve">” means the letter, dated the date of this Agreement, regarding this Agreement that has been provided by the Buyer to the Company concurrently with the execution of this Agreement. </w:t>
      </w:r>
    </w:p>
    <w:p>
      <w:pPr>
        <w:pStyle w:val="TextBody"/>
        <w:bidi w:val="0"/>
        <w:spacing w:before="240" w:after="0"/>
        <w:jc w:val="left"/>
        <w:rPr/>
      </w:pPr>
      <w:r>
        <w:rPr/>
        <w:t>“</w:t>
      </w:r>
      <w:r>
        <w:rPr>
          <w:rFonts w:ascii="Times New Roman" w:hAnsi="Times New Roman"/>
          <w:sz w:val="20"/>
          <w:u w:val="single"/>
        </w:rPr>
        <w:t>Buyer Material Adverse Effect</w:t>
      </w:r>
      <w:r>
        <w:rPr>
          <w:rFonts w:ascii="Times New Roman" w:hAnsi="Times New Roman"/>
          <w:sz w:val="20"/>
        </w:rPr>
        <w:t>” means any fact, change, event, development, occurrence or effect (each, an “</w:t>
      </w:r>
      <w:r>
        <w:rPr>
          <w:rFonts w:ascii="Times New Roman" w:hAnsi="Times New Roman"/>
          <w:sz w:val="20"/>
          <w:u w:val="single"/>
        </w:rPr>
        <w:t>Effect</w:t>
      </w:r>
      <w:r>
        <w:rPr>
          <w:rFonts w:ascii="Times New Roman" w:hAnsi="Times New Roman"/>
          <w:sz w:val="20"/>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hAnsi="Times New Roman"/>
          <w:sz w:val="20"/>
          <w:u w:val="single"/>
        </w:rPr>
        <w:t>provided</w:t>
      </w:r>
      <w:r>
        <w:rPr>
          <w:rFonts w:ascii="Times New Roman" w:hAnsi="Times New Roman"/>
          <w:sz w:val="20"/>
        </w:rPr>
        <w:t xml:space="preserve">,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Germany, the United States, The Netherlands or any other country or region in the world in which Buyer or any of its Subsidiaries conduct business; (B) changes in any financial, debt, credit, capital, banking or securities markets or conditions in which Buyer or any of its Subsidiaries conduct business; (C) 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hAnsi="Times New Roman"/>
          <w:sz w:val="20"/>
          <w:u w:val="single"/>
        </w:rPr>
        <w:t>provided</w:t>
      </w:r>
      <w:r>
        <w:rPr>
          <w:rFonts w:ascii="Times New Roman" w:hAnsi="Times New Roman"/>
          <w:sz w:val="20"/>
        </w:rPr>
        <w:t xml:space="preserve">, that the exception in this clause (H) shall not apply for purposes of the representations and warranties in </w:t>
      </w:r>
      <w:r>
        <w:rPr>
          <w:rFonts w:ascii="Times New Roman" w:hAnsi="Times New Roman"/>
          <w:sz w:val="20"/>
          <w:u w:val="single"/>
        </w:rPr>
        <w:t>Section 4.04</w:t>
      </w:r>
      <w:r>
        <w:rPr>
          <w:rFonts w:ascii="Times New Roman" w:hAnsi="Times New Roman"/>
          <w:sz w:val="20"/>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w:t>
      </w:r>
      <w:r>
        <w:rPr>
          <w:rFonts w:ascii="Times New Roman" w:hAnsi="Times New Roman"/>
          <w:sz w:val="20"/>
          <w:u w:val="single"/>
        </w:rPr>
        <w:t>subclauses</w:t>
      </w:r>
      <w:r>
        <w:rPr>
          <w:rFonts w:ascii="Times New Roman" w:hAnsi="Times New Roman"/>
          <w:sz w:val="20"/>
        </w:rPr>
        <w:t> (</w:t>
      </w:r>
      <w:r>
        <w:rPr>
          <w:rFonts w:ascii="Times New Roman" w:hAnsi="Times New Roman"/>
          <w:sz w:val="20"/>
          <w:u w:val="single"/>
        </w:rPr>
        <w:t>A</w:t>
      </w:r>
      <w:r>
        <w:rPr>
          <w:rFonts w:ascii="Times New Roman" w:hAnsi="Times New Roman"/>
          <w:sz w:val="20"/>
        </w:rPr>
        <w:t>)</w:t>
      </w:r>
      <w:r>
        <w:rPr>
          <w:rFonts w:ascii="Times New Roman" w:hAnsi="Times New Roman"/>
          <w:i/>
          <w:sz w:val="20"/>
        </w:rPr>
        <w:t>,</w:t>
      </w:r>
      <w:r>
        <w:rPr>
          <w:rFonts w:ascii="Times New Roman" w:hAnsi="Times New Roman"/>
          <w:sz w:val="20"/>
          <w:u w:val="single"/>
        </w:rPr>
        <w:t xml:space="preserve">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 xml:space="preserve">(G) </w:t>
      </w:r>
      <w:r>
        <w:rPr>
          <w:rFonts w:ascii="Times New Roman" w:hAnsi="Times New Roman"/>
          <w:sz w:val="20"/>
        </w:rPr>
        <w:t xml:space="preserve">and </w:t>
      </w:r>
      <w:r>
        <w:rPr>
          <w:rFonts w:ascii="Times New Roman" w:hAnsi="Times New Roman"/>
          <w:sz w:val="20"/>
          <w:u w:val="single"/>
        </w:rPr>
        <w:t>(I)</w:t>
      </w:r>
      <w:r>
        <w:rPr>
          <w:rFonts w:ascii="Times New Roman" w:hAnsi="Times New Roman"/>
          <w:sz w:val="20"/>
        </w:rPr>
        <w:t xml:space="preserve">,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 </w:t>
      </w:r>
    </w:p>
    <w:p>
      <w:pPr>
        <w:pStyle w:val="TextBody"/>
        <w:bidi w:val="0"/>
        <w:spacing w:before="240" w:after="0"/>
        <w:jc w:val="left"/>
        <w:rPr/>
      </w:pPr>
      <w:r>
        <w:rPr/>
        <w:t>“</w:t>
      </w:r>
      <w:r>
        <w:rPr>
          <w:rFonts w:ascii="Times New Roman" w:hAnsi="Times New Roman"/>
          <w:sz w:val="20"/>
          <w:u w:val="single"/>
        </w:rPr>
        <w:t>Buyer Option</w:t>
      </w:r>
      <w:r>
        <w:rPr>
          <w:rFonts w:ascii="Times New Roman" w:hAnsi="Times New Roman"/>
          <w:sz w:val="20"/>
        </w:rPr>
        <w:t xml:space="preserve">” means an option to acquire Buyer ADSs granted by the Buyer. </w:t>
      </w:r>
    </w:p>
    <w:p>
      <w:pPr>
        <w:pStyle w:val="TextBody"/>
        <w:bidi w:val="0"/>
        <w:spacing w:before="240" w:after="0"/>
        <w:jc w:val="left"/>
        <w:rPr/>
      </w:pPr>
      <w:r>
        <w:rPr/>
        <w:t>“</w:t>
      </w:r>
      <w:r>
        <w:rPr>
          <w:rFonts w:ascii="Times New Roman" w:hAnsi="Times New Roman"/>
          <w:sz w:val="20"/>
          <w:u w:val="single"/>
        </w:rPr>
        <w:t>Buyer Organizational Documents</w:t>
      </w:r>
      <w:r>
        <w:rPr>
          <w:rFonts w:ascii="Times New Roman" w:hAnsi="Times New Roman"/>
          <w:sz w:val="20"/>
        </w:rPr>
        <w:t>” means the articles of association (</w:t>
      </w:r>
      <w:r>
        <w:rPr>
          <w:rFonts w:ascii="Times New Roman" w:hAnsi="Times New Roman"/>
          <w:i/>
          <w:sz w:val="20"/>
        </w:rPr>
        <w:t>Satzung</w:t>
      </w:r>
      <w:r>
        <w:rPr>
          <w:rFonts w:ascii="Times New Roman" w:hAnsi="Times New Roman"/>
          <w:sz w:val="20"/>
        </w:rPr>
        <w:t>) and bylaws (</w:t>
      </w:r>
      <w:r>
        <w:rPr>
          <w:rFonts w:ascii="Times New Roman" w:hAnsi="Times New Roman"/>
          <w:i/>
          <w:sz w:val="20"/>
        </w:rPr>
        <w:t>Geschäftsordnungen</w:t>
      </w:r>
      <w:r>
        <w:rPr>
          <w:rFonts w:ascii="Times New Roman" w:hAnsi="Times New Roman"/>
          <w:sz w:val="20"/>
        </w:rPr>
        <w:t xml:space="preserve">), or equivalent organizational documents, of the Buyer and its Subsidiaries as amended and in effect on the date of this Agreement. </w:t>
      </w:r>
    </w:p>
    <w:p>
      <w:pPr>
        <w:pStyle w:val="TextBody"/>
        <w:bidi w:val="0"/>
        <w:spacing w:before="240" w:after="0"/>
        <w:jc w:val="left"/>
        <w:rPr/>
      </w:pPr>
      <w:r>
        <w:rPr/>
        <w:t>“</w:t>
      </w:r>
      <w:r>
        <w:rPr>
          <w:rFonts w:ascii="Times New Roman" w:hAnsi="Times New Roman"/>
          <w:sz w:val="20"/>
          <w:u w:val="single"/>
        </w:rPr>
        <w:t>Buyer PSU</w:t>
      </w:r>
      <w:r>
        <w:rPr>
          <w:rFonts w:ascii="Times New Roman" w:hAnsi="Times New Roman"/>
          <w:sz w:val="20"/>
        </w:rPr>
        <w:t xml:space="preserve">”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 </w:t>
      </w:r>
    </w:p>
    <w:p>
      <w:pPr>
        <w:pStyle w:val="TextBody"/>
        <w:bidi w:val="0"/>
        <w:spacing w:before="240" w:after="0"/>
        <w:jc w:val="left"/>
        <w:rPr/>
      </w:pPr>
      <w:r>
        <w:rPr/>
        <w:t>“</w:t>
      </w:r>
      <w:r>
        <w:rPr>
          <w:rFonts w:ascii="Times New Roman" w:hAnsi="Times New Roman"/>
          <w:sz w:val="20"/>
          <w:u w:val="single"/>
        </w:rPr>
        <w:t>Buyer RSU</w:t>
      </w:r>
      <w:r>
        <w:rPr>
          <w:rFonts w:ascii="Times New Roman" w:hAnsi="Times New Roman"/>
          <w:sz w:val="20"/>
        </w:rPr>
        <w:t xml:space="preserve">” means a restricted stock unit issued by the Buyer pursuant to a Buyer Equity Plan that vests solely upon the continued service of the holder over a specified period of time, pursuant to which the holder has a right to receive Buyer ADSs upon the vesting of such unit. </w:t>
      </w:r>
    </w:p>
    <w:p>
      <w:pPr>
        <w:pStyle w:val="TextBody"/>
        <w:bidi w:val="0"/>
        <w:spacing w:before="240" w:after="0"/>
        <w:jc w:val="left"/>
        <w:rPr/>
      </w:pPr>
      <w:r>
        <w:rPr/>
        <w:t>“</w:t>
      </w:r>
      <w:r>
        <w:rPr>
          <w:rFonts w:ascii="Times New Roman" w:hAnsi="Times New Roman"/>
          <w:sz w:val="20"/>
          <w:u w:val="single"/>
        </w:rPr>
        <w:t>Buyer SEC Documents</w:t>
      </w:r>
      <w:r>
        <w:rPr>
          <w:rFonts w:ascii="Times New Roman" w:hAnsi="Times New Roman"/>
          <w:sz w:val="20"/>
        </w:rPr>
        <w:t xml:space="preserve">” shall have the meaning set forth in </w:t>
      </w:r>
      <w:r>
        <w:rPr>
          <w:rFonts w:ascii="Times New Roman" w:hAnsi="Times New Roman"/>
          <w:sz w:val="20"/>
          <w:u w:val="single"/>
        </w:rPr>
        <w:t>Section 4.06(a)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Buyer Shares</w:t>
      </w:r>
      <w:r>
        <w:rPr>
          <w:rFonts w:ascii="Times New Roman" w:hAnsi="Times New Roman"/>
          <w:sz w:val="20"/>
        </w:rPr>
        <w:t xml:space="preserve">” shall have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Buyer Termination Compensation</w:t>
      </w:r>
      <w:r>
        <w:rPr>
          <w:rFonts w:ascii="Times New Roman" w:hAnsi="Times New Roman"/>
          <w:sz w:val="20"/>
        </w:rPr>
        <w:t xml:space="preserve">” means an amount in cash equal to $62,500,000. </w:t>
      </w:r>
    </w:p>
    <w:p>
      <w:pPr>
        <w:pStyle w:val="TextBody"/>
        <w:bidi w:val="0"/>
        <w:spacing w:before="240" w:after="0"/>
        <w:jc w:val="left"/>
        <w:rPr/>
      </w:pPr>
      <w:r>
        <w:rPr/>
        <w:t>“</w:t>
      </w:r>
      <w:r>
        <w:rPr>
          <w:rFonts w:ascii="Times New Roman" w:hAnsi="Times New Roman"/>
          <w:sz w:val="20"/>
          <w:u w:val="single"/>
        </w:rPr>
        <w:t>Cancellation</w:t>
      </w:r>
      <w:r>
        <w:rPr>
          <w:rFonts w:ascii="Times New Roman" w:hAnsi="Times New Roman"/>
          <w:sz w:val="20"/>
        </w:rPr>
        <w:t>” means the cancellation (</w:t>
      </w:r>
      <w:r>
        <w:rPr>
          <w:rFonts w:ascii="Times New Roman" w:hAnsi="Times New Roman"/>
          <w:i/>
          <w:sz w:val="20"/>
        </w:rPr>
        <w:t>intrekking</w:t>
      </w:r>
      <w:r>
        <w:rPr>
          <w:rFonts w:ascii="Times New Roman" w:hAnsi="Times New Roman"/>
          <w:sz w:val="20"/>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hAnsi="Times New Roman"/>
          <w:sz w:val="20"/>
          <w:u w:val="single"/>
        </w:rPr>
        <w:t>Section 2.08(i)</w:t>
      </w:r>
      <w:r>
        <w:rPr>
          <w:rFonts w:ascii="Times New Roman" w:hAnsi="Times New Roman"/>
          <w:sz w:val="20"/>
        </w:rPr>
        <w:t xml:space="preserve"> (without interest and subject to withholding pursuant to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Cancellation Effective Time</w:t>
      </w:r>
      <w:r>
        <w:rPr>
          <w:rFonts w:ascii="Times New Roman" w:hAnsi="Times New Roman"/>
          <w:sz w:val="20"/>
        </w:rPr>
        <w:t xml:space="preserve">” means 00:30 CET on the Merger Effective Date. </w:t>
      </w:r>
    </w:p>
    <w:p>
      <w:pPr>
        <w:pStyle w:val="TextBody"/>
        <w:bidi w:val="0"/>
        <w:spacing w:before="240" w:after="0"/>
        <w:jc w:val="left"/>
        <w:rPr/>
      </w:pPr>
      <w:r>
        <w:rPr/>
        <w:t>“</w:t>
      </w:r>
      <w:r>
        <w:rPr>
          <w:rFonts w:ascii="Times New Roman" w:hAnsi="Times New Roman"/>
          <w:sz w:val="20"/>
          <w:u w:val="single"/>
        </w:rPr>
        <w:t>CET</w:t>
      </w:r>
      <w:r>
        <w:rPr>
          <w:rFonts w:ascii="Times New Roman" w:hAnsi="Times New Roman"/>
          <w:sz w:val="20"/>
        </w:rPr>
        <w:t xml:space="preserve">” means Central European Time (or Central European Summer Time, if the Legal Downstream Merger Deed is executed on a date when daylight savings time is in effect in The Netherlands) on the Merger Effective Date. </w:t>
      </w:r>
    </w:p>
    <w:p>
      <w:pPr>
        <w:pStyle w:val="TextBody"/>
        <w:bidi w:val="0"/>
        <w:spacing w:before="240" w:after="0"/>
        <w:jc w:val="left"/>
        <w:rPr/>
      </w:pPr>
      <w:r>
        <w:rPr/>
        <w:t>“</w:t>
      </w:r>
      <w:r>
        <w:rPr>
          <w:rFonts w:ascii="Times New Roman" w:hAnsi="Times New Roman"/>
          <w:sz w:val="20"/>
          <w:u w:val="single"/>
        </w:rPr>
        <w:t>Chosen Court</w:t>
      </w:r>
      <w:r>
        <w:rPr>
          <w:rFonts w:ascii="Times New Roman" w:hAnsi="Times New Roman"/>
          <w:sz w:val="20"/>
        </w:rPr>
        <w:t xml:space="preserve">” shall have the meaning set forth in </w:t>
      </w:r>
      <w:r>
        <w:rPr>
          <w:rFonts w:ascii="Times New Roman" w:hAnsi="Times New Roman"/>
          <w:sz w:val="20"/>
          <w:u w:val="single"/>
        </w:rPr>
        <w:t>Section 9.07(a)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shall have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shall have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United States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shall have the meaning set forth in </w:t>
      </w:r>
      <w:r>
        <w:rPr>
          <w:rFonts w:ascii="Times New Roman" w:hAnsi="Times New Roman"/>
          <w:sz w:val="20"/>
          <w:u w:val="single"/>
        </w:rPr>
        <w:t>Section 3.20(a)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Company Balance Sheet</w:t>
      </w:r>
      <w:r>
        <w:rPr>
          <w:rFonts w:ascii="Times New Roman" w:hAnsi="Times New Roman"/>
          <w:sz w:val="20"/>
        </w:rPr>
        <w:t xml:space="preserve">” means the consolidated balance sheet of the Company as of December 31, 2024, and the notes thereto set forth in the Form 20-F of the Company filed with the SEC on April 11, 2025. </w:t>
      </w:r>
    </w:p>
    <w:p>
      <w:pPr>
        <w:pStyle w:val="TextBody"/>
        <w:bidi w:val="0"/>
        <w:spacing w:before="240" w:after="0"/>
        <w:jc w:val="left"/>
        <w:rPr/>
      </w:pPr>
      <w:r>
        <w:rPr/>
        <w:t>“</w:t>
      </w:r>
      <w:r>
        <w:rPr>
          <w:rFonts w:ascii="Times New Roman" w:hAnsi="Times New Roman"/>
          <w:sz w:val="20"/>
          <w:u w:val="single"/>
        </w:rPr>
        <w:t>Company Boards</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Company Disclosure Documents</w:t>
      </w:r>
      <w:r>
        <w:rPr>
          <w:rFonts w:ascii="Times New Roman" w:hAnsi="Times New Roman"/>
          <w:sz w:val="20"/>
        </w:rPr>
        <w:t xml:space="preserve">” shall have the meaning set forth in </w:t>
      </w:r>
      <w:r>
        <w:rPr>
          <w:rFonts w:ascii="Times New Roman" w:hAnsi="Times New Roman"/>
          <w:sz w:val="20"/>
          <w:u w:val="single"/>
        </w:rPr>
        <w:t>Section 3.10(a)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PSUs, Company RSUs and Company Prior VSOP Awards. </w:t>
      </w:r>
    </w:p>
    <w:p>
      <w:pPr>
        <w:pStyle w:val="TextBody"/>
        <w:bidi w:val="0"/>
        <w:spacing w:before="240" w:after="0"/>
        <w:jc w:val="left"/>
        <w:rPr/>
      </w:pPr>
      <w:r>
        <w:rPr/>
        <w:t>“</w:t>
      </w:r>
      <w:r>
        <w:rPr>
          <w:rFonts w:ascii="Times New Roman" w:hAnsi="Times New Roman"/>
          <w:sz w:val="20"/>
          <w:u w:val="single"/>
        </w:rPr>
        <w:t>Company Equity Plan</w:t>
      </w:r>
      <w:r>
        <w:rPr>
          <w:rFonts w:ascii="Times New Roman" w:hAnsi="Times New Roman"/>
          <w:sz w:val="20"/>
        </w:rPr>
        <w:t xml:space="preserve">” means the Company’s Long-Term Incentive Plan (amended and restated as of March 14, 2024). </w:t>
      </w:r>
    </w:p>
    <w:p>
      <w:pPr>
        <w:pStyle w:val="TextBody"/>
        <w:bidi w:val="0"/>
        <w:spacing w:before="240" w:after="0"/>
        <w:jc w:val="left"/>
        <w:rPr/>
      </w:pPr>
      <w:r>
        <w:rPr/>
        <w:t>“</w:t>
      </w:r>
      <w:r>
        <w:rPr>
          <w:rFonts w:ascii="Times New Roman" w:hAnsi="Times New Roman"/>
          <w:sz w:val="20"/>
          <w:u w:val="single"/>
        </w:rPr>
        <w:t>Company Financial Advisor</w:t>
      </w:r>
      <w:r>
        <w:rPr>
          <w:rFonts w:ascii="Times New Roman" w:hAnsi="Times New Roman"/>
          <w:sz w:val="20"/>
        </w:rPr>
        <w:t xml:space="preserve">” shall have the meaning set forth in </w:t>
      </w:r>
      <w:r>
        <w:rPr>
          <w:rFonts w:ascii="Times New Roman" w:hAnsi="Times New Roman"/>
          <w:sz w:val="20"/>
          <w:u w:val="single"/>
        </w:rPr>
        <w:t>Section 3.23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Group</w:t>
      </w:r>
      <w:r>
        <w:rPr>
          <w:rFonts w:ascii="Times New Roman" w:hAnsi="Times New Roman"/>
          <w:sz w:val="20"/>
        </w:rPr>
        <w:t xml:space="preserve">” shall have the meaning set forth in </w:t>
      </w:r>
      <w:r>
        <w:rPr>
          <w:rFonts w:ascii="Times New Roman" w:hAnsi="Times New Roman"/>
          <w:sz w:val="20"/>
          <w:u w:val="single"/>
        </w:rPr>
        <w:t>Section 3.17(a)(i)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Intellectual Property Rights</w:t>
      </w:r>
      <w:r>
        <w:rPr>
          <w:rFonts w:ascii="Times New Roman" w:hAnsi="Times New Roman"/>
          <w:sz w:val="20"/>
        </w:rPr>
        <w:t xml:space="preserve">” shall mean all Intellectual Property Rights owned or purported to be owned (whether wholly or jointly with others) or controlled by, licensed or sublicensed to, or used or held for use by, any of the Company, its Subsidiaries, or its Affiliates. </w:t>
      </w:r>
    </w:p>
    <w:p>
      <w:pPr>
        <w:pStyle w:val="TextBody"/>
        <w:bidi w:val="0"/>
        <w:spacing w:before="240" w:after="0"/>
        <w:jc w:val="left"/>
        <w:rPr/>
      </w:pPr>
      <w:r>
        <w:rPr/>
        <w:t>“</w:t>
      </w:r>
      <w:r>
        <w:rPr>
          <w:rFonts w:ascii="Times New Roman" w:hAnsi="Times New Roman"/>
          <w:sz w:val="20"/>
          <w:u w:val="single"/>
        </w:rPr>
        <w:t>Company Leased Real Property</w:t>
      </w:r>
      <w:r>
        <w:rPr>
          <w:rFonts w:ascii="Times New Roman" w:hAnsi="Times New Roman"/>
          <w:sz w:val="20"/>
        </w:rPr>
        <w:t xml:space="preserve">” shall have the meaning set forth in </w:t>
      </w:r>
      <w:r>
        <w:rPr>
          <w:rFonts w:ascii="Times New Roman" w:hAnsi="Times New Roman"/>
          <w:sz w:val="20"/>
          <w:u w:val="single"/>
        </w:rPr>
        <w:t>Section 3.15(b)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Letter</w:t>
      </w:r>
      <w:r>
        <w:rPr>
          <w:rFonts w:ascii="Times New Roman" w:hAnsi="Times New Roman"/>
          <w:sz w:val="20"/>
        </w:rPr>
        <w:t xml:space="preserve">” means the letter, dated the date of this Agreement, regarding this Agreement that has been provided by the Company to Buyer concurrently with the execution of this Agreement.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(i) materially adversely affects, or would reasonably be expected to materially adversely affect, the business, assets, results of operations or condition (financial or otherwise) of the Company and its Subsidiaries, taken as a whole, or (ii) prevents or materially impairs the ability of the Company to consummate the Transactions; </w:t>
      </w:r>
      <w:r>
        <w:rPr>
          <w:rFonts w:ascii="Times New Roman" w:hAnsi="Times New Roman"/>
          <w:sz w:val="20"/>
          <w:u w:val="single"/>
        </w:rPr>
        <w:t>provided</w:t>
      </w:r>
      <w:r>
        <w:rPr>
          <w:rFonts w:ascii="Times New Roman" w:hAnsi="Times New Roman"/>
          <w:sz w:val="20"/>
        </w:rPr>
        <w:t xml:space="preserve">, that, subject to the next occurring proviso in this definition, no Effect relating to or arising after the date of this Agreement from any of the following shall be taken into account in determining whether there has been, or would reasonably be expected to be, a Company Material Adverse Effect pursuant to subsection (i) of this definition: (A) general economic conditions (or changes in such conditions) in Germany, the United States, The Netherlands or any other country or region in the world in which the Company or any of its Subsidiaries conduct business; (B) changes in any financial, debt, credit, capital, banking or securities markets or conditions in which the Company or any of its Subsidiaries conduct business; (C) 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the Company or its Subsidiaries operate; (F) any change in the market price, trading volume or ratings of any securities or indebtedness of the Company or any of its Subsidiaries, any change or prospective change of the ratings or the ratings outlook for the Company or any of its Subsidiaries by any applicable rating agency and the consequences of such ratings or outlook decrease, or the change in, or failure of the Company to meet, or the publication of any report regarding, any internal or public projections, forecasts, guidance, budgets, predictions or estimates of or relating to the Company or any of its Subsidiaries (it being understood that the underlying facts and circumstances giving rise to any such change or failure may, if they are not otherwise excluded from the definition of Company Material Adverse Effect, be deemed to constitute and may be taken into account in determining whether a Company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Buyer), including any disruption in supplier, distributor, customer, partner, licensing or similar relationships or any loss of employees, </w:t>
      </w:r>
      <w:r>
        <w:rPr>
          <w:rFonts w:ascii="Times New Roman" w:hAnsi="Times New Roman"/>
          <w:sz w:val="20"/>
          <w:u w:val="single"/>
        </w:rPr>
        <w:t>provided</w:t>
      </w:r>
      <w:r>
        <w:rPr>
          <w:rFonts w:ascii="Times New Roman" w:hAnsi="Times New Roman"/>
          <w:sz w:val="20"/>
        </w:rPr>
        <w:t xml:space="preserve">, that the exception in this clause (H) shall not apply for purposes of the representations and warranties in </w:t>
      </w:r>
      <w:r>
        <w:rPr>
          <w:rFonts w:ascii="Times New Roman" w:hAnsi="Times New Roman"/>
          <w:sz w:val="20"/>
          <w:u w:val="single"/>
        </w:rPr>
        <w:t>Section 3.04</w:t>
      </w:r>
      <w:r>
        <w:rPr>
          <w:rFonts w:ascii="Times New Roman" w:hAnsi="Times New Roman"/>
          <w:sz w:val="20"/>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the Company (whether on behalf of the Company or otherwise) asserting allegations of breach of fiduciary duty relating to this Agreement or violations of securities Laws in connection with the Company Disclosure Documents; (K) any action expressly required to be taken pursuant to this Agreement, or any action taken at the express written direction of Buyer; or (L) any ongoing litigation between the Company and Buyer, including any potential dismissal or mutually agreed settlement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w:t>
      </w:r>
      <w:r>
        <w:rPr>
          <w:rFonts w:ascii="Times New Roman" w:hAnsi="Times New Roman"/>
          <w:sz w:val="20"/>
          <w:u w:val="single"/>
        </w:rPr>
        <w:t>subclauses</w:t>
      </w:r>
      <w:r>
        <w:rPr>
          <w:rFonts w:ascii="Times New Roman" w:hAnsi="Times New Roman"/>
          <w:sz w:val="20"/>
        </w:rPr>
        <w:t> (</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if such Effect disproportionately affects the Company and its Subsidiaries, taken as a whole, compared to other companies operating in the same industry and market as the Company and its Subsidiaries, then, only such incremental disproportionate impact or impacts shall be taken into account in determining whether there has been, or would reasonably be expected to be, a Company Material Adverse Effect.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an option to acquire Company Shares granted by the Company pursuant to the Company Equity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Organizational Documents</w:t>
      </w:r>
      <w:r>
        <w:rPr>
          <w:rFonts w:ascii="Times New Roman" w:hAnsi="Times New Roman"/>
          <w:sz w:val="20"/>
        </w:rPr>
        <w:t>” means the articles of association (</w:t>
      </w:r>
      <w:r>
        <w:rPr>
          <w:rFonts w:ascii="Times New Roman" w:hAnsi="Times New Roman"/>
          <w:i/>
          <w:sz w:val="20"/>
        </w:rPr>
        <w:t>statuten</w:t>
      </w:r>
      <w:r>
        <w:rPr>
          <w:rFonts w:ascii="Times New Roman" w:hAnsi="Times New Roman"/>
          <w:sz w:val="20"/>
        </w:rPr>
        <w:t>) and bylaws (</w:t>
      </w:r>
      <w:r>
        <w:rPr>
          <w:rFonts w:ascii="Times New Roman" w:hAnsi="Times New Roman"/>
          <w:i/>
          <w:sz w:val="20"/>
        </w:rPr>
        <w:t>reglementen</w:t>
      </w:r>
      <w:r>
        <w:rPr>
          <w:rFonts w:ascii="Times New Roman" w:hAnsi="Times New Roman"/>
          <w:sz w:val="20"/>
        </w:rPr>
        <w:t xml:space="preserve">), or equivalent organizational documents, of the Company and its Subsidiaries as amended and in effect on the date of this Agreement. </w:t>
      </w:r>
    </w:p>
    <w:p>
      <w:pPr>
        <w:pStyle w:val="TextBody"/>
        <w:bidi w:val="0"/>
        <w:spacing w:before="240" w:after="0"/>
        <w:jc w:val="left"/>
        <w:rPr/>
      </w:pPr>
      <w:r>
        <w:rPr/>
        <w:t>“</w:t>
      </w:r>
      <w:r>
        <w:rPr>
          <w:rFonts w:ascii="Times New Roman" w:hAnsi="Times New Roman"/>
          <w:sz w:val="20"/>
          <w:u w:val="single"/>
        </w:rPr>
        <w:t>Company Owned Real Property</w:t>
      </w:r>
      <w:r>
        <w:rPr>
          <w:rFonts w:ascii="Times New Roman" w:hAnsi="Times New Roman"/>
          <w:sz w:val="20"/>
        </w:rPr>
        <w:t xml:space="preserve">” shall have the meaning set forth in </w:t>
      </w:r>
      <w:r>
        <w:rPr>
          <w:rFonts w:ascii="Times New Roman" w:hAnsi="Times New Roman"/>
          <w:sz w:val="20"/>
          <w:u w:val="single"/>
        </w:rPr>
        <w:t>Section 3.15(a)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Permits</w:t>
      </w:r>
      <w:r>
        <w:rPr>
          <w:rFonts w:ascii="Times New Roman" w:hAnsi="Times New Roman"/>
          <w:sz w:val="20"/>
        </w:rPr>
        <w:t xml:space="preserve">” shall have the meaning set forth in </w:t>
      </w:r>
      <w:r>
        <w:rPr>
          <w:rFonts w:ascii="Times New Roman" w:hAnsi="Times New Roman"/>
          <w:sz w:val="20"/>
          <w:u w:val="single"/>
        </w:rPr>
        <w:t>Section 3.13(b)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Plan</w:t>
      </w:r>
      <w:r>
        <w:rPr>
          <w:rFonts w:ascii="Times New Roman" w:hAnsi="Times New Roman"/>
          <w:sz w:val="20"/>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hAnsi="Times New Roman"/>
          <w:i/>
          <w:sz w:val="20"/>
        </w:rPr>
        <w:t>betriebliche Übungen</w:t>
      </w:r>
      <w:r>
        <w:rPr>
          <w:rFonts w:ascii="Times New Roman" w:hAnsi="Times New Roman"/>
          <w:sz w:val="20"/>
        </w:rPr>
        <w:t>) and general commitments (</w:t>
      </w:r>
      <w:r>
        <w:rPr>
          <w:rFonts w:ascii="Times New Roman" w:hAnsi="Times New Roman"/>
          <w:i/>
          <w:sz w:val="20"/>
        </w:rPr>
        <w:t>Gesamtzusagen</w:t>
      </w:r>
      <w:r>
        <w:rPr>
          <w:rFonts w:ascii="Times New Roman" w:hAnsi="Times New Roman"/>
          <w:sz w:val="20"/>
        </w:rPr>
        <w:t xml:space="preserve">))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 </w:t>
      </w:r>
    </w:p>
    <w:p>
      <w:pPr>
        <w:pStyle w:val="TextBody"/>
        <w:bidi w:val="0"/>
        <w:spacing w:before="240" w:after="0"/>
        <w:jc w:val="left"/>
        <w:rPr/>
      </w:pPr>
      <w:r>
        <w:rPr/>
        <w:t>“</w:t>
      </w:r>
      <w:r>
        <w:rPr>
          <w:rFonts w:ascii="Times New Roman" w:hAnsi="Times New Roman"/>
          <w:sz w:val="20"/>
          <w:u w:val="single"/>
        </w:rPr>
        <w:t>Company Plan List</w:t>
      </w:r>
      <w:r>
        <w:rPr>
          <w:rFonts w:ascii="Times New Roman" w:hAnsi="Times New Roman"/>
          <w:sz w:val="20"/>
        </w:rPr>
        <w:t xml:space="preserve">” shall have the meaning set forth in </w:t>
      </w:r>
      <w:r>
        <w:rPr>
          <w:rFonts w:ascii="Times New Roman" w:hAnsi="Times New Roman"/>
          <w:sz w:val="20"/>
          <w:u w:val="single"/>
        </w:rPr>
        <w:t>Section 3.19(a)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Prior VSOP Awards</w:t>
      </w:r>
      <w:r>
        <w:rPr>
          <w:rFonts w:ascii="Times New Roman" w:hAnsi="Times New Roman"/>
          <w:sz w:val="20"/>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hAnsi="Times New Roman"/>
          <w:sz w:val="20"/>
          <w:u w:val="single"/>
        </w:rPr>
        <w:t>Contributing Shareholders</w:t>
      </w:r>
      <w:r>
        <w:rPr>
          <w:rFonts w:ascii="Times New Roman" w:hAnsi="Times New Roman"/>
          <w:sz w:val="20"/>
        </w:rPr>
        <w:t xml:space="preserve">”) have agreed to transfer the requisite number of Company Shares to the Company, thereby enabling the Company to satisfy any claims of the beneficiaries arising under the Company Prior VSOP Awards.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 </w:t>
      </w:r>
    </w:p>
    <w:p>
      <w:pPr>
        <w:pStyle w:val="TextBody"/>
        <w:bidi w:val="0"/>
        <w:spacing w:before="240" w:after="0"/>
        <w:jc w:val="left"/>
        <w:rPr/>
      </w:pPr>
      <w:r>
        <w:rPr/>
        <w:t>“</w:t>
      </w:r>
      <w:r>
        <w:rPr>
          <w:rFonts w:ascii="Times New Roman" w:hAnsi="Times New Roman"/>
          <w:sz w:val="20"/>
          <w:u w:val="single"/>
        </w:rPr>
        <w:t>Company Real Property</w:t>
      </w:r>
      <w:r>
        <w:rPr>
          <w:rFonts w:ascii="Times New Roman" w:hAnsi="Times New Roman"/>
          <w:sz w:val="20"/>
        </w:rPr>
        <w:t xml:space="preserve">” means the Company Owned Real Property and the Company Leased Real Property. </w:t>
      </w:r>
    </w:p>
    <w:p>
      <w:pPr>
        <w:pStyle w:val="TextBody"/>
        <w:bidi w:val="0"/>
        <w:spacing w:before="240" w:after="0"/>
        <w:jc w:val="left"/>
        <w:rPr/>
      </w:pPr>
      <w:r>
        <w:rPr/>
        <w:t>“</w:t>
      </w:r>
      <w:r>
        <w:rPr>
          <w:rFonts w:ascii="Times New Roman" w:hAnsi="Times New Roman"/>
          <w:sz w:val="20"/>
          <w:u w:val="single"/>
        </w:rPr>
        <w:t>Company Real Property Leases</w:t>
      </w:r>
      <w:r>
        <w:rPr>
          <w:rFonts w:ascii="Times New Roman" w:hAnsi="Times New Roman"/>
          <w:sz w:val="20"/>
        </w:rPr>
        <w:t xml:space="preserve">” shall have the meaning set forth in </w:t>
      </w:r>
      <w:r>
        <w:rPr>
          <w:rFonts w:ascii="Times New Roman" w:hAnsi="Times New Roman"/>
          <w:sz w:val="20"/>
          <w:u w:val="single"/>
        </w:rPr>
        <w:t>Section 3.15(b)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Recommendation</w:t>
      </w:r>
      <w:r>
        <w:rPr>
          <w:rFonts w:ascii="Times New Roman" w:hAnsi="Times New Roman"/>
          <w:sz w:val="20"/>
        </w:rPr>
        <w:t xml:space="preserve">” shall have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Registered IP</w:t>
      </w:r>
      <w:r>
        <w:rPr>
          <w:rFonts w:ascii="Times New Roman" w:hAnsi="Times New Roman"/>
          <w:sz w:val="20"/>
        </w:rPr>
        <w:t xml:space="preserve">”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 </w:t>
      </w:r>
    </w:p>
    <w:p>
      <w:pPr>
        <w:pStyle w:val="TextBody"/>
        <w:bidi w:val="0"/>
        <w:spacing w:before="240" w:after="0"/>
        <w:jc w:val="left"/>
        <w:rPr/>
      </w:pPr>
      <w:r>
        <w:rPr/>
        <w:t>“</w:t>
      </w:r>
      <w:r>
        <w:rPr>
          <w:rFonts w:ascii="Times New Roman" w:hAnsi="Times New Roman"/>
          <w:sz w:val="20"/>
          <w:u w:val="single"/>
        </w:rPr>
        <w:t>Company SEC Documents</w:t>
      </w:r>
      <w:r>
        <w:rPr>
          <w:rFonts w:ascii="Times New Roman" w:hAnsi="Times New Roman"/>
          <w:sz w:val="20"/>
        </w:rPr>
        <w:t xml:space="preserve">” shall have the meaning set forth in </w:t>
      </w:r>
      <w:r>
        <w:rPr>
          <w:rFonts w:ascii="Times New Roman" w:hAnsi="Times New Roman"/>
          <w:sz w:val="20"/>
          <w:u w:val="single"/>
        </w:rPr>
        <w:t>Section 3.07(a)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Securities</w:t>
      </w:r>
      <w:r>
        <w:rPr>
          <w:rFonts w:ascii="Times New Roman" w:hAnsi="Times New Roman"/>
          <w:sz w:val="20"/>
        </w:rPr>
        <w:t xml:space="preserve">” shall have the meaning set forth in </w:t>
      </w:r>
      <w:r>
        <w:rPr>
          <w:rFonts w:ascii="Times New Roman" w:hAnsi="Times New Roman"/>
          <w:sz w:val="20"/>
          <w:u w:val="single"/>
        </w:rPr>
        <w:t>Section 3.05(c)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Service Provider</w:t>
      </w:r>
      <w:r>
        <w:rPr>
          <w:rFonts w:ascii="Times New Roman" w:hAnsi="Times New Roman"/>
          <w:sz w:val="20"/>
        </w:rPr>
        <w:t xml:space="preserve">” means an employee, individual consultant, individual independent contractor, individual self-employed contractor, leased or temporary employee or director of the Company or any of its Subsidiaries. </w:t>
      </w:r>
    </w:p>
    <w:p>
      <w:pPr>
        <w:pStyle w:val="TextBody"/>
        <w:bidi w:val="0"/>
        <w:spacing w:before="240" w:after="0"/>
        <w:jc w:val="left"/>
        <w:rPr/>
      </w:pPr>
      <w:r>
        <w:rPr/>
        <w:t>“</w:t>
      </w:r>
      <w:r>
        <w:rPr>
          <w:rFonts w:ascii="Times New Roman" w:hAnsi="Times New Roman"/>
          <w:sz w:val="20"/>
          <w:u w:val="single"/>
        </w:rPr>
        <w:t>Company Shares</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Company Subsidiary Securities</w:t>
      </w:r>
      <w:r>
        <w:rPr>
          <w:rFonts w:ascii="Times New Roman" w:hAnsi="Times New Roman"/>
          <w:sz w:val="20"/>
        </w:rPr>
        <w:t xml:space="preserve">” shall have the meaning set forth in </w:t>
      </w:r>
      <w:r>
        <w:rPr>
          <w:rFonts w:ascii="Times New Roman" w:hAnsi="Times New Roman"/>
          <w:sz w:val="20"/>
          <w:u w:val="single"/>
        </w:rPr>
        <w:t>Section 3.06(b)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Termination Compensation</w:t>
      </w:r>
      <w:r>
        <w:rPr>
          <w:rFonts w:ascii="Times New Roman" w:hAnsi="Times New Roman"/>
          <w:sz w:val="20"/>
        </w:rPr>
        <w:t xml:space="preserve">” means an amount in cash equal to $43,750,000. </w:t>
      </w:r>
    </w:p>
    <w:p>
      <w:pPr>
        <w:pStyle w:val="TextBody"/>
        <w:bidi w:val="0"/>
        <w:spacing w:before="240" w:after="0"/>
        <w:jc w:val="left"/>
        <w:rPr/>
      </w:pPr>
      <w:r>
        <w:rPr/>
        <w:t>“</w:t>
      </w:r>
      <w:r>
        <w:rPr>
          <w:rFonts w:ascii="Times New Roman" w:hAnsi="Times New Roman"/>
          <w:sz w:val="20"/>
          <w:u w:val="single"/>
        </w:rPr>
        <w:t>Company Third Party</w:t>
      </w:r>
      <w:r>
        <w:rPr>
          <w:rFonts w:ascii="Times New Roman" w:hAnsi="Times New Roman"/>
          <w:sz w:val="20"/>
        </w:rPr>
        <w:t xml:space="preserve">” shall have the meaning set forth in the definition of “Alternative Acquisition Proposal.” </w:t>
      </w:r>
    </w:p>
    <w:p>
      <w:pPr>
        <w:pStyle w:val="TextBody"/>
        <w:bidi w:val="0"/>
        <w:spacing w:before="240" w:after="0"/>
        <w:jc w:val="left"/>
        <w:rPr/>
      </w:pPr>
      <w:r>
        <w:rPr/>
        <w:t>“</w:t>
      </w:r>
      <w:r>
        <w:rPr>
          <w:rFonts w:ascii="Times New Roman" w:hAnsi="Times New Roman"/>
          <w:sz w:val="20"/>
          <w:u w:val="single"/>
        </w:rPr>
        <w:t>Company Value Per Share</w:t>
      </w:r>
      <w:r>
        <w:rPr>
          <w:rFonts w:ascii="Times New Roman" w:hAnsi="Times New Roman"/>
          <w:sz w:val="20"/>
        </w:rPr>
        <w:t xml:space="preserve">” means Buyer ADS VWAP multiplied by the Exchange Ratio. </w:t>
      </w:r>
    </w:p>
    <w:p>
      <w:pPr>
        <w:pStyle w:val="TextBody"/>
        <w:bidi w:val="0"/>
        <w:spacing w:before="240" w:after="0"/>
        <w:jc w:val="left"/>
        <w:rPr/>
      </w:pPr>
      <w:r>
        <w:rPr/>
        <w:t>“</w:t>
      </w:r>
      <w:r>
        <w:rPr>
          <w:rFonts w:ascii="Times New Roman" w:hAnsi="Times New Roman"/>
          <w:sz w:val="20"/>
          <w:u w:val="single"/>
        </w:rPr>
        <w:t>Compensation Committee</w:t>
      </w:r>
      <w:r>
        <w:rPr>
          <w:rFonts w:ascii="Times New Roman" w:hAnsi="Times New Roman"/>
          <w:sz w:val="20"/>
        </w:rPr>
        <w:t xml:space="preserve">” means the compensation committee established by the Supervisory Board. </w:t>
      </w:r>
    </w:p>
    <w:p>
      <w:pPr>
        <w:pStyle w:val="TextBody"/>
        <w:bidi w:val="0"/>
        <w:spacing w:before="240" w:after="0"/>
        <w:jc w:val="left"/>
        <w:rPr/>
      </w:pPr>
      <w:r>
        <w:rPr/>
        <w:t>“</w:t>
      </w:r>
      <w:r>
        <w:rPr>
          <w:rFonts w:ascii="Times New Roman" w:hAnsi="Times New Roman"/>
          <w:sz w:val="20"/>
          <w:u w:val="single"/>
        </w:rPr>
        <w:t>Confidentiality Agreements</w:t>
      </w:r>
      <w:r>
        <w:rPr>
          <w:rFonts w:ascii="Times New Roman" w:hAnsi="Times New Roman"/>
          <w:sz w:val="20"/>
        </w:rPr>
        <w:t xml:space="preserve">” shall have the meaning set forth in </w:t>
      </w:r>
      <w:r>
        <w:rPr>
          <w:rFonts w:ascii="Times New Roman" w:hAnsi="Times New Roman"/>
          <w:sz w:val="20"/>
          <w:u w:val="single"/>
        </w:rPr>
        <w:t>Section 5.02(b)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Continuing Employee</w:t>
      </w:r>
      <w:r>
        <w:rPr>
          <w:rFonts w:ascii="Times New Roman" w:hAnsi="Times New Roman"/>
          <w:sz w:val="20"/>
        </w:rPr>
        <w:t xml:space="preserve">” shall have the meaning set forth in </w:t>
      </w:r>
      <w:r>
        <w:rPr>
          <w:rFonts w:ascii="Times New Roman" w:hAnsi="Times New Roman"/>
          <w:sz w:val="20"/>
          <w:u w:val="single"/>
        </w:rPr>
        <w:t>Section 6.02(a)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 </w:t>
      </w:r>
    </w:p>
    <w:p>
      <w:pPr>
        <w:pStyle w:val="TextBody"/>
        <w:bidi w:val="0"/>
        <w:spacing w:before="240" w:after="0"/>
        <w:jc w:val="left"/>
        <w:rPr/>
      </w:pPr>
      <w:r>
        <w:rPr/>
        <w:t>“</w:t>
      </w:r>
      <w:r>
        <w:rPr>
          <w:rFonts w:ascii="Times New Roman" w:hAnsi="Times New Roman"/>
          <w:sz w:val="20"/>
          <w:u w:val="single"/>
        </w:rPr>
        <w:t>Contributing Shareholders</w:t>
      </w:r>
      <w:r>
        <w:rPr>
          <w:rFonts w:ascii="Times New Roman" w:hAnsi="Times New Roman"/>
          <w:sz w:val="20"/>
        </w:rPr>
        <w:t xml:space="preserve">” shall have the meaning set forth in the definition of “Company Prior VSOP Awards.” </w:t>
      </w:r>
    </w:p>
    <w:p>
      <w:pPr>
        <w:pStyle w:val="TextBody"/>
        <w:bidi w:val="0"/>
        <w:spacing w:before="240" w:after="0"/>
        <w:jc w:val="left"/>
        <w:rPr/>
      </w:pPr>
      <w:r>
        <w:rPr/>
        <w:t>“</w:t>
      </w:r>
      <w:r>
        <w:rPr>
          <w:rFonts w:ascii="Times New Roman" w:hAnsi="Times New Roman"/>
          <w:sz w:val="20"/>
          <w:u w:val="single"/>
        </w:rPr>
        <w:t>Copyright</w:t>
      </w:r>
      <w:r>
        <w:rPr>
          <w:rFonts w:ascii="Times New Roman" w:hAnsi="Times New Roman"/>
          <w:sz w:val="20"/>
        </w:rPr>
        <w:t xml:space="preserve">” shall have the meaning set forth in the definition of “Intellectual Property Rights.” </w:t>
      </w:r>
    </w:p>
    <w:p>
      <w:pPr>
        <w:pStyle w:val="TextBody"/>
        <w:bidi w:val="0"/>
        <w:spacing w:before="240" w:after="0"/>
        <w:jc w:val="left"/>
        <w:rPr/>
      </w:pPr>
      <w:r>
        <w:rPr/>
        <w:t>“</w:t>
      </w:r>
      <w:r>
        <w:rPr>
          <w:rFonts w:ascii="Times New Roman" w:hAnsi="Times New Roman"/>
          <w:sz w:val="20"/>
          <w:u w:val="single"/>
        </w:rPr>
        <w:t>Covered Securityholders</w:t>
      </w:r>
      <w:r>
        <w:rPr>
          <w:rFonts w:ascii="Times New Roman" w:hAnsi="Times New Roman"/>
          <w:sz w:val="20"/>
        </w:rPr>
        <w:t xml:space="preserve">” shall have the meaning set forth in </w:t>
      </w:r>
      <w:r>
        <w:rPr>
          <w:rFonts w:ascii="Times New Roman" w:hAnsi="Times New Roman"/>
          <w:sz w:val="20"/>
          <w:u w:val="single"/>
        </w:rPr>
        <w:t>Section 3.29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Room</w:t>
      </w:r>
      <w:r>
        <w:rPr>
          <w:rFonts w:ascii="Times New Roman" w:hAnsi="Times New Roman"/>
          <w:sz w:val="20"/>
        </w:rPr>
        <w:t xml:space="preserve">” means the electronic data room maintained by Brainloop Dataroom System in connection with the transactions contemplated by this Agreement. </w:t>
      </w:r>
    </w:p>
    <w:p>
      <w:pPr>
        <w:pStyle w:val="TextBody"/>
        <w:bidi w:val="0"/>
        <w:spacing w:before="240" w:after="0"/>
        <w:jc w:val="left"/>
        <w:rPr/>
      </w:pPr>
      <w:r>
        <w:rPr/>
        <w:t>“</w:t>
      </w:r>
      <w:r>
        <w:rPr>
          <w:rFonts w:ascii="Times New Roman" w:hAnsi="Times New Roman"/>
          <w:sz w:val="20"/>
          <w:u w:val="single"/>
        </w:rPr>
        <w:t>DCC</w:t>
      </w:r>
      <w:r>
        <w:rPr>
          <w:rFonts w:ascii="Times New Roman" w:hAnsi="Times New Roman"/>
          <w:sz w:val="20"/>
        </w:rPr>
        <w:t>” means the Dutch Civil Code (</w:t>
      </w:r>
      <w:r>
        <w:rPr>
          <w:rFonts w:ascii="Times New Roman" w:hAnsi="Times New Roman"/>
          <w:i/>
          <w:sz w:val="20"/>
        </w:rPr>
        <w:t>Burgerlijk Wetboek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Depositary Agent</w:t>
      </w:r>
      <w:r>
        <w:rPr>
          <w:rFonts w:ascii="Times New Roman" w:hAnsi="Times New Roman"/>
          <w:sz w:val="20"/>
        </w:rPr>
        <w:t xml:space="preserve">” means The Bank of New York Mellon. </w:t>
      </w:r>
    </w:p>
    <w:p>
      <w:pPr>
        <w:pStyle w:val="TextBody"/>
        <w:bidi w:val="0"/>
        <w:spacing w:before="240" w:after="0"/>
        <w:jc w:val="left"/>
        <w:rPr/>
      </w:pPr>
      <w:r>
        <w:rPr/>
        <w:t>“</w:t>
      </w:r>
      <w:r>
        <w:rPr>
          <w:rFonts w:ascii="Times New Roman" w:hAnsi="Times New Roman"/>
          <w:sz w:val="20"/>
          <w:u w:val="single"/>
        </w:rPr>
        <w:t>dievini</w:t>
      </w:r>
      <w:r>
        <w:rPr>
          <w:rFonts w:ascii="Times New Roman" w:hAnsi="Times New Roman"/>
          <w:sz w:val="20"/>
        </w:rPr>
        <w:t xml:space="preserve">” means dievini Hopp BioTech holding GmbH &amp; Co. KG, (ii) DH-LT-Investments GmbH, (iii) Zweite DH Verwaltungs GmbH and (iv) DH-Assets GmbH &amp; Co. KG. </w:t>
      </w:r>
    </w:p>
    <w:p>
      <w:pPr>
        <w:pStyle w:val="TextBody"/>
        <w:bidi w:val="0"/>
        <w:spacing w:before="240" w:after="0"/>
        <w:jc w:val="left"/>
        <w:rPr/>
      </w:pPr>
      <w:r>
        <w:rPr/>
        <w:t>“</w:t>
      </w:r>
      <w:r>
        <w:rPr>
          <w:rFonts w:ascii="Times New Roman" w:hAnsi="Times New Roman"/>
          <w:sz w:val="20"/>
          <w:u w:val="single"/>
        </w:rPr>
        <w:t>Discharge Resolutions</w:t>
      </w:r>
      <w:r>
        <w:rPr>
          <w:rFonts w:ascii="Times New Roman" w:hAnsi="Times New Roman"/>
          <w:sz w:val="20"/>
        </w:rPr>
        <w:t xml:space="preserve">” shall have the meaning set forth in </w:t>
      </w:r>
      <w:r>
        <w:rPr>
          <w:rFonts w:ascii="Times New Roman" w:hAnsi="Times New Roman"/>
          <w:sz w:val="20"/>
          <w:u w:val="single"/>
        </w:rPr>
        <w:t>Section 2.04(a)(iii)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w:t>
      </w:r>
      <w:r>
        <w:rPr>
          <w:rFonts w:ascii="Times New Roman" w:hAnsi="Times New Roman"/>
          <w:sz w:val="20"/>
        </w:rPr>
        <w:t xml:space="preserve">” shall have the meaning set forth in </w:t>
      </w:r>
      <w:r>
        <w:rPr>
          <w:rFonts w:ascii="Times New Roman" w:hAnsi="Times New Roman"/>
          <w:sz w:val="20"/>
          <w:u w:val="single"/>
        </w:rPr>
        <w:t>Section 9.07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Economic Sanctions/Trade Laws</w:t>
      </w:r>
      <w:r>
        <w:rPr>
          <w:rFonts w:ascii="Times New Roman" w:hAnsi="Times New Roman"/>
          <w:sz w:val="20"/>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hAnsi="Times New Roman"/>
          <w:sz w:val="20"/>
          <w:u w:val="single"/>
        </w:rPr>
        <w:t>OFAC</w:t>
      </w:r>
      <w:r>
        <w:rPr>
          <w:rFonts w:ascii="Times New Roman" w:hAnsi="Times New Roman"/>
          <w:sz w:val="20"/>
        </w:rPr>
        <w:t xml:space="preserve">”),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 </w:t>
      </w:r>
    </w:p>
    <w:p>
      <w:pPr>
        <w:pStyle w:val="TextBody"/>
        <w:bidi w:val="0"/>
        <w:spacing w:before="240" w:after="0"/>
        <w:jc w:val="left"/>
        <w:rPr/>
      </w:pPr>
      <w:r>
        <w:rPr/>
        <w:t>“</w:t>
      </w:r>
      <w:r>
        <w:rPr>
          <w:rFonts w:ascii="Times New Roman" w:hAnsi="Times New Roman"/>
          <w:sz w:val="20"/>
          <w:u w:val="single"/>
        </w:rPr>
        <w:t>EGM</w:t>
      </w:r>
      <w:r>
        <w:rPr>
          <w:rFonts w:ascii="Times New Roman" w:hAnsi="Times New Roman"/>
          <w:sz w:val="20"/>
        </w:rPr>
        <w:t xml:space="preserve">” shall have the meaning set forth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EGM Materials</w:t>
      </w:r>
      <w:r>
        <w:rPr>
          <w:rFonts w:ascii="Times New Roman" w:hAnsi="Times New Roman"/>
          <w:sz w:val="20"/>
        </w:rPr>
        <w:t xml:space="preserve">” shall have the meaning set forth in </w:t>
      </w:r>
      <w:r>
        <w:rPr>
          <w:rFonts w:ascii="Times New Roman" w:hAnsi="Times New Roman"/>
          <w:sz w:val="20"/>
          <w:u w:val="single"/>
        </w:rPr>
        <w:t>Section 2.04(b)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Electronic Delivery</w:t>
      </w:r>
      <w:r>
        <w:rPr>
          <w:rFonts w:ascii="Times New Roman" w:hAnsi="Times New Roman"/>
          <w:sz w:val="20"/>
        </w:rPr>
        <w:t xml:space="preserve">” shall have the meaning set forth in </w:t>
      </w:r>
      <w:r>
        <w:rPr>
          <w:rFonts w:ascii="Times New Roman" w:hAnsi="Times New Roman"/>
          <w:sz w:val="20"/>
          <w:u w:val="single"/>
        </w:rPr>
        <w:t>Section 9.08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Employment Compensation Arrangement</w:t>
      </w:r>
      <w:r>
        <w:rPr>
          <w:rFonts w:ascii="Times New Roman" w:hAnsi="Times New Roman"/>
          <w:sz w:val="20"/>
        </w:rPr>
        <w:t xml:space="preserve">” shall have the meaning set forth in </w:t>
      </w:r>
      <w:r>
        <w:rPr>
          <w:rFonts w:ascii="Times New Roman" w:hAnsi="Times New Roman"/>
          <w:sz w:val="20"/>
          <w:u w:val="single"/>
        </w:rPr>
        <w:t>Section 3.29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Employment Practices</w:t>
      </w:r>
      <w:r>
        <w:rPr>
          <w:rFonts w:ascii="Times New Roman" w:hAnsi="Times New Roman"/>
          <w:sz w:val="20"/>
        </w:rPr>
        <w:t xml:space="preserve">” shall have the meaning set forth in </w:t>
      </w:r>
      <w:r>
        <w:rPr>
          <w:rFonts w:ascii="Times New Roman" w:hAnsi="Times New Roman"/>
          <w:sz w:val="20"/>
          <w:u w:val="single"/>
        </w:rPr>
        <w:t>Section 3.20(b)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End Date</w:t>
      </w:r>
      <w:r>
        <w:rPr>
          <w:rFonts w:ascii="Times New Roman" w:hAnsi="Times New Roman"/>
          <w:sz w:val="20"/>
        </w:rPr>
        <w:t xml:space="preserve">” shall have the meaning set forth in </w:t>
      </w:r>
      <w:r>
        <w:rPr>
          <w:rFonts w:ascii="Times New Roman" w:hAnsi="Times New Roman"/>
          <w:sz w:val="20"/>
          <w:u w:val="single"/>
        </w:rPr>
        <w:t>Section 8.01(b)(i)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Enforceability Exceptions</w:t>
      </w:r>
      <w:r>
        <w:rPr>
          <w:rFonts w:ascii="Times New Roman" w:hAnsi="Times New Roman"/>
          <w:sz w:val="20"/>
        </w:rPr>
        <w:t xml:space="preserve">”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 </w:t>
      </w:r>
    </w:p>
    <w:p>
      <w:pPr>
        <w:pStyle w:val="TextBody"/>
        <w:bidi w:val="0"/>
        <w:spacing w:before="240" w:after="0"/>
        <w:jc w:val="left"/>
        <w:rPr/>
      </w:pPr>
      <w:r>
        <w:rPr/>
        <w:t>“</w:t>
      </w:r>
      <w:r>
        <w:rPr>
          <w:rFonts w:ascii="Times New Roman" w:hAnsi="Times New Roman"/>
          <w:sz w:val="20"/>
          <w:u w:val="single"/>
        </w:rPr>
        <w:t>Environmental Liabilities</w:t>
      </w:r>
      <w:r>
        <w:rPr>
          <w:rFonts w:ascii="Times New Roman" w:hAnsi="Times New Roman"/>
          <w:sz w:val="20"/>
        </w:rPr>
        <w:t xml:space="preserve">”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United States Employee Retirement Income Security Act of 1974,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ERISA Affiliate</w:t>
      </w:r>
      <w:r>
        <w:rPr>
          <w:rFonts w:ascii="Times New Roman" w:hAnsi="Times New Roman"/>
          <w:sz w:val="20"/>
        </w:rPr>
        <w:t xml:space="preserve">” means any employer (whether or not incorporated) that would be treated together with any Party or any of its Subsidiaries as a single employer within the meaning of Section 414 of the Code. </w:t>
      </w:r>
    </w:p>
    <w:p>
      <w:pPr>
        <w:pStyle w:val="TextBody"/>
        <w:bidi w:val="0"/>
        <w:spacing w:before="240" w:after="0"/>
        <w:jc w:val="left"/>
        <w:rPr/>
      </w:pPr>
      <w:r>
        <w:rPr/>
        <w:t>“</w:t>
      </w:r>
      <w:r>
        <w:rPr>
          <w:rFonts w:ascii="Times New Roman" w:hAnsi="Times New Roman"/>
          <w:sz w:val="20"/>
          <w:u w:val="single"/>
        </w:rPr>
        <w:t>EU Prospectus</w:t>
      </w:r>
      <w:r>
        <w:rPr>
          <w:rFonts w:ascii="Times New Roman" w:hAnsi="Times New Roman"/>
          <w:sz w:val="20"/>
        </w:rPr>
        <w:t xml:space="preserve">” means the securities prospectus that will be prepared by Buyer in accordance with the EU Prospectus Regulation which pertains to the public offering of the ADS and will receive approval from BaFin prior to its publication. </w:t>
      </w:r>
    </w:p>
    <w:p>
      <w:pPr>
        <w:pStyle w:val="TextBody"/>
        <w:bidi w:val="0"/>
        <w:spacing w:before="240" w:after="0"/>
        <w:jc w:val="left"/>
        <w:rPr/>
      </w:pPr>
      <w:r>
        <w:rPr/>
        <w:t>“</w:t>
      </w:r>
      <w:r>
        <w:rPr>
          <w:rFonts w:ascii="Times New Roman" w:hAnsi="Times New Roman"/>
          <w:sz w:val="20"/>
          <w:u w:val="single"/>
        </w:rPr>
        <w:t>EU Prospectus Regulation</w:t>
      </w:r>
      <w:r>
        <w:rPr>
          <w:rFonts w:ascii="Times New Roman" w:hAnsi="Times New Roman"/>
          <w:sz w:val="20"/>
        </w:rPr>
        <w:t xml:space="preserve">” means Council Regulation 2017/1129 of the European Union, as amended. </w:t>
      </w:r>
    </w:p>
    <w:p>
      <w:pPr>
        <w:pStyle w:val="TextBody"/>
        <w:bidi w:val="0"/>
        <w:spacing w:before="240" w:after="0"/>
        <w:jc w:val="left"/>
        <w:rPr/>
      </w:pPr>
      <w:r>
        <w:rPr/>
        <w:t>“</w:t>
      </w:r>
      <w:r>
        <w:rPr>
          <w:rFonts w:ascii="Times New Roman" w:hAnsi="Times New Roman"/>
          <w:sz w:val="20"/>
          <w:u w:val="single"/>
        </w:rPr>
        <w:t>Exchange Agent</w:t>
      </w:r>
      <w:r>
        <w:rPr>
          <w:rFonts w:ascii="Times New Roman" w:hAnsi="Times New Roman"/>
          <w:sz w:val="20"/>
        </w:rPr>
        <w:t xml:space="preserve">” has the meaning set forth in </w:t>
      </w:r>
      <w:r>
        <w:rPr>
          <w:rFonts w:ascii="Times New Roman" w:hAnsi="Times New Roman"/>
          <w:sz w:val="20"/>
          <w:u w:val="single"/>
        </w:rPr>
        <w:t>Section 2.08(a)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Agent Agreement</w:t>
      </w:r>
      <w:r>
        <w:rPr>
          <w:rFonts w:ascii="Times New Roman" w:hAnsi="Times New Roman"/>
          <w:sz w:val="20"/>
        </w:rPr>
        <w:t xml:space="preserve">” has the meaning set forth in </w:t>
      </w:r>
      <w:r>
        <w:rPr>
          <w:rFonts w:ascii="Times New Roman" w:hAnsi="Times New Roman"/>
          <w:sz w:val="20"/>
          <w:u w:val="single"/>
        </w:rPr>
        <w:t>Section 2.08(a)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Rate</w:t>
      </w:r>
      <w:r>
        <w:rPr>
          <w:rFonts w:ascii="Times New Roman" w:hAnsi="Times New Roman"/>
          <w:sz w:val="20"/>
        </w:rPr>
        <w:t xml:space="preserve">” has the meaning set forth in Section 1.02.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quotient (rounded to five decimal places) obtained by dividing (i) $5.4641 by (ii) the Buyer ADS VWAP,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if the Buyer ADS VWAP is greater than or equal to $126.55, then the Exchange Ratio shall be equal to 0.04318, and (ii) if the Buyer ADS VWAP is less than or equal to $84.37 then the Exchange Ratio shall be equal to 0.06476. </w:t>
      </w:r>
    </w:p>
    <w:p>
      <w:pPr>
        <w:pStyle w:val="TextBody"/>
        <w:bidi w:val="0"/>
        <w:spacing w:before="240" w:after="0"/>
        <w:jc w:val="left"/>
        <w:rPr/>
      </w:pPr>
      <w:r>
        <w:rPr/>
        <w:t>“</w:t>
      </w:r>
      <w:r>
        <w:rPr>
          <w:rFonts w:ascii="Times New Roman" w:hAnsi="Times New Roman"/>
          <w:sz w:val="20"/>
          <w:u w:val="single"/>
        </w:rPr>
        <w:t>Excluded Transactions</w:t>
      </w:r>
      <w:r>
        <w:rPr>
          <w:rFonts w:ascii="Times New Roman" w:hAnsi="Times New Roman"/>
          <w:sz w:val="20"/>
        </w:rPr>
        <w:t xml:space="preserve">” means (i) the transactions contemplated by the Tender and Support Agreements and (ii) the transactions which require the approval of the Independent Directors pursuant to </w:t>
      </w:r>
      <w:r>
        <w:rPr>
          <w:rFonts w:ascii="Times New Roman" w:hAnsi="Times New Roman"/>
          <w:sz w:val="20"/>
          <w:u w:val="single"/>
        </w:rPr>
        <w:t>Section 2.05(h)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Exclusively Licensed IP</w:t>
      </w:r>
      <w:r>
        <w:rPr>
          <w:rFonts w:ascii="Times New Roman" w:hAnsi="Times New Roman"/>
          <w:sz w:val="20"/>
        </w:rPr>
        <w:t xml:space="preserve">” shall have the meaning set forth in </w:t>
      </w:r>
      <w:r>
        <w:rPr>
          <w:rFonts w:ascii="Times New Roman" w:hAnsi="Times New Roman"/>
          <w:sz w:val="20"/>
          <w:u w:val="single"/>
        </w:rPr>
        <w:t>Section 3.16(a)(iii)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Expiration Time</w:t>
      </w:r>
      <w:r>
        <w:rPr>
          <w:rFonts w:ascii="Times New Roman" w:hAnsi="Times New Roman"/>
          <w:sz w:val="20"/>
        </w:rPr>
        <w:t xml:space="preserve">” shall have the meaning set forth in </w:t>
      </w:r>
      <w:r>
        <w:rPr>
          <w:rFonts w:ascii="Times New Roman" w:hAnsi="Times New Roman"/>
          <w:sz w:val="20"/>
          <w:u w:val="single"/>
        </w:rPr>
        <w:t>Section 2.01(d)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FCA</w:t>
      </w:r>
      <w:r>
        <w:rPr>
          <w:rFonts w:ascii="Times New Roman" w:hAnsi="Times New Roman"/>
          <w:sz w:val="20"/>
        </w:rPr>
        <w:t xml:space="preserve">” means the U.K. Financial Conduct Authority.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shall have the meaning set forth in </w:t>
      </w:r>
      <w:r>
        <w:rPr>
          <w:rFonts w:ascii="Times New Roman" w:hAnsi="Times New Roman"/>
          <w:sz w:val="20"/>
          <w:u w:val="single"/>
        </w:rPr>
        <w:t>Section 3.13(g)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Capital Increase</w:t>
      </w:r>
      <w:r>
        <w:rPr>
          <w:rFonts w:ascii="Times New Roman" w:hAnsi="Times New Roman"/>
          <w:sz w:val="20"/>
        </w:rPr>
        <w:t xml:space="preserve">” shall have the meaning set forth in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Company Shares</w:t>
      </w:r>
      <w:r>
        <w:rPr>
          <w:rFonts w:ascii="Times New Roman" w:hAnsi="Times New Roman"/>
          <w:sz w:val="20"/>
        </w:rPr>
        <w:t xml:space="preserve">” shall have the meaning set forth in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any currency other than Euros. </w:t>
      </w:r>
    </w:p>
    <w:p>
      <w:pPr>
        <w:pStyle w:val="TextBody"/>
        <w:bidi w:val="0"/>
        <w:spacing w:before="240" w:after="0"/>
        <w:jc w:val="left"/>
        <w:rPr/>
      </w:pPr>
      <w:r>
        <w:rPr/>
        <w:t>“</w:t>
      </w:r>
      <w:r>
        <w:rPr>
          <w:rFonts w:ascii="Times New Roman" w:hAnsi="Times New Roman"/>
          <w:sz w:val="20"/>
          <w:u w:val="single"/>
        </w:rPr>
        <w:t>Form F-4</w:t>
      </w:r>
      <w:r>
        <w:rPr>
          <w:rFonts w:ascii="Times New Roman" w:hAnsi="Times New Roman"/>
          <w:sz w:val="20"/>
        </w:rPr>
        <w:t xml:space="preserve">” shall have the meaning set forth in </w:t>
      </w:r>
      <w:r>
        <w:rPr>
          <w:rFonts w:ascii="Times New Roman" w:hAnsi="Times New Roman"/>
          <w:sz w:val="20"/>
          <w:u w:val="single"/>
        </w:rPr>
        <w:t>Section 2.01(j)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Fractional ADS Cash Amount</w:t>
      </w:r>
      <w:r>
        <w:rPr>
          <w:rFonts w:ascii="Times New Roman" w:hAnsi="Times New Roman"/>
          <w:sz w:val="20"/>
        </w:rPr>
        <w:t xml:space="preserve">” has the meaning set forth in </w:t>
      </w:r>
      <w:r>
        <w:rPr>
          <w:rFonts w:ascii="Times New Roman" w:hAnsi="Times New Roman"/>
          <w:sz w:val="20"/>
          <w:u w:val="single"/>
        </w:rPr>
        <w:t>Section 2.08(e)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any set of locally generally accepted accounting principles. </w:t>
      </w:r>
    </w:p>
    <w:p>
      <w:pPr>
        <w:pStyle w:val="TextBody"/>
        <w:bidi w:val="0"/>
        <w:spacing w:before="240" w:after="0"/>
        <w:jc w:val="left"/>
        <w:rPr/>
      </w:pPr>
      <w:r>
        <w:rPr/>
        <w:t>“</w:t>
      </w:r>
      <w:r>
        <w:rPr>
          <w:rFonts w:ascii="Times New Roman" w:hAnsi="Times New Roman"/>
          <w:sz w:val="20"/>
          <w:u w:val="single"/>
        </w:rPr>
        <w:t>Governance Resolutions</w:t>
      </w:r>
      <w:r>
        <w:rPr>
          <w:rFonts w:ascii="Times New Roman" w:hAnsi="Times New Roman"/>
          <w:sz w:val="20"/>
        </w:rPr>
        <w:t xml:space="preserve">” shall have the meaning set forth in </w:t>
      </w:r>
      <w:r>
        <w:rPr>
          <w:rFonts w:ascii="Times New Roman" w:hAnsi="Times New Roman"/>
          <w:sz w:val="20"/>
          <w:u w:val="single"/>
        </w:rPr>
        <w:t>Section 2.04(a)(iv)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 Official</w:t>
      </w:r>
      <w:r>
        <w:rPr>
          <w:rFonts w:ascii="Times New Roman" w:hAnsi="Times New Roman"/>
          <w:sz w:val="20"/>
        </w:rPr>
        <w:t xml:space="preserve">”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local, foreign or supranational government, any court, administrative, regulatory or other governmental agency, commission or authority, any non-governmental self-regulatory agency, commission or authority or any arbitral body.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 (ii) any petroleum product or by-product, petroleum-derived substances, wastes or breakdown products, friable asbestos, lead-based paint, per- and poly-fluoroalkyl substances, or polychlorinated biphenyls. </w:t>
      </w:r>
    </w:p>
    <w:p>
      <w:pPr>
        <w:pStyle w:val="TextBody"/>
        <w:bidi w:val="0"/>
        <w:spacing w:before="240" w:after="0"/>
        <w:jc w:val="left"/>
        <w:rPr/>
      </w:pPr>
      <w:r>
        <w:rPr/>
        <w:t>“</w:t>
      </w:r>
      <w:r>
        <w:rPr>
          <w:rFonts w:ascii="Times New Roman" w:hAnsi="Times New Roman"/>
          <w:sz w:val="20"/>
          <w:u w:val="single"/>
        </w:rPr>
        <w:t>Healthcare Law</w:t>
      </w:r>
      <w:r>
        <w:rPr>
          <w:rFonts w:ascii="Times New Roman" w:hAnsi="Times New Roman"/>
          <w:sz w:val="20"/>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hAnsi="Times New Roman"/>
          <w:i/>
          <w:sz w:val="20"/>
        </w:rPr>
        <w:t>et seq.</w:t>
      </w:r>
      <w:r>
        <w:rPr>
          <w:rFonts w:ascii="Times New Roman" w:hAnsi="Times New Roman"/>
          <w:sz w:val="20"/>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United States Hart-Scott-Rodino Antitrust Improvements Act of 1976, as amended. </w:t>
      </w:r>
    </w:p>
    <w:p>
      <w:pPr>
        <w:pStyle w:val="TextBody"/>
        <w:bidi w:val="0"/>
        <w:spacing w:before="240" w:after="0"/>
        <w:jc w:val="left"/>
        <w:rPr/>
      </w:pPr>
      <w:r>
        <w:rPr/>
        <w:t>“</w:t>
      </w:r>
      <w:r>
        <w:rPr>
          <w:rFonts w:ascii="Times New Roman" w:hAnsi="Times New Roman"/>
          <w:sz w:val="20"/>
          <w:u w:val="single"/>
        </w:rPr>
        <w:t>ICC</w:t>
      </w:r>
      <w:r>
        <w:rPr>
          <w:rFonts w:ascii="Times New Roman" w:hAnsi="Times New Roman"/>
          <w:sz w:val="20"/>
        </w:rPr>
        <w:t xml:space="preserve">” shall have the meaning set forth in </w:t>
      </w:r>
      <w:r>
        <w:rPr>
          <w:rFonts w:ascii="Times New Roman" w:hAnsi="Times New Roman"/>
          <w:sz w:val="20"/>
          <w:u w:val="single"/>
        </w:rPr>
        <w:t>Section 9.07(b)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ICC Court</w:t>
      </w:r>
      <w:r>
        <w:rPr>
          <w:rFonts w:ascii="Times New Roman" w:hAnsi="Times New Roman"/>
          <w:sz w:val="20"/>
        </w:rPr>
        <w:t xml:space="preserve">” shall have the meaning set forth in </w:t>
      </w:r>
      <w:r>
        <w:rPr>
          <w:rFonts w:ascii="Times New Roman" w:hAnsi="Times New Roman"/>
          <w:sz w:val="20"/>
          <w:u w:val="single"/>
        </w:rPr>
        <w:t>Section 9.07(b)(ii)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 </w:t>
      </w:r>
    </w:p>
    <w:p>
      <w:pPr>
        <w:pStyle w:val="TextBody"/>
        <w:bidi w:val="0"/>
        <w:spacing w:before="240" w:after="0"/>
        <w:jc w:val="left"/>
        <w:rPr/>
      </w:pPr>
      <w:r>
        <w:rPr/>
        <w:t>“</w:t>
      </w:r>
      <w:r>
        <w:rPr>
          <w:rFonts w:ascii="Times New Roman" w:hAnsi="Times New Roman"/>
          <w:sz w:val="20"/>
          <w:u w:val="single"/>
        </w:rPr>
        <w:t>Indemnification Agreements</w:t>
      </w:r>
      <w:r>
        <w:rPr>
          <w:rFonts w:ascii="Times New Roman" w:hAnsi="Times New Roman"/>
          <w:sz w:val="20"/>
        </w:rPr>
        <w:t xml:space="preserve">” shall have the meaning set forth in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Person</w:t>
      </w:r>
      <w:r>
        <w:rPr>
          <w:rFonts w:ascii="Times New Roman" w:hAnsi="Times New Roman"/>
          <w:sz w:val="20"/>
        </w:rPr>
        <w:t xml:space="preserve">” shall have the meaning set forth in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Independent Director</w:t>
      </w:r>
      <w:r>
        <w:rPr>
          <w:rFonts w:ascii="Times New Roman" w:hAnsi="Times New Roman"/>
          <w:sz w:val="20"/>
        </w:rPr>
        <w:t xml:space="preserve">” shall have the meaning set forth in </w:t>
      </w:r>
      <w:r>
        <w:rPr>
          <w:rFonts w:ascii="Times New Roman" w:hAnsi="Times New Roman"/>
          <w:sz w:val="20"/>
          <w:u w:val="single"/>
        </w:rPr>
        <w:t>Section 2.05(b)(ii)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Expiration Time</w:t>
      </w:r>
      <w:r>
        <w:rPr>
          <w:rFonts w:ascii="Times New Roman" w:hAnsi="Times New Roman"/>
          <w:sz w:val="20"/>
        </w:rPr>
        <w:t xml:space="preserve">” shall have the meaning set forth in </w:t>
      </w:r>
      <w:r>
        <w:rPr>
          <w:rFonts w:ascii="Times New Roman" w:hAnsi="Times New Roman"/>
          <w:sz w:val="20"/>
          <w:u w:val="single"/>
        </w:rPr>
        <w:t>Section 2.01(d)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means all intellectual property and proprietary rights of any kind or nature, whether protected, created or arising under any Law, with respect to any and all of the following, as they exist anywhere in the world: (i) all issued granted patents and pending patent applications (including all applications and filings made pursuant to the Patent Cooperation Treaty), including all reissues, re-examinations, divisionals, renewals, extensions (including any supplementary protection certificates (SPCs) and the like), provisionals, continuations and continuations-in-part thereof, other forms of government issued rights substantially similar to any of the foregoing (“</w:t>
      </w:r>
      <w:r>
        <w:rPr>
          <w:rFonts w:ascii="Times New Roman" w:hAnsi="Times New Roman"/>
          <w:sz w:val="20"/>
          <w:u w:val="single"/>
        </w:rPr>
        <w:t>Patents</w:t>
      </w:r>
      <w:r>
        <w:rPr>
          <w:rFonts w:ascii="Times New Roman" w:hAnsi="Times New Roman"/>
          <w:sz w:val="20"/>
        </w:rPr>
        <w:t>”), (ii) copyrights (whether registered or unregistered), mask works, moral rights and rights in works of authorship, all copyrightable works (including in software, databases and other compilations of information), and all registrations, applications, extensions, restorations, and renewals of any of the foregoing (collectively, “</w:t>
      </w:r>
      <w:r>
        <w:rPr>
          <w:rFonts w:ascii="Times New Roman" w:hAnsi="Times New Roman"/>
          <w:sz w:val="20"/>
          <w:u w:val="single"/>
        </w:rPr>
        <w:t>Copyrights</w:t>
      </w:r>
      <w:r>
        <w:rPr>
          <w:rFonts w:ascii="Times New Roman" w:hAnsi="Times New Roman"/>
          <w:sz w:val="20"/>
        </w:rPr>
        <w:t xml:space="preserve">”), (iii) trademarks, service marks, trade dress and trade names, product configurations, product shapes, logos and other identifiers of source, origin or quality (whether registered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unregistered) and applications, registrations, and renewals for the foregoing, in each case, together with all goodwill associated therewith (“</w:t>
      </w:r>
      <w:r>
        <w:rPr>
          <w:rFonts w:ascii="Times New Roman" w:hAnsi="Times New Roman"/>
          <w:sz w:val="20"/>
          <w:u w:val="single"/>
        </w:rPr>
        <w:t>Trademarks</w:t>
      </w:r>
      <w:r>
        <w:rPr>
          <w:rFonts w:ascii="Times New Roman" w:hAnsi="Times New Roman"/>
          <w:sz w:val="20"/>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hAnsi="Times New Roman"/>
          <w:sz w:val="20"/>
          <w:u w:val="single"/>
        </w:rPr>
        <w:t>Know-How</w:t>
      </w:r>
      <w:r>
        <w:rPr>
          <w:rFonts w:ascii="Times New Roman" w:hAnsi="Times New Roman"/>
          <w:sz w:val="20"/>
        </w:rPr>
        <w:t xml:space="preserve">”), (v) rights in internet domain names, URLs and IP addresses and social media identifiers and (vi) any other type of intellectual property rights of any kind or nature.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hAnsi="Times New Roman"/>
          <w:sz w:val="20"/>
          <w:u w:val="single"/>
        </w:rPr>
        <w:t>provided</w:t>
      </w:r>
      <w:r>
        <w:rPr>
          <w:rFonts w:ascii="Times New Roman" w:hAnsi="Times New Roman"/>
          <w:sz w:val="20"/>
        </w:rPr>
        <w:t xml:space="preserve">,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 </w:t>
      </w:r>
    </w:p>
    <w:p>
      <w:pPr>
        <w:pStyle w:val="TextBody"/>
        <w:bidi w:val="0"/>
        <w:spacing w:before="240" w:after="0"/>
        <w:jc w:val="left"/>
        <w:rPr/>
      </w:pPr>
      <w:r>
        <w:rPr/>
        <w:t>“</w:t>
      </w:r>
      <w:r>
        <w:rPr>
          <w:rFonts w:ascii="Times New Roman" w:hAnsi="Times New Roman"/>
          <w:sz w:val="20"/>
          <w:u w:val="single"/>
        </w:rPr>
        <w:t>Know-How</w:t>
      </w:r>
      <w:r>
        <w:rPr>
          <w:rFonts w:ascii="Times New Roman" w:hAnsi="Times New Roman"/>
          <w:sz w:val="20"/>
        </w:rPr>
        <w:t xml:space="preserve">” shall have the meaning set forth in the definition of “Intellectual Property Rights.”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with respect to the Company, the actual knowledge, of the individuals listed on </w:t>
      </w:r>
      <w:r>
        <w:rPr>
          <w:rFonts w:ascii="Times New Roman" w:hAnsi="Times New Roman"/>
          <w:sz w:val="20"/>
          <w:u w:val="single"/>
        </w:rPr>
        <w:t>Section 1.01(a)</w:t>
      </w:r>
      <w:r>
        <w:rPr>
          <w:rFonts w:ascii="Times New Roman" w:hAnsi="Times New Roman"/>
          <w:sz w:val="20"/>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 </w:t>
      </w:r>
    </w:p>
    <w:p>
      <w:pPr>
        <w:pStyle w:val="TextBody"/>
        <w:bidi w:val="0"/>
        <w:spacing w:before="240" w:after="0"/>
        <w:jc w:val="left"/>
        <w:rPr/>
      </w:pPr>
      <w:r>
        <w:rPr/>
        <w:t>“</w:t>
      </w:r>
      <w:r>
        <w:rPr>
          <w:rFonts w:ascii="Times New Roman" w:hAnsi="Times New Roman"/>
          <w:sz w:val="20"/>
          <w:u w:val="single"/>
        </w:rPr>
        <w:t>Legal Downstream Merger</w:t>
      </w:r>
      <w:r>
        <w:rPr>
          <w:rFonts w:ascii="Times New Roman" w:hAnsi="Times New Roman"/>
          <w:sz w:val="20"/>
        </w:rPr>
        <w:t xml:space="preserve">”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 </w:t>
      </w:r>
    </w:p>
    <w:p>
      <w:pPr>
        <w:pStyle w:val="TextBody"/>
        <w:bidi w:val="0"/>
        <w:spacing w:before="240" w:after="0"/>
        <w:jc w:val="left"/>
        <w:rPr/>
      </w:pPr>
      <w:r>
        <w:rPr/>
        <w:t>“</w:t>
      </w:r>
      <w:r>
        <w:rPr>
          <w:rFonts w:ascii="Times New Roman" w:hAnsi="Times New Roman"/>
          <w:sz w:val="20"/>
          <w:u w:val="single"/>
        </w:rPr>
        <w:t>Legal Downstream Merger Deed</w:t>
      </w:r>
      <w:r>
        <w:rPr>
          <w:rFonts w:ascii="Times New Roman" w:hAnsi="Times New Roman"/>
          <w:sz w:val="20"/>
        </w:rPr>
        <w:t xml:space="preserve">” means the deed of merger to effect the Legal Downstream Merger in accordance with the terms of the Legal Downstream Merger Proposal and Notes, substantially in the form set out in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Legal Downstream Merger Proposal and Notes</w:t>
      </w:r>
      <w:r>
        <w:rPr>
          <w:rFonts w:ascii="Times New Roman" w:hAnsi="Times New Roman"/>
          <w:sz w:val="20"/>
        </w:rPr>
        <w:t xml:space="preserve">” means the (i) the merger proposal between the Company and New Topco and (ii) the explanatory notes to such merger proposal, substantially in the forms set out in </w:t>
      </w:r>
      <w:r>
        <w:rPr>
          <w:rFonts w:ascii="Times New Roman" w:hAnsi="Times New Roman"/>
          <w:sz w:val="20"/>
          <w:u w:val="single"/>
        </w:rPr>
        <w:t>Exhibit B-1</w:t>
      </w:r>
      <w:r>
        <w:rPr>
          <w:rFonts w:ascii="Times New Roman" w:hAnsi="Times New Roman"/>
          <w:sz w:val="20"/>
        </w:rPr>
        <w:t xml:space="preserve"> and </w:t>
      </w:r>
      <w:r>
        <w:rPr>
          <w:rFonts w:ascii="Times New Roman" w:hAnsi="Times New Roman"/>
          <w:sz w:val="20"/>
          <w:u w:val="single"/>
        </w:rPr>
        <w:t>Exhibit B-2</w:t>
      </w:r>
      <w:r>
        <w:rPr>
          <w:rFonts w:ascii="Times New Roman" w:hAnsi="Times New Roman"/>
          <w:sz w:val="20"/>
        </w:rPr>
        <w:t xml:space="preserve"> respectively. </w:t>
      </w:r>
    </w:p>
    <w:p>
      <w:pPr>
        <w:pStyle w:val="TextBody"/>
        <w:bidi w:val="0"/>
        <w:spacing w:before="240" w:after="0"/>
        <w:jc w:val="left"/>
        <w:rPr/>
      </w:pPr>
      <w:r>
        <w:rPr/>
        <w:t>“</w:t>
      </w:r>
      <w:r>
        <w:rPr>
          <w:rFonts w:ascii="Times New Roman" w:hAnsi="Times New Roman"/>
          <w:sz w:val="20"/>
          <w:u w:val="single"/>
        </w:rPr>
        <w:t>Legal Restraints</w:t>
      </w:r>
      <w:r>
        <w:rPr>
          <w:rFonts w:ascii="Times New Roman" w:hAnsi="Times New Roman"/>
          <w:sz w:val="20"/>
        </w:rPr>
        <w:t xml:space="preserve">” shall have the meaning set forth in </w:t>
      </w:r>
      <w:r>
        <w:rPr>
          <w:rFonts w:ascii="Times New Roman" w:hAnsi="Times New Roman"/>
          <w:sz w:val="20"/>
          <w:u w:val="single"/>
        </w:rPr>
        <w:t>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have the meaning set forth in </w:t>
      </w:r>
      <w:r>
        <w:rPr>
          <w:rFonts w:ascii="Times New Roman" w:hAnsi="Times New Roman"/>
          <w:sz w:val="20"/>
          <w:u w:val="single"/>
        </w:rPr>
        <w:t>Section 3.12(a)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 </w:t>
      </w:r>
    </w:p>
    <w:p>
      <w:pPr>
        <w:pStyle w:val="TextBody"/>
        <w:bidi w:val="0"/>
        <w:spacing w:before="240" w:after="0"/>
        <w:jc w:val="left"/>
        <w:rPr/>
      </w:pPr>
      <w:r>
        <w:rPr/>
        <w:t>“</w:t>
      </w:r>
      <w:r>
        <w:rPr>
          <w:rFonts w:ascii="Times New Roman" w:hAnsi="Times New Roman"/>
          <w:sz w:val="20"/>
          <w:u w:val="single"/>
        </w:rPr>
        <w:t>Major Shareholders</w:t>
      </w:r>
      <w:r>
        <w:rPr>
          <w:rFonts w:ascii="Times New Roman" w:hAnsi="Times New Roman"/>
          <w:sz w:val="20"/>
        </w:rPr>
        <w:t xml:space="preserve">” means dievini and Kreditanstalt für Wiederaufbau, an institution organized under public law of the Federal Republic of Germany, and each of their respective Affiliates, in each case who beneficially own, directly or indirectly, Company Shares. </w:t>
      </w:r>
    </w:p>
    <w:p>
      <w:pPr>
        <w:pStyle w:val="TextBody"/>
        <w:bidi w:val="0"/>
        <w:spacing w:before="240" w:after="0"/>
        <w:jc w:val="left"/>
        <w:rPr/>
      </w:pPr>
      <w:r>
        <w:rPr/>
        <w:t>“</w:t>
      </w:r>
      <w:r>
        <w:rPr>
          <w:rFonts w:ascii="Times New Roman" w:hAnsi="Times New Roman"/>
          <w:sz w:val="20"/>
          <w:u w:val="single"/>
        </w:rPr>
        <w:t>Management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Material Contracts</w:t>
      </w:r>
      <w:r>
        <w:rPr>
          <w:rFonts w:ascii="Times New Roman" w:hAnsi="Times New Roman"/>
          <w:sz w:val="20"/>
        </w:rPr>
        <w:t xml:space="preserve">” shall have the meaning set forth in </w:t>
      </w:r>
      <w:r>
        <w:rPr>
          <w:rFonts w:ascii="Times New Roman" w:hAnsi="Times New Roman"/>
          <w:sz w:val="20"/>
          <w:u w:val="single"/>
        </w:rPr>
        <w:t>Section 3.22(a)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Effective Date</w:t>
      </w:r>
      <w:r>
        <w:rPr>
          <w:rFonts w:ascii="Times New Roman" w:hAnsi="Times New Roman"/>
          <w:sz w:val="20"/>
        </w:rPr>
        <w:t xml:space="preserve">”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 </w:t>
      </w:r>
    </w:p>
    <w:p>
      <w:pPr>
        <w:pStyle w:val="TextBody"/>
        <w:bidi w:val="0"/>
        <w:spacing w:before="240" w:after="0"/>
        <w:jc w:val="left"/>
        <w:rPr/>
      </w:pPr>
      <w:r>
        <w:rPr/>
        <w:t>“</w:t>
      </w:r>
      <w:r>
        <w:rPr>
          <w:rFonts w:ascii="Times New Roman" w:hAnsi="Times New Roman"/>
          <w:sz w:val="20"/>
          <w:u w:val="single"/>
        </w:rPr>
        <w:t>Merger Effective Time</w:t>
      </w:r>
      <w:r>
        <w:rPr>
          <w:rFonts w:ascii="Times New Roman" w:hAnsi="Times New Roman"/>
          <w:sz w:val="20"/>
        </w:rPr>
        <w:t xml:space="preserve">” means 00:00 CET on the Merger Effective Date. </w:t>
      </w:r>
    </w:p>
    <w:p>
      <w:pPr>
        <w:pStyle w:val="TextBody"/>
        <w:bidi w:val="0"/>
        <w:spacing w:before="240" w:after="0"/>
        <w:jc w:val="left"/>
        <w:rPr/>
      </w:pPr>
      <w:r>
        <w:rPr/>
        <w:t>“</w:t>
      </w:r>
      <w:r>
        <w:rPr>
          <w:rFonts w:ascii="Times New Roman" w:hAnsi="Times New Roman"/>
          <w:sz w:val="20"/>
          <w:u w:val="single"/>
        </w:rPr>
        <w:t>Minimum Condition</w:t>
      </w:r>
      <w:r>
        <w:rPr>
          <w:rFonts w:ascii="Times New Roman" w:hAnsi="Times New Roman"/>
          <w:sz w:val="20"/>
        </w:rPr>
        <w:t xml:space="preserve">” shall have the meaning set forth in </w:t>
      </w:r>
      <w:r>
        <w:rPr>
          <w:rFonts w:ascii="Times New Roman" w:hAnsi="Times New Roman"/>
          <w:sz w:val="20"/>
          <w:u w:val="single"/>
        </w:rPr>
        <w:t>paragraph (A)</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Minority Shareholders</w:t>
      </w:r>
      <w:r>
        <w:rPr>
          <w:rFonts w:ascii="Times New Roman" w:hAnsi="Times New Roman"/>
          <w:sz w:val="20"/>
        </w:rPr>
        <w:t xml:space="preserve">” means holders of Company Shares that were not tendered pursuant to the Offer or in the Subsequent Offering Period or, following the Merger Effective Time, holders of New Topco A Shares, as applicable.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Market in relation to the Company Shares, and the NASDAQ Global Market Select in relation to the Buyer ADSs. </w:t>
      </w:r>
    </w:p>
    <w:p>
      <w:pPr>
        <w:pStyle w:val="TextBody"/>
        <w:bidi w:val="0"/>
        <w:spacing w:before="240" w:after="0"/>
        <w:jc w:val="left"/>
        <w:rPr/>
      </w:pPr>
      <w:r>
        <w:rPr/>
        <w:t>“</w:t>
      </w:r>
      <w:r>
        <w:rPr>
          <w:rFonts w:ascii="Times New Roman" w:hAnsi="Times New Roman"/>
          <w:sz w:val="20"/>
          <w:u w:val="single"/>
        </w:rPr>
        <w:t>New Topco</w:t>
      </w:r>
      <w:r>
        <w:rPr>
          <w:rFonts w:ascii="Times New Roman" w:hAnsi="Times New Roman"/>
          <w:sz w:val="20"/>
        </w:rPr>
        <w:t>” means Chameleon B.V. (or any other name as selected by the Company), a private limited liability company (</w:t>
      </w:r>
      <w:r>
        <w:rPr>
          <w:rFonts w:ascii="Times New Roman" w:hAnsi="Times New Roman"/>
          <w:i/>
          <w:sz w:val="20"/>
        </w:rPr>
        <w:t>besloten vennootschap met beperkte aansprakelijkheid</w:t>
      </w:r>
      <w:r>
        <w:rPr>
          <w:rFonts w:ascii="Times New Roman" w:hAnsi="Times New Roman"/>
          <w:sz w:val="20"/>
        </w:rPr>
        <w:t xml:space="preserve">) to be incorporated following the date of this Agreement under the Laws of The Netherlands as a direct wholly-owned Subsidiary of the Company. </w:t>
      </w:r>
    </w:p>
    <w:p>
      <w:pPr>
        <w:pStyle w:val="TextBody"/>
        <w:bidi w:val="0"/>
        <w:spacing w:before="240" w:after="0"/>
        <w:jc w:val="left"/>
        <w:rPr/>
      </w:pPr>
      <w:r>
        <w:rPr/>
        <w:t>“</w:t>
      </w:r>
      <w:r>
        <w:rPr>
          <w:rFonts w:ascii="Times New Roman" w:hAnsi="Times New Roman"/>
          <w:sz w:val="20"/>
          <w:u w:val="single"/>
        </w:rPr>
        <w:t>New Topco A Shares</w:t>
      </w:r>
      <w:r>
        <w:rPr>
          <w:rFonts w:ascii="Times New Roman" w:hAnsi="Times New Roman"/>
          <w:sz w:val="20"/>
        </w:rPr>
        <w:t xml:space="preserve">” means the class A shares in the capital of New Topco. </w:t>
      </w:r>
    </w:p>
    <w:p>
      <w:pPr>
        <w:pStyle w:val="TextBody"/>
        <w:bidi w:val="0"/>
        <w:spacing w:before="240" w:after="0"/>
        <w:jc w:val="left"/>
        <w:rPr/>
      </w:pPr>
      <w:r>
        <w:rPr/>
        <w:t>“</w:t>
      </w:r>
      <w:r>
        <w:rPr>
          <w:rFonts w:ascii="Times New Roman" w:hAnsi="Times New Roman"/>
          <w:sz w:val="20"/>
          <w:u w:val="single"/>
        </w:rPr>
        <w:t>New Topco B Shares</w:t>
      </w:r>
      <w:r>
        <w:rPr>
          <w:rFonts w:ascii="Times New Roman" w:hAnsi="Times New Roman"/>
          <w:sz w:val="20"/>
        </w:rPr>
        <w:t xml:space="preserve">” means the class B shares in the capital of New Topco. </w:t>
      </w:r>
    </w:p>
    <w:p>
      <w:pPr>
        <w:pStyle w:val="TextBody"/>
        <w:bidi w:val="0"/>
        <w:spacing w:before="240" w:after="0"/>
        <w:jc w:val="left"/>
        <w:rPr/>
      </w:pPr>
      <w:r>
        <w:rPr/>
        <w:t>“</w:t>
      </w:r>
      <w:r>
        <w:rPr>
          <w:rFonts w:ascii="Times New Roman" w:hAnsi="Times New Roman"/>
          <w:sz w:val="20"/>
          <w:u w:val="single"/>
        </w:rPr>
        <w:t>New Topco U.S. Tax Election</w:t>
      </w:r>
      <w:r>
        <w:rPr>
          <w:rFonts w:ascii="Times New Roman" w:hAnsi="Times New Roman"/>
          <w:sz w:val="20"/>
        </w:rPr>
        <w:t xml:space="preserve">” means an election by New Topco to be disregarded as an entity separate from Buyer for U.S. federal income tax purposes, effective one (1) day after the Cancellation. </w:t>
      </w:r>
    </w:p>
    <w:p>
      <w:pPr>
        <w:pStyle w:val="TextBody"/>
        <w:bidi w:val="0"/>
        <w:spacing w:before="240" w:after="0"/>
        <w:jc w:val="left"/>
        <w:rPr/>
      </w:pPr>
      <w:r>
        <w:rPr/>
        <w:t>“</w:t>
      </w:r>
      <w:r>
        <w:rPr>
          <w:rFonts w:ascii="Times New Roman" w:hAnsi="Times New Roman"/>
          <w:sz w:val="20"/>
          <w:u w:val="single"/>
        </w:rPr>
        <w:t>Non-Exclusively Licensed IP</w:t>
      </w:r>
      <w:r>
        <w:rPr>
          <w:rFonts w:ascii="Times New Roman" w:hAnsi="Times New Roman"/>
          <w:sz w:val="20"/>
        </w:rPr>
        <w:t xml:space="preserve">” shall have the meaning set forth in </w:t>
      </w:r>
      <w:r>
        <w:rPr>
          <w:rFonts w:ascii="Times New Roman" w:hAnsi="Times New Roman"/>
          <w:sz w:val="20"/>
          <w:u w:val="single"/>
        </w:rPr>
        <w:t>Section 3.16(a)(iii)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Non-Owned Company Intellectual Property</w:t>
      </w:r>
      <w:r>
        <w:rPr>
          <w:rFonts w:ascii="Times New Roman" w:hAnsi="Times New Roman"/>
          <w:sz w:val="20"/>
        </w:rPr>
        <w:t xml:space="preserve">” shall mean all Company Intellectual Property Rights that is not Owned Company Intellectual Property. </w:t>
      </w:r>
    </w:p>
    <w:p>
      <w:pPr>
        <w:pStyle w:val="TextBody"/>
        <w:bidi w:val="0"/>
        <w:spacing w:before="240" w:after="0"/>
        <w:jc w:val="left"/>
        <w:rPr/>
      </w:pPr>
      <w:r>
        <w:rPr/>
        <w:t>“</w:t>
      </w:r>
      <w:r>
        <w:rPr>
          <w:rFonts w:ascii="Times New Roman" w:hAnsi="Times New Roman"/>
          <w:sz w:val="20"/>
          <w:u w:val="single"/>
        </w:rPr>
        <w:t>Offer</w:t>
      </w:r>
      <w:r>
        <w:rPr>
          <w:rFonts w:ascii="Times New Roman" w:hAnsi="Times New Roman"/>
          <w:sz w:val="20"/>
        </w:rPr>
        <w:t xml:space="preserve">” shall have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Offer Commencement Date</w:t>
      </w:r>
      <w:r>
        <w:rPr>
          <w:rFonts w:ascii="Times New Roman" w:hAnsi="Times New Roman"/>
          <w:sz w:val="20"/>
        </w:rPr>
        <w:t xml:space="preserve">” shall have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Conditions</w:t>
      </w:r>
      <w:r>
        <w:rPr>
          <w:rFonts w:ascii="Times New Roman" w:hAnsi="Times New Roman"/>
          <w:sz w:val="20"/>
        </w:rPr>
        <w:t xml:space="preserve">” shall have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Consideration</w:t>
      </w:r>
      <w:r>
        <w:rPr>
          <w:rFonts w:ascii="Times New Roman" w:hAnsi="Times New Roman"/>
          <w:sz w:val="20"/>
        </w:rPr>
        <w:t xml:space="preserve">” shall have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Documents</w:t>
      </w:r>
      <w:r>
        <w:rPr>
          <w:rFonts w:ascii="Times New Roman" w:hAnsi="Times New Roman"/>
          <w:sz w:val="20"/>
        </w:rPr>
        <w:t xml:space="preserve">” shall have the meaning set forth in </w:t>
      </w:r>
      <w:r>
        <w:rPr>
          <w:rFonts w:ascii="Times New Roman" w:hAnsi="Times New Roman"/>
          <w:sz w:val="20"/>
          <w:u w:val="single"/>
        </w:rPr>
        <w:t>Section 2.01(i)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executive order, ruling, stipulation, decision, judgment, writ, injunction, decree, award, quasi-judicial decision or award, or other determination, whether temporary, preliminary, or permanent, of or by any Governmental Authority (or under the authority of Nasdaq). </w:t>
      </w:r>
    </w:p>
    <w:p>
      <w:pPr>
        <w:pStyle w:val="TextBody"/>
        <w:bidi w:val="0"/>
        <w:spacing w:before="240" w:after="0"/>
        <w:jc w:val="left"/>
        <w:rPr/>
      </w:pPr>
      <w:r>
        <w:rPr/>
        <w:t>“</w:t>
      </w:r>
      <w:r>
        <w:rPr>
          <w:rFonts w:ascii="Times New Roman" w:hAnsi="Times New Roman"/>
          <w:sz w:val="20"/>
          <w:u w:val="single"/>
        </w:rPr>
        <w:t>Other Required Antitrust Approvals</w:t>
      </w:r>
      <w:r>
        <w:rPr>
          <w:rFonts w:ascii="Times New Roman" w:hAnsi="Times New Roman"/>
          <w:sz w:val="20"/>
        </w:rPr>
        <w:t xml:space="preserve">” shall have the meaning set forth on </w:t>
      </w:r>
      <w:r>
        <w:rPr>
          <w:rFonts w:ascii="Times New Roman" w:hAnsi="Times New Roman"/>
          <w:sz w:val="20"/>
          <w:u w:val="single"/>
        </w:rPr>
        <w:t>Section 1.01(b)</w:t>
      </w:r>
      <w:r>
        <w:rPr>
          <w:rFonts w:ascii="Times New Roman" w:hAnsi="Times New Roman"/>
          <w:sz w:val="20"/>
        </w:rPr>
        <w:t xml:space="preserve"> of the Company Letter. </w:t>
      </w:r>
    </w:p>
    <w:p>
      <w:pPr>
        <w:pStyle w:val="TextBody"/>
        <w:bidi w:val="0"/>
        <w:spacing w:before="240" w:after="0"/>
        <w:jc w:val="left"/>
        <w:rPr/>
      </w:pPr>
      <w:r>
        <w:rPr/>
        <w:t>“</w:t>
      </w:r>
      <w:r>
        <w:rPr>
          <w:rFonts w:ascii="Times New Roman" w:hAnsi="Times New Roman"/>
          <w:sz w:val="20"/>
          <w:u w:val="single"/>
        </w:rPr>
        <w:t>Other Required Regulatory Approvals</w:t>
      </w:r>
      <w:r>
        <w:rPr>
          <w:rFonts w:ascii="Times New Roman" w:hAnsi="Times New Roman"/>
          <w:sz w:val="20"/>
        </w:rPr>
        <w:t xml:space="preserve">” shall have the meaning set forth on </w:t>
      </w:r>
      <w:r>
        <w:rPr>
          <w:rFonts w:ascii="Times New Roman" w:hAnsi="Times New Roman"/>
          <w:sz w:val="20"/>
          <w:u w:val="single"/>
        </w:rPr>
        <w:t>Section 1.01(c)</w:t>
      </w:r>
      <w:r>
        <w:rPr>
          <w:rFonts w:ascii="Times New Roman" w:hAnsi="Times New Roman"/>
          <w:sz w:val="20"/>
        </w:rPr>
        <w:t xml:space="preserve"> of the Company Letter.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shall mean all Company Intellectual Property Rights owned or purported to be owned, whether wholly or jointly with others, by an of the Company, its Subsidiaries, or its Affiliates, including the Company Registered IP.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means Buyer and the Company. </w:t>
      </w:r>
    </w:p>
    <w:p>
      <w:pPr>
        <w:pStyle w:val="TextBody"/>
        <w:bidi w:val="0"/>
        <w:spacing w:before="240" w:after="0"/>
        <w:jc w:val="left"/>
        <w:rPr/>
      </w:pPr>
      <w:r>
        <w:rPr/>
        <w:t>“</w:t>
      </w:r>
      <w:r>
        <w:rPr>
          <w:rFonts w:ascii="Times New Roman" w:hAnsi="Times New Roman"/>
          <w:sz w:val="20"/>
          <w:u w:val="single"/>
        </w:rPr>
        <w:t>Patent</w:t>
      </w:r>
      <w:r>
        <w:rPr>
          <w:rFonts w:ascii="Times New Roman" w:hAnsi="Times New Roman"/>
          <w:sz w:val="20"/>
        </w:rPr>
        <w:t xml:space="preserve">” shall have the meaning set forth in the definition of “Intellectual Property Rights.”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 (iii) 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partnership, limited liability company, joint venture, association, unincorporated association, estate, trust or other entity or organization, including a Governmental Authority or any department or agency thereof.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alone or in combination with other information identifies, relates to, describes, is reasonably capable of being associated with, or could reasonably be linked, directly or indirectly, with a particular individual, or any analogous terms under applicable Law. </w:t>
      </w:r>
    </w:p>
    <w:p>
      <w:pPr>
        <w:pStyle w:val="TextBody"/>
        <w:bidi w:val="0"/>
        <w:spacing w:before="240" w:after="0"/>
        <w:jc w:val="left"/>
        <w:rPr/>
      </w:pPr>
      <w:r>
        <w:rPr/>
        <w:t>“</w:t>
      </w:r>
      <w:r>
        <w:rPr>
          <w:rFonts w:ascii="Times New Roman" w:hAnsi="Times New Roman"/>
          <w:sz w:val="20"/>
          <w:u w:val="single"/>
        </w:rPr>
        <w:t>Post-Downstream Merger Share Sale</w:t>
      </w:r>
      <w:r>
        <w:rPr>
          <w:rFonts w:ascii="Times New Roman" w:hAnsi="Times New Roman"/>
          <w:sz w:val="20"/>
        </w:rPr>
        <w:t xml:space="preserve">” means the sale and transfer, in accordance with the terms of the Post-Downstream Merger Sale Agreement, substantially in the form set out in </w:t>
      </w:r>
      <w:r>
        <w:rPr>
          <w:rFonts w:ascii="Times New Roman" w:hAnsi="Times New Roman"/>
          <w:sz w:val="20"/>
          <w:u w:val="single"/>
        </w:rPr>
        <w:t>Exhibit C,</w:t>
      </w:r>
      <w:r>
        <w:rPr>
          <w:rFonts w:ascii="Times New Roman" w:hAnsi="Times New Roman"/>
          <w:sz w:val="20"/>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 </w:t>
      </w:r>
    </w:p>
    <w:p>
      <w:pPr>
        <w:pStyle w:val="TextBody"/>
        <w:bidi w:val="0"/>
        <w:spacing w:before="240" w:after="0"/>
        <w:jc w:val="left"/>
        <w:rPr/>
      </w:pPr>
      <w:r>
        <w:rPr/>
        <w:t>“</w:t>
      </w:r>
      <w:r>
        <w:rPr>
          <w:rFonts w:ascii="Times New Roman" w:hAnsi="Times New Roman"/>
          <w:sz w:val="20"/>
          <w:u w:val="single"/>
        </w:rPr>
        <w:t>Post-Offer Reorganization</w:t>
      </w:r>
      <w:r>
        <w:rPr>
          <w:rFonts w:ascii="Times New Roman" w:hAnsi="Times New Roman"/>
          <w:sz w:val="20"/>
        </w:rPr>
        <w:t xml:space="preserve">” shall have the meaning set forth in </w:t>
      </w:r>
      <w:r>
        <w:rPr>
          <w:rFonts w:ascii="Times New Roman" w:hAnsi="Times New Roman"/>
          <w:sz w:val="20"/>
          <w:u w:val="single"/>
        </w:rPr>
        <w:t>Section 2.07(a)</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Post-Offer Reorganization Resolutions</w:t>
      </w:r>
      <w:r>
        <w:rPr>
          <w:rFonts w:ascii="Times New Roman" w:hAnsi="Times New Roman"/>
          <w:sz w:val="20"/>
        </w:rPr>
        <w:t xml:space="preserve">” shall have the meaning set forth in </w:t>
      </w:r>
      <w:r>
        <w:rPr>
          <w:rFonts w:ascii="Times New Roman" w:hAnsi="Times New Roman"/>
          <w:sz w:val="20"/>
          <w:u w:val="single"/>
        </w:rPr>
        <w:t>Section 2.04(a)(ii)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Post-Offer Reorganization Threshold</w:t>
      </w:r>
      <w:r>
        <w:rPr>
          <w:rFonts w:ascii="Times New Roman" w:hAnsi="Times New Roman"/>
          <w:sz w:val="20"/>
        </w:rPr>
        <w:t xml:space="preserve">” shall have the meaning set forth in </w:t>
      </w:r>
      <w:r>
        <w:rPr>
          <w:rFonts w:ascii="Times New Roman" w:hAnsi="Times New Roman"/>
          <w:sz w:val="20"/>
          <w:u w:val="single"/>
        </w:rPr>
        <w:t>Section 2.04(a)(ii)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Pre-Closing Period</w:t>
      </w:r>
      <w:r>
        <w:rPr>
          <w:rFonts w:ascii="Times New Roman" w:hAnsi="Times New Roman"/>
          <w:sz w:val="20"/>
        </w:rPr>
        <w:t xml:space="preserve">” shall have the meaning set forth in </w:t>
      </w:r>
      <w:r>
        <w:rPr>
          <w:rFonts w:ascii="Times New Roman" w:hAnsi="Times New Roman"/>
          <w:sz w:val="20"/>
          <w:u w:val="single"/>
        </w:rPr>
        <w:t>Section 5.01</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Presiding Arbitrator</w:t>
      </w:r>
      <w:r>
        <w:rPr>
          <w:rFonts w:ascii="Times New Roman" w:hAnsi="Times New Roman"/>
          <w:sz w:val="20"/>
        </w:rPr>
        <w:t xml:space="preserve">” shall have the meaning set forth in </w:t>
      </w:r>
      <w:r>
        <w:rPr>
          <w:rFonts w:ascii="Times New Roman" w:hAnsi="Times New Roman"/>
          <w:sz w:val="20"/>
          <w:u w:val="single"/>
        </w:rPr>
        <w:t>Section 9.07(b)(ii)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Privacy and Data Protection Requirements</w:t>
      </w:r>
      <w:r>
        <w:rPr>
          <w:rFonts w:ascii="Times New Roman" w:hAnsi="Times New Roman"/>
          <w:sz w:val="20"/>
        </w:rPr>
        <w:t>” means all (a) Laws relating to privacy, information security, or the Processing of Personal Information, including, the General Data Protection Regulation (“</w:t>
      </w:r>
      <w:r>
        <w:rPr>
          <w:rFonts w:ascii="Times New Roman" w:hAnsi="Times New Roman"/>
          <w:sz w:val="20"/>
          <w:u w:val="single"/>
        </w:rPr>
        <w:t>GDPR</w:t>
      </w:r>
      <w:r>
        <w:rPr>
          <w:rFonts w:ascii="Times New Roman" w:hAnsi="Times New Roman"/>
          <w:sz w:val="20"/>
        </w:rPr>
        <w:t xml:space="preserve">”) (and any European Union member states’ laws and regulations implementing it, including the </w:t>
      </w:r>
      <w:r>
        <w:rPr>
          <w:rFonts w:ascii="Times New Roman" w:hAnsi="Times New Roman"/>
          <w:i/>
          <w:sz w:val="20"/>
        </w:rPr>
        <w:t>Uitvoeringswet Algemene verordening gegevensbescherming</w:t>
      </w:r>
      <w:r>
        <w:rPr>
          <w:rFonts w:ascii="Times New Roman" w:hAnsi="Times New Roman"/>
          <w:sz w:val="20"/>
        </w:rPr>
        <w:t>), the Health Insurance Portability and Accountability Act (“</w:t>
      </w:r>
      <w:r>
        <w:rPr>
          <w:rFonts w:ascii="Times New Roman" w:hAnsi="Times New Roman"/>
          <w:sz w:val="20"/>
          <w:u w:val="single"/>
        </w:rPr>
        <w:t>HIPAA</w:t>
      </w:r>
      <w:r>
        <w:rPr>
          <w:rFonts w:ascii="Times New Roman" w:hAnsi="Times New Roman"/>
          <w:sz w:val="20"/>
        </w:rPr>
        <w:t>”), the California Consumer Privacy Act (“</w:t>
      </w:r>
      <w:r>
        <w:rPr>
          <w:rFonts w:ascii="Times New Roman" w:hAnsi="Times New Roman"/>
          <w:sz w:val="20"/>
          <w:u w:val="single"/>
        </w:rPr>
        <w:t>CCPA</w:t>
      </w:r>
      <w:r>
        <w:rPr>
          <w:rFonts w:ascii="Times New Roman" w:hAnsi="Times New Roman"/>
          <w:sz w:val="20"/>
        </w:rPr>
        <w:t>”), and any other comprehensive state privacy law, or sector- or data-specific Laws in the United States (collectively, “</w:t>
      </w:r>
      <w:r>
        <w:rPr>
          <w:rFonts w:ascii="Times New Roman" w:hAnsi="Times New Roman"/>
          <w:sz w:val="20"/>
          <w:u w:val="single"/>
        </w:rPr>
        <w:t>U.S. Privacy Laws</w:t>
      </w:r>
      <w:r>
        <w:rPr>
          <w:rFonts w:ascii="Times New Roman" w:hAnsi="Times New Roman"/>
          <w:sz w:val="20"/>
        </w:rPr>
        <w:t xml:space="preserve">”),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means any release, spill, emission, leaking, dumping, injection, pouring, deposit, disposal, discharge, dispersal, leaching or migration into or through the indoor or outdoor environment.“</w:t>
      </w:r>
      <w:r>
        <w:rPr>
          <w:rFonts w:ascii="Times New Roman" w:hAnsi="Times New Roman"/>
          <w:sz w:val="20"/>
          <w:u w:val="single"/>
        </w:rPr>
        <w:t>Representatives</w:t>
      </w:r>
      <w:r>
        <w:rPr>
          <w:rFonts w:ascii="Times New Roman" w:hAnsi="Times New Roman"/>
          <w:sz w:val="20"/>
        </w:rPr>
        <w:t xml:space="preserve">” means, when used with respect to any Person, the directors, officers, employees, consultants, accountants, legal counsel, investment bankers or other financial advisors, agents and other representatives of such Person and its Affiliates. </w:t>
      </w:r>
    </w:p>
    <w:p>
      <w:pPr>
        <w:pStyle w:val="TextBody"/>
        <w:bidi w:val="0"/>
        <w:spacing w:before="240" w:after="0"/>
        <w:jc w:val="left"/>
        <w:rPr/>
      </w:pPr>
      <w:r>
        <w:rPr/>
        <w:t>“</w:t>
      </w:r>
      <w:r>
        <w:rPr>
          <w:rFonts w:ascii="Times New Roman" w:hAnsi="Times New Roman"/>
          <w:sz w:val="20"/>
          <w:u w:val="single"/>
        </w:rPr>
        <w:t>Rules</w:t>
      </w:r>
      <w:r>
        <w:rPr>
          <w:rFonts w:ascii="Times New Roman" w:hAnsi="Times New Roman"/>
          <w:sz w:val="20"/>
        </w:rPr>
        <w:t xml:space="preserve">” shall have the meaning set forth in </w:t>
      </w:r>
      <w:r>
        <w:rPr>
          <w:rFonts w:ascii="Times New Roman" w:hAnsi="Times New Roman"/>
          <w:sz w:val="20"/>
          <w:u w:val="single"/>
        </w:rPr>
        <w:t>Section 9.07(b)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Sanctions Target</w:t>
      </w:r>
      <w:r>
        <w:rPr>
          <w:rFonts w:ascii="Times New Roman" w:hAnsi="Times New Roman"/>
          <w:sz w:val="20"/>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hAnsi="Times New Roman"/>
          <w:sz w:val="20"/>
          <w:u w:val="single"/>
        </w:rPr>
        <w:t>clauses (i) or (ii)</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Schedule 14D-9</w:t>
      </w:r>
      <w:r>
        <w:rPr>
          <w:rFonts w:ascii="Times New Roman" w:hAnsi="Times New Roman"/>
          <w:sz w:val="20"/>
        </w:rPr>
        <w:t xml:space="preserve">” shall have the meaning set forth in </w:t>
      </w:r>
      <w:r>
        <w:rPr>
          <w:rFonts w:ascii="Times New Roman" w:hAnsi="Times New Roman"/>
          <w:sz w:val="20"/>
          <w:u w:val="single"/>
        </w:rPr>
        <w:t>Section 2.02(b)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Schedule TO</w:t>
      </w:r>
      <w:r>
        <w:rPr>
          <w:rFonts w:ascii="Times New Roman" w:hAnsi="Times New Roman"/>
          <w:sz w:val="20"/>
        </w:rPr>
        <w:t xml:space="preserve">” shall have the meaning set forth in </w:t>
      </w:r>
      <w:r>
        <w:rPr>
          <w:rFonts w:ascii="Times New Roman" w:hAnsi="Times New Roman"/>
          <w:sz w:val="20"/>
          <w:u w:val="single"/>
        </w:rPr>
        <w:t>Section 2.01(i)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Second Capital Increase</w:t>
      </w:r>
      <w:r>
        <w:rPr>
          <w:rFonts w:ascii="Times New Roman" w:hAnsi="Times New Roman"/>
          <w:sz w:val="20"/>
        </w:rPr>
        <w:t xml:space="preserve">” shall have the meaning set forth in </w:t>
      </w:r>
      <w:r>
        <w:rPr>
          <w:rFonts w:ascii="Times New Roman" w:hAnsi="Times New Roman"/>
          <w:sz w:val="20"/>
          <w:u w:val="single"/>
        </w:rPr>
        <w:t>Section 2.08(c)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Company Shares</w:t>
      </w:r>
      <w:r>
        <w:rPr>
          <w:rFonts w:ascii="Times New Roman" w:hAnsi="Times New Roman"/>
          <w:sz w:val="20"/>
        </w:rPr>
        <w:t xml:space="preserve">” shall have the meaning set forth in </w:t>
      </w:r>
      <w:r>
        <w:rPr>
          <w:rFonts w:ascii="Times New Roman" w:hAnsi="Times New Roman"/>
          <w:sz w:val="20"/>
          <w:u w:val="single"/>
        </w:rPr>
        <w:t>Section 2.08(c)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 </w:t>
      </w:r>
    </w:p>
    <w:p>
      <w:pPr>
        <w:pStyle w:val="TextBody"/>
        <w:bidi w:val="0"/>
        <w:spacing w:before="240" w:after="0"/>
        <w:jc w:val="left"/>
        <w:rPr/>
      </w:pPr>
      <w:r>
        <w:rPr/>
        <w:t>“</w:t>
      </w:r>
      <w:r>
        <w:rPr>
          <w:rFonts w:ascii="Times New Roman" w:hAnsi="Times New Roman"/>
          <w:sz w:val="20"/>
          <w:u w:val="single"/>
        </w:rPr>
        <w:t>Signing Transactions</w:t>
      </w:r>
      <w:r>
        <w:rPr>
          <w:rFonts w:ascii="Times New Roman" w:hAnsi="Times New Roman"/>
          <w:sz w:val="20"/>
        </w:rPr>
        <w:t xml:space="preserve">” means the Transactions, excluding the Excluded Transactions. </w:t>
      </w:r>
    </w:p>
    <w:p>
      <w:pPr>
        <w:pStyle w:val="TextBody"/>
        <w:bidi w:val="0"/>
        <w:spacing w:before="240" w:after="0"/>
        <w:jc w:val="left"/>
        <w:rPr/>
      </w:pPr>
      <w:r>
        <w:rPr/>
        <w:t>“</w:t>
      </w:r>
      <w:r>
        <w:rPr>
          <w:rFonts w:ascii="Times New Roman" w:hAnsi="Times New Roman"/>
          <w:sz w:val="20"/>
          <w:u w:val="single"/>
        </w:rPr>
        <w:t>Subsequent Closing Date</w:t>
      </w:r>
      <w:r>
        <w:rPr>
          <w:rFonts w:ascii="Times New Roman" w:hAnsi="Times New Roman"/>
          <w:sz w:val="20"/>
        </w:rPr>
        <w:t xml:space="preserve">” has the meaning set forth in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Subsequent EGM</w:t>
      </w:r>
      <w:r>
        <w:rPr>
          <w:rFonts w:ascii="Times New Roman" w:hAnsi="Times New Roman"/>
          <w:sz w:val="20"/>
        </w:rPr>
        <w:t xml:space="preserve">” has the meaning set forth in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Subsequent Offering Period</w:t>
      </w:r>
      <w:r>
        <w:rPr>
          <w:rFonts w:ascii="Times New Roman" w:hAnsi="Times New Roman"/>
          <w:sz w:val="20"/>
        </w:rPr>
        <w:t xml:space="preserve">” shall have the meaning set forth in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 </w:t>
      </w:r>
    </w:p>
    <w:p>
      <w:pPr>
        <w:pStyle w:val="TextBody"/>
        <w:bidi w:val="0"/>
        <w:spacing w:before="240" w:after="0"/>
        <w:jc w:val="left"/>
        <w:rPr/>
      </w:pPr>
      <w:r>
        <w:rPr/>
        <w:t>“</w:t>
      </w:r>
      <w:r>
        <w:rPr>
          <w:rFonts w:ascii="Times New Roman" w:hAnsi="Times New Roman"/>
          <w:sz w:val="20"/>
          <w:u w:val="single"/>
        </w:rPr>
        <w:t>Subsidies</w:t>
      </w:r>
      <w:r>
        <w:rPr>
          <w:rFonts w:ascii="Times New Roman" w:hAnsi="Times New Roman"/>
          <w:sz w:val="20"/>
        </w:rPr>
        <w:t xml:space="preserve">” shall have the meaning set forth in </w:t>
      </w:r>
      <w:r>
        <w:rPr>
          <w:rFonts w:ascii="Times New Roman" w:hAnsi="Times New Roman"/>
          <w:sz w:val="20"/>
          <w:u w:val="single"/>
        </w:rPr>
        <w:t>Section 3.13(b)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 xml:space="preserve">bona fide </w:t>
      </w:r>
      <w:r>
        <w:rPr>
          <w:rFonts w:ascii="Times New Roman" w:hAnsi="Times New Roman"/>
          <w:sz w:val="20"/>
        </w:rPr>
        <w:t xml:space="preserve">unsolicited written Alternative Acquisition Proposal that is binding (subject only to the valid termination of this Agreement) and that did not result from a breach of </w:t>
      </w:r>
      <w:r>
        <w:rPr>
          <w:rFonts w:ascii="Times New Roman" w:hAnsi="Times New Roman"/>
          <w:sz w:val="20"/>
          <w:u w:val="single"/>
        </w:rPr>
        <w:t>Section 5.03</w:t>
      </w:r>
      <w:r>
        <w:rPr>
          <w:rFonts w:ascii="Times New Roman" w:hAnsi="Times New Roman"/>
          <w:sz w:val="20"/>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hAnsi="Times New Roman"/>
          <w:sz w:val="20"/>
          <w:u w:val="single"/>
        </w:rPr>
        <w:t>provided</w:t>
      </w:r>
      <w:r>
        <w:rPr>
          <w:rFonts w:ascii="Times New Roman" w:hAnsi="Times New Roman"/>
          <w:sz w:val="20"/>
        </w:rPr>
        <w:t xml:space="preserve">, that for purposes of this definition of “Superior Proposal,” the term “Alternative Acquisition Proposal” shall have the meaning assigned to such term herein, except that each reference to “twenty percent (20%)” shall be deemed to be a reference to “fifty percent (50%).”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Supervisory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hAnsi="Times New Roman"/>
          <w:i/>
          <w:sz w:val="20"/>
        </w:rPr>
        <w:t>Abgabenordnung</w:t>
      </w:r>
      <w:r>
        <w:rPr>
          <w:rFonts w:ascii="Times New Roman" w:hAnsi="Times New Roman"/>
          <w:sz w:val="20"/>
        </w:rPr>
        <w:t xml:space="preserve"> </w:t>
      </w:r>
      <w:r>
        <w:rPr>
          <w:rFonts w:ascii="Times New Roman" w:hAnsi="Times New Roman"/>
          <w:i/>
          <w:sz w:val="20"/>
        </w:rPr>
        <w:t>- AO</w:t>
      </w:r>
      <w:r>
        <w:rPr>
          <w:rFonts w:ascii="Times New Roman" w:hAnsi="Times New Roman"/>
          <w:sz w:val="20"/>
        </w:rPr>
        <w:t>), in each case irrespective of whether (A) owed as primary liability or as a secondary liability or (B) assessed, to be withheld or payable based on a contractual arrangement (</w:t>
      </w:r>
      <w:r>
        <w:rPr>
          <w:rFonts w:ascii="Times New Roman" w:hAnsi="Times New Roman"/>
          <w:i/>
          <w:sz w:val="20"/>
        </w:rPr>
        <w:t>e.g.</w:t>
      </w:r>
      <w:r>
        <w:rPr>
          <w:rFonts w:ascii="Times New Roman" w:hAnsi="Times New Roman"/>
          <w:sz w:val="20"/>
        </w:rPr>
        <w:t xml:space="preserve">, under a tax sharing agreement, a contractual guarantee or an indemnity).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means any Governmental Authority primarily responsible for the assessment or collection of Taxes, or the administration or enforcement of Tax Laws. </w:t>
      </w:r>
    </w:p>
    <w:p>
      <w:pPr>
        <w:pStyle w:val="TextBody"/>
        <w:bidi w:val="0"/>
        <w:spacing w:before="240" w:after="0"/>
        <w:jc w:val="left"/>
        <w:rPr/>
      </w:pPr>
      <w:r>
        <w:rPr/>
        <w:t>“</w:t>
      </w:r>
      <w:r>
        <w:rPr>
          <w:rFonts w:ascii="Times New Roman" w:hAnsi="Times New Roman"/>
          <w:sz w:val="20"/>
          <w:u w:val="single"/>
        </w:rPr>
        <w:t>Tender and Support Agreements</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including as defined in Section 13(d) of the 1934 Act, other than Buyer or any of its Affiliates. </w:t>
      </w:r>
    </w:p>
    <w:p>
      <w:pPr>
        <w:pStyle w:val="TextBody"/>
        <w:bidi w:val="0"/>
        <w:spacing w:before="240" w:after="0"/>
        <w:jc w:val="left"/>
        <w:rPr/>
      </w:pPr>
      <w:r>
        <w:rPr/>
        <w:t>“</w:t>
      </w:r>
      <w:r>
        <w:rPr>
          <w:rFonts w:ascii="Times New Roman" w:hAnsi="Times New Roman"/>
          <w:sz w:val="20"/>
          <w:u w:val="single"/>
        </w:rPr>
        <w:t>Trademarks</w:t>
      </w:r>
      <w:r>
        <w:rPr>
          <w:rFonts w:ascii="Times New Roman" w:hAnsi="Times New Roman"/>
          <w:sz w:val="20"/>
        </w:rPr>
        <w:t xml:space="preserve">” shall have the meaning set forth in the definition of “Intellectual Property Rights.”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shall have the meaning set forth in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excluding, with respect to the Company and its Subsidiaries, the New Topco U.S. Tax Election.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pPr>
      <w:r>
        <w:rPr/>
        <w:t>“</w:t>
      </w:r>
      <w:r>
        <w:rPr>
          <w:rFonts w:ascii="Times New Roman" w:hAnsi="Times New Roman"/>
          <w:sz w:val="20"/>
          <w:u w:val="single"/>
        </w:rPr>
        <w:t>UK Prospectus Document</w:t>
      </w:r>
      <w:r>
        <w:rPr>
          <w:rFonts w:ascii="Times New Roman" w:hAnsi="Times New Roman"/>
          <w:sz w:val="20"/>
        </w:rPr>
        <w:t xml:space="preserve">”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 </w:t>
      </w:r>
    </w:p>
    <w:p>
      <w:pPr>
        <w:pStyle w:val="TextBody"/>
        <w:bidi w:val="0"/>
        <w:spacing w:before="240" w:after="0"/>
        <w:jc w:val="left"/>
        <w:rPr/>
      </w:pPr>
      <w:r>
        <w:rPr/>
        <w:t>“</w:t>
      </w:r>
      <w:r>
        <w:rPr>
          <w:rFonts w:ascii="Times New Roman" w:hAnsi="Times New Roman"/>
          <w:sz w:val="20"/>
          <w:u w:val="single"/>
        </w:rPr>
        <w:t>UK Prospectus Regulation</w:t>
      </w:r>
      <w:r>
        <w:rPr>
          <w:rFonts w:ascii="Times New Roman" w:hAnsi="Times New Roman"/>
          <w:sz w:val="20"/>
        </w:rPr>
        <w:t xml:space="preserve">” means Regulation 2017/1129 of the European Parliament and of the Council of 14 June 2017 and its implementing legislation, as it forms part of U.K. law by virtue of the European Union (Withdrawal) Act 2018, as amended.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shall have the meaning set forth in </w:t>
      </w:r>
      <w:r>
        <w:rPr>
          <w:rFonts w:ascii="Times New Roman" w:hAnsi="Times New Roman"/>
          <w:sz w:val="20"/>
          <w:u w:val="single"/>
        </w:rPr>
        <w:t>Section 2.10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Willful Breach</w:t>
      </w:r>
      <w:r>
        <w:rPr>
          <w:rFonts w:ascii="Times New Roman" w:hAnsi="Times New Roman"/>
          <w:sz w:val="20"/>
        </w:rPr>
        <w:t xml:space="preserve">”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Definitional and Interpretative Provisions</w:t>
      </w:r>
      <w:r>
        <w:rPr>
          <w:rFonts w:ascii="Times New Roman" w:hAnsi="Times New Roman"/>
          <w:sz w:val="20"/>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hAnsi="Times New Roman"/>
          <w:sz w:val="20"/>
          <w:u w:val="single"/>
        </w:rPr>
        <w:t>Dollars</w:t>
      </w:r>
      <w:r>
        <w:rPr>
          <w:rFonts w:ascii="Times New Roman" w:hAnsi="Times New Roman"/>
          <w:sz w:val="20"/>
        </w:rPr>
        <w:t>” and “$” mean U.S. dollars and references to “” or “</w:t>
      </w:r>
      <w:r>
        <w:rPr>
          <w:rFonts w:ascii="Times New Roman" w:hAnsi="Times New Roman"/>
          <w:sz w:val="20"/>
          <w:u w:val="single"/>
        </w:rPr>
        <w:t>Euros</w:t>
      </w:r>
      <w:r>
        <w:rPr>
          <w:rFonts w:ascii="Times New Roman" w:hAnsi="Times New Roman"/>
          <w:sz w:val="20"/>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hAnsi="Times New Roman"/>
          <w:sz w:val="20"/>
          <w:u w:val="single"/>
        </w:rPr>
        <w:t>Exchange Rate</w:t>
      </w:r>
      <w:r>
        <w:rPr>
          <w:rFonts w:ascii="Times New Roman" w:hAnsi="Times New Roman"/>
          <w:sz w:val="20"/>
        </w:rPr>
        <w:t xml:space="preserve">”),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u w:val="single"/>
        </w:rPr>
        <w:t>THE OFFER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and provided that this Agreement shall not have been validly terminated pursuant to </w:t>
      </w:r>
      <w:r>
        <w:rPr>
          <w:rFonts w:ascii="Times New Roman" w:hAnsi="Times New Roman"/>
          <w:sz w:val="20"/>
          <w:u w:val="single"/>
        </w:rPr>
        <w:t>Article 8</w:t>
      </w:r>
      <w:r>
        <w:rPr>
          <w:rFonts w:ascii="Times New Roman" w:hAnsi="Times New Roman"/>
          <w:sz w:val="20"/>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(2nd)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hAnsi="Times New Roman"/>
          <w:sz w:val="20"/>
          <w:u w:val="single"/>
        </w:rPr>
        <w:t>Buyer ADS</w:t>
      </w:r>
      <w:r>
        <w:rPr>
          <w:rFonts w:ascii="Times New Roman" w:hAnsi="Times New Roman"/>
          <w:sz w:val="20"/>
        </w:rPr>
        <w:t>”), equal to the Exchange Ratio, without interest (the “</w:t>
      </w:r>
      <w:r>
        <w:rPr>
          <w:rFonts w:ascii="Times New Roman" w:hAnsi="Times New Roman"/>
          <w:sz w:val="20"/>
          <w:u w:val="single"/>
        </w:rPr>
        <w:t>Offer Consideration</w:t>
      </w:r>
      <w:r>
        <w:rPr>
          <w:rFonts w:ascii="Times New Roman" w:hAnsi="Times New Roman"/>
          <w:sz w:val="20"/>
        </w:rPr>
        <w:t xml:space="preserve">”), subject to the other provisions of this </w:t>
      </w:r>
      <w:r>
        <w:rPr>
          <w:rFonts w:ascii="Times New Roman" w:hAnsi="Times New Roman"/>
          <w:sz w:val="20"/>
          <w:u w:val="single"/>
        </w:rPr>
        <w:t>Article 2</w:t>
      </w:r>
      <w:r>
        <w:rPr>
          <w:rFonts w:ascii="Times New Roman" w:hAnsi="Times New Roman"/>
          <w:sz w:val="20"/>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hAnsi="Times New Roman"/>
          <w:sz w:val="20"/>
          <w:u w:val="single"/>
        </w:rPr>
        <w:t>Annex I</w:t>
      </w:r>
      <w:r>
        <w:rPr>
          <w:rFonts w:ascii="Times New Roman" w:hAnsi="Times New Roman"/>
          <w:sz w:val="20"/>
        </w:rPr>
        <w:t xml:space="preserve"> (the “</w:t>
      </w:r>
      <w:r>
        <w:rPr>
          <w:rFonts w:ascii="Times New Roman" w:hAnsi="Times New Roman"/>
          <w:sz w:val="20"/>
          <w:u w:val="single"/>
        </w:rPr>
        <w:t>Offer Conditions</w:t>
      </w:r>
      <w:r>
        <w:rPr>
          <w:rFonts w:ascii="Times New Roman" w:hAnsi="Times New Roman"/>
          <w:sz w:val="20"/>
        </w:rPr>
        <w:t>”). The date on which Buyer commences the Offer is referred to as the “</w:t>
      </w:r>
      <w:r>
        <w:rPr>
          <w:rFonts w:ascii="Times New Roman" w:hAnsi="Times New Roman"/>
          <w:sz w:val="20"/>
          <w:u w:val="single"/>
        </w:rPr>
        <w:t>Offer Commencement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accordance with the terms and conditions of this Agreement and subject to the satisfaction or waiver (to the extent such waiver is not prohibited by applicable Law) of the Offer Conditions, Buyer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promptly following the Expiration Time (but in any event within two (2) Business Days thereafter), accept for exchange (the time of acceptance for exchange, the “</w:t>
      </w:r>
      <w:r>
        <w:rPr>
          <w:rFonts w:ascii="Times New Roman" w:hAnsi="Times New Roman"/>
          <w:sz w:val="20"/>
          <w:u w:val="single"/>
        </w:rPr>
        <w:t>Acceptance Time</w:t>
      </w:r>
      <w:r>
        <w:rPr>
          <w:rFonts w:ascii="Times New Roman" w:hAnsi="Times New Roman"/>
          <w:sz w:val="20"/>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hAnsi="Times New Roman"/>
          <w:sz w:val="20"/>
          <w:u w:val="single"/>
        </w:rPr>
        <w:t>Closing</w:t>
      </w:r>
      <w:r>
        <w:rPr>
          <w:rFonts w:ascii="Times New Roman" w:hAnsi="Times New Roman"/>
          <w:sz w:val="20"/>
        </w:rPr>
        <w:t>”).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Buyer expressly reserves the right at any time to, in its sole discretion, waive, in whole or in part, any of the Offer Conditions and to make any change in the terms of, or conditions to, the Offer; </w:t>
      </w:r>
      <w:r>
        <w:rPr>
          <w:rFonts w:ascii="Times New Roman" w:hAnsi="Times New Roman"/>
          <w:sz w:val="20"/>
          <w:u w:val="single"/>
        </w:rPr>
        <w:t>provided</w:t>
      </w:r>
      <w:r>
        <w:rPr>
          <w:rFonts w:ascii="Times New Roman" w:hAnsi="Times New Roman"/>
          <w:sz w:val="20"/>
        </w:rPr>
        <w:t xml:space="preserve">, that, without the prior written consent of the Company, Buyer shall not: </w:t>
      </w:r>
    </w:p>
    <w:p>
      <w:pPr>
        <w:pStyle w:val="TextBody"/>
        <w:bidi w:val="0"/>
        <w:spacing w:before="120" w:after="0"/>
        <w:jc w:val="left"/>
        <w:rPr>
          <w:rFonts w:ascii="Times New Roman" w:hAnsi="Times New Roman"/>
          <w:sz w:val="20"/>
        </w:rPr>
      </w:pPr>
      <w:r>
        <w:rPr>
          <w:rFonts w:ascii="Times New Roman" w:hAnsi="Times New Roman"/>
          <w:sz w:val="20"/>
        </w:rPr>
        <w:t xml:space="preserve">(i) waive or change the Minimum Condition (except to the extent contemplated under </w:t>
      </w:r>
      <w:r>
        <w:rPr>
          <w:rFonts w:ascii="Times New Roman" w:hAnsi="Times New Roman"/>
          <w:sz w:val="20"/>
          <w:u w:val="single"/>
        </w:rPr>
        <w:t>paragraph (A)</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decrease the Offer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(iii) change the form of consideration to be paid in the Offer; </w:t>
      </w:r>
    </w:p>
    <w:p>
      <w:pPr>
        <w:pStyle w:val="TextBody"/>
        <w:bidi w:val="0"/>
        <w:spacing w:before="120" w:after="0"/>
        <w:jc w:val="left"/>
        <w:rPr>
          <w:rFonts w:ascii="Times New Roman" w:hAnsi="Times New Roman"/>
          <w:sz w:val="20"/>
        </w:rPr>
      </w:pPr>
      <w:r>
        <w:rPr>
          <w:rFonts w:ascii="Times New Roman" w:hAnsi="Times New Roman"/>
          <w:sz w:val="20"/>
        </w:rPr>
        <w:t xml:space="preserve">(iv) decrease the maximum number of Company Shares sought in the Offer; </w:t>
      </w:r>
    </w:p>
    <w:p>
      <w:pPr>
        <w:pStyle w:val="TextBody"/>
        <w:bidi w:val="0"/>
        <w:spacing w:before="120" w:after="0"/>
        <w:jc w:val="left"/>
        <w:rPr>
          <w:rFonts w:ascii="Times New Roman" w:hAnsi="Times New Roman"/>
          <w:sz w:val="20"/>
        </w:rPr>
      </w:pPr>
      <w:r>
        <w:rPr>
          <w:rFonts w:ascii="Times New Roman" w:hAnsi="Times New Roman"/>
          <w:sz w:val="20"/>
        </w:rPr>
        <w:t xml:space="preserve">(v) extend or otherwise change the Expiration Time, except as otherwise expressly provided in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(vi) impose additional Offer Conditions or otherwise amend, modify or supplement any of the Offer Conditions or terms of the Offer in a manner adverse to the holders of Company Shares. </w:t>
      </w:r>
    </w:p>
    <w:p>
      <w:pPr>
        <w:pStyle w:val="TextBody"/>
        <w:bidi w:val="0"/>
        <w:spacing w:before="240" w:after="0"/>
        <w:jc w:val="left"/>
        <w:rPr>
          <w:rFonts w:ascii="Times New Roman" w:hAnsi="Times New Roman"/>
          <w:sz w:val="20"/>
        </w:rPr>
      </w:pPr>
      <w:r>
        <w:rPr>
          <w:rFonts w:ascii="Times New Roman" w:hAnsi="Times New Roman"/>
          <w:sz w:val="20"/>
        </w:rPr>
        <w:t>(d) The Offer shall initially expire at 9:00 a.m. (New York City time), or at such other time as the Parties may mutually agree, on the date that is the later of (i) the twenty first (21st)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hAnsi="Times New Roman"/>
          <w:sz w:val="20"/>
          <w:u w:val="single"/>
        </w:rPr>
        <w:t>Initial Expiration Time</w:t>
      </w:r>
      <w:r>
        <w:rPr>
          <w:rFonts w:ascii="Times New Roman" w:hAnsi="Times New Roman"/>
          <w:sz w:val="20"/>
        </w:rPr>
        <w:t xml:space="preserve">”) or, if the Offer has been extended pursuant to and in accordance with </w:t>
      </w:r>
      <w:r>
        <w:rPr>
          <w:rFonts w:ascii="Times New Roman" w:hAnsi="Times New Roman"/>
          <w:sz w:val="20"/>
          <w:u w:val="single"/>
        </w:rPr>
        <w:t>Section 2.01(e)</w:t>
      </w:r>
      <w:r>
        <w:rPr>
          <w:rFonts w:ascii="Times New Roman" w:hAnsi="Times New Roman"/>
          <w:sz w:val="20"/>
        </w:rPr>
        <w:t>, the date and time to which the Offer has been so extended (the Initial Expiration Time, or such later expiration date and time to which the Offer has been so extended, the “</w:t>
      </w:r>
      <w:r>
        <w:rPr>
          <w:rFonts w:ascii="Times New Roman" w:hAnsi="Times New Roman"/>
          <w:sz w:val="20"/>
          <w:u w:val="single"/>
        </w:rPr>
        <w:t>Expiration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Article 8</w:t>
      </w:r>
      <w:r>
        <w:rPr>
          <w:rFonts w:ascii="Times New Roman" w:hAnsi="Times New Roman"/>
          <w:sz w:val="20"/>
        </w:rPr>
        <w:t xml:space="preserve">, Buyer may or shall, as applicable, extend the Offer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(i) Buyer shall extend the Offer for the minimum period as required by any rule, regulation, interpretation or position of the SEC, the staff thereof or Nasdaq, in any such case, which is applicable to the Offer; </w:t>
      </w:r>
    </w:p>
    <w:p>
      <w:pPr>
        <w:pStyle w:val="TextBody"/>
        <w:bidi w:val="0"/>
        <w:spacing w:before="120" w:after="0"/>
        <w:jc w:val="left"/>
        <w:rPr>
          <w:rFonts w:ascii="Times New Roman" w:hAnsi="Times New Roman"/>
          <w:sz w:val="20"/>
        </w:rPr>
      </w:pPr>
      <w:r>
        <w:rPr>
          <w:rFonts w:ascii="Times New Roman" w:hAnsi="Times New Roman"/>
          <w:sz w:val="20"/>
        </w:rPr>
        <w:t xml:space="preserve">(ii) 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hAnsi="Times New Roman"/>
          <w:sz w:val="20"/>
          <w:u w:val="single"/>
        </w:rPr>
        <w:t>provided</w:t>
      </w:r>
      <w:r>
        <w:rPr>
          <w:rFonts w:ascii="Times New Roman" w:hAnsi="Times New Roman"/>
          <w:sz w:val="20"/>
        </w:rPr>
        <w:t xml:space="preserve">, that if Buyer determines in good faith, after consultation with its outside legal counsel, that at any then-scheduled Expiration Time, the Offer Condition set forth in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is not reasonably likely to be satisfied within such ten (10) Business Day extension period, then Buyer may extend the Offer on such occasion for periods of up to twenty (20) Business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(x) Buyer shall not be required to extend the Offer to a date later than the End Date (as the End Date may be extended pursuant to </w:t>
      </w:r>
      <w:r>
        <w:rPr>
          <w:rFonts w:ascii="Times New Roman" w:hAnsi="Times New Roman"/>
          <w:sz w:val="20"/>
          <w:u w:val="single"/>
        </w:rPr>
        <w:t>Section 8.01(b)(i)</w:t>
      </w:r>
      <w:r>
        <w:rPr>
          <w:rFonts w:ascii="Times New Roman" w:hAnsi="Times New Roman"/>
          <w:sz w:val="20"/>
        </w:rPr>
        <w:t xml:space="preserve">) and (y) if the sole then-unsatisfied Offer Condition is the Minimum Condition, Buyer shall not be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extend the Offer on more than four (4) occasions in consecutive periods of up to ten (10) Business Days each (with each such period to end at 5:00 p.m. (New York City time) on the last Business Day of such period) (or such other duration as may be agreed to by Buyer and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(iii) 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 </w:t>
      </w:r>
    </w:p>
    <w:p>
      <w:pPr>
        <w:pStyle w:val="TextBody"/>
        <w:bidi w:val="0"/>
        <w:spacing w:before="120" w:after="0"/>
        <w:jc w:val="left"/>
        <w:rPr>
          <w:rFonts w:ascii="Times New Roman" w:hAnsi="Times New Roman"/>
          <w:sz w:val="20"/>
        </w:rPr>
      </w:pPr>
      <w:r>
        <w:rPr>
          <w:rFonts w:ascii="Times New Roman" w:hAnsi="Times New Roman"/>
          <w:sz w:val="20"/>
        </w:rPr>
        <w:t xml:space="preserve">(iv) Buyer may extend the Offer to such other date and time as may be mutually agreed by Buyer and the Company in writing. </w:t>
      </w:r>
    </w:p>
    <w:p>
      <w:pPr>
        <w:pStyle w:val="TextBody"/>
        <w:bidi w:val="0"/>
        <w:spacing w:before="240" w:after="0"/>
        <w:jc w:val="left"/>
        <w:rPr>
          <w:rFonts w:ascii="Times New Roman" w:hAnsi="Times New Roman"/>
          <w:sz w:val="20"/>
        </w:rPr>
      </w:pPr>
      <w:r>
        <w:rPr>
          <w:rFonts w:ascii="Times New Roman" w:hAnsi="Times New Roman"/>
          <w:sz w:val="20"/>
        </w:rPr>
        <w:t>(f) Following the Acceptance Time, Buyer shall (and the Offer Documents shall so indicate) provide a subsequent offering period (“</w:t>
      </w:r>
      <w:r>
        <w:rPr>
          <w:rFonts w:ascii="Times New Roman" w:hAnsi="Times New Roman"/>
          <w:sz w:val="20"/>
          <w:u w:val="single"/>
        </w:rPr>
        <w:t>Subsequent Offering Period</w:t>
      </w:r>
      <w:r>
        <w:rPr>
          <w:rFonts w:ascii="Times New Roman" w:hAnsi="Times New Roman"/>
          <w:sz w:val="20"/>
        </w:rPr>
        <w:t>”) in accordance with Rule 14d-11 promulgated under the 1934 Act of not less than ten (10) Business Days (calculated in accordance with Rule 14d-1(g)(3) promulgated under the 1934 Act). Buyer shall within ten (10) Business Days (calculated as set forth in 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hAnsi="Times New Roman"/>
          <w:sz w:val="20"/>
          <w:u w:val="single"/>
        </w:rPr>
        <w:t>Subsequent Closing Date</w:t>
      </w:r>
      <w:r>
        <w:rPr>
          <w:rFonts w:ascii="Times New Roman" w:hAnsi="Times New Roman"/>
          <w:sz w:val="20"/>
        </w:rPr>
        <w:t xml:space="preserve">.”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The Offer may not be terminated prior to the Initial Expiration Time or the then-scheduled Expiration Time (as the same may be extended pursuant to </w:t>
      </w:r>
      <w:r>
        <w:rPr>
          <w:rFonts w:ascii="Times New Roman" w:hAnsi="Times New Roman"/>
          <w:sz w:val="20"/>
          <w:u w:val="single"/>
        </w:rPr>
        <w:t>Section 2.01(e)</w:t>
      </w:r>
      <w:r>
        <w:rPr>
          <w:rFonts w:ascii="Times New Roman" w:hAnsi="Times New Roman"/>
          <w:sz w:val="20"/>
        </w:rPr>
        <w:t xml:space="preserve">) unless this Agreement is validly terminated pursuant to </w:t>
      </w:r>
      <w:r>
        <w:rPr>
          <w:rFonts w:ascii="Times New Roman" w:hAnsi="Times New Roman"/>
          <w:sz w:val="20"/>
          <w:u w:val="single"/>
        </w:rPr>
        <w:t>Section 8.01</w:t>
      </w:r>
      <w:r>
        <w:rPr>
          <w:rFonts w:ascii="Times New Roman" w:hAnsi="Times New Roman"/>
          <w:sz w:val="20"/>
        </w:rPr>
        <w:t xml:space="preserve">. If this Agreement is validly terminated pursuant to </w:t>
      </w:r>
      <w:r>
        <w:rPr>
          <w:rFonts w:ascii="Times New Roman" w:hAnsi="Times New Roman"/>
          <w:sz w:val="20"/>
          <w:u w:val="single"/>
        </w:rPr>
        <w:t>Section 8.01</w:t>
      </w:r>
      <w:r>
        <w:rPr>
          <w:rFonts w:ascii="Times New Roman" w:hAnsi="Times New Roman"/>
          <w:sz w:val="20"/>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hAnsi="Times New Roman"/>
          <w:sz w:val="20"/>
          <w:u w:val="single"/>
        </w:rPr>
        <w:t>Section 2.01(g)</w:t>
      </w:r>
      <w:r>
        <w:rPr>
          <w:rFonts w:ascii="Times New Roman" w:hAnsi="Times New Roman"/>
          <w:sz w:val="20"/>
        </w:rPr>
        <w:t xml:space="preserve"> shall affect any termination rights under </w:t>
      </w:r>
      <w:r>
        <w:rPr>
          <w:rFonts w:ascii="Times New Roman" w:hAnsi="Times New Roman"/>
          <w:sz w:val="20"/>
          <w:u w:val="single"/>
        </w:rPr>
        <w:t>Article 8</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hAnsi="Times New Roman"/>
          <w:sz w:val="20"/>
          <w:u w:val="single"/>
        </w:rPr>
        <w:t>Section 2.01(i)</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in the event that a UK Prospectus Document is required. </w:t>
      </w:r>
    </w:p>
    <w:p>
      <w:pPr>
        <w:pStyle w:val="TextBody"/>
        <w:bidi w:val="0"/>
        <w:spacing w:before="240" w:after="0"/>
        <w:jc w:val="left"/>
        <w:rPr>
          <w:rFonts w:ascii="Times New Roman" w:hAnsi="Times New Roman"/>
          <w:sz w:val="20"/>
        </w:rPr>
      </w:pPr>
      <w:r>
        <w:rPr>
          <w:rFonts w:ascii="Times New Roman" w:hAnsi="Times New Roman"/>
          <w:sz w:val="20"/>
        </w:rPr>
        <w:t>(j) No later than the Offer Commencement Date, Buyer shall (A) file with the SEC a Tender Offer Statement on Schedule TO with respect to the Offer (together with all amendments and supplements thereto and including exhibits thereto, the “</w:t>
      </w:r>
      <w:r>
        <w:rPr>
          <w:rFonts w:ascii="Times New Roman" w:hAnsi="Times New Roman"/>
          <w:sz w:val="20"/>
          <w:u w:val="single"/>
        </w:rPr>
        <w:t>Schedule TO</w:t>
      </w:r>
      <w:r>
        <w:rPr>
          <w:rFonts w:ascii="Times New Roman" w:hAnsi="Times New Roman"/>
          <w:sz w:val="20"/>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hAnsi="Times New Roman"/>
          <w:sz w:val="20"/>
          <w:u w:val="single"/>
        </w:rPr>
        <w:t>Offer Documents</w:t>
      </w:r>
      <w:r>
        <w:rPr>
          <w:rFonts w:ascii="Times New Roman" w:hAnsi="Times New Roman"/>
          <w:sz w:val="20"/>
        </w:rPr>
        <w:t>”); (B) 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hAnsi="Times New Roman"/>
          <w:sz w:val="20"/>
          <w:u w:val="single"/>
        </w:rPr>
        <w:t>Form F-4</w:t>
      </w:r>
      <w:r>
        <w:rPr>
          <w:rFonts w:ascii="Times New Roman" w:hAnsi="Times New Roman"/>
          <w:sz w:val="20"/>
        </w:rPr>
        <w:t xml:space="preserve">”).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Company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 (5) 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hAnsi="Times New Roman"/>
          <w:sz w:val="20"/>
          <w:u w:val="single"/>
        </w:rPr>
        <w:t>Article 2</w:t>
      </w:r>
      <w:r>
        <w:rPr>
          <w:rFonts w:ascii="Times New Roman" w:hAnsi="Times New Roman"/>
          <w:sz w:val="20"/>
        </w:rPr>
        <w:t xml:space="preserve">,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 </w:t>
      </w:r>
    </w:p>
    <w:p>
      <w:pPr>
        <w:pStyle w:val="TextBody"/>
        <w:bidi w:val="0"/>
        <w:spacing w:before="240" w:after="0"/>
        <w:jc w:val="left"/>
        <w:rPr>
          <w:rFonts w:ascii="Times New Roman" w:hAnsi="Times New Roman"/>
          <w:sz w:val="20"/>
        </w:rPr>
      </w:pPr>
      <w:r>
        <w:rPr>
          <w:rFonts w:ascii="Times New Roman" w:hAnsi="Times New Roman"/>
          <w:sz w:val="20"/>
        </w:rPr>
        <w:t>(b) 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hAnsi="Times New Roman"/>
          <w:sz w:val="20"/>
          <w:u w:val="single"/>
        </w:rPr>
        <w:t>Schedule 14D-9</w:t>
      </w:r>
      <w:r>
        <w:rPr>
          <w:rFonts w:ascii="Times New Roman" w:hAnsi="Times New Roman"/>
          <w:sz w:val="20"/>
        </w:rPr>
        <w:t xml:space="preserve">”) that, subject to </w:t>
      </w:r>
      <w:r>
        <w:rPr>
          <w:rFonts w:ascii="Times New Roman" w:hAnsi="Times New Roman"/>
          <w:sz w:val="20"/>
          <w:u w:val="single"/>
        </w:rPr>
        <w:t>Section 5.03(d)</w:t>
      </w:r>
      <w:r>
        <w:rPr>
          <w:rFonts w:ascii="Times New Roman" w:hAnsi="Times New Roman"/>
          <w:sz w:val="20"/>
        </w:rPr>
        <w:t xml:space="preserve">,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Prior VSOP Awards</w:t>
      </w:r>
      <w:r>
        <w:rPr>
          <w:rFonts w:ascii="Times New Roman" w:hAnsi="Times New Roman"/>
          <w:sz w:val="20"/>
        </w:rPr>
        <w:t xml:space="preserve">.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 (ii) any outstanding claims under the Company Prior VSOP Awards would be settled.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PSUs</w:t>
      </w:r>
      <w:r>
        <w:rPr>
          <w:rFonts w:ascii="Times New Roman" w:hAnsi="Times New Roman"/>
          <w:sz w:val="20"/>
        </w:rPr>
        <w:t xml:space="preserve">.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RSUs</w:t>
      </w:r>
      <w:r>
        <w:rPr>
          <w:rFonts w:ascii="Times New Roman" w:hAnsi="Times New Roman"/>
          <w:sz w:val="20"/>
        </w:rPr>
        <w:t xml:space="preserve">.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Options</w:t>
      </w:r>
      <w:r>
        <w:rPr>
          <w:rFonts w:ascii="Times New Roman" w:hAnsi="Times New Roman"/>
          <w:sz w:val="20"/>
        </w:rPr>
        <w:t xml:space="preserve">.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Transaction Bonus Grants</w:t>
      </w:r>
      <w:r>
        <w:rPr>
          <w:rFonts w:ascii="Times New Roman" w:hAnsi="Times New Roman"/>
          <w:sz w:val="20"/>
        </w:rPr>
        <w:t xml:space="preserve">. The Company and Buyer shall mutually agree on acceptable implementation of the transaction bonus grants as contemplated by, and in accordance with, </w:t>
      </w:r>
      <w:r>
        <w:rPr>
          <w:rFonts w:ascii="Times New Roman" w:hAnsi="Times New Roman"/>
          <w:sz w:val="20"/>
          <w:u w:val="single"/>
        </w:rPr>
        <w:t>Section 5.01(ii)(C)</w:t>
      </w:r>
      <w:r>
        <w:rPr>
          <w:rFonts w:ascii="Times New Roman" w:hAnsi="Times New Roman"/>
          <w:sz w:val="20"/>
        </w:rPr>
        <w:t xml:space="preserve"> of the Company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As soon as reasonably practicable following the date of this Agreement, and in any event prior to the Closing, the Company, the Company Boards and the Compensation Committee of the Supervisory Board (the “</w:t>
      </w:r>
      <w:r>
        <w:rPr>
          <w:rFonts w:ascii="Times New Roman" w:hAnsi="Times New Roman"/>
          <w:sz w:val="20"/>
          <w:u w:val="single"/>
        </w:rPr>
        <w:t>Compensation Committee</w:t>
      </w:r>
      <w:r>
        <w:rPr>
          <w:rFonts w:ascii="Times New Roman" w:hAnsi="Times New Roman"/>
          <w:sz w:val="20"/>
        </w:rPr>
        <w:t xml:space="preserve">”), as applicable, shall adopt any resolutions and amendments, provide such notices and take such other actions as may be necessary to effectuate the provisions of this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Extraordinary General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hold an extraordinary general meeting (the “</w:t>
      </w:r>
      <w:r>
        <w:rPr>
          <w:rFonts w:ascii="Times New Roman" w:hAnsi="Times New Roman"/>
          <w:sz w:val="20"/>
          <w:u w:val="single"/>
        </w:rPr>
        <w:t>EGM</w:t>
      </w:r>
      <w:r>
        <w:rPr>
          <w:rFonts w:ascii="Times New Roman" w:hAnsi="Times New Roman"/>
          <w:sz w:val="20"/>
        </w:rPr>
        <w:t xml:space="preserve">”) as promptly as practicable, but in any event within five (5) weeks following the Offer Commencement Date, to: </w:t>
      </w:r>
    </w:p>
    <w:p>
      <w:pPr>
        <w:pStyle w:val="TextBody"/>
        <w:bidi w:val="0"/>
        <w:spacing w:before="120" w:after="0"/>
        <w:jc w:val="left"/>
        <w:rPr>
          <w:rFonts w:ascii="Times New Roman" w:hAnsi="Times New Roman"/>
          <w:sz w:val="20"/>
        </w:rPr>
      </w:pPr>
      <w:r>
        <w:rPr>
          <w:rFonts w:ascii="Times New Roman" w:hAnsi="Times New Roman"/>
          <w:sz w:val="20"/>
        </w:rPr>
        <w:t xml:space="preserve">(i) provide information regarding the Offer; </w:t>
      </w:r>
    </w:p>
    <w:p>
      <w:pPr>
        <w:pStyle w:val="TextBody"/>
        <w:bidi w:val="0"/>
        <w:spacing w:before="120" w:after="0"/>
        <w:jc w:val="left"/>
        <w:rPr>
          <w:rFonts w:ascii="Times New Roman" w:hAnsi="Times New Roman"/>
          <w:sz w:val="20"/>
        </w:rPr>
      </w:pPr>
      <w:r>
        <w:rPr>
          <w:rFonts w:ascii="Times New Roman" w:hAnsi="Times New Roman"/>
          <w:sz w:val="20"/>
        </w:rPr>
        <w:t>(ii) adopt resolutions to, subject to (A) the Acceptance Time having occurred and the Subsequent Offering Period having expired and (B) 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hAnsi="Times New Roman"/>
          <w:i/>
          <w:sz w:val="20"/>
        </w:rPr>
        <w:t>geplaatst en uitstaand kapitaal</w:t>
      </w:r>
      <w:r>
        <w:rPr>
          <w:rFonts w:ascii="Times New Roman" w:hAnsi="Times New Roman"/>
          <w:sz w:val="20"/>
        </w:rPr>
        <w:t xml:space="preserve">) immediately prior to the Expiration Time, or, if Buyer has amended the Minimum Condition pursuant to paragraph (A) of </w:t>
      </w:r>
      <w:r>
        <w:rPr>
          <w:rFonts w:ascii="Times New Roman" w:hAnsi="Times New Roman"/>
          <w:sz w:val="20"/>
          <w:u w:val="single"/>
        </w:rPr>
        <w:t>Annex I</w:t>
      </w:r>
      <w:r>
        <w:rPr>
          <w:rFonts w:ascii="Times New Roman" w:hAnsi="Times New Roman"/>
          <w:sz w:val="20"/>
        </w:rPr>
        <w:t>, then at least seventy-five percent (75%) of the Company’s issued and outstanding share capital (</w:t>
      </w:r>
      <w:r>
        <w:rPr>
          <w:rFonts w:ascii="Times New Roman" w:hAnsi="Times New Roman"/>
          <w:i/>
          <w:sz w:val="20"/>
        </w:rPr>
        <w:t>geplaatst en uitstaand kapitaal</w:t>
      </w:r>
      <w:r>
        <w:rPr>
          <w:rFonts w:ascii="Times New Roman" w:hAnsi="Times New Roman"/>
          <w:sz w:val="20"/>
        </w:rPr>
        <w:t>) immediately prior to the Expiration Time (the “</w:t>
      </w:r>
      <w:r>
        <w:rPr>
          <w:rFonts w:ascii="Times New Roman" w:hAnsi="Times New Roman"/>
          <w:sz w:val="20"/>
          <w:u w:val="single"/>
        </w:rPr>
        <w:t>Post-Offer Reorganization Threshold</w:t>
      </w:r>
      <w:r>
        <w:rPr>
          <w:rFonts w:ascii="Times New Roman" w:hAnsi="Times New Roman"/>
          <w:sz w:val="20"/>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hAnsi="Times New Roman"/>
          <w:sz w:val="20"/>
          <w:u w:val="single"/>
        </w:rPr>
        <w:t>Post-Offer Reorganization Resolutions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hAnsi="Times New Roman"/>
          <w:sz w:val="20"/>
          <w:u w:val="single"/>
        </w:rPr>
        <w:t>Discharge Resolutions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adopt one or more resolutions effective upon the Closing (A) to appoint the new members of the Company Boards designated by Buyer pursuant to </w:t>
      </w:r>
      <w:r>
        <w:rPr>
          <w:rFonts w:ascii="Times New Roman" w:hAnsi="Times New Roman"/>
          <w:sz w:val="20"/>
          <w:u w:val="single"/>
        </w:rPr>
        <w:t>Section 2.05(b)</w:t>
      </w:r>
      <w:r>
        <w:rPr>
          <w:rFonts w:ascii="Times New Roman" w:hAnsi="Times New Roman"/>
          <w:sz w:val="20"/>
        </w:rPr>
        <w:t xml:space="preserve"> to replace the resigning members of the Company Boards as contemplated by </w:t>
      </w:r>
      <w:r>
        <w:rPr>
          <w:rFonts w:ascii="Times New Roman" w:hAnsi="Times New Roman"/>
          <w:sz w:val="20"/>
          <w:u w:val="single"/>
        </w:rPr>
        <w:t>Section 2.05</w:t>
      </w:r>
      <w:r>
        <w:rPr>
          <w:rFonts w:ascii="Times New Roman" w:hAnsi="Times New Roman"/>
          <w:sz w:val="20"/>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hAnsi="Times New Roman"/>
          <w:sz w:val="20"/>
          <w:u w:val="single"/>
        </w:rPr>
        <w:t>Section 2.05</w:t>
      </w:r>
      <w:r>
        <w:rPr>
          <w:rFonts w:ascii="Times New Roman" w:hAnsi="Times New Roman"/>
          <w:sz w:val="20"/>
        </w:rPr>
        <w:t xml:space="preserve"> prior to the convocation of the EGM, dismissing each such member of the Company Boards as of the Closing (the “</w:t>
      </w:r>
      <w:r>
        <w:rPr>
          <w:rFonts w:ascii="Times New Roman" w:hAnsi="Times New Roman"/>
          <w:sz w:val="20"/>
          <w:u w:val="single"/>
        </w:rPr>
        <w:t>Governance Resolutions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conduct such other business as may properly come before the meeting. </w:t>
      </w:r>
    </w:p>
    <w:p>
      <w:pPr>
        <w:pStyle w:val="TextBody"/>
        <w:bidi w:val="0"/>
        <w:spacing w:before="240" w:after="0"/>
        <w:jc w:val="left"/>
        <w:rPr>
          <w:rFonts w:ascii="Times New Roman" w:hAnsi="Times New Roman"/>
          <w:sz w:val="20"/>
        </w:rPr>
      </w:pPr>
      <w:r>
        <w:rPr>
          <w:rFonts w:ascii="Times New Roman" w:hAnsi="Times New Roman"/>
          <w:sz w:val="20"/>
        </w:rPr>
        <w:t>(b) Promptly after the date of this Agreement, the Company shall prepare appropriate materials for the EGM (together with any amendments and supplements thereto and any other documents required, the “</w:t>
      </w:r>
      <w:r>
        <w:rPr>
          <w:rFonts w:ascii="Times New Roman" w:hAnsi="Times New Roman"/>
          <w:sz w:val="20"/>
          <w:u w:val="single"/>
        </w:rPr>
        <w:t>EGM Materials</w:t>
      </w:r>
      <w:r>
        <w:rPr>
          <w:rFonts w:ascii="Times New Roman" w:hAnsi="Times New Roman"/>
          <w:sz w:val="20"/>
        </w:rPr>
        <w:t xml:space="preserve">”) relating to the matters set forth in </w:t>
      </w:r>
      <w:r>
        <w:rPr>
          <w:rFonts w:ascii="Times New Roman" w:hAnsi="Times New Roman"/>
          <w:sz w:val="20"/>
          <w:u w:val="single"/>
        </w:rPr>
        <w:t>Section 2.04(a)</w:t>
      </w:r>
      <w:r>
        <w:rPr>
          <w:rFonts w:ascii="Times New Roman" w:hAnsi="Times New Roman"/>
          <w:sz w:val="20"/>
        </w:rPr>
        <w:t xml:space="preserve">. Subject to </w:t>
      </w:r>
      <w:r>
        <w:rPr>
          <w:rFonts w:ascii="Times New Roman" w:hAnsi="Times New Roman"/>
          <w:sz w:val="20"/>
          <w:u w:val="single"/>
        </w:rPr>
        <w:t>Section 5.03(e)</w:t>
      </w:r>
      <w:r>
        <w:rPr>
          <w:rFonts w:ascii="Times New Roman" w:hAnsi="Times New Roman"/>
          <w:sz w:val="20"/>
        </w:rPr>
        <w:t xml:space="preserve">,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 promptly after receipt of those comments or other communications and (ii) a reasonable opportunity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consult with Buyer regarding the date of the EGM (or any Subsequent EGM) and, unless this Agreement is terminated in accordance with </w:t>
      </w:r>
      <w:r>
        <w:rPr>
          <w:rFonts w:ascii="Times New Roman" w:hAnsi="Times New Roman"/>
          <w:sz w:val="20"/>
          <w:u w:val="single"/>
        </w:rPr>
        <w:t>Section 8.01</w:t>
      </w:r>
      <w:r>
        <w:rPr>
          <w:rFonts w:ascii="Times New Roman" w:hAnsi="Times New Roman"/>
          <w:sz w:val="20"/>
        </w:rPr>
        <w:t xml:space="preserve">, shall not adjourn, postpone or cancel the EGM (or any Subsequent EGM) without the prior written consent of Buyer; </w:t>
      </w:r>
      <w:r>
        <w:rPr>
          <w:rFonts w:ascii="Times New Roman" w:hAnsi="Times New Roman"/>
          <w:sz w:val="20"/>
          <w:u w:val="single"/>
        </w:rPr>
        <w:t>provided</w:t>
      </w:r>
      <w:r>
        <w:rPr>
          <w:rFonts w:ascii="Times New Roman" w:hAnsi="Times New Roman"/>
          <w:sz w:val="20"/>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hAnsi="Times New Roman"/>
          <w:sz w:val="20"/>
          <w:u w:val="single"/>
        </w:rPr>
        <w:t>Section 2.04(a)</w:t>
      </w:r>
      <w:r>
        <w:rPr>
          <w:rFonts w:ascii="Times New Roman" w:hAnsi="Times New Roman"/>
          <w:sz w:val="20"/>
        </w:rPr>
        <w:t xml:space="preserve">,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ensure that the EGM (and any Subsequent EGM) is called, noticed, convened, held and conducted in compliance in all material respects with all applicable Laws. The approval of the matters set forth in </w:t>
      </w:r>
      <w:r>
        <w:rPr>
          <w:rFonts w:ascii="Times New Roman" w:hAnsi="Times New Roman"/>
          <w:sz w:val="20"/>
          <w:u w:val="single"/>
        </w:rPr>
        <w:t>Section 2.04(a)(i)-(iv)</w:t>
      </w:r>
      <w:r>
        <w:rPr>
          <w:rFonts w:ascii="Times New Roman" w:hAnsi="Times New Roman"/>
          <w:sz w:val="20"/>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the foregoing, but subject to the Company’s rights to terminate this Agreement in accordance with </w:t>
      </w:r>
      <w:r>
        <w:rPr>
          <w:rFonts w:ascii="Times New Roman" w:hAnsi="Times New Roman"/>
          <w:sz w:val="20"/>
          <w:u w:val="single"/>
        </w:rPr>
        <w:t>Section 8.01</w:t>
      </w:r>
      <w:r>
        <w:rPr>
          <w:rFonts w:ascii="Times New Roman" w:hAnsi="Times New Roman"/>
          <w:sz w:val="20"/>
        </w:rPr>
        <w:t xml:space="preserve">, the Company agrees that (i) its obligation to duly call, give notice of, convene and hold the EGM (and any Subsequent EGM) in accordance with and subject to the terms hereof and (ii) its obligations pursuant to this </w:t>
      </w:r>
      <w:r>
        <w:rPr>
          <w:rFonts w:ascii="Times New Roman" w:hAnsi="Times New Roman"/>
          <w:sz w:val="20"/>
          <w:u w:val="single"/>
        </w:rPr>
        <w:t>Section 2.04</w:t>
      </w:r>
      <w:r>
        <w:rPr>
          <w:rFonts w:ascii="Times New Roman" w:hAnsi="Times New Roman"/>
          <w:sz w:val="20"/>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hAnsi="Times New Roman"/>
          <w:sz w:val="20"/>
          <w:u w:val="single"/>
        </w:rPr>
        <w:t>Section 8.01</w:t>
      </w:r>
      <w:r>
        <w:rPr>
          <w:rFonts w:ascii="Times New Roman" w:hAnsi="Times New Roman"/>
          <w:sz w:val="20"/>
        </w:rPr>
        <w:t xml:space="preserve">, the Company agrees that it shall not submit to the vote of the shareholders of the Company any Alternative Acquisition Proposal (whether or not a Superior Proposal) or any matters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(f) At and prior to the EGM (and any Subsequent EGM), the Company shall use its reasonable best efforts to secure the approval of the matters set forth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Parties shall use their respective reasonable best efforts to ensure that the Supervisory Board will, as of the Closing, be comprised of the following individuals: </w:t>
      </w:r>
    </w:p>
    <w:p>
      <w:pPr>
        <w:pStyle w:val="TextBody"/>
        <w:bidi w:val="0"/>
        <w:spacing w:before="120" w:after="0"/>
        <w:jc w:val="left"/>
        <w:rPr>
          <w:rFonts w:ascii="Times New Roman" w:hAnsi="Times New Roman"/>
          <w:sz w:val="20"/>
        </w:rPr>
      </w:pPr>
      <w:r>
        <w:rPr>
          <w:rFonts w:ascii="Times New Roman" w:hAnsi="Times New Roman"/>
          <w:sz w:val="20"/>
        </w:rPr>
        <w:t xml:space="preserve">(i) 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 </w:t>
      </w:r>
    </w:p>
    <w:p>
      <w:pPr>
        <w:pStyle w:val="TextBody"/>
        <w:bidi w:val="0"/>
        <w:spacing w:before="120" w:after="0"/>
        <w:jc w:val="left"/>
        <w:rPr>
          <w:rFonts w:ascii="Times New Roman" w:hAnsi="Times New Roman"/>
          <w:sz w:val="20"/>
        </w:rPr>
      </w:pPr>
      <w:r>
        <w:rPr>
          <w:rFonts w:ascii="Times New Roman" w:hAnsi="Times New Roman"/>
          <w:sz w:val="20"/>
        </w:rPr>
        <w:t xml:space="preserve">(ii) 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hAnsi="Times New Roman"/>
          <w:sz w:val="20"/>
          <w:u w:val="single"/>
        </w:rPr>
        <w:t>Section 2.05(e)</w:t>
      </w:r>
      <w:r>
        <w:rPr>
          <w:rFonts w:ascii="Times New Roman" w:hAnsi="Times New Roman"/>
          <w:sz w:val="20"/>
        </w:rPr>
        <w:t>, “</w:t>
      </w:r>
      <w:r>
        <w:rPr>
          <w:rFonts w:ascii="Times New Roman" w:hAnsi="Times New Roman"/>
          <w:sz w:val="20"/>
          <w:u w:val="single"/>
        </w:rPr>
        <w:t>Independent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use reasonable best efforts to procure that Supervisory Board members who are not (x) individuals designated in writing by Buyer in accordance with </w:t>
      </w:r>
      <w:r>
        <w:rPr>
          <w:rFonts w:ascii="Times New Roman" w:hAnsi="Times New Roman"/>
          <w:sz w:val="20"/>
          <w:u w:val="single"/>
        </w:rPr>
        <w:t>Section 2.05(b)(i)</w:t>
      </w:r>
      <w:r>
        <w:rPr>
          <w:rFonts w:ascii="Times New Roman" w:hAnsi="Times New Roman"/>
          <w:sz w:val="20"/>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hAnsi="Times New Roman"/>
          <w:sz w:val="20"/>
          <w:u w:val="single"/>
        </w:rPr>
        <w:t>Subsequent EGM</w:t>
      </w:r>
      <w:r>
        <w:rPr>
          <w:rFonts w:ascii="Times New Roman" w:hAnsi="Times New Roman"/>
          <w:sz w:val="20"/>
        </w:rPr>
        <w:t xml:space="preserve">”), which shall take place at a date reasonably acceptable to Buyer, at which the Governance Resolutions or the Post-Offer Reorganization Resolutions, or the additional resolutions as referred to above shall be considered or reconsidered,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(e) 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hAnsi="Times New Roman"/>
          <w:sz w:val="20"/>
          <w:u w:val="single"/>
        </w:rPr>
        <w:t>Section 2.05(d)</w:t>
      </w:r>
      <w:r>
        <w:rPr>
          <w:rFonts w:ascii="Times New Roman" w:hAnsi="Times New Roman"/>
          <w:sz w:val="20"/>
        </w:rPr>
        <w:t xml:space="preserve">,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 </w:t>
      </w:r>
    </w:p>
    <w:p>
      <w:pPr>
        <w:pStyle w:val="TextBody"/>
        <w:bidi w:val="0"/>
        <w:spacing w:before="240" w:after="0"/>
        <w:jc w:val="left"/>
        <w:rPr>
          <w:rFonts w:ascii="Times New Roman" w:hAnsi="Times New Roman"/>
          <w:sz w:val="20"/>
        </w:rPr>
      </w:pPr>
      <w:r>
        <w:rPr>
          <w:rFonts w:ascii="Times New Roman" w:hAnsi="Times New Roman"/>
          <w:sz w:val="20"/>
        </w:rPr>
        <w:t xml:space="preserve">(f) Buyer shall supply to the Company in writing any information regarding the individuals designated by Buyer in accordance with </w:t>
      </w:r>
      <w:r>
        <w:rPr>
          <w:rFonts w:ascii="Times New Roman" w:hAnsi="Times New Roman"/>
          <w:sz w:val="20"/>
          <w:u w:val="single"/>
        </w:rPr>
        <w:t>Section 2.05(a)</w:t>
      </w:r>
      <w:r>
        <w:rPr>
          <w:rFonts w:ascii="Times New Roman" w:hAnsi="Times New Roman"/>
          <w:sz w:val="20"/>
        </w:rPr>
        <w:t xml:space="preserve"> and </w:t>
      </w:r>
      <w:r>
        <w:rPr>
          <w:rFonts w:ascii="Times New Roman" w:hAnsi="Times New Roman"/>
          <w:sz w:val="20"/>
          <w:u w:val="single"/>
        </w:rPr>
        <w:t>Section (b)(i)</w:t>
      </w:r>
      <w:r>
        <w:rPr>
          <w:rFonts w:ascii="Times New Roman" w:hAnsi="Times New Roman"/>
          <w:sz w:val="20"/>
        </w:rPr>
        <w:t xml:space="preserve">, as is required by applicable Laws in connection with the appointment of those individuals the respective Company Boards, and Buyer shall be solely responsible for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the discharge contemplated by </w:t>
      </w:r>
      <w:r>
        <w:rPr>
          <w:rFonts w:ascii="Times New Roman" w:hAnsi="Times New Roman"/>
          <w:sz w:val="20"/>
          <w:u w:val="single"/>
        </w:rPr>
        <w:t>Section 2.04(a)(iii)</w:t>
      </w:r>
      <w:r>
        <w:rPr>
          <w:rFonts w:ascii="Times New Roman" w:hAnsi="Times New Roman"/>
          <w:sz w:val="20"/>
        </w:rPr>
        <w:t xml:space="preserve">,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resignation of an Independent Director, cause such Independent Director to be fully and finally discharged for his or her acts of supervision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 other required vote, the affirmative vote of the Independent Directors shall also be required for approving: </w:t>
      </w:r>
    </w:p>
    <w:p>
      <w:pPr>
        <w:pStyle w:val="TextBody"/>
        <w:bidi w:val="0"/>
        <w:spacing w:before="120" w:after="0"/>
        <w:jc w:val="left"/>
        <w:rPr>
          <w:rFonts w:ascii="Times New Roman" w:hAnsi="Times New Roman"/>
          <w:sz w:val="20"/>
        </w:rPr>
      </w:pPr>
      <w:r>
        <w:rPr>
          <w:rFonts w:ascii="Times New Roman" w:hAnsi="Times New Roman"/>
          <w:sz w:val="20"/>
        </w:rPr>
        <w:t xml:space="preserve">(i) 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hAnsi="Times New Roman"/>
          <w:i/>
          <w:sz w:val="20"/>
        </w:rPr>
        <w:t>pro rata</w:t>
      </w:r>
      <w:r>
        <w:rPr>
          <w:rFonts w:ascii="Times New Roman" w:hAnsi="Times New Roman"/>
          <w:sz w:val="20"/>
        </w:rPr>
        <w:t xml:space="preserve"> in accordance with their then existing shareholding in the Company (</w:t>
      </w:r>
      <w:r>
        <w:rPr>
          <w:rFonts w:ascii="Times New Roman" w:hAnsi="Times New Roman"/>
          <w:i/>
          <w:sz w:val="20"/>
        </w:rPr>
        <w:t>voorkeursrecht</w:t>
      </w:r>
      <w:r>
        <w:rPr>
          <w:rFonts w:ascii="Times New Roman" w:hAnsi="Times New Roman"/>
          <w:sz w:val="20"/>
        </w:rPr>
        <w:t xml:space="preserve">), or (B) the Post-Offer Reorganization; and </w:t>
      </w:r>
    </w:p>
    <w:p>
      <w:pPr>
        <w:pStyle w:val="TextBody"/>
        <w:bidi w:val="0"/>
        <w:spacing w:before="120" w:after="0"/>
        <w:jc w:val="left"/>
        <w:rPr>
          <w:rFonts w:ascii="Times New Roman" w:hAnsi="Times New Roman"/>
          <w:sz w:val="20"/>
        </w:rPr>
      </w:pPr>
      <w:r>
        <w:rPr>
          <w:rFonts w:ascii="Times New Roman" w:hAnsi="Times New Roman"/>
          <w:sz w:val="20"/>
        </w:rPr>
        <w:t xml:space="preserve">(ii) 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Further Actions</w:t>
      </w:r>
      <w:r>
        <w:rPr>
          <w:rFonts w:ascii="Times New Roman" w:hAnsi="Times New Roman"/>
          <w:sz w:val="20"/>
        </w:rPr>
        <w:t xml:space="preserve">.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the Company, (i) the convening of the necessary meetings of the Company’s general meeting and the Company Boards or any committee thereof (including the EGM (and any Subsequent EGM) referenced in, and to the extent required by, </w:t>
      </w:r>
      <w:r>
        <w:rPr>
          <w:rFonts w:ascii="Times New Roman" w:hAnsi="Times New Roman"/>
          <w:sz w:val="20"/>
          <w:u w:val="single"/>
        </w:rPr>
        <w:t>Section 2.04</w:t>
      </w:r>
      <w:r>
        <w:rPr>
          <w:rFonts w:ascii="Times New Roman" w:hAnsi="Times New Roman"/>
          <w:sz w:val="20"/>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hAnsi="Times New Roman"/>
          <w:sz w:val="20"/>
          <w:u w:val="single"/>
        </w:rPr>
        <w:t>Section 2.04</w:t>
      </w:r>
      <w:r>
        <w:rPr>
          <w:rFonts w:ascii="Times New Roman" w:hAnsi="Times New Roman"/>
          <w:sz w:val="20"/>
        </w:rPr>
        <w:t xml:space="preserve">, in each case as set forth in </w:t>
      </w:r>
      <w:r>
        <w:rPr>
          <w:rFonts w:ascii="Times New Roman" w:hAnsi="Times New Roman"/>
          <w:sz w:val="20"/>
          <w:u w:val="single"/>
        </w:rPr>
        <w:t>Section 2.04</w:t>
      </w:r>
      <w:r>
        <w:rPr>
          <w:rFonts w:ascii="Times New Roman" w:hAnsi="Times New Roman"/>
          <w:sz w:val="20"/>
        </w:rPr>
        <w:t xml:space="preserve">, subject to </w:t>
      </w:r>
      <w:r>
        <w:rPr>
          <w:rFonts w:ascii="Times New Roman" w:hAnsi="Times New Roman"/>
          <w:sz w:val="20"/>
          <w:u w:val="single"/>
        </w:rPr>
        <w:t>Section 2.07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Buyer and the Company, subject to </w:t>
      </w:r>
      <w:r>
        <w:rPr>
          <w:rFonts w:ascii="Times New Roman" w:hAnsi="Times New Roman"/>
          <w:sz w:val="20"/>
          <w:u w:val="single"/>
        </w:rPr>
        <w:t>Section 2.07</w:t>
      </w:r>
      <w:r>
        <w:rPr>
          <w:rFonts w:ascii="Times New Roman" w:hAnsi="Times New Roman"/>
          <w:sz w:val="20"/>
        </w:rPr>
        <w:t xml:space="preserve">,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Post-Offer Reorganization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following the closing of the Subsequent Offering Period, Buyer shall effectuate, or cause to be effectuated, in which case the Company and its Subsidiaries shall effectuate, a corporate reorganization (the “</w:t>
      </w:r>
      <w:r>
        <w:rPr>
          <w:rFonts w:ascii="Times New Roman" w:hAnsi="Times New Roman"/>
          <w:sz w:val="20"/>
          <w:u w:val="single"/>
        </w:rPr>
        <w:t>Post-Offer Reorganization</w:t>
      </w:r>
      <w:r>
        <w:rPr>
          <w:rFonts w:ascii="Times New Roman" w:hAnsi="Times New Roman"/>
          <w:sz w:val="20"/>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hAnsi="Times New Roman"/>
          <w:sz w:val="20"/>
          <w:u w:val="single"/>
        </w:rPr>
        <w:t>Section 2.07</w:t>
      </w:r>
      <w:r>
        <w:rPr>
          <w:rFonts w:ascii="Times New Roman" w:hAnsi="Times New Roman"/>
          <w:sz w:val="20"/>
        </w:rPr>
        <w:t xml:space="preserve">, including being subject to the adoption of the Post-Offer Reorganization Resolutions at the EGM or any Subsequent EGM). Buyer shall effectuate, or cause to be effectuated, the New Topco U.S. Tax Election to be effective after the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If the Post-Offer Reorganization Resolutions have been adopted at the EGM or any Subsequent EGM, the Post-Offer Reorganization Threshold has been achieved, and the Subsequent Offering Period has expired, the Parties shall take the following steps in the following order: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 </w:t>
      </w:r>
    </w:p>
    <w:p>
      <w:pPr>
        <w:pStyle w:val="TextBody"/>
        <w:bidi w:val="0"/>
        <w:spacing w:before="120" w:after="0"/>
        <w:jc w:val="left"/>
        <w:rPr>
          <w:rFonts w:ascii="Times New Roman" w:hAnsi="Times New Roman"/>
          <w:sz w:val="20"/>
        </w:rPr>
      </w:pPr>
      <w:r>
        <w:rPr>
          <w:rFonts w:ascii="Times New Roman" w:hAnsi="Times New Roman"/>
          <w:sz w:val="20"/>
        </w:rPr>
        <w:t xml:space="preserve">(iii) prior to the Cancellation Effective Time, New Topco and Buyer shall consummate the Post-Downstream Merger Share Sale; </w:t>
      </w:r>
    </w:p>
    <w:p>
      <w:pPr>
        <w:pStyle w:val="TextBody"/>
        <w:bidi w:val="0"/>
        <w:spacing w:before="120" w:after="0"/>
        <w:jc w:val="left"/>
        <w:rPr>
          <w:rFonts w:ascii="Times New Roman" w:hAnsi="Times New Roman"/>
          <w:sz w:val="20"/>
        </w:rPr>
      </w:pPr>
      <w:r>
        <w:rPr>
          <w:rFonts w:ascii="Times New Roman" w:hAnsi="Times New Roman"/>
          <w:sz w:val="20"/>
        </w:rPr>
        <w:t xml:space="preserve">(iv) 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 </w:t>
      </w:r>
    </w:p>
    <w:p>
      <w:pPr>
        <w:pStyle w:val="TextBody"/>
        <w:bidi w:val="0"/>
        <w:spacing w:before="120" w:after="0"/>
        <w:jc w:val="left"/>
        <w:rPr>
          <w:rFonts w:ascii="Times New Roman" w:hAnsi="Times New Roman"/>
          <w:sz w:val="20"/>
        </w:rPr>
      </w:pPr>
      <w:r>
        <w:rPr>
          <w:rFonts w:ascii="Times New Roman" w:hAnsi="Times New Roman"/>
          <w:sz w:val="20"/>
        </w:rPr>
        <w:t xml:space="preserve">(v) New Topco shall effect the Cancellation at the Cancellation Effective Time; and </w:t>
      </w:r>
    </w:p>
    <w:p>
      <w:pPr>
        <w:pStyle w:val="TextBody"/>
        <w:bidi w:val="0"/>
        <w:spacing w:before="120" w:after="0"/>
        <w:jc w:val="left"/>
        <w:rPr>
          <w:rFonts w:ascii="Times New Roman" w:hAnsi="Times New Roman"/>
          <w:sz w:val="20"/>
        </w:rPr>
      </w:pPr>
      <w:r>
        <w:rPr>
          <w:rFonts w:ascii="Times New Roman" w:hAnsi="Times New Roman"/>
          <w:sz w:val="20"/>
        </w:rPr>
        <w:t xml:space="preserve">(vi) Buyer shall cause the New Topco U.S. Tax Election to be effective as of the day following the completion of the Cancellation. </w:t>
      </w:r>
    </w:p>
    <w:p>
      <w:pPr>
        <w:pStyle w:val="TextBody"/>
        <w:bidi w:val="0"/>
        <w:spacing w:before="240" w:after="0"/>
        <w:jc w:val="left"/>
        <w:rPr>
          <w:rFonts w:ascii="Times New Roman" w:hAnsi="Times New Roman"/>
          <w:sz w:val="20"/>
        </w:rPr>
      </w:pPr>
      <w:r>
        <w:rPr>
          <w:rFonts w:ascii="Times New Roman" w:hAnsi="Times New Roman"/>
          <w:sz w:val="20"/>
        </w:rPr>
        <w:t xml:space="preserve">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w:t>
      </w:r>
      <w:r>
        <w:rPr>
          <w:rFonts w:ascii="Times New Roman" w:hAnsi="Times New Roman"/>
          <w:sz w:val="20"/>
          <w:u w:val="single"/>
        </w:rPr>
        <w:t>Section 2.07</w:t>
      </w:r>
      <w:r>
        <w:rPr>
          <w:rFonts w:ascii="Times New Roman" w:hAnsi="Times New Roman"/>
          <w:sz w:val="20"/>
        </w:rPr>
        <w:t xml:space="preserve">,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Exchange of Company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Acceptance Time, Buyer shall appoint a bank or trust company reasonably acceptable to the Company to act as exchange agent (such exchange agent, which, if practicable, shall also be the depositary pursuant to the Offer, the “</w:t>
      </w:r>
      <w:r>
        <w:rPr>
          <w:rFonts w:ascii="Times New Roman" w:hAnsi="Times New Roman"/>
          <w:sz w:val="20"/>
          <w:u w:val="single"/>
        </w:rPr>
        <w:t>Exchange Agent</w:t>
      </w:r>
      <w:r>
        <w:rPr>
          <w:rFonts w:ascii="Times New Roman" w:hAnsi="Times New Roman"/>
          <w:sz w:val="20"/>
        </w:rPr>
        <w:t>”) for the delivery of the Offer Consideration and shall enter into an agreement (the “</w:t>
      </w:r>
      <w:r>
        <w:rPr>
          <w:rFonts w:ascii="Times New Roman" w:hAnsi="Times New Roman"/>
          <w:sz w:val="20"/>
          <w:u w:val="single"/>
        </w:rPr>
        <w:t>Exchange Agent Agreement</w:t>
      </w:r>
      <w:r>
        <w:rPr>
          <w:rFonts w:ascii="Times New Roman" w:hAnsi="Times New Roman"/>
          <w:sz w:val="20"/>
        </w:rPr>
        <w:t xml:space="preserve">”)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(b) Promptly after the Acceptance Time, but no later than on the fifth (5th) Business Day thereafter, Buyer shall make all required declarations and filings to effect the increase of Buyer’s share capital required for the exchange of the First Company Shares for the Offer Consideration (the “</w:t>
      </w:r>
      <w:r>
        <w:rPr>
          <w:rFonts w:ascii="Times New Roman" w:hAnsi="Times New Roman"/>
          <w:sz w:val="20"/>
          <w:u w:val="single"/>
        </w:rPr>
        <w:t>First Capital Increase</w:t>
      </w:r>
      <w:r>
        <w:rPr>
          <w:rFonts w:ascii="Times New Roman" w:hAnsi="Times New Roman"/>
          <w:sz w:val="20"/>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hAnsi="Times New Roman"/>
          <w:sz w:val="20"/>
          <w:u w:val="single"/>
        </w:rPr>
        <w:t>First Company Shares</w:t>
      </w:r>
      <w:r>
        <w:rPr>
          <w:rFonts w:ascii="Times New Roman" w:hAnsi="Times New Roman"/>
          <w:sz w:val="20"/>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hAnsi="Times New Roman"/>
          <w:sz w:val="20"/>
          <w:u w:val="single"/>
        </w:rPr>
        <w:t>Section 2.08(b)</w:t>
      </w:r>
      <w:r>
        <w:rPr>
          <w:rFonts w:ascii="Times New Roman" w:hAnsi="Times New Roman"/>
          <w:sz w:val="20"/>
        </w:rPr>
        <w:t xml:space="preserve"> and </w:t>
      </w:r>
      <w:r>
        <w:rPr>
          <w:rFonts w:ascii="Times New Roman" w:hAnsi="Times New Roman"/>
          <w:sz w:val="20"/>
          <w:u w:val="single"/>
        </w:rPr>
        <w:t>Section 2.08(c)</w:t>
      </w:r>
      <w:r>
        <w:rPr>
          <w:rFonts w:ascii="Times New Roman" w:hAnsi="Times New Roman"/>
          <w:sz w:val="20"/>
        </w:rPr>
        <w:t>, together with any dividends or distributions with respect thereto, the “</w:t>
      </w:r>
      <w:r>
        <w:rPr>
          <w:rFonts w:ascii="Times New Roman" w:hAnsi="Times New Roman"/>
          <w:sz w:val="20"/>
          <w:u w:val="single"/>
        </w:rPr>
        <w:t>Exchange Fund</w:t>
      </w:r>
      <w:r>
        <w:rPr>
          <w:rFonts w:ascii="Times New Roman" w:hAnsi="Times New Roman"/>
          <w:sz w:val="20"/>
        </w:rPr>
        <w:t xml:space="preserve">”). The Exchange Agent shall, pursuant to irrevocable instructions, deliver such Buyer ADSs contemplated to be issued pursuant to </w:t>
      </w:r>
      <w:r>
        <w:rPr>
          <w:rFonts w:ascii="Times New Roman" w:hAnsi="Times New Roman"/>
          <w:sz w:val="20"/>
          <w:u w:val="single"/>
        </w:rPr>
        <w:t xml:space="preserve">Section 2.01(b) </w:t>
      </w:r>
      <w:r>
        <w:rPr>
          <w:rFonts w:ascii="Times New Roman" w:hAnsi="Times New Roman"/>
          <w:sz w:val="20"/>
        </w:rPr>
        <w:t xml:space="preserve">to the relevant (former) holders of First Company Shares. </w:t>
      </w:r>
    </w:p>
    <w:p>
      <w:pPr>
        <w:pStyle w:val="TextBody"/>
        <w:bidi w:val="0"/>
        <w:spacing w:before="240" w:after="0"/>
        <w:jc w:val="left"/>
        <w:rPr>
          <w:rFonts w:ascii="Times New Roman" w:hAnsi="Times New Roman"/>
          <w:sz w:val="20"/>
        </w:rPr>
      </w:pPr>
      <w:r>
        <w:rPr>
          <w:rFonts w:ascii="Times New Roman" w:hAnsi="Times New Roman"/>
          <w:sz w:val="20"/>
        </w:rPr>
        <w:t>(c) Promptly after the expiration of the Subsequent Offering Period, but no later than on the fifth (5th) Business Day thereafter, Buyer shall make all required declarations and filings to effect the increase of Buyer’s share capital required for the exchange of the Second Company Shares for the Offer Consideration (the “</w:t>
      </w:r>
      <w:r>
        <w:rPr>
          <w:rFonts w:ascii="Times New Roman" w:hAnsi="Times New Roman"/>
          <w:sz w:val="20"/>
          <w:u w:val="single"/>
        </w:rPr>
        <w:t>Second Capital Increase</w:t>
      </w:r>
      <w:r>
        <w:rPr>
          <w:rFonts w:ascii="Times New Roman" w:hAnsi="Times New Roman"/>
          <w:sz w:val="20"/>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hAnsi="Times New Roman"/>
          <w:sz w:val="20"/>
          <w:u w:val="single"/>
        </w:rPr>
        <w:t>Second Company Shares</w:t>
      </w:r>
      <w:r>
        <w:rPr>
          <w:rFonts w:ascii="Times New Roman" w:hAnsi="Times New Roman"/>
          <w:sz w:val="20"/>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hAnsi="Times New Roman"/>
          <w:sz w:val="20"/>
          <w:u w:val="single"/>
        </w:rPr>
        <w:t>Section 2.01(b)</w:t>
      </w:r>
      <w:r>
        <w:rPr>
          <w:rFonts w:ascii="Times New Roman" w:hAnsi="Times New Roman"/>
          <w:sz w:val="20"/>
        </w:rPr>
        <w:t xml:space="preserve"> to the relevant (former) holders of Second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(d) 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 (iii) 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hAnsi="Times New Roman"/>
          <w:sz w:val="20"/>
          <w:u w:val="single"/>
        </w:rPr>
        <w:t>Fractional ADS Cash Amount</w:t>
      </w:r>
      <w:r>
        <w:rPr>
          <w:rFonts w:ascii="Times New Roman" w:hAnsi="Times New Roman"/>
          <w:sz w:val="20"/>
        </w:rPr>
        <w:t xml:space="preserve">”).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 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 </w:t>
      </w:r>
    </w:p>
    <w:p>
      <w:pPr>
        <w:pStyle w:val="TextBody"/>
        <w:bidi w:val="0"/>
        <w:spacing w:before="240" w:after="0"/>
        <w:jc w:val="left"/>
        <w:rPr>
          <w:rFonts w:ascii="Times New Roman" w:hAnsi="Times New Roman"/>
          <w:sz w:val="20"/>
        </w:rPr>
      </w:pPr>
      <w:r>
        <w:rPr>
          <w:rFonts w:ascii="Times New Roman" w:hAnsi="Times New Roman"/>
          <w:sz w:val="20"/>
        </w:rPr>
        <w:t xml:space="preserve">(g) The Exchange Agent shall not be entitled to vote or exercise any rights of ownership with respect to Buyer Shares or Buyer ADSs held by the Exchange Agent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hAnsi="Times New Roman"/>
          <w:sz w:val="20"/>
          <w:u w:val="single"/>
        </w:rPr>
        <w:t>Article 2</w:t>
      </w:r>
      <w:r>
        <w:rPr>
          <w:rFonts w:ascii="Times New Roman" w:hAnsi="Times New Roman"/>
          <w:sz w:val="20"/>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(i) 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hAnsi="Times New Roman"/>
          <w:sz w:val="20"/>
          <w:u w:val="single"/>
        </w:rPr>
        <w:t>Aggregate Withholding Amount</w:t>
      </w:r>
      <w:r>
        <w:rPr>
          <w:rFonts w:ascii="Times New Roman" w:hAnsi="Times New Roman"/>
          <w:sz w:val="20"/>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hAnsi="Times New Roman"/>
          <w:sz w:val="20"/>
          <w:u w:val="single"/>
        </w:rPr>
        <w:t>Buyer ADSs Sale</w:t>
      </w:r>
      <w:r>
        <w:rPr>
          <w:rFonts w:ascii="Times New Roman" w:hAnsi="Times New Roman"/>
          <w:sz w:val="20"/>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hAnsi="Times New Roman"/>
          <w:sz w:val="20"/>
          <w:u w:val="single"/>
        </w:rPr>
        <w:t>provided</w:t>
      </w:r>
      <w:r>
        <w:rPr>
          <w:rFonts w:ascii="Times New Roman" w:hAnsi="Times New Roman"/>
          <w:sz w:val="20"/>
        </w:rPr>
        <w:t xml:space="preserve"> that the Buyer shall be entitled to any surplus if the amount thereof is </w:t>
      </w:r>
      <w:r>
        <w:rPr>
          <w:rFonts w:ascii="Times New Roman" w:hAnsi="Times New Roman"/>
          <w:i/>
          <w:sz w:val="20"/>
        </w:rPr>
        <w:t>de minimis</w:t>
      </w:r>
      <w:r>
        <w:rPr>
          <w:rFonts w:ascii="Times New Roman" w:hAnsi="Times New Roman"/>
          <w:sz w:val="20"/>
        </w:rPr>
        <w:t xml:space="preserve">,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Fractional ADS Cash Amount in lieu of fractional Buyer ADSs, if any. As a result the Exchange Agent shall, pursuant to the Cancellation, (x) 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hAnsi="Times New Roman"/>
          <w:i/>
          <w:sz w:val="20"/>
        </w:rPr>
        <w:t>minus</w:t>
      </w:r>
      <w:r>
        <w:rPr>
          <w:rFonts w:ascii="Times New Roman" w:hAnsi="Times New Roman"/>
          <w:sz w:val="20"/>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Adjustments</w:t>
      </w:r>
      <w:r>
        <w:rPr>
          <w:rFonts w:ascii="Times New Roman" w:hAnsi="Times New Roman"/>
          <w:sz w:val="20"/>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hAnsi="Times New Roman"/>
          <w:sz w:val="20"/>
          <w:u w:val="single"/>
        </w:rPr>
        <w:t>provided</w:t>
      </w:r>
      <w:r>
        <w:rPr>
          <w:rFonts w:ascii="Times New Roman" w:hAnsi="Times New Roman"/>
          <w:sz w:val="20"/>
        </w:rPr>
        <w:t xml:space="preserve">, that, in any case, nothing in this </w:t>
      </w:r>
      <w:r>
        <w:rPr>
          <w:rFonts w:ascii="Times New Roman" w:hAnsi="Times New Roman"/>
          <w:sz w:val="20"/>
          <w:u w:val="single"/>
        </w:rPr>
        <w:t>Section 2.09</w:t>
      </w:r>
      <w:r>
        <w:rPr>
          <w:rFonts w:ascii="Times New Roman" w:hAnsi="Times New Roman"/>
          <w:sz w:val="20"/>
        </w:rPr>
        <w:t xml:space="preserve"> shall be construed to permit the Company to take any action with respect to its securities that is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Withholding</w:t>
      </w:r>
      <w:r>
        <w:rPr>
          <w:rFonts w:ascii="Times New Roman" w:hAnsi="Times New Roman"/>
          <w:sz w:val="20"/>
        </w:rPr>
        <w:t>. The Company, New Topco, any of their respective Subsidiaries, the Exchange Agent, any paying agent or custodian of holders of Company Shares or New Topco A Shares, and any of their respective Affiliates or agents (each, a “</w:t>
      </w:r>
      <w:r>
        <w:rPr>
          <w:rFonts w:ascii="Times New Roman" w:hAnsi="Times New Roman"/>
          <w:sz w:val="20"/>
          <w:u w:val="single"/>
        </w:rPr>
        <w:t>Withholding Agent</w:t>
      </w:r>
      <w:r>
        <w:rPr>
          <w:rFonts w:ascii="Times New Roman" w:hAnsi="Times New Roman"/>
          <w:sz w:val="20"/>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hAnsi="Times New Roman"/>
          <w:i/>
          <w:sz w:val="20"/>
        </w:rPr>
        <w:t>Wet op de dividendbelasting</w:t>
      </w:r>
      <w:r>
        <w:rPr>
          <w:rFonts w:ascii="Times New Roman" w:hAnsi="Times New Roman"/>
          <w:sz w:val="20"/>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Transfer Taxes</w:t>
      </w:r>
      <w:r>
        <w:rPr>
          <w:rFonts w:ascii="Times New Roman" w:hAnsi="Times New Roman"/>
          <w:sz w:val="20"/>
        </w:rPr>
        <w:t xml:space="preserve">.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u w:val="single"/>
        </w:rPr>
        <w:t>REPRESENTATIONS AND WARRANTIES OF THE COMPANY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(a) set forth in any Company SEC Documents publicly available on or after January 1, 2022 and at least two (2) Business Days prior to the date of this Agreement (but excluding any forward-looking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Corporate Existence and Power</w:t>
      </w:r>
      <w:r>
        <w:rPr>
          <w:rFonts w:ascii="Times New Roman" w:hAnsi="Times New Roman"/>
          <w:sz w:val="20"/>
        </w:rPr>
        <w:t xml:space="preserve">.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Corporate Authorization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hAnsi="Times New Roman"/>
          <w:sz w:val="20"/>
          <w:u w:val="single"/>
        </w:rPr>
        <w:t>Section 2.04(a)(i)</w:t>
      </w:r>
      <w:r>
        <w:rPr>
          <w:rFonts w:ascii="Times New Roman" w:hAnsi="Times New Roman"/>
          <w:sz w:val="20"/>
        </w:rPr>
        <w:t>-</w:t>
      </w:r>
      <w:r>
        <w:rPr>
          <w:rFonts w:ascii="Times New Roman" w:hAnsi="Times New Roman"/>
          <w:sz w:val="20"/>
          <w:u w:val="single"/>
        </w:rPr>
        <w:t>(iv)</w:t>
      </w:r>
      <w:r>
        <w:rPr>
          <w:rFonts w:ascii="Times New Roman" w:hAnsi="Times New Roman"/>
          <w:sz w:val="20"/>
        </w:rPr>
        <w:t xml:space="preserve">,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 the resolutions described in </w:t>
      </w:r>
      <w:r>
        <w:rPr>
          <w:rFonts w:ascii="Times New Roman" w:hAnsi="Times New Roman"/>
          <w:sz w:val="20"/>
          <w:u w:val="single"/>
        </w:rPr>
        <w:t>Section 2.04(a)(i)</w:t>
      </w:r>
      <w:r>
        <w:rPr>
          <w:rFonts w:ascii="Times New Roman" w:hAnsi="Times New Roman"/>
          <w:sz w:val="20"/>
        </w:rPr>
        <w:t>-</w:t>
      </w:r>
      <w:r>
        <w:rPr>
          <w:rFonts w:ascii="Times New Roman" w:hAnsi="Times New Roman"/>
          <w:sz w:val="20"/>
          <w:u w:val="single"/>
        </w:rPr>
        <w:t>(iv)</w:t>
      </w:r>
      <w:r>
        <w:rPr>
          <w:rFonts w:ascii="Times New Roman" w:hAnsi="Times New Roman"/>
          <w:sz w:val="20"/>
        </w:rPr>
        <w:t xml:space="preserve">, (ii) of resolutions of the general meeting of New Topco to effect the Legal Downstream Merger and (iii) 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hAnsi="Times New Roman"/>
          <w:sz w:val="20"/>
          <w:u w:val="single"/>
        </w:rPr>
        <w:t>Section 5.03(d)</w:t>
      </w:r>
      <w:r>
        <w:rPr>
          <w:rFonts w:ascii="Times New Roman" w:hAnsi="Times New Roman"/>
          <w:sz w:val="20"/>
        </w:rPr>
        <w:t xml:space="preserve">, to support the Offer and the other Signing Transactions and to recommend acceptance of the Offer by the shareholders of the Company and to recommend approval and adoption of the matters set forth in </w:t>
      </w:r>
      <w:r>
        <w:rPr>
          <w:rFonts w:ascii="Times New Roman" w:hAnsi="Times New Roman"/>
          <w:sz w:val="20"/>
          <w:u w:val="single"/>
        </w:rPr>
        <w:t>Section 2.04(a)</w:t>
      </w:r>
      <w:r>
        <w:rPr>
          <w:rFonts w:ascii="Times New Roman" w:hAnsi="Times New Roman"/>
          <w:sz w:val="20"/>
        </w:rPr>
        <w:t xml:space="preserve"> (such recommendation, the “</w:t>
      </w:r>
      <w:r>
        <w:rPr>
          <w:rFonts w:ascii="Times New Roman" w:hAnsi="Times New Roman"/>
          <w:sz w:val="20"/>
          <w:u w:val="single"/>
        </w:rPr>
        <w:t>Company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Authorization</w:t>
      </w:r>
      <w:r>
        <w:rPr>
          <w:rFonts w:ascii="Times New Roman" w:hAnsi="Times New Roman"/>
          <w:sz w:val="20"/>
        </w:rPr>
        <w:t xml:space="preserve">.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Non-contravention</w:t>
      </w:r>
      <w:r>
        <w:rPr>
          <w:rFonts w:ascii="Times New Roman" w:hAnsi="Times New Roman"/>
          <w:sz w:val="20"/>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hAnsi="Times New Roman"/>
          <w:sz w:val="20"/>
          <w:u w:val="single"/>
        </w:rPr>
        <w:t>Section 3.03</w:t>
      </w:r>
      <w:r>
        <w:rPr>
          <w:rFonts w:ascii="Times New Roman" w:hAnsi="Times New Roman"/>
          <w:sz w:val="20"/>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hAnsi="Times New Roman"/>
          <w:sz w:val="20"/>
          <w:u w:val="single"/>
        </w:rPr>
        <w:t>Section 3.03</w:t>
      </w:r>
      <w:r>
        <w:rPr>
          <w:rFonts w:ascii="Times New Roman" w:hAnsi="Times New Roman"/>
          <w:sz w:val="20"/>
        </w:rPr>
        <w:t xml:space="preserve">,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(b) 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3.05(a) of the Company Letter</w:t>
      </w:r>
      <w:r>
        <w:rPr>
          <w:rFonts w:ascii="Times New Roman" w:hAnsi="Times New Roman"/>
          <w:sz w:val="20"/>
        </w:rPr>
        <w:t xml:space="preserve">, there are no issued or obligations to issue (i) shares in the share capital of the Company or other voting securities of or ownership interests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hAnsi="Times New Roman"/>
          <w:sz w:val="20"/>
          <w:u w:val="single"/>
        </w:rPr>
        <w:t>clauses</w:t>
      </w:r>
      <w:r>
        <w:rPr>
          <w:rFonts w:ascii="Times New Roman" w:hAnsi="Times New Roman"/>
          <w:sz w:val="20"/>
        </w:rPr>
        <w:t> (</w:t>
      </w:r>
      <w:r>
        <w:rPr>
          <w:rFonts w:ascii="Times New Roman" w:hAnsi="Times New Roman"/>
          <w:sz w:val="20"/>
          <w:u w:val="single"/>
        </w:rPr>
        <w:t>i) through (iv)</w:t>
      </w:r>
      <w:r>
        <w:rPr>
          <w:rFonts w:ascii="Times New Roman" w:hAnsi="Times New Roman"/>
          <w:sz w:val="20"/>
        </w:rPr>
        <w:t> being referred to collectively as the “</w:t>
      </w:r>
      <w:r>
        <w:rPr>
          <w:rFonts w:ascii="Times New Roman" w:hAnsi="Times New Roman"/>
          <w:sz w:val="20"/>
          <w:u w:val="single"/>
        </w:rPr>
        <w:t>Company Securities</w:t>
      </w:r>
      <w:r>
        <w:rPr>
          <w:rFonts w:ascii="Times New Roman" w:hAnsi="Times New Roman"/>
          <w:sz w:val="20"/>
        </w:rPr>
        <w:t xml:space="preserve">”).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3.05</w:t>
      </w:r>
      <w:r>
        <w:rPr>
          <w:rFonts w:ascii="Times New Roman" w:hAnsi="Times New Roman"/>
          <w:sz w:val="20"/>
        </w:rPr>
        <w:t xml:space="preserve">(d)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 (iv) 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All dividends and other distributions (including dividend equivalents) on any Company Securities that have been declared or authorized for payment prior to the date of this Agreement have been paid in full (net of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hAnsi="Times New Roman"/>
          <w:sz w:val="20"/>
          <w:u w:val="single"/>
        </w:rPr>
        <w:t>Section 3.06(a)</w:t>
      </w:r>
      <w:r>
        <w:rPr>
          <w:rFonts w:ascii="Times New Roman" w:hAnsi="Times New Roman"/>
          <w:sz w:val="20"/>
        </w:rPr>
        <w:t xml:space="preserve"> of the Company Letter and the Company Subsidiary Securities issued and outstanding and Company Subsidiary Securities held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3.06(b)</w:t>
      </w:r>
      <w:r>
        <w:rPr>
          <w:rFonts w:ascii="Times New Roman" w:hAnsi="Times New Roman"/>
          <w:sz w:val="20"/>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hAnsi="Times New Roman"/>
          <w:sz w:val="20"/>
          <w:u w:val="single"/>
        </w:rPr>
        <w:t>clauses (i) through (iv)</w:t>
      </w:r>
      <w:r>
        <w:rPr>
          <w:rFonts w:ascii="Times New Roman" w:hAnsi="Times New Roman"/>
          <w:sz w:val="20"/>
        </w:rPr>
        <w:t> being referred to collectively as the “</w:t>
      </w:r>
      <w:r>
        <w:rPr>
          <w:rFonts w:ascii="Times New Roman" w:hAnsi="Times New Roman"/>
          <w:sz w:val="20"/>
          <w:u w:val="single"/>
        </w:rPr>
        <w:t>Company Subsidiary Securities</w:t>
      </w:r>
      <w:r>
        <w:rPr>
          <w:rFonts w:ascii="Times New Roman" w:hAnsi="Times New Roman"/>
          <w:sz w:val="20"/>
        </w:rPr>
        <w:t xml:space="preserve">”).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SEC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hAnsi="Times New Roman"/>
          <w:sz w:val="20"/>
          <w:u w:val="single"/>
        </w:rPr>
        <w:t>Company SEC Documents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(c) 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(i) there are no outstanding or unresolved comments in comment letters received from the SEC or its staff and (ii) to the knowledge of the Company, none of the Company SEC Documents is the subject of an ongoing SEC review. </w:t>
      </w:r>
    </w:p>
    <w:p>
      <w:pPr>
        <w:pStyle w:val="TextBody"/>
        <w:bidi w:val="0"/>
        <w:spacing w:before="240" w:after="0"/>
        <w:jc w:val="left"/>
        <w:rPr>
          <w:rFonts w:ascii="Times New Roman" w:hAnsi="Times New Roman"/>
          <w:sz w:val="20"/>
        </w:rPr>
      </w:pPr>
      <w:r>
        <w:rPr>
          <w:rFonts w:ascii="Times New Roman" w:hAnsi="Times New Roman"/>
          <w:sz w:val="20"/>
        </w:rPr>
        <w:t xml:space="preserve">(e) No Subsidiary of the Company is subject to the periodic reporting requirements of the 1934 Act or is otherwise required to file any periodic forms, reports, schedules, statements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2022, the consolidated financial statements (not including the Dutch statutory accounts) of the Company (including any related notes thereto) included or incorporated by reference in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(i) 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 </w:t>
      </w:r>
    </w:p>
    <w:p>
      <w:pPr>
        <w:pStyle w:val="TextBody"/>
        <w:bidi w:val="0"/>
        <w:spacing w:before="120" w:after="0"/>
        <w:jc w:val="left"/>
        <w:rPr>
          <w:rFonts w:ascii="Times New Roman" w:hAnsi="Times New Roman"/>
          <w:sz w:val="20"/>
        </w:rPr>
      </w:pPr>
      <w:r>
        <w:rPr>
          <w:rFonts w:ascii="Times New Roman" w:hAnsi="Times New Roman"/>
          <w:sz w:val="20"/>
        </w:rPr>
        <w:t xml:space="preserve">(ii) were prepared in accordance with IFRS applied on a consistent basis (except as may be indicated in the notes to those financial statements); and </w:t>
      </w:r>
    </w:p>
    <w:p>
      <w:pPr>
        <w:pStyle w:val="TextBody"/>
        <w:bidi w:val="0"/>
        <w:spacing w:before="120" w:after="0"/>
        <w:jc w:val="left"/>
        <w:rPr>
          <w:rFonts w:ascii="Times New Roman" w:hAnsi="Times New Roman"/>
          <w:sz w:val="20"/>
        </w:rPr>
      </w:pPr>
      <w:r>
        <w:rPr>
          <w:rFonts w:ascii="Times New Roman" w:hAnsi="Times New Roman"/>
          <w:sz w:val="20"/>
        </w:rPr>
        <w:t xml:space="preserve">(iii) fairly presented (except as may be indicated in the notes thereto and subject in the case of unaudited statements to normal 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2022, there has been no change in the Company’s accounting methods or principles that would be required to be disclosed in the Company’s financial statements in accordance with IFRS, except as described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 (i) 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made available to Buyer true, complete and correct copies of any such disclosure contemplated as of the date of this Agreement by </w:t>
      </w:r>
      <w:r>
        <w:rPr>
          <w:rFonts w:ascii="Times New Roman" w:hAnsi="Times New Roman"/>
          <w:sz w:val="20"/>
          <w:u w:val="single"/>
        </w:rPr>
        <w:t>clauses (A) and (B)</w:t>
      </w:r>
      <w:r>
        <w:rPr>
          <w:rFonts w:ascii="Times New Roman" w:hAnsi="Times New Roman"/>
          <w:sz w:val="20"/>
        </w:rPr>
        <w:t xml:space="preserve"> in </w:t>
      </w:r>
      <w:r>
        <w:rPr>
          <w:rFonts w:ascii="Times New Roman" w:hAnsi="Times New Roman"/>
          <w:sz w:val="20"/>
          <w:u w:val="single"/>
        </w:rPr>
        <w:t>Section 3.09(b)(ii)</w:t>
      </w:r>
      <w:r>
        <w:rPr>
          <w:rFonts w:ascii="Times New Roman" w:hAnsi="Times New Roman"/>
          <w:sz w:val="20"/>
        </w:rPr>
        <w:t xml:space="preserve"> made by management to the Company’s independent auditors and to the audit committee of the Supervisory Board since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(d) At all times since the acceptance by Nasdaq of the Company’s application for the listing of its Company Shares thereon, the Company has been in compliance in all material respects with the applicable listing and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Disclosure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hAnsi="Times New Roman"/>
          <w:sz w:val="20"/>
          <w:u w:val="single"/>
        </w:rPr>
        <w:t>Company Disclosure Documents</w:t>
      </w:r>
      <w:r>
        <w:rPr>
          <w:rFonts w:ascii="Times New Roman" w:hAnsi="Times New Roman"/>
          <w:sz w:val="20"/>
        </w:rPr>
        <w:t xml:space="preserve">”), when filed, distributed or disseminated, as applicable, will comply as to form in all material respects with the applicable requirements of the 1934 Act and other applicable Law governing the preparation, distribution and dissemination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hAnsi="Times New Roman"/>
          <w:sz w:val="20"/>
          <w:u w:val="single"/>
        </w:rPr>
        <w:t>Section 3.10</w:t>
      </w:r>
      <w:r>
        <w:rPr>
          <w:rFonts w:ascii="Times New Roman" w:hAnsi="Times New Roman"/>
          <w:sz w:val="20"/>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December 31, 2024, until the date of this Agreement, there has not been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hAnsi="Times New Roman"/>
          <w:sz w:val="20"/>
          <w:u w:val="single"/>
        </w:rPr>
        <w:t>Section 5.01(f)</w:t>
      </w:r>
      <w:r>
        <w:rPr>
          <w:rFonts w:ascii="Times New Roman" w:hAnsi="Times New Roman"/>
          <w:sz w:val="20"/>
        </w:rPr>
        <w:t xml:space="preserve">, </w:t>
      </w:r>
      <w:r>
        <w:rPr>
          <w:rFonts w:ascii="Times New Roman" w:hAnsi="Times New Roman"/>
          <w:sz w:val="20"/>
          <w:u w:val="single"/>
        </w:rPr>
        <w:t>Section 5.01(l)</w:t>
      </w:r>
      <w:r>
        <w:rPr>
          <w:rFonts w:ascii="Times New Roman" w:hAnsi="Times New Roman"/>
          <w:sz w:val="20"/>
        </w:rPr>
        <w:t xml:space="preserve">, </w:t>
      </w:r>
      <w:r>
        <w:rPr>
          <w:rFonts w:ascii="Times New Roman" w:hAnsi="Times New Roman"/>
          <w:sz w:val="20"/>
          <w:u w:val="single"/>
        </w:rPr>
        <w:t>Section 5.01(p)</w:t>
      </w:r>
      <w:r>
        <w:rPr>
          <w:rFonts w:ascii="Times New Roman" w:hAnsi="Times New Roman"/>
          <w:sz w:val="20"/>
        </w:rPr>
        <w:t xml:space="preserve">, </w:t>
      </w:r>
      <w:r>
        <w:rPr>
          <w:rFonts w:ascii="Times New Roman" w:hAnsi="Times New Roman"/>
          <w:sz w:val="20"/>
          <w:u w:val="single"/>
        </w:rPr>
        <w:t>Section 5.01(q)</w:t>
      </w:r>
      <w:r>
        <w:rPr>
          <w:rFonts w:ascii="Times New Roman" w:hAnsi="Times New Roman"/>
          <w:sz w:val="20"/>
        </w:rPr>
        <w:t xml:space="preserve"> or</w:t>
      </w:r>
      <w:r>
        <w:rPr>
          <w:rFonts w:ascii="Times New Roman" w:hAnsi="Times New Roman"/>
          <w:sz w:val="20"/>
          <w:u w:val="single"/>
        </w:rPr>
        <w:t xml:space="preserve"> Section 5.01(r)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No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3.12(a)</w:t>
      </w:r>
      <w:r>
        <w:rPr>
          <w:rFonts w:ascii="Times New Roman" w:hAnsi="Times New Roman"/>
          <w:sz w:val="20"/>
        </w:rPr>
        <w:t xml:space="preserve"> of the Company Letter, as of December 31, 2024, there were no, and since such date there have not been any, liabilities or obligations of any kind, whether accrued, contingent, absolute, inchoate or otherwise (each a “</w:t>
      </w:r>
      <w:r>
        <w:rPr>
          <w:rFonts w:ascii="Times New Roman" w:hAnsi="Times New Roman"/>
          <w:sz w:val="20"/>
          <w:u w:val="single"/>
        </w:rPr>
        <w:t>Liability</w:t>
      </w:r>
      <w:r>
        <w:rPr>
          <w:rFonts w:ascii="Times New Roman" w:hAnsi="Times New Roman"/>
          <w:sz w:val="20"/>
        </w:rPr>
        <w:t>,” and, collectively, “</w:t>
      </w:r>
      <w:r>
        <w:rPr>
          <w:rFonts w:ascii="Times New Roman" w:hAnsi="Times New Roman"/>
          <w:sz w:val="20"/>
          <w:u w:val="single"/>
        </w:rPr>
        <w:t>Liabilities</w:t>
      </w:r>
      <w:r>
        <w:rPr>
          <w:rFonts w:ascii="Times New Roman" w:hAnsi="Times New Roman"/>
          <w:sz w:val="20"/>
        </w:rPr>
        <w:t xml:space="preserve">”), of the Company or any of its Subsidiaries that would be required to be reflected or reserved against in a consolidated balance sheet of the Company and its consolidated Subsidiaries prepared in accordance with IFRS or in the notes thereto, other than: </w:t>
      </w:r>
    </w:p>
    <w:p>
      <w:pPr>
        <w:pStyle w:val="TextBody"/>
        <w:bidi w:val="0"/>
        <w:spacing w:before="120" w:after="0"/>
        <w:jc w:val="left"/>
        <w:rPr>
          <w:rFonts w:ascii="Times New Roman" w:hAnsi="Times New Roman"/>
          <w:sz w:val="20"/>
        </w:rPr>
      </w:pPr>
      <w:r>
        <w:rPr>
          <w:rFonts w:ascii="Times New Roman" w:hAnsi="Times New Roman"/>
          <w:sz w:val="20"/>
        </w:rPr>
        <w:t xml:space="preserve">(i) Liabilities disclosed or recorded on the Company Balance Sheet or the notes thereto set forth in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(ii) Liabilities incurred since December 31, 2024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(iii) Liabilities incurred in connection with the Transactions or as expressly permitted or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Liabilities and obligations solely between the Company and its wholly-owned Subsidiaries or among wholly-owned Subsidiaries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(v) other Liabilities that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Compliance with Laws; Regulatory Matters; Healthcare Laws; Subsidies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3.13(b)</w:t>
      </w:r>
      <w:r>
        <w:rPr>
          <w:rFonts w:ascii="Times New Roman" w:hAnsi="Times New Roman"/>
          <w:sz w:val="20"/>
        </w:rPr>
        <w:t xml:space="preserve"> of the Company Letter, since January 1, 2020, neither the Company nor any of its Subsidiaries has received any public grants, allowances or other subsidies (the “</w:t>
      </w:r>
      <w:r>
        <w:rPr>
          <w:rFonts w:ascii="Times New Roman" w:hAnsi="Times New Roman"/>
          <w:sz w:val="20"/>
          <w:u w:val="single"/>
        </w:rPr>
        <w:t>Subsidies</w:t>
      </w:r>
      <w:r>
        <w:rPr>
          <w:rFonts w:ascii="Times New Roman" w:hAnsi="Times New Roman"/>
          <w:sz w:val="20"/>
        </w:rPr>
        <w:t xml:space="preserve">”).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 </w:t>
      </w:r>
    </w:p>
    <w:p>
      <w:pPr>
        <w:pStyle w:val="TextBody"/>
        <w:bidi w:val="0"/>
        <w:spacing w:before="240" w:after="0"/>
        <w:jc w:val="left"/>
        <w:rPr>
          <w:rFonts w:ascii="Times New Roman" w:hAnsi="Times New Roman"/>
          <w:sz w:val="20"/>
        </w:rPr>
      </w:pPr>
      <w:r>
        <w:rPr>
          <w:rFonts w:ascii="Times New Roman" w:hAnsi="Times New Roman"/>
          <w:sz w:val="20"/>
        </w:rPr>
        <w:t>(c) (i)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hAnsi="Times New Roman"/>
          <w:sz w:val="20"/>
          <w:u w:val="single"/>
        </w:rPr>
        <w:t>Company Permits</w:t>
      </w:r>
      <w:r>
        <w:rPr>
          <w:rFonts w:ascii="Times New Roman" w:hAnsi="Times New Roman"/>
          <w:sz w:val="20"/>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hAnsi="Times New Roman"/>
          <w:sz w:val="20"/>
          <w:u w:val="single"/>
        </w:rPr>
        <w:t>clauses</w:t>
      </w:r>
      <w:r>
        <w:rPr>
          <w:rFonts w:ascii="Times New Roman" w:hAnsi="Times New Roman"/>
          <w:sz w:val="20"/>
        </w:rPr>
        <w:t>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2022, (i) neither the Company nor any of its Subsidiaries, nor any of their directors, officers, or employees has, nor, to the knowledge of the Company, have any other Representatives of the Company or any of its Subsidiaries, violated any Anti-Corruption Laws and (ii) 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 </w:t>
      </w:r>
    </w:p>
    <w:p>
      <w:pPr>
        <w:pStyle w:val="TextBody"/>
        <w:bidi w:val="0"/>
        <w:spacing w:before="240" w:after="0"/>
        <w:jc w:val="left"/>
        <w:rPr>
          <w:rFonts w:ascii="Times New Roman" w:hAnsi="Times New Roman"/>
          <w:sz w:val="20"/>
        </w:rPr>
      </w:pPr>
      <w:r>
        <w:rPr>
          <w:rFonts w:ascii="Times New Roman" w:hAnsi="Times New Roman"/>
          <w:sz w:val="20"/>
        </w:rPr>
        <w:t>(g) Neither the Company nor any of its Subsidiaries are subject to any Actions by the U.S. Food and Drug Administration (“</w:t>
      </w:r>
      <w:r>
        <w:rPr>
          <w:rFonts w:ascii="Times New Roman" w:hAnsi="Times New Roman"/>
          <w:sz w:val="20"/>
          <w:u w:val="single"/>
        </w:rPr>
        <w:t>FDA</w:t>
      </w:r>
      <w:r>
        <w:rPr>
          <w:rFonts w:ascii="Times New Roman" w:hAnsi="Times New Roman"/>
          <w:sz w:val="20"/>
        </w:rPr>
        <w:t xml:space="preserve">”)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are a party to any corporate integrity agreement, monitoring agreement, consent decree, settlement order, or similar agreement with or imposed by any Governmental Authority agreed to or in effect at any time since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any Contracts or subcontracts to supply goods or services directly to the United States federal government. </w:t>
      </w:r>
    </w:p>
    <w:p>
      <w:pPr>
        <w:pStyle w:val="TextBody"/>
        <w:bidi w:val="0"/>
        <w:spacing w:before="240" w:after="0"/>
        <w:jc w:val="left"/>
        <w:rPr>
          <w:rFonts w:ascii="Times New Roman" w:hAnsi="Times New Roman"/>
          <w:sz w:val="20"/>
        </w:rPr>
      </w:pPr>
      <w:r>
        <w:rPr>
          <w:rFonts w:ascii="Times New Roman" w:hAnsi="Times New Roman"/>
          <w:sz w:val="20"/>
        </w:rPr>
        <w:t xml:space="preserve">(j) 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(k) The Company has conducted an assessment and determined that none of the Company, any Company Subsidiary, or any of its Affiliates (a) produce, design, test, manufacture, fabricate, or develop “critical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Litigation</w:t>
      </w:r>
      <w:r>
        <w:rPr>
          <w:rFonts w:ascii="Times New Roman" w:hAnsi="Times New Roman"/>
          <w:sz w:val="20"/>
        </w:rPr>
        <w:t xml:space="preserve">.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 respect to the real property owned by the Company or any of its Subsidiaries (the “</w:t>
      </w:r>
      <w:r>
        <w:rPr>
          <w:rFonts w:ascii="Times New Roman" w:hAnsi="Times New Roman"/>
          <w:sz w:val="20"/>
          <w:u w:val="single"/>
        </w:rPr>
        <w:t>Company Owned Real Property</w:t>
      </w:r>
      <w:r>
        <w:rPr>
          <w:rFonts w:ascii="Times New Roman" w:hAnsi="Times New Roman"/>
          <w:sz w:val="20"/>
        </w:rPr>
        <w:t xml:space="preserve">”), either the Company or a Subsidiary of the Company has good and marketable title to such Company Owned Real Property, free and clear of all Liens other than any Permitted Liens. </w:t>
      </w:r>
      <w:r>
        <w:rPr>
          <w:rFonts w:ascii="Times New Roman" w:hAnsi="Times New Roman"/>
          <w:sz w:val="20"/>
          <w:u w:val="single"/>
        </w:rPr>
        <w:t>Section 3.15(a)</w:t>
      </w:r>
      <w:r>
        <w:rPr>
          <w:rFonts w:ascii="Times New Roman" w:hAnsi="Times New Roman"/>
          <w:sz w:val="20"/>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 </w:t>
      </w:r>
    </w:p>
    <w:p>
      <w:pPr>
        <w:pStyle w:val="TextBody"/>
        <w:bidi w:val="0"/>
        <w:spacing w:before="240" w:after="0"/>
        <w:jc w:val="left"/>
        <w:rPr>
          <w:rFonts w:ascii="Times New Roman" w:hAnsi="Times New Roman"/>
          <w:sz w:val="20"/>
        </w:rPr>
      </w:pPr>
      <w:r>
        <w:rPr>
          <w:rFonts w:ascii="Times New Roman" w:hAnsi="Times New Roman"/>
          <w:sz w:val="20"/>
        </w:rPr>
        <w:t>(b) 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hAnsi="Times New Roman"/>
          <w:sz w:val="20"/>
          <w:u w:val="single"/>
        </w:rPr>
        <w:t>Company Leased Real Property</w:t>
      </w:r>
      <w:r>
        <w:rPr>
          <w:rFonts w:ascii="Times New Roman" w:hAnsi="Times New Roman"/>
          <w:sz w:val="20"/>
        </w:rPr>
        <w:t>,” and such leases, subleases and other agreements are, collectively, the “</w:t>
      </w:r>
      <w:r>
        <w:rPr>
          <w:rFonts w:ascii="Times New Roman" w:hAnsi="Times New Roman"/>
          <w:sz w:val="20"/>
          <w:u w:val="single"/>
        </w:rPr>
        <w:t>Company Real Property Leases</w:t>
      </w:r>
      <w:r>
        <w:rPr>
          <w:rFonts w:ascii="Times New Roman" w:hAnsi="Times New Roman"/>
          <w:sz w:val="20"/>
        </w:rPr>
        <w:t xml:space="preserve">”), in each case, free and clear of all Liens other than any Permitted Liens, and enjoys exclusive quiet possession of all such Company Leased Real Property, which has not been disturbed. </w:t>
      </w:r>
      <w:r>
        <w:rPr>
          <w:rFonts w:ascii="Times New Roman" w:hAnsi="Times New Roman"/>
          <w:sz w:val="20"/>
          <w:u w:val="single"/>
        </w:rPr>
        <w:t>Section 3.15(b)</w:t>
      </w:r>
      <w:r>
        <w:rPr>
          <w:rFonts w:ascii="Times New Roman" w:hAnsi="Times New Roman"/>
          <w:sz w:val="20"/>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hAnsi="Times New Roman"/>
          <w:sz w:val="20"/>
          <w:u w:val="single"/>
        </w:rPr>
        <w:t>Section 3.15(b)</w:t>
      </w:r>
      <w:r>
        <w:rPr>
          <w:rFonts w:ascii="Times New Roman" w:hAnsi="Times New Roman"/>
          <w:sz w:val="20"/>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 Property. Each of the Company Owned Real Property and the Company Leased Real Property is in good condition 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Intellectual Property; 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3.16</w:t>
      </w:r>
      <w:r>
        <w:rPr>
          <w:rFonts w:ascii="Times New Roman" w:hAnsi="Times New Roman"/>
          <w:sz w:val="20"/>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 (5) 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hAnsi="Times New Roman"/>
          <w:sz w:val="20"/>
          <w:u w:val="single"/>
        </w:rPr>
        <w:t>Section 3.16(a)(v)</w:t>
      </w:r>
      <w:r>
        <w:rPr>
          <w:rFonts w:ascii="Times New Roman" w:hAnsi="Times New Roman"/>
          <w:sz w:val="20"/>
        </w:rPr>
        <w:t xml:space="preserve"> and </w:t>
      </w:r>
      <w:r>
        <w:rPr>
          <w:rFonts w:ascii="Times New Roman" w:hAnsi="Times New Roman"/>
          <w:sz w:val="20"/>
          <w:u w:val="single"/>
        </w:rPr>
        <w:t>Section 3.16(a)(vii)</w:t>
      </w:r>
      <w:r>
        <w:rPr>
          <w:rFonts w:ascii="Times New Roman" w:hAnsi="Times New Roman"/>
          <w:sz w:val="20"/>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Section 3.16(a)(ii)</w:t>
      </w:r>
      <w:r>
        <w:rPr>
          <w:rFonts w:ascii="Times New Roman" w:hAnsi="Times New Roman"/>
          <w:sz w:val="20"/>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 (D) </w:t>
      </w:r>
      <w:r>
        <w:rPr>
          <w:rFonts w:ascii="Times New Roman" w:hAnsi="Times New Roman"/>
          <w:sz w:val="20"/>
          <w:u w:val="single"/>
        </w:rPr>
        <w:t>Section 3.16(a)(iii)</w:t>
      </w:r>
      <w:r>
        <w:rPr>
          <w:rFonts w:ascii="Times New Roman" w:hAnsi="Times New Roman"/>
          <w:sz w:val="20"/>
        </w:rPr>
        <w:t xml:space="preserve"> of the Company Letter sets forth a true, complete and correct list, as of the date of this Agreement, of all Non-Owned Company Intellectual Property licensed exclusively to the Company or any of its Subsidiaries (“</w:t>
      </w:r>
      <w:r>
        <w:rPr>
          <w:rFonts w:ascii="Times New Roman" w:hAnsi="Times New Roman"/>
          <w:sz w:val="20"/>
          <w:u w:val="single"/>
        </w:rPr>
        <w:t>Exclusively Licensed IP</w:t>
      </w:r>
      <w:r>
        <w:rPr>
          <w:rFonts w:ascii="Times New Roman" w:hAnsi="Times New Roman"/>
          <w:sz w:val="20"/>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hAnsi="Times New Roman"/>
          <w:sz w:val="20"/>
          <w:u w:val="single"/>
        </w:rPr>
        <w:t>Non-Exclusively Licensed IP</w:t>
      </w:r>
      <w:r>
        <w:rPr>
          <w:rFonts w:ascii="Times New Roman" w:hAnsi="Times New Roman"/>
          <w:sz w:val="20"/>
        </w:rPr>
        <w:t xml:space="preserve">”);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(iv) 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 </w:t>
      </w:r>
    </w:p>
    <w:p>
      <w:pPr>
        <w:pStyle w:val="TextBody"/>
        <w:bidi w:val="0"/>
        <w:spacing w:before="120" w:after="0"/>
        <w:jc w:val="left"/>
        <w:rPr>
          <w:rFonts w:ascii="Times New Roman" w:hAnsi="Times New Roman"/>
          <w:sz w:val="20"/>
        </w:rPr>
      </w:pPr>
      <w:r>
        <w:rPr>
          <w:rFonts w:ascii="Times New Roman" w:hAnsi="Times New Roman"/>
          <w:sz w:val="20"/>
        </w:rPr>
        <w:t>(v) 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pStyle w:val="TextBody"/>
        <w:bidi w:val="0"/>
        <w:spacing w:before="120" w:after="0"/>
        <w:jc w:val="left"/>
        <w:rPr>
          <w:rFonts w:ascii="Times New Roman" w:hAnsi="Times New Roman"/>
          <w:sz w:val="20"/>
        </w:rPr>
      </w:pPr>
      <w:r>
        <w:rPr>
          <w:rFonts w:ascii="Times New Roman" w:hAnsi="Times New Roman"/>
          <w:sz w:val="20"/>
        </w:rPr>
        <w:t xml:space="preserve">(vi) 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hAnsi="Times New Roman"/>
          <w:sz w:val="20"/>
          <w:u w:val="single"/>
        </w:rPr>
        <w:t>subclauses</w:t>
      </w:r>
      <w:r>
        <w:rPr>
          <w:rFonts w:ascii="Times New Roman" w:hAnsi="Times New Roman"/>
          <w:sz w:val="20"/>
        </w:rPr>
        <w:t xml:space="preserve"> (A) through (D) above, other than non-exclusive licenses granted in the ordinary course of business in a manner consistent with past practice for the purpose of enabling research and development by the Company or Buyer or any of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Except as set forth in </w:t>
      </w:r>
      <w:r>
        <w:rPr>
          <w:rFonts w:ascii="Times New Roman" w:hAnsi="Times New Roman"/>
          <w:sz w:val="20"/>
          <w:u w:val="single"/>
        </w:rPr>
        <w:t>Section 3.16(a)(v)</w:t>
      </w:r>
      <w:r>
        <w:rPr>
          <w:rFonts w:ascii="Times New Roman" w:hAnsi="Times New Roman"/>
          <w:sz w:val="20"/>
        </w:rPr>
        <w:t xml:space="preserve"> and </w:t>
      </w:r>
      <w:r>
        <w:rPr>
          <w:rFonts w:ascii="Times New Roman" w:hAnsi="Times New Roman"/>
          <w:sz w:val="20"/>
          <w:u w:val="single"/>
        </w:rPr>
        <w:t>Section 3.16(a)(vii)</w:t>
      </w:r>
      <w:r>
        <w:rPr>
          <w:rFonts w:ascii="Times New Roman" w:hAnsi="Times New Roman"/>
          <w:sz w:val="20"/>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hAnsi="Times New Roman"/>
          <w:i/>
          <w:sz w:val="20"/>
        </w:rPr>
        <w:t>inter partes</w:t>
      </w:r>
      <w:r>
        <w:rPr>
          <w:rFonts w:ascii="Times New Roman" w:hAnsi="Times New Roman"/>
          <w:sz w:val="20"/>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(viii) 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hAnsi="Times New Roman"/>
          <w:sz w:val="20"/>
          <w:u w:val="single"/>
        </w:rPr>
        <w:t>Section 3.16(a)(iii)</w:t>
      </w:r>
      <w:r>
        <w:rPr>
          <w:rFonts w:ascii="Times New Roman" w:hAnsi="Times New Roman"/>
          <w:sz w:val="20"/>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 </w:t>
      </w:r>
    </w:p>
    <w:p>
      <w:pPr>
        <w:pStyle w:val="TextBody"/>
        <w:bidi w:val="0"/>
        <w:spacing w:before="120" w:after="0"/>
        <w:jc w:val="left"/>
        <w:rPr>
          <w:rFonts w:ascii="Times New Roman" w:hAnsi="Times New Roman"/>
          <w:sz w:val="20"/>
        </w:rPr>
      </w:pPr>
      <w:r>
        <w:rPr>
          <w:rFonts w:ascii="Times New Roman" w:hAnsi="Times New Roman"/>
          <w:sz w:val="20"/>
        </w:rPr>
        <w:t xml:space="preserve">(ix) Each of the Company and each of its Subsidiaries takes commercially reasonable measures to protect, preserve and maintain the value and confidentiality of the confidential Know-How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(x) 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hAnsi="Times New Roman"/>
          <w:i/>
          <w:sz w:val="20"/>
        </w:rPr>
        <w:t>Arbeitnehmererfindergesetz</w:t>
      </w:r>
      <w:r>
        <w:rPr>
          <w:rFonts w:ascii="Times New Roman" w:hAnsi="Times New Roman"/>
          <w:sz w:val="20"/>
        </w:rPr>
        <w:t xml:space="preserve">) or any similar applicable laws of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 or (ii) such employment agreements as set forth in </w:t>
      </w:r>
      <w:r>
        <w:rPr>
          <w:rFonts w:ascii="Times New Roman" w:hAnsi="Times New Roman"/>
          <w:sz w:val="20"/>
          <w:u w:val="single"/>
        </w:rPr>
        <w:t>Section 3.16(a)(x)(C)</w:t>
      </w:r>
      <w:r>
        <w:rPr>
          <w:rFonts w:ascii="Times New Roman" w:hAnsi="Times New Roman"/>
          <w:sz w:val="20"/>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hAnsi="Times New Roman"/>
          <w:i/>
          <w:sz w:val="20"/>
        </w:rPr>
        <w:t>Arbeitnehmererfindergesetz</w:t>
      </w:r>
      <w:r>
        <w:rPr>
          <w:rFonts w:ascii="Times New Roman" w:hAnsi="Times New Roman"/>
          <w:sz w:val="20"/>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hAnsi="Times New Roman"/>
          <w:i/>
          <w:sz w:val="20"/>
        </w:rPr>
        <w:t>Arbeitnehmererfindergesetz</w:t>
      </w:r>
      <w:r>
        <w:rPr>
          <w:rFonts w:ascii="Times New Roman" w:hAnsi="Times New Roman"/>
          <w:sz w:val="20"/>
        </w:rPr>
        <w:t xml:space="preserve">), in the event additional economic value is derived from applicable inventions, and such economic value may include awards or settlement amounts received in connection with ongoing assertions of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 Except for any fees payable to a Governmental Authority to obtain grant of, obtain registration of or maintain any of the Company Registered IP and for any payments required pursuant to a Contract listed in </w:t>
      </w:r>
      <w:r>
        <w:rPr>
          <w:rFonts w:ascii="Times New Roman" w:hAnsi="Times New Roman"/>
          <w:sz w:val="20"/>
          <w:u w:val="single"/>
        </w:rPr>
        <w:t>Section 3.16(a)(xii)</w:t>
      </w:r>
      <w:r>
        <w:rPr>
          <w:rFonts w:ascii="Times New Roman" w:hAnsi="Times New Roman"/>
          <w:sz w:val="20"/>
        </w:rPr>
        <w:t xml:space="preserve"> and </w:t>
      </w:r>
      <w:r>
        <w:rPr>
          <w:rFonts w:ascii="Times New Roman" w:hAnsi="Times New Roman"/>
          <w:sz w:val="20"/>
          <w:u w:val="single"/>
        </w:rPr>
        <w:t>Section 3.16(a)(ii)</w:t>
      </w:r>
      <w:r>
        <w:rPr>
          <w:rFonts w:ascii="Times New Roman" w:hAnsi="Times New Roman"/>
          <w:sz w:val="20"/>
        </w:rPr>
        <w:t xml:space="preserve"> of the Company Letter and, to the extent applicable, employee inventor compensation as required in accordance with the German Employee Invention Act (</w:t>
      </w:r>
      <w:r>
        <w:rPr>
          <w:rFonts w:ascii="Times New Roman" w:hAnsi="Times New Roman"/>
          <w:i/>
          <w:sz w:val="20"/>
        </w:rPr>
        <w:t>Arbeitnehmererfindergesetz</w:t>
      </w:r>
      <w:r>
        <w:rPr>
          <w:rFonts w:ascii="Times New Roman" w:hAnsi="Times New Roman"/>
          <w:sz w:val="20"/>
        </w:rPr>
        <w:t xml:space="preserve">), no payment by any of the Company or any of its Subsidiaries of any kind is required to be made to any Person with respect to the use or practice of 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(xii) Except as set forth in </w:t>
      </w:r>
      <w:r>
        <w:rPr>
          <w:rFonts w:ascii="Times New Roman" w:hAnsi="Times New Roman"/>
          <w:sz w:val="20"/>
          <w:u w:val="single"/>
        </w:rPr>
        <w:t>Section 3.16(a)(xii)</w:t>
      </w:r>
      <w:r>
        <w:rPr>
          <w:rFonts w:ascii="Times New Roman" w:hAnsi="Times New Roman"/>
          <w:sz w:val="20"/>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(xiii) Except as set forth in </w:t>
      </w:r>
      <w:r>
        <w:rPr>
          <w:rFonts w:ascii="Times New Roman" w:hAnsi="Times New Roman"/>
          <w:sz w:val="20"/>
          <w:u w:val="single"/>
        </w:rPr>
        <w:t>Section 3.16(a)(xiii)</w:t>
      </w:r>
      <w:r>
        <w:rPr>
          <w:rFonts w:ascii="Times New Roman" w:hAnsi="Times New Roman"/>
          <w:sz w:val="20"/>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(xiv) Except as set forth in </w:t>
      </w:r>
      <w:r>
        <w:rPr>
          <w:rFonts w:ascii="Times New Roman" w:hAnsi="Times New Roman"/>
          <w:sz w:val="20"/>
          <w:u w:val="single"/>
        </w:rPr>
        <w:t>Section 3.16(a)(xiv)</w:t>
      </w:r>
      <w:r>
        <w:rPr>
          <w:rFonts w:ascii="Times New Roman" w:hAnsi="Times New Roman"/>
          <w:sz w:val="20"/>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Privacy and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(i) 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 </w:t>
      </w:r>
    </w:p>
    <w:p>
      <w:pPr>
        <w:pStyle w:val="TextBody"/>
        <w:bidi w:val="0"/>
        <w:spacing w:before="120" w:after="0"/>
        <w:jc w:val="left"/>
        <w:rPr>
          <w:rFonts w:ascii="Times New Roman" w:hAnsi="Times New Roman"/>
          <w:sz w:val="20"/>
        </w:rPr>
      </w:pPr>
      <w:r>
        <w:rPr>
          <w:rFonts w:ascii="Times New Roman" w:hAnsi="Times New Roman"/>
          <w:sz w:val="20"/>
        </w:rPr>
        <w:t xml:space="preserve">(iii) 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 </w:t>
      </w:r>
    </w:p>
    <w:p>
      <w:pPr>
        <w:pStyle w:val="TextBody"/>
        <w:bidi w:val="0"/>
        <w:spacing w:before="120" w:after="0"/>
        <w:jc w:val="left"/>
        <w:rPr>
          <w:rFonts w:ascii="Times New Roman" w:hAnsi="Times New Roman"/>
          <w:sz w:val="20"/>
        </w:rPr>
      </w:pPr>
      <w:r>
        <w:rPr>
          <w:rFonts w:ascii="Times New Roman" w:hAnsi="Times New Roman"/>
          <w:sz w:val="20"/>
        </w:rPr>
        <w:t xml:space="preserve">(iv) 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 </w:t>
      </w:r>
    </w:p>
    <w:p>
      <w:pPr>
        <w:pStyle w:val="TextBody"/>
        <w:bidi w:val="0"/>
        <w:spacing w:before="120" w:after="0"/>
        <w:jc w:val="left"/>
        <w:rPr>
          <w:rFonts w:ascii="Times New Roman" w:hAnsi="Times New Roman"/>
          <w:sz w:val="20"/>
        </w:rPr>
      </w:pPr>
      <w:r>
        <w:rPr>
          <w:rFonts w:ascii="Times New Roman" w:hAnsi="Times New Roman"/>
          <w:sz w:val="20"/>
        </w:rPr>
        <w:t xml:space="preserve">(v) To the Company’s knowledge, there is not currently pending or threatened any Action against the Company or any of its Subsidiaries, including by any individual or Governmental Authority, with respect to privacy, cybersecurity, or Processing of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matters that would not have or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(i) each of the Company and its Subsidiaries as of the date hereof (separately and any grouping thereof for any Tax purposes, the “</w:t>
      </w:r>
      <w:r>
        <w:rPr>
          <w:rFonts w:ascii="Times New Roman" w:hAnsi="Times New Roman"/>
          <w:sz w:val="20"/>
          <w:u w:val="single"/>
        </w:rPr>
        <w:t>Company Group</w:t>
      </w:r>
      <w:r>
        <w:rPr>
          <w:rFonts w:ascii="Times New Roman" w:hAnsi="Times New Roman"/>
          <w:sz w:val="20"/>
        </w:rPr>
        <w:t xml:space="preserve">”) has timely filed all Tax Returns required to be filed by any of them (taking into account applicable extensions obtained in the ordinary course of business or automatically granted by the applicable Taxing Authority); </w:t>
      </w:r>
    </w:p>
    <w:p>
      <w:pPr>
        <w:pStyle w:val="TextBody"/>
        <w:bidi w:val="0"/>
        <w:spacing w:before="120" w:after="0"/>
        <w:jc w:val="left"/>
        <w:rPr>
          <w:rFonts w:ascii="Times New Roman" w:hAnsi="Times New Roman"/>
          <w:sz w:val="20"/>
        </w:rPr>
      </w:pPr>
      <w:r>
        <w:rPr>
          <w:rFonts w:ascii="Times New Roman" w:hAnsi="Times New Roman"/>
          <w:sz w:val="20"/>
        </w:rPr>
        <w:t xml:space="preserve">(ii) all Tax Returns filed by the Company Group are true, complete and correct in all respects; </w:t>
      </w:r>
    </w:p>
    <w:p>
      <w:pPr>
        <w:pStyle w:val="TextBody"/>
        <w:bidi w:val="0"/>
        <w:spacing w:before="120" w:after="0"/>
        <w:jc w:val="left"/>
        <w:rPr>
          <w:rFonts w:ascii="Times New Roman" w:hAnsi="Times New Roman"/>
          <w:sz w:val="20"/>
        </w:rPr>
      </w:pPr>
      <w:r>
        <w:rPr>
          <w:rFonts w:ascii="Times New Roman" w:hAnsi="Times New Roman"/>
          <w:sz w:val="20"/>
        </w:rPr>
        <w:t xml:space="preserve">(iii) 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 </w:t>
      </w:r>
    </w:p>
    <w:p>
      <w:pPr>
        <w:pStyle w:val="TextBody"/>
        <w:bidi w:val="0"/>
        <w:spacing w:before="120" w:after="0"/>
        <w:jc w:val="left"/>
        <w:rPr>
          <w:rFonts w:ascii="Times New Roman" w:hAnsi="Times New Roman"/>
          <w:sz w:val="20"/>
        </w:rPr>
      </w:pPr>
      <w:r>
        <w:rPr>
          <w:rFonts w:ascii="Times New Roman" w:hAnsi="Times New Roman"/>
          <w:sz w:val="20"/>
        </w:rPr>
        <w:t xml:space="preserve">(iv) no waiver of any statute of limitations with respect to Taxes or any Tax Return of the Company has been given by or requested from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there are no pending U.S. federal, state, local or non-U.S. audits of any Tax Return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Group has not received written notice of any such U.S. federal, state, local or non-U.S. audit of any Tax Return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(vii) no claim for unpaid Taxes has been asserted in writing against the Company Group by a Governmental Authority, other than any claim that has been resolved and fully paid (if applicable) by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(viii) 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neither the Company nor any of its Subsidiaries is a party to any written agreement providing for the allocation or sharing of Taxes, except for any such agreements that (i) are solely between the Company or any of its Subsidiaries, (ii) will terminate as of the Closing, (iii) are entered into in the ordinary course of business, the principal purpose of which is not the allocation or sharing of Taxes or (iv) are Tax allocation, indemnity or warranty provisions contained in commercial contracts the principal subject matter of which is not Taxes; </w:t>
      </w:r>
    </w:p>
    <w:p>
      <w:pPr>
        <w:pStyle w:val="TextBody"/>
        <w:bidi w:val="0"/>
        <w:spacing w:before="120" w:after="0"/>
        <w:jc w:val="left"/>
        <w:rPr>
          <w:rFonts w:ascii="Times New Roman" w:hAnsi="Times New Roman"/>
          <w:sz w:val="20"/>
        </w:rPr>
      </w:pPr>
      <w:r>
        <w:rPr>
          <w:rFonts w:ascii="Times New Roman" w:hAnsi="Times New Roman"/>
          <w:sz w:val="20"/>
        </w:rPr>
        <w:t xml:space="preserve">(x) except as set forth in </w:t>
      </w:r>
      <w:r>
        <w:rPr>
          <w:rFonts w:ascii="Times New Roman" w:hAnsi="Times New Roman"/>
          <w:sz w:val="20"/>
          <w:u w:val="single"/>
        </w:rPr>
        <w:t>Section 3.17(a)(x)</w:t>
      </w:r>
      <w:r>
        <w:rPr>
          <w:rFonts w:ascii="Times New Roman" w:hAnsi="Times New Roman"/>
          <w:sz w:val="20"/>
        </w:rPr>
        <w:t xml:space="preserve"> of the Company Letter, neither the Company nor any of its Subsidiaries has participated (1) in any “listed transaction” within the meaning of Treasury Regulation Section 1.6011-4(b)(2) or any corresponding provision of state or local Law, or (2) to the Company’s knowledge, in any transaction subject to Council Directive (EU) 2018/822 of May 25, 2018 or Council Directive (EU) 2021/514; </w:t>
      </w:r>
    </w:p>
    <w:p>
      <w:pPr>
        <w:pStyle w:val="TextBody"/>
        <w:bidi w:val="0"/>
        <w:spacing w:before="120" w:after="0"/>
        <w:jc w:val="left"/>
        <w:rPr>
          <w:rFonts w:ascii="Times New Roman" w:hAnsi="Times New Roman"/>
          <w:sz w:val="20"/>
        </w:rPr>
      </w:pPr>
      <w:r>
        <w:rPr>
          <w:rFonts w:ascii="Times New Roman" w:hAnsi="Times New Roman"/>
          <w:sz w:val="20"/>
        </w:rPr>
        <w:t xml:space="preserve">(xi) 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 </w:t>
      </w:r>
    </w:p>
    <w:p>
      <w:pPr>
        <w:pStyle w:val="TextBody"/>
        <w:bidi w:val="0"/>
        <w:spacing w:before="120" w:after="0"/>
        <w:jc w:val="left"/>
        <w:rPr>
          <w:rFonts w:ascii="Times New Roman" w:hAnsi="Times New Roman"/>
          <w:sz w:val="20"/>
        </w:rPr>
      </w:pPr>
      <w:r>
        <w:rPr>
          <w:rFonts w:ascii="Times New Roman" w:hAnsi="Times New Roman"/>
          <w:sz w:val="20"/>
        </w:rPr>
        <w:t xml:space="preserve">(xii) no claim has ever been made by any Governmental Authority in writing in a jurisdiction where the Company or any of its Subsidiaries does not file a Tax Return that it is or may be subject to Tax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Liens for Taxes upon the assets of the Company Group, except for Liens for Taxes not yet due and payable that arise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(i) is or has been in the past five (5) years a member of a group (other than a group the common parent of which is the Company or one of its Subsidiaries) filing a consolidated, combined, affiliated, unitary or similar income Tax Return or (ii) has any liability for Taxes of any Person (other than the Company or any of its Subsidiaries) arising from the application of Treasury Regulation Section 1.1502-6 or any analogous applicable provision of state,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(d) 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 </w:t>
      </w:r>
    </w:p>
    <w:p>
      <w:pPr>
        <w:pStyle w:val="TextBody"/>
        <w:bidi w:val="0"/>
        <w:spacing w:before="240" w:after="0"/>
        <w:jc w:val="left"/>
        <w:rPr>
          <w:rFonts w:ascii="Times New Roman" w:hAnsi="Times New Roman"/>
          <w:sz w:val="20"/>
        </w:rPr>
      </w:pPr>
      <w:r>
        <w:rPr>
          <w:rFonts w:ascii="Times New Roman" w:hAnsi="Times New Roman"/>
          <w:sz w:val="20"/>
        </w:rPr>
        <w:t xml:space="preserve">(e) 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Notwithstanding any other representations and warranties in this Agreement, the representations and warranties in this </w:t>
      </w:r>
      <w:r>
        <w:rPr>
          <w:rFonts w:ascii="Times New Roman" w:hAnsi="Times New Roman"/>
          <w:sz w:val="20"/>
          <w:u w:val="single"/>
        </w:rPr>
        <w:t>Section 3.17</w:t>
      </w:r>
      <w:r>
        <w:rPr>
          <w:rFonts w:ascii="Times New Roman" w:hAnsi="Times New Roman"/>
          <w:sz w:val="20"/>
        </w:rPr>
        <w:t xml:space="preserve"> and in </w:t>
      </w:r>
      <w:r>
        <w:rPr>
          <w:rFonts w:ascii="Times New Roman" w:hAnsi="Times New Roman"/>
          <w:sz w:val="20"/>
          <w:u w:val="single"/>
        </w:rPr>
        <w:t>Section 3.08</w:t>
      </w:r>
      <w:r>
        <w:rPr>
          <w:rFonts w:ascii="Times New Roman" w:hAnsi="Times New Roman"/>
          <w:sz w:val="20"/>
        </w:rPr>
        <w:t xml:space="preserve">, </w:t>
      </w:r>
      <w:r>
        <w:rPr>
          <w:rFonts w:ascii="Times New Roman" w:hAnsi="Times New Roman"/>
          <w:sz w:val="20"/>
          <w:u w:val="single"/>
        </w:rPr>
        <w:t>Section 3.18</w:t>
      </w:r>
      <w:r>
        <w:rPr>
          <w:rFonts w:ascii="Times New Roman" w:hAnsi="Times New Roman"/>
          <w:sz w:val="20"/>
        </w:rPr>
        <w:t xml:space="preserve">, </w:t>
      </w:r>
      <w:r>
        <w:rPr>
          <w:rFonts w:ascii="Times New Roman" w:hAnsi="Times New Roman"/>
          <w:sz w:val="20"/>
          <w:u w:val="single"/>
        </w:rPr>
        <w:t>Section 3.19(e)</w:t>
      </w:r>
      <w:r>
        <w:rPr>
          <w:rFonts w:ascii="Times New Roman" w:hAnsi="Times New Roman"/>
          <w:sz w:val="20"/>
        </w:rPr>
        <w:t xml:space="preserve"> and </w:t>
      </w:r>
      <w:r>
        <w:rPr>
          <w:rFonts w:ascii="Times New Roman" w:hAnsi="Times New Roman"/>
          <w:sz w:val="20"/>
          <w:u w:val="single"/>
        </w:rPr>
        <w:t>Section 3.19(h)</w:t>
      </w:r>
      <w:r>
        <w:rPr>
          <w:rFonts w:ascii="Times New Roman" w:hAnsi="Times New Roman"/>
          <w:sz w:val="20"/>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Tax Free Reorganization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all times since its formation, the Company has (i) been a foreign corporation within the meaning of Section 7701(a)(3) and (5) of the Code and (ii) not been treated as a domestic corporation pursuant to Section 7874(b) of the Code.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not, nor immediately prior to the Closing will be, an “investment company” within the meaning of Section 368(a)(2)(F) of the Code.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(d) 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3.19</w:t>
      </w:r>
      <w:r>
        <w:rPr>
          <w:rFonts w:ascii="Times New Roman" w:hAnsi="Times New Roman"/>
          <w:sz w:val="20"/>
        </w:rPr>
        <w:t>(a) of the Company Letter contains a true, complete and correct list identifying each Company Plan (the “</w:t>
      </w:r>
      <w:r>
        <w:rPr>
          <w:rFonts w:ascii="Times New Roman" w:hAnsi="Times New Roman"/>
          <w:sz w:val="20"/>
          <w:u w:val="single"/>
        </w:rPr>
        <w:t>Company Plan List</w:t>
      </w:r>
      <w:r>
        <w:rPr>
          <w:rFonts w:ascii="Times New Roman" w:hAnsi="Times New Roman"/>
          <w:sz w:val="20"/>
        </w:rPr>
        <w:t xml:space="preserve">”) and the country(ies) in which such Company Plan is offered. </w:t>
      </w:r>
    </w:p>
    <w:p>
      <w:pPr>
        <w:pStyle w:val="TextBody"/>
        <w:bidi w:val="0"/>
        <w:spacing w:before="240" w:after="0"/>
        <w:jc w:val="left"/>
        <w:rPr>
          <w:rFonts w:ascii="Times New Roman" w:hAnsi="Times New Roman"/>
          <w:sz w:val="20"/>
        </w:rPr>
      </w:pPr>
      <w:r>
        <w:rPr>
          <w:rFonts w:ascii="Times New Roman" w:hAnsi="Times New Roman"/>
          <w:sz w:val="20"/>
        </w:rPr>
        <w:t xml:space="preserve">(b) For each Company Plan, the Company has made available to Buyer true, complete and correct copies of, to the extent applicable, (i) such Company Plan (or, if such Company Plan is not written, a written summary of its material terms) and all amendments thereto, (ii) all current 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 Section 401(a)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Code has received a favorable determination or opinion letter from the IRS and to the Company’s knowledge, no event has occurred, either by reason of any action or failure to act, that would reasonably be expected to cause the loss of any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ERISA Affiliate maintains, contributes to, is obligated to contribute to, or sponsors (or has in the past six (6) 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hAnsi="Times New Roman"/>
          <w:sz w:val="20"/>
          <w:u w:val="single"/>
        </w:rPr>
        <w:t>Section 3.19(d)</w:t>
      </w:r>
      <w:r>
        <w:rPr>
          <w:rFonts w:ascii="Times New Roman" w:hAnsi="Times New Roman"/>
          <w:sz w:val="20"/>
        </w:rPr>
        <w:t xml:space="preserve"> of the Company Letter, all health benefits provided in the U.S. under the Company Plans (other than flexible spending accounts, if any) are fully insured by a third party insurance company.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in </w:t>
      </w:r>
      <w:r>
        <w:rPr>
          <w:rFonts w:ascii="Times New Roman" w:hAnsi="Times New Roman"/>
          <w:sz w:val="20"/>
          <w:u w:val="single"/>
        </w:rPr>
        <w:t>Section 3.19(e)</w:t>
      </w:r>
      <w:r>
        <w:rPr>
          <w:rFonts w:ascii="Times New Roman" w:hAnsi="Times New Roman"/>
          <w:sz w:val="20"/>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(f) No Action (other than routine claims for benefits) is pending against or involves or, to the knowledge of the Company, is threatened against or threatened to involve, any Company Plan. </w:t>
      </w:r>
    </w:p>
    <w:p>
      <w:pPr>
        <w:pStyle w:val="TextBody"/>
        <w:bidi w:val="0"/>
        <w:spacing w:before="240" w:after="0"/>
        <w:jc w:val="left"/>
        <w:rPr>
          <w:rFonts w:ascii="Times New Roman" w:hAnsi="Times New Roman"/>
          <w:sz w:val="20"/>
        </w:rPr>
      </w:pPr>
      <w:r>
        <w:rPr>
          <w:rFonts w:ascii="Times New Roman" w:hAnsi="Times New Roman"/>
          <w:sz w:val="20"/>
        </w:rPr>
        <w:t xml:space="preserve">(g) Except as set forth in </w:t>
      </w:r>
      <w:r>
        <w:rPr>
          <w:rFonts w:ascii="Times New Roman" w:hAnsi="Times New Roman"/>
          <w:sz w:val="20"/>
          <w:u w:val="single"/>
        </w:rPr>
        <w:t>Section 3.19(g)</w:t>
      </w:r>
      <w:r>
        <w:rPr>
          <w:rFonts w:ascii="Times New Roman" w:hAnsi="Times New Roman"/>
          <w:sz w:val="20"/>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 </w:t>
      </w:r>
    </w:p>
    <w:p>
      <w:pPr>
        <w:pStyle w:val="TextBody"/>
        <w:bidi w:val="0"/>
        <w:spacing w:before="240" w:after="0"/>
        <w:jc w:val="left"/>
        <w:rPr>
          <w:rFonts w:ascii="Times New Roman" w:hAnsi="Times New Roman"/>
          <w:sz w:val="20"/>
        </w:rPr>
      </w:pPr>
      <w:r>
        <w:rPr>
          <w:rFonts w:ascii="Times New Roman" w:hAnsi="Times New Roman"/>
          <w:sz w:val="20"/>
        </w:rPr>
        <w:t>(i) The support fund (</w:t>
      </w:r>
      <w:r>
        <w:rPr>
          <w:rFonts w:ascii="Times New Roman" w:hAnsi="Times New Roman"/>
          <w:i/>
          <w:sz w:val="20"/>
        </w:rPr>
        <w:t>Unterstützungskasse</w:t>
      </w:r>
      <w:r>
        <w:rPr>
          <w:rFonts w:ascii="Times New Roman" w:hAnsi="Times New Roman"/>
          <w:sz w:val="20"/>
        </w:rPr>
        <w:t xml:space="preserve">) Allianz-Pensions-Management e.V. has not reduced or announced to reduce its pension payments, or requested or announced to request additional contributions to avoid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reduction of current or future pension payments and the Company is not aware of any underfunding or other information that could cause the support fund to reduce the pension payments or request additional contributions to avoid a reduction of current or future pension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Employee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3.20(a)</w:t>
      </w:r>
      <w:r>
        <w:rPr>
          <w:rFonts w:ascii="Times New Roman" w:hAnsi="Times New Roman"/>
          <w:sz w:val="20"/>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hAnsi="Times New Roman"/>
          <w:sz w:val="20"/>
          <w:u w:val="single"/>
        </w:rPr>
        <w:t>Collective Bargaining Agreement</w:t>
      </w:r>
      <w:r>
        <w:rPr>
          <w:rFonts w:ascii="Times New Roman" w:hAnsi="Times New Roman"/>
          <w:sz w:val="20"/>
        </w:rPr>
        <w:t xml:space="preserve">”). Except as set forth in </w:t>
      </w:r>
      <w:r>
        <w:rPr>
          <w:rFonts w:ascii="Times New Roman" w:hAnsi="Times New Roman"/>
          <w:sz w:val="20"/>
          <w:u w:val="single"/>
        </w:rPr>
        <w:t>Section 3.20(a)</w:t>
      </w:r>
      <w:r>
        <w:rPr>
          <w:rFonts w:ascii="Times New Roman" w:hAnsi="Times New Roman"/>
          <w:sz w:val="20"/>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(b) 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hAnsi="Times New Roman"/>
          <w:sz w:val="20"/>
          <w:u w:val="single"/>
        </w:rPr>
        <w:t>Employment Practices</w:t>
      </w:r>
      <w:r>
        <w:rPr>
          <w:rFonts w:ascii="Times New Roman" w:hAnsi="Times New Roman"/>
          <w:sz w:val="20"/>
        </w:rPr>
        <w:t xml:space="preserve">”).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hAnsi="Times New Roman"/>
          <w:sz w:val="20"/>
          <w:u w:val="single"/>
        </w:rPr>
        <w:t>Section 3.20(c)</w:t>
      </w:r>
      <w:r>
        <w:rPr>
          <w:rFonts w:ascii="Times New Roman" w:hAnsi="Times New Roman"/>
          <w:sz w:val="20"/>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(d) 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Company Letter lists all restructuring measures and redundancy schemes which have been implemented at the Company or any of its Subsidiaries, including social plans and reconciliation of interests (</w:t>
      </w:r>
      <w:r>
        <w:rPr>
          <w:rFonts w:ascii="Times New Roman" w:hAnsi="Times New Roman"/>
          <w:i/>
          <w:sz w:val="20"/>
        </w:rPr>
        <w:t>Interessenausgleiche</w:t>
      </w:r>
      <w:r>
        <w:rPr>
          <w:rFonts w:ascii="Times New Roman" w:hAnsi="Times New Roman"/>
          <w:sz w:val="20"/>
        </w:rPr>
        <w:t xml:space="preserve">), pursuant to which the Company or any of its Subsidiaries are subject to any material outstanding or ongoing obligations or liabilities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 </w:t>
      </w:r>
    </w:p>
    <w:p>
      <w:pPr>
        <w:pStyle w:val="TextBody"/>
        <w:bidi w:val="0"/>
        <w:spacing w:before="240" w:after="0"/>
        <w:jc w:val="left"/>
        <w:rPr>
          <w:rFonts w:ascii="Times New Roman" w:hAnsi="Times New Roman"/>
          <w:sz w:val="20"/>
        </w:rPr>
      </w:pPr>
      <w:r>
        <w:rPr>
          <w:rFonts w:ascii="Times New Roman" w:hAnsi="Times New Roman"/>
          <w:sz w:val="20"/>
        </w:rPr>
        <w:t>(g) As per the date of this Agreement no short-time work (</w:t>
      </w:r>
      <w:r>
        <w:rPr>
          <w:rFonts w:ascii="Times New Roman" w:hAnsi="Times New Roman"/>
          <w:i/>
          <w:sz w:val="20"/>
        </w:rPr>
        <w:t>Kurzarbeit</w:t>
      </w:r>
      <w:r>
        <w:rPr>
          <w:rFonts w:ascii="Times New Roman" w:hAnsi="Times New Roman"/>
          <w:sz w:val="20"/>
        </w:rPr>
        <w:t>) or zero-hours agreement (</w:t>
      </w:r>
      <w:r>
        <w:rPr>
          <w:rFonts w:ascii="Times New Roman" w:hAnsi="Times New Roman"/>
          <w:i/>
          <w:sz w:val="20"/>
        </w:rPr>
        <w:t xml:space="preserve">nul-urencontract) </w:t>
      </w:r>
      <w:r>
        <w:rPr>
          <w:rFonts w:ascii="Times New Roman" w:hAnsi="Times New Roman"/>
          <w:sz w:val="20"/>
        </w:rPr>
        <w:t xml:space="preserve">has been established at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 </w:t>
      </w:r>
    </w:p>
    <w:p>
      <w:pPr>
        <w:pStyle w:val="TextBody"/>
        <w:bidi w:val="0"/>
        <w:spacing w:before="240" w:after="0"/>
        <w:jc w:val="left"/>
        <w:rPr>
          <w:rFonts w:ascii="Times New Roman" w:hAnsi="Times New Roman"/>
          <w:sz w:val="20"/>
        </w:rPr>
      </w:pPr>
      <w:r>
        <w:rPr>
          <w:rFonts w:ascii="Times New Roman" w:hAnsi="Times New Roman"/>
          <w:sz w:val="20"/>
        </w:rPr>
        <w:t>(i) The activities of the Company or any of its Subsidiaries do not fall, and have never fallen, within the scope of the order for mandatory affiliation (</w:t>
      </w:r>
      <w:r>
        <w:rPr>
          <w:rFonts w:ascii="Times New Roman" w:hAnsi="Times New Roman"/>
          <w:i/>
          <w:sz w:val="20"/>
        </w:rPr>
        <w:t>verplichtstellingsbeschikking</w:t>
      </w:r>
      <w:r>
        <w:rPr>
          <w:rFonts w:ascii="Times New Roman" w:hAnsi="Times New Roman"/>
          <w:sz w:val="20"/>
        </w:rPr>
        <w:t xml:space="preserve">) of any mandatory industry-wide pension fund and there is no correspondence, request or discussion, in this respect or with respect to any related topic, with any industry-wide pension fund or any Company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or any of its Subsidiaries has any previous or current, actual or contingent liability in relation to any defined contribution pension scheme or defined benefit pension scheme.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Section 3.20(k)</w:t>
      </w:r>
      <w:r>
        <w:rPr>
          <w:rFonts w:ascii="Times New Roman" w:hAnsi="Times New Roman"/>
          <w:sz w:val="20"/>
        </w:rPr>
        <w:t xml:space="preserve"> of the Company Letter, there has been no transfer of undertaking (by receiving employees or transferring employees to another entity) within the Company or any of its Subsidiaries in the last 5 years. </w:t>
      </w:r>
    </w:p>
    <w:p>
      <w:pPr>
        <w:pStyle w:val="TextBody"/>
        <w:bidi w:val="0"/>
        <w:spacing w:before="240" w:after="0"/>
        <w:jc w:val="left"/>
        <w:rPr>
          <w:rFonts w:ascii="Times New Roman" w:hAnsi="Times New Roman"/>
          <w:sz w:val="20"/>
        </w:rPr>
      </w:pPr>
      <w:r>
        <w:rPr>
          <w:rFonts w:ascii="Times New Roman" w:hAnsi="Times New Roman"/>
          <w:sz w:val="20"/>
        </w:rPr>
        <w:t>(l) Neither the Company or any of its Subsidiaries is a self-insurer (</w:t>
      </w:r>
      <w:r>
        <w:rPr>
          <w:rFonts w:ascii="Times New Roman" w:hAnsi="Times New Roman"/>
          <w:i/>
          <w:sz w:val="20"/>
        </w:rPr>
        <w:t>eigenrisicodrager</w:t>
      </w:r>
      <w:r>
        <w:rPr>
          <w:rFonts w:ascii="Times New Roman" w:hAnsi="Times New Roman"/>
          <w:sz w:val="20"/>
        </w:rPr>
        <w:t>) under the Partially Disabled Persons Scheme (WGA) and/or the Sickness Benefits Act (</w:t>
      </w:r>
      <w:r>
        <w:rPr>
          <w:rFonts w:ascii="Times New Roman" w:hAnsi="Times New Roman"/>
          <w:i/>
          <w:sz w:val="20"/>
        </w:rPr>
        <w:t>Ziektewet</w:t>
      </w:r>
      <w:r>
        <w:rPr>
          <w:rFonts w:ascii="Times New Roman" w:hAnsi="Times New Roman"/>
          <w:sz w:val="20"/>
        </w:rPr>
        <w:t>), and that neither the Company or any of its Subsidiaries applied for a compensation under the Dutch Emergency Bridge Funding for Employment (</w:t>
      </w:r>
      <w:r>
        <w:rPr>
          <w:rFonts w:ascii="Times New Roman" w:hAnsi="Times New Roman"/>
          <w:i/>
          <w:sz w:val="20"/>
        </w:rPr>
        <w:t>Tijdelijke Noodmaatregel Overbrugging voor Werkgelegenheid, the NOW</w:t>
      </w:r>
      <w:r>
        <w:rPr>
          <w:rFonts w:ascii="Times New Roman" w:hAnsi="Times New Roman"/>
          <w:sz w:val="20"/>
        </w:rPr>
        <w:t xml:space="preserve">) and no repayment obligations are due. </w:t>
      </w:r>
    </w:p>
    <w:p>
      <w:pPr>
        <w:pStyle w:val="TextBody"/>
        <w:bidi w:val="0"/>
        <w:spacing w:before="240" w:after="0"/>
        <w:jc w:val="left"/>
        <w:rPr>
          <w:rFonts w:ascii="Times New Roman" w:hAnsi="Times New Roman"/>
          <w:sz w:val="20"/>
        </w:rPr>
      </w:pPr>
      <w:r>
        <w:rPr>
          <w:rFonts w:ascii="Times New Roman" w:hAnsi="Times New Roman"/>
          <w:sz w:val="20"/>
        </w:rPr>
        <w:t xml:space="preserve">(m) 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matters that would not have or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(ii) 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(iii) 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(iv) Neither the Company nor any of its Subsidiaries has entered into a Contract or Order assuming or retaining any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(v) 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provided or otherwise made available any and all environmental reports, studies, audits, assessments, or other documents addressing environmental, health, or safety matters, which are in the possession or control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w:t>
      </w:r>
      <w:r>
        <w:rPr>
          <w:rFonts w:ascii="Times New Roman" w:hAnsi="Times New Roman"/>
          <w:sz w:val="20"/>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hAnsi="Times New Roman"/>
          <w:sz w:val="20"/>
          <w:u w:val="single"/>
        </w:rPr>
        <w:t>Section 3.15</w:t>
      </w:r>
      <w:r>
        <w:rPr>
          <w:rFonts w:ascii="Times New Roman" w:hAnsi="Times New Roman"/>
          <w:sz w:val="20"/>
        </w:rPr>
        <w:t>(b) of the Company Letter (collectively,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with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stockholders’, investor rights, registration rights, tax receivables or similar or related Contract or arrangement, or any Contract or arrangement relating to the exercise of any voting rights in respect of any Company Securities;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 </w:t>
      </w:r>
    </w:p>
    <w:p>
      <w:pPr>
        <w:pStyle w:val="TextBody"/>
        <w:bidi w:val="0"/>
        <w:spacing w:before="120" w:after="0"/>
        <w:jc w:val="left"/>
        <w:rPr>
          <w:rFonts w:ascii="Times New Roman" w:hAnsi="Times New Roman"/>
          <w:sz w:val="20"/>
        </w:rPr>
      </w:pPr>
      <w:r>
        <w:rPr>
          <w:rFonts w:ascii="Times New Roman" w:hAnsi="Times New Roman"/>
          <w:sz w:val="20"/>
        </w:rPr>
        <w:t xml:space="preserve">(vii) 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 </w:t>
      </w:r>
    </w:p>
    <w:p>
      <w:pPr>
        <w:pStyle w:val="TextBody"/>
        <w:bidi w:val="0"/>
        <w:spacing w:before="120" w:after="0"/>
        <w:jc w:val="left"/>
        <w:rPr>
          <w:rFonts w:ascii="Times New Roman" w:hAnsi="Times New Roman"/>
          <w:sz w:val="20"/>
        </w:rPr>
      </w:pPr>
      <w:r>
        <w:rPr>
          <w:rFonts w:ascii="Times New Roman" w:hAnsi="Times New Roman"/>
          <w:sz w:val="20"/>
        </w:rPr>
        <w:t xml:space="preserve">(xii) 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 </w:t>
      </w:r>
    </w:p>
    <w:p>
      <w:pPr>
        <w:pStyle w:val="TextBody"/>
        <w:bidi w:val="0"/>
        <w:spacing w:before="120" w:after="0"/>
        <w:jc w:val="left"/>
        <w:rPr>
          <w:rFonts w:ascii="Times New Roman" w:hAnsi="Times New Roman"/>
          <w:sz w:val="20"/>
        </w:rPr>
      </w:pPr>
      <w:r>
        <w:rPr>
          <w:rFonts w:ascii="Times New Roman" w:hAnsi="Times New Roman"/>
          <w:sz w:val="20"/>
        </w:rPr>
        <w:t xml:space="preserve">(xiv) each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(other than the type described in the subclauses above) that involves aggregate payments by or to the Company or any Subsidiary of the Company in excess of $5,000,000 </w:t>
      </w:r>
      <w:r>
        <w:rPr>
          <w:rFonts w:ascii="Times New Roman" w:hAnsi="Times New Roman"/>
          <w:i/>
          <w:sz w:val="20"/>
        </w:rPr>
        <w:t>per annum</w:t>
      </w:r>
      <w:r>
        <w:rPr>
          <w:rFonts w:ascii="Times New Roman" w:hAnsi="Times New Roman"/>
          <w:sz w:val="20"/>
        </w:rPr>
        <w:t xml:space="preserve"> in the current calendar year or $5,000,000 in the aggregate; and </w:t>
      </w:r>
    </w:p>
    <w:p>
      <w:pPr>
        <w:pStyle w:val="TextBody"/>
        <w:bidi w:val="0"/>
        <w:spacing w:before="120" w:after="0"/>
        <w:jc w:val="left"/>
        <w:rPr>
          <w:rFonts w:ascii="Times New Roman" w:hAnsi="Times New Roman"/>
          <w:sz w:val="20"/>
        </w:rPr>
      </w:pPr>
      <w:r>
        <w:rPr>
          <w:rFonts w:ascii="Times New Roman" w:hAnsi="Times New Roman"/>
          <w:sz w:val="20"/>
        </w:rPr>
        <w:t xml:space="preserve">(xviii) each Contract not otherwise described in any other subsection of this </w:t>
      </w:r>
      <w:r>
        <w:rPr>
          <w:rFonts w:ascii="Times New Roman" w:hAnsi="Times New Roman"/>
          <w:sz w:val="20"/>
          <w:u w:val="single"/>
        </w:rPr>
        <w:t>Section 3.21(a)</w:t>
      </w:r>
      <w:r>
        <w:rPr>
          <w:rFonts w:ascii="Times New Roman" w:hAnsi="Times New Roman"/>
          <w:sz w:val="20"/>
        </w:rPr>
        <w:t xml:space="preserve"> that would constitute a “material contract” (as such term is defined in Item 601(b)(10) of Regulation S-K as promulgated by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Financial Advisor Fees</w:t>
      </w:r>
      <w:r>
        <w:rPr>
          <w:rFonts w:ascii="Times New Roman" w:hAnsi="Times New Roman"/>
          <w:sz w:val="20"/>
        </w:rPr>
        <w:t>. Except for Goldman Sachs Bank Europe SE (the “</w:t>
      </w:r>
      <w:r>
        <w:rPr>
          <w:rFonts w:ascii="Times New Roman" w:hAnsi="Times New Roman"/>
          <w:sz w:val="20"/>
          <w:u w:val="single"/>
        </w:rPr>
        <w:t>Company Financial Advisor</w:t>
      </w:r>
      <w:r>
        <w:rPr>
          <w:rFonts w:ascii="Times New Roman" w:hAnsi="Times New Roman"/>
          <w:sz w:val="20"/>
        </w:rPr>
        <w:t xml:space="preserve">”),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Opinion of Company Financial Advisor</w:t>
      </w:r>
      <w:r>
        <w:rPr>
          <w:rFonts w:ascii="Times New Roman" w:hAnsi="Times New Roman"/>
          <w:sz w:val="20"/>
        </w:rPr>
        <w:t xml:space="preserve">.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3.25 </w:t>
      </w:r>
      <w:r>
        <w:rPr>
          <w:rFonts w:ascii="Times New Roman" w:hAnsi="Times New Roman"/>
          <w:sz w:val="20"/>
          <w:u w:val="single"/>
        </w:rPr>
        <w:t>Insurance</w:t>
      </w:r>
      <w:r>
        <w:rPr>
          <w:rFonts w:ascii="Times New Roman" w:hAnsi="Times New Roman"/>
          <w:sz w:val="20"/>
        </w:rPr>
        <w:t xml:space="preserve">.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 (b) 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Section 3.26 </w:t>
      </w:r>
      <w:r>
        <w:rPr>
          <w:rFonts w:ascii="Times New Roman" w:hAnsi="Times New Roman"/>
          <w:sz w:val="20"/>
          <w:u w:val="single"/>
        </w:rPr>
        <w:t>Anti-Takeover Measures</w:t>
      </w:r>
      <w:r>
        <w:rPr>
          <w:rFonts w:ascii="Times New Roman" w:hAnsi="Times New Roman"/>
          <w:sz w:val="20"/>
        </w:rPr>
        <w:t>. No anti-takeover measure (such as any measure which would qualify as a “</w:t>
      </w:r>
      <w:r>
        <w:rPr>
          <w:rFonts w:ascii="Times New Roman" w:hAnsi="Times New Roman"/>
          <w:i/>
          <w:sz w:val="20"/>
        </w:rPr>
        <w:t>beschermingsmaatregel</w:t>
      </w:r>
      <w:r>
        <w:rPr>
          <w:rFonts w:ascii="Times New Roman" w:hAnsi="Times New Roman"/>
          <w:sz w:val="20"/>
        </w:rPr>
        <w:t>” under the Laws of The Netherlands) that may be invoked or implemented by the Company (or any of its Affiliates) or by a Third Party pursuant to a right granted to such Third Party by the Company (or any of its Affiliates) (each, an “</w:t>
      </w:r>
      <w:r>
        <w:rPr>
          <w:rFonts w:ascii="Times New Roman" w:hAnsi="Times New Roman"/>
          <w:sz w:val="20"/>
          <w:u w:val="single"/>
        </w:rPr>
        <w:t>Anti-Takeover Measure</w:t>
      </w:r>
      <w:r>
        <w:rPr>
          <w:rFonts w:ascii="Times New Roman" w:hAnsi="Times New Roman"/>
          <w:sz w:val="20"/>
        </w:rPr>
        <w:t xml:space="preserve">”)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3.27 </w:t>
      </w:r>
      <w:r>
        <w:rPr>
          <w:rFonts w:ascii="Times New Roman" w:hAnsi="Times New Roman"/>
          <w:sz w:val="20"/>
          <w:u w:val="single"/>
        </w:rPr>
        <w:t>Information Supplied</w:t>
      </w:r>
      <w:r>
        <w:rPr>
          <w:rFonts w:ascii="Times New Roman" w:hAnsi="Times New Roman"/>
          <w:sz w:val="20"/>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hAnsi="Times New Roman"/>
          <w:sz w:val="20"/>
          <w:u w:val="single"/>
        </w:rPr>
        <w:t>Section 3.27</w:t>
      </w:r>
      <w:r>
        <w:rPr>
          <w:rFonts w:ascii="Times New Roman" w:hAnsi="Times New Roman"/>
          <w:sz w:val="20"/>
        </w:rPr>
        <w:t xml:space="preserve">, no representation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warranty is made by the Company with respect to information or statements made or incorporated by reference in the Offer Documents, the Form F-4 or the Company Disclosure Documents,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3.28 </w:t>
      </w:r>
      <w:r>
        <w:rPr>
          <w:rFonts w:ascii="Times New Roman" w:hAnsi="Times New Roman"/>
          <w:sz w:val="20"/>
          <w:u w:val="single"/>
        </w:rPr>
        <w:t>Related Party Transactions</w:t>
      </w:r>
      <w:r>
        <w:rPr>
          <w:rFonts w:ascii="Times New Roman" w:hAnsi="Times New Roman"/>
          <w:sz w:val="20"/>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hAnsi="Times New Roman"/>
          <w:sz w:val="20"/>
          <w:u w:val="single"/>
        </w:rPr>
        <w:t>Affiliate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3.29 </w:t>
      </w:r>
      <w:r>
        <w:rPr>
          <w:rFonts w:ascii="Times New Roman" w:hAnsi="Times New Roman"/>
          <w:sz w:val="20"/>
          <w:u w:val="single"/>
        </w:rPr>
        <w:t>Rule 14d-10 Matters</w:t>
      </w:r>
      <w:r>
        <w:rPr>
          <w:rFonts w:ascii="Times New Roman" w:hAnsi="Times New Roman"/>
          <w:sz w:val="20"/>
        </w:rPr>
        <w:t>. All amounts payable to holders of Company Shares and other equity interests of the Company (“</w:t>
      </w:r>
      <w:r>
        <w:rPr>
          <w:rFonts w:ascii="Times New Roman" w:hAnsi="Times New Roman"/>
          <w:sz w:val="20"/>
          <w:u w:val="single"/>
        </w:rPr>
        <w:t>Covered Securityholders</w:t>
      </w:r>
      <w:r>
        <w:rPr>
          <w:rFonts w:ascii="Times New Roman" w:hAnsi="Times New Roman"/>
          <w:sz w:val="20"/>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 Rule 14d-10(d)(1) under the 1934 Act (an “</w:t>
      </w:r>
      <w:r>
        <w:rPr>
          <w:rFonts w:ascii="Times New Roman" w:hAnsi="Times New Roman"/>
          <w:sz w:val="20"/>
          <w:u w:val="single"/>
        </w:rPr>
        <w:t>Employment Compensation Arrangement</w:t>
      </w:r>
      <w:r>
        <w:rPr>
          <w:rFonts w:ascii="Times New Roman" w:hAnsi="Times New Roman"/>
          <w:sz w:val="20"/>
        </w:rPr>
        <w:t xml:space="preserve">”)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 (ii) has taken all other actions necessary to satisfy the requirements of the non-exclusive safe harbor under Rule 14d-10(d) under the 1934 Act with respect to the foregoing arrangements. The Company has provided or will provide to Buyer copies of resolutions adopted by the independent members of the Supervisory Board effectuating the foregoing, which resolutions have not been modified, amended or rescinded. </w:t>
      </w:r>
    </w:p>
    <w:p>
      <w:pPr>
        <w:pStyle w:val="TextBody"/>
        <w:bidi w:val="0"/>
        <w:spacing w:before="240" w:after="0"/>
        <w:jc w:val="left"/>
        <w:rPr>
          <w:rFonts w:ascii="Times New Roman" w:hAnsi="Times New Roman"/>
          <w:sz w:val="20"/>
        </w:rPr>
      </w:pPr>
      <w:r>
        <w:rPr>
          <w:rFonts w:ascii="Times New Roman" w:hAnsi="Times New Roman"/>
          <w:sz w:val="20"/>
        </w:rPr>
        <w:t xml:space="preserve">Section 3.30 </w:t>
      </w:r>
      <w:r>
        <w:rPr>
          <w:rFonts w:ascii="Times New Roman" w:hAnsi="Times New Roman"/>
          <w:sz w:val="20"/>
          <w:u w:val="single"/>
        </w:rPr>
        <w:t>No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set forth in </w:t>
      </w:r>
      <w:r>
        <w:rPr>
          <w:rFonts w:ascii="Times New Roman" w:hAnsi="Times New Roman"/>
          <w:sz w:val="20"/>
          <w:u w:val="single"/>
        </w:rPr>
        <w:t>Article 4</w:t>
      </w:r>
      <w:r>
        <w:rPr>
          <w:rFonts w:ascii="Times New Roman" w:hAnsi="Times New Roman"/>
          <w:sz w:val="20"/>
        </w:rPr>
        <w:t xml:space="preserve">,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also acknowledges and agrees that, except for the representations and warranties set forth in </w:t>
      </w:r>
      <w:r>
        <w:rPr>
          <w:rFonts w:ascii="Times New Roman" w:hAnsi="Times New Roman"/>
          <w:sz w:val="20"/>
          <w:u w:val="single"/>
        </w:rPr>
        <w:t>Article 4</w:t>
      </w:r>
      <w:r>
        <w:rPr>
          <w:rFonts w:ascii="Times New Roman" w:hAnsi="Times New Roman"/>
          <w:sz w:val="20"/>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u w:val="single"/>
        </w:rPr>
        <w:t>REPRESENTATIONS AND WARRANTIES OF BUYER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Corporate Existence and Power</w:t>
      </w:r>
      <w:r>
        <w:rPr>
          <w:rFonts w:ascii="Times New Roman" w:hAnsi="Times New Roman"/>
          <w:sz w:val="20"/>
        </w:rPr>
        <w:t xml:space="preserve">.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Corporate Authorization</w:t>
      </w:r>
      <w:r>
        <w:rPr>
          <w:rFonts w:ascii="Times New Roman" w:hAnsi="Times New Roman"/>
          <w:sz w:val="20"/>
        </w:rPr>
        <w:t xml:space="preserve">.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Governmental Authorization</w:t>
      </w:r>
      <w:r>
        <w:rPr>
          <w:rFonts w:ascii="Times New Roman" w:hAnsi="Times New Roman"/>
          <w:sz w:val="20"/>
        </w:rPr>
        <w:t xml:space="preserve">.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Non-Contravention</w:t>
      </w:r>
      <w:r>
        <w:rPr>
          <w:rFonts w:ascii="Times New Roman" w:hAnsi="Times New Roman"/>
          <w:sz w:val="20"/>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hAnsi="Times New Roman"/>
          <w:sz w:val="20"/>
          <w:u w:val="single"/>
        </w:rPr>
        <w:t>Section 4.03</w:t>
      </w:r>
      <w:r>
        <w:rPr>
          <w:rFonts w:ascii="Times New Roman" w:hAnsi="Times New Roman"/>
          <w:sz w:val="20"/>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hAnsi="Times New Roman"/>
          <w:sz w:val="20"/>
          <w:u w:val="single"/>
        </w:rPr>
        <w:t>Section 4.03</w:t>
      </w:r>
      <w:r>
        <w:rPr>
          <w:rFonts w:ascii="Times New Roman" w:hAnsi="Times New Roman"/>
          <w:sz w:val="20"/>
        </w:rPr>
        <w:t xml:space="preserve">, violate or conflict with any Law or Order applicable to Buyer or any of its Subsidiaries or by which Buyer or its Subsidiaries, or any of their respective properties or assets may be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only such exceptions, in the case of each of clauses (b) and (c), as would not have or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share capital of the Buyer consists of 248,552,200 registered shares (</w:t>
      </w:r>
      <w:r>
        <w:rPr>
          <w:rFonts w:ascii="Times New Roman" w:hAnsi="Times New Roman"/>
          <w:i/>
          <w:sz w:val="20"/>
        </w:rPr>
        <w:t>Namensaktien</w:t>
      </w:r>
      <w:r>
        <w:rPr>
          <w:rFonts w:ascii="Times New Roman" w:hAnsi="Times New Roman"/>
          <w:sz w:val="20"/>
        </w:rPr>
        <w:t>) (the “</w:t>
      </w:r>
      <w:r>
        <w:rPr>
          <w:rFonts w:ascii="Times New Roman" w:hAnsi="Times New Roman"/>
          <w:sz w:val="20"/>
          <w:u w:val="single"/>
        </w:rPr>
        <w:t>Buyer Shares</w:t>
      </w:r>
      <w:r>
        <w:rPr>
          <w:rFonts w:ascii="Times New Roman" w:hAnsi="Times New Roman"/>
          <w:sz w:val="20"/>
        </w:rPr>
        <w:t>”). As of the close of business on June 11, 2025, (A) 248,552,200 Buyer Shares were issued and outstanding, of these 2,316,205 Buyer Shares were held in treasury by Buyer, (B) 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hAnsi="Times New Roman"/>
          <w:i/>
          <w:sz w:val="20"/>
        </w:rPr>
        <w:t>Genehmigtes Kapital 2025</w:t>
      </w:r>
      <w:r>
        <w:rPr>
          <w:rFonts w:ascii="Times New Roman" w:hAnsi="Times New Roman"/>
          <w:sz w:val="20"/>
        </w:rPr>
        <w:t xml:space="preserve">),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(b) 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SEC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hAnsi="Times New Roman"/>
          <w:sz w:val="20"/>
          <w:u w:val="single"/>
        </w:rPr>
        <w:t>Buyer SEC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(c) 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 Subsidiary of the Buyer is subject to the periodic reporting requirements of the 1934 Act or is otherwise required to file any periodic forms, reports, schedules, statements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2022, the consolidated financial statements (not including the German statutory accounts) of the Buyer (including any related notes thereto) included or incorporated by reference in the Buyer SEC Documents: </w:t>
      </w:r>
    </w:p>
    <w:p>
      <w:pPr>
        <w:pStyle w:val="TextBody"/>
        <w:bidi w:val="0"/>
        <w:spacing w:before="120" w:after="0"/>
        <w:jc w:val="left"/>
        <w:rPr>
          <w:rFonts w:ascii="Times New Roman" w:hAnsi="Times New Roman"/>
          <w:sz w:val="20"/>
        </w:rPr>
      </w:pPr>
      <w:r>
        <w:rPr>
          <w:rFonts w:ascii="Times New Roman" w:hAnsi="Times New Roman"/>
          <w:sz w:val="20"/>
        </w:rPr>
        <w:t xml:space="preserve">(i) 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 </w:t>
      </w:r>
    </w:p>
    <w:p>
      <w:pPr>
        <w:pStyle w:val="TextBody"/>
        <w:bidi w:val="0"/>
        <w:spacing w:before="120" w:after="0"/>
        <w:jc w:val="left"/>
        <w:rPr>
          <w:rFonts w:ascii="Times New Roman" w:hAnsi="Times New Roman"/>
          <w:sz w:val="20"/>
        </w:rPr>
      </w:pPr>
      <w:r>
        <w:rPr>
          <w:rFonts w:ascii="Times New Roman" w:hAnsi="Times New Roman"/>
          <w:sz w:val="20"/>
        </w:rPr>
        <w:t xml:space="preserve">(ii) were prepared in accordance with IFRS applied on a consistent basis (except as may be indicated in the notes to those financial statements); and </w:t>
      </w:r>
    </w:p>
    <w:p>
      <w:pPr>
        <w:pStyle w:val="TextBody"/>
        <w:bidi w:val="0"/>
        <w:spacing w:before="120" w:after="0"/>
        <w:jc w:val="left"/>
        <w:rPr>
          <w:rFonts w:ascii="Times New Roman" w:hAnsi="Times New Roman"/>
          <w:sz w:val="20"/>
        </w:rPr>
      </w:pPr>
      <w:r>
        <w:rPr>
          <w:rFonts w:ascii="Times New Roman" w:hAnsi="Times New Roman"/>
          <w:sz w:val="20"/>
        </w:rPr>
        <w:t xml:space="preserve">(iii) fairly presented (except as may be indicated in the notes thereto and subject in the case of unaudited statements to normal 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2022, there has been no change in the Buyer’s accounting methods or principles that is material and would be required to be disclosed in the Buyer’s financial statements in accordance with IFRS, except as described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 (i) 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(c) The Buyer is in compliance in all material respects with the applicable listing and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Disclosure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(b) 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hAnsi="Times New Roman"/>
          <w:sz w:val="20"/>
          <w:u w:val="single"/>
        </w:rPr>
        <w:t>Section 4.09</w:t>
      </w:r>
      <w:r>
        <w:rPr>
          <w:rFonts w:ascii="Times New Roman" w:hAnsi="Times New Roman"/>
          <w:sz w:val="20"/>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December 31, 2024, until the date of this Agreement, there has not been any Effect that has had or would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From December 31, 2024, until the date of this Agreement, the business of the Buyer and its Subsidiaries has been conducted in the ordinary course of business of the Buyer and its Subsidiaries in a manner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No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 </w:t>
      </w:r>
    </w:p>
    <w:p>
      <w:pPr>
        <w:pStyle w:val="TextBody"/>
        <w:bidi w:val="0"/>
        <w:spacing w:before="120" w:after="0"/>
        <w:jc w:val="left"/>
        <w:rPr>
          <w:rFonts w:ascii="Times New Roman" w:hAnsi="Times New Roman"/>
          <w:sz w:val="20"/>
        </w:rPr>
      </w:pPr>
      <w:r>
        <w:rPr>
          <w:rFonts w:ascii="Times New Roman" w:hAnsi="Times New Roman"/>
          <w:sz w:val="20"/>
        </w:rPr>
        <w:t xml:space="preserve">(i) Liabilities disclosed or recorded on the Buyer Balance Sheet set forth in the Buyer SEC Documents; </w:t>
      </w:r>
    </w:p>
    <w:p>
      <w:pPr>
        <w:pStyle w:val="TextBody"/>
        <w:bidi w:val="0"/>
        <w:spacing w:before="120" w:after="0"/>
        <w:jc w:val="left"/>
        <w:rPr>
          <w:rFonts w:ascii="Times New Roman" w:hAnsi="Times New Roman"/>
          <w:sz w:val="20"/>
        </w:rPr>
      </w:pPr>
      <w:r>
        <w:rPr>
          <w:rFonts w:ascii="Times New Roman" w:hAnsi="Times New Roman"/>
          <w:sz w:val="20"/>
        </w:rPr>
        <w:t xml:space="preserve">(ii) Liabilities incurred since December 31, 2024,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Liabilities incurred in connection with the Transactions or as expressly permitted or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Liabilities and obligations solely between the Buyer and its wholly-owned Subsidiaries or among wholly-owned Subsidiaries of the Buyer; and </w:t>
      </w:r>
    </w:p>
    <w:p>
      <w:pPr>
        <w:pStyle w:val="TextBody"/>
        <w:bidi w:val="0"/>
        <w:spacing w:before="120" w:after="0"/>
        <w:jc w:val="left"/>
        <w:rPr>
          <w:rFonts w:ascii="Times New Roman" w:hAnsi="Times New Roman"/>
          <w:sz w:val="20"/>
        </w:rPr>
      </w:pPr>
      <w:r>
        <w:rPr>
          <w:rFonts w:ascii="Times New Roman" w:hAnsi="Times New Roman"/>
          <w:sz w:val="20"/>
        </w:rPr>
        <w:t xml:space="preserve">(v) other Liabilities that would not have or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Litigation</w:t>
      </w:r>
      <w:r>
        <w:rPr>
          <w:rFonts w:ascii="Times New Roman" w:hAnsi="Times New Roman"/>
          <w:sz w:val="20"/>
        </w:rPr>
        <w:t xml:space="preserve">.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Ownership of Company Shares; Investment</w:t>
      </w:r>
      <w:r>
        <w:rPr>
          <w:rFonts w:ascii="Times New Roman" w:hAnsi="Times New Roman"/>
          <w:sz w:val="20"/>
        </w:rPr>
        <w:t xml:space="preserve">.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Tax-Free Reorganization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is not, and will not be, immediately prior to the Closing, an “investment company” within the meaning of Section 368(a)(2)(F) of the Code. </w:t>
      </w:r>
    </w:p>
    <w:p>
      <w:pPr>
        <w:pStyle w:val="TextBody"/>
        <w:bidi w:val="0"/>
        <w:spacing w:before="240" w:after="0"/>
        <w:jc w:val="left"/>
        <w:rPr>
          <w:rFonts w:ascii="Times New Roman" w:hAnsi="Times New Roman"/>
          <w:sz w:val="20"/>
        </w:rPr>
      </w:pPr>
      <w:r>
        <w:rPr>
          <w:rFonts w:ascii="Times New Roman" w:hAnsi="Times New Roman"/>
          <w:sz w:val="20"/>
        </w:rPr>
        <w:t xml:space="preserve">(b) 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Absence of Certain Agreements</w:t>
      </w:r>
      <w:r>
        <w:rPr>
          <w:rFonts w:ascii="Times New Roman" w:hAnsi="Times New Roman"/>
          <w:sz w:val="20"/>
        </w:rPr>
        <w:t xml:space="preserve">.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No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set forth in </w:t>
      </w:r>
      <w:r>
        <w:rPr>
          <w:rFonts w:ascii="Times New Roman" w:hAnsi="Times New Roman"/>
          <w:sz w:val="20"/>
          <w:u w:val="single"/>
        </w:rPr>
        <w:t>Article 3</w:t>
      </w:r>
      <w:r>
        <w:rPr>
          <w:rFonts w:ascii="Times New Roman" w:hAnsi="Times New Roman"/>
          <w:sz w:val="20"/>
        </w:rPr>
        <w:t xml:space="preserve">,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Buyer also acknowledges and agrees that, except for the representations and warranties set forth in </w:t>
      </w:r>
      <w:r>
        <w:rPr>
          <w:rFonts w:ascii="Times New Roman" w:hAnsi="Times New Roman"/>
          <w:sz w:val="20"/>
          <w:u w:val="single"/>
        </w:rPr>
        <w:t>Article 3</w:t>
      </w:r>
      <w:r>
        <w:rPr>
          <w:rFonts w:ascii="Times New Roman" w:hAnsi="Times New Roman"/>
          <w:sz w:val="20"/>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u w:val="single"/>
        </w:rPr>
        <w:t>COVENANTS OF THE COMPANY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that: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Conduct of the Company</w:t>
      </w:r>
      <w:r>
        <w:rPr>
          <w:rFonts w:ascii="Times New Roman" w:hAnsi="Times New Roman"/>
          <w:sz w:val="20"/>
        </w:rPr>
        <w:t xml:space="preserve">. From the date of this Agreement until the Closing or the earlier valid termination of this Agreement in accordance with </w:t>
      </w:r>
      <w:r>
        <w:rPr>
          <w:rFonts w:ascii="Times New Roman" w:hAnsi="Times New Roman"/>
          <w:sz w:val="20"/>
          <w:u w:val="single"/>
        </w:rPr>
        <w:t>Article 8</w:t>
      </w:r>
      <w:r>
        <w:rPr>
          <w:rFonts w:ascii="Times New Roman" w:hAnsi="Times New Roman"/>
          <w:sz w:val="20"/>
        </w:rPr>
        <w:t xml:space="preserve"> (the “</w:t>
      </w:r>
      <w:r>
        <w:rPr>
          <w:rFonts w:ascii="Times New Roman" w:hAnsi="Times New Roman"/>
          <w:sz w:val="20"/>
          <w:u w:val="single"/>
        </w:rPr>
        <w:t>Pre-Closing Period</w:t>
      </w:r>
      <w:r>
        <w:rPr>
          <w:rFonts w:ascii="Times New Roman" w:hAnsi="Times New Roman"/>
          <w:sz w:val="20"/>
        </w:rPr>
        <w:t xml:space="preserve">”), except as (i) expressly required or expressly contemplated by this Agreement, (ii) set forth on </w:t>
      </w:r>
      <w:r>
        <w:rPr>
          <w:rFonts w:ascii="Times New Roman" w:hAnsi="Times New Roman"/>
          <w:sz w:val="20"/>
          <w:u w:val="single"/>
        </w:rPr>
        <w:t>Section 5.01</w:t>
      </w:r>
      <w:r>
        <w:rPr>
          <w:rFonts w:ascii="Times New Roman" w:hAnsi="Times New Roman"/>
          <w:sz w:val="20"/>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hAnsi="Times New Roman"/>
          <w:sz w:val="20"/>
          <w:u w:val="single"/>
        </w:rPr>
        <w:t>provided</w:t>
      </w:r>
      <w:r>
        <w:rPr>
          <w:rFonts w:ascii="Times New Roman" w:hAnsi="Times New Roman"/>
          <w:sz w:val="20"/>
        </w:rPr>
        <w:t xml:space="preserve">, that no action expressly permitted to be taken by the Company or any of its Subsidiaries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(u)</w:t>
      </w:r>
      <w:r>
        <w:rPr>
          <w:rFonts w:ascii="Times New Roman" w:hAnsi="Times New Roman"/>
          <w:sz w:val="20"/>
        </w:rPr>
        <w:t xml:space="preserve"> of this </w:t>
      </w:r>
      <w:r>
        <w:rPr>
          <w:rFonts w:ascii="Times New Roman" w:hAnsi="Times New Roman"/>
          <w:sz w:val="20"/>
          <w:u w:val="single"/>
        </w:rPr>
        <w:t>Section 5.01</w:t>
      </w:r>
      <w:r>
        <w:rPr>
          <w:rFonts w:ascii="Times New Roman" w:hAnsi="Times New Roman"/>
          <w:sz w:val="20"/>
        </w:rPr>
        <w:t xml:space="preserve"> shall be deemed a breach of this sentence unless such action would constitute a breach of such specific provision;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hAnsi="Times New Roman"/>
          <w:sz w:val="20"/>
          <w:u w:val="single"/>
        </w:rPr>
        <w:t>Section 5.01</w:t>
      </w:r>
      <w:r>
        <w:rPr>
          <w:rFonts w:ascii="Times New Roman" w:hAnsi="Times New Roman"/>
          <w:sz w:val="20"/>
        </w:rPr>
        <w:t xml:space="preserve"> of the Company Letter, (y) required by applicable Law or Tax Law or IFRS or (z) consented to in advance by Buyer in writing (such consent not to be unreasonably withheld, conditioned or delayed), the Company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(a) amend, adopt any amendment or otherwise change (whether by merger, consolidation or otherwise) any of the Company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(b) (i)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 (iii) 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expressly permitted by </w:t>
      </w:r>
      <w:r>
        <w:rPr>
          <w:rFonts w:ascii="Times New Roman" w:hAnsi="Times New Roman"/>
          <w:sz w:val="20"/>
          <w:u w:val="single"/>
        </w:rPr>
        <w:t>Section 5.01(k)</w:t>
      </w:r>
      <w:r>
        <w:rPr>
          <w:rFonts w:ascii="Times New Roman" w:hAnsi="Times New Roman"/>
          <w:sz w:val="20"/>
        </w:rPr>
        <w:t xml:space="preserve">, (i) issue, pledge, dispose, grant, transfer, encumber (or otherwise cause to be subject to any Lien), deliver or sell, or authorize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hAnsi="Times New Roman"/>
          <w:sz w:val="20"/>
          <w:u w:val="single"/>
        </w:rPr>
        <w:t>provided</w:t>
      </w:r>
      <w:r>
        <w:rPr>
          <w:rFonts w:ascii="Times New Roman" w:hAnsi="Times New Roman"/>
          <w:sz w:val="20"/>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 </w:t>
      </w:r>
    </w:p>
    <w:p>
      <w:pPr>
        <w:pStyle w:val="TextBody"/>
        <w:bidi w:val="0"/>
        <w:spacing w:before="240" w:after="0"/>
        <w:jc w:val="left"/>
        <w:rPr>
          <w:rFonts w:ascii="Times New Roman" w:hAnsi="Times New Roman"/>
          <w:sz w:val="20"/>
        </w:rPr>
      </w:pPr>
      <w:r>
        <w:rPr>
          <w:rFonts w:ascii="Times New Roman" w:hAnsi="Times New Roman"/>
          <w:sz w:val="20"/>
        </w:rPr>
        <w:t xml:space="preserve">(d) (i)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(e) 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(f) (i)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 </w:t>
      </w:r>
    </w:p>
    <w:p>
      <w:pPr>
        <w:pStyle w:val="TextBody"/>
        <w:bidi w:val="0"/>
        <w:spacing w:before="240" w:after="0"/>
        <w:jc w:val="left"/>
        <w:rPr>
          <w:rFonts w:ascii="Times New Roman" w:hAnsi="Times New Roman"/>
          <w:sz w:val="20"/>
        </w:rPr>
      </w:pPr>
      <w:r>
        <w:rPr>
          <w:rFonts w:ascii="Times New Roman" w:hAnsi="Times New Roman"/>
          <w:sz w:val="20"/>
        </w:rPr>
        <w:t xml:space="preserve">(g) (i) commence any clinical study in respect of any Company Product, (ii) make any material change to, discontinue, terminate or suspend any clinical study or (iii) qualify any new site for manufacturing of any Company Product unless in line with existing development plans; </w:t>
      </w:r>
    </w:p>
    <w:p>
      <w:pPr>
        <w:pStyle w:val="TextBody"/>
        <w:bidi w:val="0"/>
        <w:spacing w:before="240" w:after="0"/>
        <w:jc w:val="left"/>
        <w:rPr>
          <w:rFonts w:ascii="Times New Roman" w:hAnsi="Times New Roman"/>
          <w:sz w:val="20"/>
        </w:rPr>
      </w:pPr>
      <w:r>
        <w:rPr>
          <w:rFonts w:ascii="Times New Roman" w:hAnsi="Times New Roman"/>
          <w:sz w:val="20"/>
        </w:rPr>
        <w:t xml:space="preserve">(h) enter into, amend, renew, extend, modify, terminate or waive any rights under, in each case, in any material respect, any Company Real Property Lease required to be listed in </w:t>
      </w:r>
      <w:r>
        <w:rPr>
          <w:rFonts w:ascii="Times New Roman" w:hAnsi="Times New Roman"/>
          <w:sz w:val="20"/>
          <w:u w:val="single"/>
        </w:rPr>
        <w:t>Section 3.15</w:t>
      </w:r>
      <w:r>
        <w:rPr>
          <w:rFonts w:ascii="Times New Roman" w:hAnsi="Times New Roman"/>
          <w:sz w:val="20"/>
        </w:rPr>
        <w:t xml:space="preserve">(b)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or Material Contract required to be listed in </w:t>
      </w:r>
      <w:r>
        <w:rPr>
          <w:rFonts w:ascii="Times New Roman" w:hAnsi="Times New Roman"/>
          <w:sz w:val="20"/>
          <w:u w:val="single"/>
        </w:rPr>
        <w:t>Section 3.21</w:t>
      </w:r>
      <w:r>
        <w:rPr>
          <w:rFonts w:ascii="Times New Roman" w:hAnsi="Times New Roman"/>
          <w:sz w:val="20"/>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hAnsi="Times New Roman"/>
          <w:sz w:val="20"/>
          <w:u w:val="single"/>
        </w:rPr>
        <w:t>Section 5.01(a)</w:t>
      </w:r>
      <w:r>
        <w:rPr>
          <w:rFonts w:ascii="Times New Roman" w:hAnsi="Times New Roman"/>
          <w:sz w:val="20"/>
        </w:rPr>
        <w:t>-</w:t>
      </w:r>
      <w:r>
        <w:rPr>
          <w:rFonts w:ascii="Times New Roman" w:hAnsi="Times New Roman"/>
          <w:sz w:val="20"/>
          <w:u w:val="single"/>
        </w:rPr>
        <w:t>(u)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set forth in </w:t>
      </w:r>
      <w:r>
        <w:rPr>
          <w:rFonts w:ascii="Times New Roman" w:hAnsi="Times New Roman"/>
          <w:sz w:val="20"/>
          <w:u w:val="single"/>
        </w:rPr>
        <w:t>Section 5.01(i)</w:t>
      </w:r>
      <w:r>
        <w:rPr>
          <w:rFonts w:ascii="Times New Roman" w:hAnsi="Times New Roman"/>
          <w:sz w:val="20"/>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(j) 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(k) except as required by the terms of a Company Plan or Collective Bargaining Agreement, in each case, in effect as of the date hereof, (i) 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 (A) to a position with an annual base salary or annual base compensation of EUR 120,000 or more or (B) to the “Vice President” level or above, in each case, other than in the ordinary course of business consistent with past practice, including to fill a vacant role; </w:t>
      </w:r>
    </w:p>
    <w:p>
      <w:pPr>
        <w:pStyle w:val="TextBody"/>
        <w:bidi w:val="0"/>
        <w:spacing w:before="240" w:after="0"/>
        <w:jc w:val="left"/>
        <w:rPr>
          <w:rFonts w:ascii="Times New Roman" w:hAnsi="Times New Roman"/>
          <w:sz w:val="20"/>
        </w:rPr>
      </w:pPr>
      <w:r>
        <w:rPr>
          <w:rFonts w:ascii="Times New Roman" w:hAnsi="Times New Roman"/>
          <w:sz w:val="20"/>
        </w:rPr>
        <w:t xml:space="preserve">(l) make or authorize any capital expenditures, except as consistent with (i) the Company’s current capital expenditure plan set forth in </w:t>
      </w:r>
      <w:r>
        <w:rPr>
          <w:rFonts w:ascii="Times New Roman" w:hAnsi="Times New Roman"/>
          <w:sz w:val="20"/>
          <w:u w:val="single"/>
        </w:rPr>
        <w:t>Section 5.01(l)</w:t>
      </w:r>
      <w:r>
        <w:rPr>
          <w:rFonts w:ascii="Times New Roman" w:hAnsi="Times New Roman"/>
          <w:sz w:val="20"/>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 </w:t>
      </w:r>
    </w:p>
    <w:p>
      <w:pPr>
        <w:pStyle w:val="TextBody"/>
        <w:bidi w:val="0"/>
        <w:spacing w:before="240" w:after="0"/>
        <w:jc w:val="left"/>
        <w:rPr>
          <w:rFonts w:ascii="Times New Roman" w:hAnsi="Times New Roman"/>
          <w:sz w:val="20"/>
        </w:rPr>
      </w:pPr>
      <w:r>
        <w:rPr>
          <w:rFonts w:ascii="Times New Roman" w:hAnsi="Times New Roman"/>
          <w:sz w:val="20"/>
        </w:rPr>
        <w:t xml:space="preserve">(m) (i) cancel any material indebtedness (other than intercompany indebtedness canceled in compliance with Law); (ii) waive, release, grant or transfer any material claim or right of material value or consent to the termination of any material claim or right of material value; or (iii) commence any Action, except in connection with a breach of this Agreement or any other agreements contemplated hereby or otherwise related to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 pay, discharge, compromise, settle or satisfy any Liability (whether absolute, accrued, asserted or unasserted, contingent or otherwise) or any Action, inquiry or investigation against the Company or any of its Subsidiaries or any of their respective directors or officers, other than (i) Liabilities or Actions relating to Taxes (which, for the avoidance of doubt, shall be governed by </w:t>
      </w:r>
      <w:r>
        <w:rPr>
          <w:rFonts w:ascii="Times New Roman" w:hAnsi="Times New Roman"/>
          <w:sz w:val="20"/>
          <w:u w:val="single"/>
        </w:rPr>
        <w:t>Section 5.01(r)</w:t>
      </w:r>
      <w:r>
        <w:rPr>
          <w:rFonts w:ascii="Times New Roman" w:hAnsi="Times New Roman"/>
          <w:sz w:val="20"/>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hAnsi="Times New Roman"/>
          <w:sz w:val="20"/>
          <w:u w:val="single"/>
        </w:rPr>
        <w:t>Section 7.06</w:t>
      </w:r>
      <w:r>
        <w:rPr>
          <w:rFonts w:ascii="Times New Roman" w:hAnsi="Times New Roman"/>
          <w:sz w:val="20"/>
        </w:rPr>
        <w:t xml:space="preserve">, or (iii) where the amount paid or to be paid by the Company and its Subsidiaries does not exceed $1,000,000, individually, or $5,000,000, in the aggregate (except with respect to settlement of the matters set forth on </w:t>
      </w:r>
      <w:r>
        <w:rPr>
          <w:rFonts w:ascii="Times New Roman" w:hAnsi="Times New Roman"/>
          <w:sz w:val="20"/>
          <w:u w:val="single"/>
        </w:rPr>
        <w:t>Section 5.01(n)</w:t>
      </w:r>
      <w:r>
        <w:rPr>
          <w:rFonts w:ascii="Times New Roman" w:hAnsi="Times New Roman"/>
          <w:sz w:val="20"/>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 </w:t>
      </w:r>
    </w:p>
    <w:p>
      <w:pPr>
        <w:pStyle w:val="TextBody"/>
        <w:bidi w:val="0"/>
        <w:spacing w:before="240" w:after="0"/>
        <w:jc w:val="left"/>
        <w:rPr>
          <w:rFonts w:ascii="Times New Roman" w:hAnsi="Times New Roman"/>
          <w:sz w:val="20"/>
        </w:rPr>
      </w:pPr>
      <w:r>
        <w:rPr>
          <w:rFonts w:ascii="Times New Roman" w:hAnsi="Times New Roman"/>
          <w:sz w:val="20"/>
        </w:rPr>
        <w:t xml:space="preserve">(o) convene any general meeting of the Company (or any adjournment or postponement thereof) other than the EGM and any Subsequent EGM pursuant to </w:t>
      </w:r>
      <w:r>
        <w:rPr>
          <w:rFonts w:ascii="Times New Roman" w:hAnsi="Times New Roman"/>
          <w:sz w:val="20"/>
          <w:u w:val="single"/>
        </w:rPr>
        <w:t>Section 2.04</w:t>
      </w:r>
      <w:r>
        <w:rPr>
          <w:rFonts w:ascii="Times New Roman" w:hAnsi="Times New Roman"/>
          <w:sz w:val="20"/>
        </w:rPr>
        <w:t xml:space="preserve"> or pursuant to Buyer’s request as set forth in </w:t>
      </w:r>
      <w:r>
        <w:rPr>
          <w:rFonts w:ascii="Times New Roman" w:hAnsi="Times New Roman"/>
          <w:sz w:val="20"/>
          <w:u w:val="single"/>
        </w:rPr>
        <w:t>Section 2.06(a)</w:t>
      </w:r>
      <w:r>
        <w:rPr>
          <w:rFonts w:ascii="Times New Roman" w:hAnsi="Times New Roman"/>
          <w:sz w:val="20"/>
        </w:rPr>
        <w:t xml:space="preserve"> (unless (A) the Company determines in good faith, after consultation with outside legal counsel, that such a meeting is required by applicable Law, or (B) such a meeting would otherwise be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 </w:t>
      </w:r>
    </w:p>
    <w:p>
      <w:pPr>
        <w:pStyle w:val="TextBody"/>
        <w:bidi w:val="0"/>
        <w:spacing w:before="240" w:after="0"/>
        <w:jc w:val="left"/>
        <w:rPr>
          <w:rFonts w:ascii="Times New Roman" w:hAnsi="Times New Roman"/>
          <w:sz w:val="20"/>
        </w:rPr>
      </w:pPr>
      <w:r>
        <w:rPr>
          <w:rFonts w:ascii="Times New Roman" w:hAnsi="Times New Roman"/>
          <w:sz w:val="20"/>
        </w:rPr>
        <w:t xml:space="preserve">(q) make any changes to the Company’s methods of accounting (including any change to the Company’s fiscal year), except as required by concurrent changes in IFRS or in Regulation S-X as promulgated by the SEC, as agreed to by its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(r) (i)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(s) 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hAnsi="Times New Roman"/>
          <w:sz w:val="20"/>
          <w:u w:val="single"/>
        </w:rPr>
        <w:t>Section 2.07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enter into a new line of business outside of the business of the Company and its Subsidiaries conducted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(u) 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hAnsi="Times New Roman"/>
          <w:sz w:val="20"/>
          <w:u w:val="single"/>
        </w:rPr>
        <w:t>Annex I</w:t>
      </w:r>
      <w:r>
        <w:rPr>
          <w:rFonts w:ascii="Times New Roman" w:hAnsi="Times New Roman"/>
          <w:sz w:val="20"/>
        </w:rPr>
        <w:t xml:space="preserve"> not being satisfied, or (iv) impair its ability to perform its obligations under this Agreement or to consummate the Transactions on a timely basis;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offer, propose, authorize,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hAnsi="Times New Roman"/>
          <w:sz w:val="20"/>
          <w:u w:val="single"/>
        </w:rPr>
        <w:t>provided</w:t>
      </w:r>
      <w:r>
        <w:rPr>
          <w:rFonts w:ascii="Times New Roman" w:hAnsi="Times New Roman"/>
          <w:sz w:val="20"/>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hAnsi="Times New Roman"/>
          <w:sz w:val="20"/>
          <w:u w:val="single"/>
        </w:rPr>
        <w:t>provided</w:t>
      </w:r>
      <w:r>
        <w:rPr>
          <w:rFonts w:ascii="Times New Roman" w:hAnsi="Times New Roman"/>
          <w:sz w:val="20"/>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hAnsi="Times New Roman"/>
          <w:sz w:val="20"/>
          <w:u w:val="single"/>
        </w:rPr>
        <w:t>provided</w:t>
      </w:r>
      <w:r>
        <w:rPr>
          <w:rFonts w:ascii="Times New Roman" w:hAnsi="Times New Roman"/>
          <w:sz w:val="20"/>
        </w:rPr>
        <w:t xml:space="preserve">, that the Company shall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hAnsi="Times New Roman"/>
          <w:sz w:val="20"/>
          <w:u w:val="single"/>
        </w:rPr>
        <w:t>Section 5.02(a)</w:t>
      </w:r>
      <w:r>
        <w:rPr>
          <w:rFonts w:ascii="Times New Roman" w:hAnsi="Times New Roman"/>
          <w:sz w:val="20"/>
        </w:rPr>
        <w:t xml:space="preserve">. No notice, access, review or investigation pursuant to this </w:t>
      </w:r>
      <w:r>
        <w:rPr>
          <w:rFonts w:ascii="Times New Roman" w:hAnsi="Times New Roman"/>
          <w:sz w:val="20"/>
          <w:u w:val="single"/>
        </w:rPr>
        <w:t>Section 5.02</w:t>
      </w:r>
      <w:r>
        <w:rPr>
          <w:rFonts w:ascii="Times New Roman" w:hAnsi="Times New Roman"/>
          <w:sz w:val="20"/>
        </w:rPr>
        <w:t xml:space="preserve"> or information provided, made available or delivered to Buyer or its Representatives pursuant to this </w:t>
      </w:r>
      <w:r>
        <w:rPr>
          <w:rFonts w:ascii="Times New Roman" w:hAnsi="Times New Roman"/>
          <w:sz w:val="20"/>
          <w:u w:val="single"/>
        </w:rPr>
        <w:t>Section 5.02</w:t>
      </w:r>
      <w:r>
        <w:rPr>
          <w:rFonts w:ascii="Times New Roman" w:hAnsi="Times New Roman"/>
          <w:sz w:val="20"/>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 </w:t>
      </w:r>
    </w:p>
    <w:p>
      <w:pPr>
        <w:pStyle w:val="TextBody"/>
        <w:bidi w:val="0"/>
        <w:spacing w:before="240" w:after="0"/>
        <w:jc w:val="left"/>
        <w:rPr>
          <w:rFonts w:ascii="Times New Roman" w:hAnsi="Times New Roman"/>
          <w:sz w:val="20"/>
        </w:rPr>
      </w:pPr>
      <w:r>
        <w:rPr>
          <w:rFonts w:ascii="Times New Roman" w:hAnsi="Times New Roman"/>
          <w:sz w:val="20"/>
        </w:rPr>
        <w:t>(b) All information and materials provided pursuant to this Agreement shall be subject to the provisions of the confidentiality agreements made by and between the Company and Buyer in connection with the Transactions (the “</w:t>
      </w:r>
      <w:r>
        <w:rPr>
          <w:rFonts w:ascii="Times New Roman" w:hAnsi="Times New Roman"/>
          <w:sz w:val="20"/>
          <w:u w:val="single"/>
        </w:rPr>
        <w:t>Confidentiality Agreements</w:t>
      </w:r>
      <w:r>
        <w:rPr>
          <w:rFonts w:ascii="Times New Roman" w:hAnsi="Times New Roman"/>
          <w:sz w:val="20"/>
        </w:rPr>
        <w:t xml:space="preserve">”). Notwithstanding anything to the contrary in this Agreement or the Confidentiality Agreements, the Confidentiality Agreements shall be deemed terminated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is intended to give Buyer, directly or indirectly, rights to control the Company or any of its Subsidiaries before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 Solicitation;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other than informing Persons of the provisions contained in this </w:t>
      </w:r>
      <w:r>
        <w:rPr>
          <w:rFonts w:ascii="Times New Roman" w:hAnsi="Times New Roman"/>
          <w:sz w:val="20"/>
          <w:u w:val="single"/>
        </w:rPr>
        <w:t>Section 5.03</w:t>
      </w:r>
      <w:r>
        <w:rPr>
          <w:rFonts w:ascii="Times New Roman" w:hAnsi="Times New Roman"/>
          <w:sz w:val="20"/>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hAnsi="Times New Roman"/>
          <w:sz w:val="20"/>
          <w:u w:val="single"/>
        </w:rPr>
        <w:t>provided</w:t>
      </w:r>
      <w:r>
        <w:rPr>
          <w:rFonts w:ascii="Times New Roman" w:hAnsi="Times New Roman"/>
          <w:sz w:val="20"/>
        </w:rPr>
        <w:t xml:space="preserve"> that the Company shall, subject to and in accordance with </w:t>
      </w:r>
      <w:r>
        <w:rPr>
          <w:rFonts w:ascii="Times New Roman" w:hAnsi="Times New Roman"/>
          <w:sz w:val="20"/>
          <w:u w:val="single"/>
        </w:rPr>
        <w:t>Section 5.03(b)</w:t>
      </w:r>
      <w:r>
        <w:rPr>
          <w:rFonts w:ascii="Times New Roman" w:hAnsi="Times New Roman"/>
          <w:sz w:val="20"/>
        </w:rPr>
        <w:t xml:space="preserve">, be permitted to release or waive any such standstill obligations solely to the extent necessary to permit the party referenced therein to submit an unsolicited </w:t>
      </w:r>
      <w:r>
        <w:rPr>
          <w:rFonts w:ascii="Times New Roman" w:hAnsi="Times New Roman"/>
          <w:i/>
          <w:sz w:val="20"/>
        </w:rPr>
        <w:t xml:space="preserve">bona fide </w:t>
      </w:r>
      <w:r>
        <w:rPr>
          <w:rFonts w:ascii="Times New Roman" w:hAnsi="Times New Roman"/>
          <w:sz w:val="20"/>
        </w:rPr>
        <w:t xml:space="preserve">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hAnsi="Times New Roman"/>
          <w:sz w:val="20"/>
          <w:u w:val="single"/>
        </w:rPr>
        <w:t>Section 5.03</w:t>
      </w:r>
      <w:r>
        <w:rPr>
          <w:rFonts w:ascii="Times New Roman" w:hAnsi="Times New Roman"/>
          <w:sz w:val="20"/>
        </w:rPr>
        <w:t xml:space="preserve">. The Company shall promptly (and in any event within two (2)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5.03(a)</w:t>
      </w:r>
      <w:r>
        <w:rPr>
          <w:rFonts w:ascii="Times New Roman" w:hAnsi="Times New Roman"/>
          <w:sz w:val="20"/>
        </w:rPr>
        <w:t xml:space="preserve">, prior to the Expiration Time, in the event that the Company receives an unsolicited </w:t>
      </w:r>
      <w:r>
        <w:rPr>
          <w:rFonts w:ascii="Times New Roman" w:hAnsi="Times New Roman"/>
          <w:i/>
          <w:sz w:val="20"/>
        </w:rPr>
        <w:t xml:space="preserve">bona fide </w:t>
      </w:r>
      <w:r>
        <w:rPr>
          <w:rFonts w:ascii="Times New Roman" w:hAnsi="Times New Roman"/>
          <w:sz w:val="20"/>
        </w:rPr>
        <w:t xml:space="preserve">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furnish non-public information with respect to the Company and its Subsidiaries to the Person or group making such Alternative Acquisition Proposal (and its Representatives); </w:t>
      </w:r>
      <w:r>
        <w:rPr>
          <w:rFonts w:ascii="Times New Roman" w:hAnsi="Times New Roman"/>
          <w:sz w:val="20"/>
          <w:u w:val="single"/>
        </w:rPr>
        <w:t>provided</w:t>
      </w:r>
      <w:r>
        <w:rPr>
          <w:rFonts w:ascii="Times New Roman" w:hAnsi="Times New Roman"/>
          <w:sz w:val="20"/>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hAnsi="Times New Roman"/>
          <w:sz w:val="20"/>
          <w:u w:val="single"/>
        </w:rPr>
        <w:t>Acceptable Confidentiality Agreement</w:t>
      </w:r>
      <w:r>
        <w:rPr>
          <w:rFonts w:ascii="Times New Roman" w:hAnsi="Times New Roman"/>
          <w:sz w:val="20"/>
        </w:rPr>
        <w:t xml:space="preserve">”) and (B) prior to or contemporaneously with furnishing any such non-public information to such Person or group (or its Representatives), it furnishes such non-public information to Buyer to the extent Buyer has not previously been provided with such information;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engage in discussions or negotiations with such Person or group with respect to such Alternative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obligations of the Company set forth in </w:t>
      </w:r>
      <w:r>
        <w:rPr>
          <w:rFonts w:ascii="Times New Roman" w:hAnsi="Times New Roman"/>
          <w:sz w:val="20"/>
          <w:u w:val="single"/>
        </w:rPr>
        <w:t>Sections 5.03(a), (b), and (d)</w:t>
      </w:r>
      <w:r>
        <w:rPr>
          <w:rFonts w:ascii="Times New Roman" w:hAnsi="Times New Roman"/>
          <w:sz w:val="20"/>
        </w:rPr>
        <w:t xml:space="preserve">,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 </w:t>
      </w:r>
    </w:p>
    <w:p>
      <w:pPr>
        <w:pStyle w:val="TextBody"/>
        <w:bidi w:val="0"/>
        <w:spacing w:before="240" w:after="0"/>
        <w:jc w:val="left"/>
        <w:rPr>
          <w:rFonts w:ascii="Times New Roman" w:hAnsi="Times New Roman"/>
          <w:sz w:val="20"/>
        </w:rPr>
      </w:pPr>
      <w:r>
        <w:rPr>
          <w:rFonts w:ascii="Times New Roman" w:hAnsi="Times New Roman"/>
          <w:sz w:val="20"/>
        </w:rPr>
        <w:t>(d) Except as provided in</w:t>
      </w:r>
      <w:r>
        <w:rPr>
          <w:rFonts w:ascii="Times New Roman" w:hAnsi="Times New Roman"/>
          <w:sz w:val="20"/>
          <w:u w:val="single"/>
        </w:rPr>
        <w:t xml:space="preserve"> Section 5.03(e)</w:t>
      </w:r>
      <w:r>
        <w:rPr>
          <w:rFonts w:ascii="Times New Roman" w:hAnsi="Times New Roman"/>
          <w:sz w:val="20"/>
        </w:rPr>
        <w:t xml:space="preserve">, neither the Company Boards nor any committee thereof shall,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hAnsi="Times New Roman"/>
          <w:sz w:val="20"/>
          <w:u w:val="single"/>
        </w:rPr>
        <w:t>clause</w:t>
      </w:r>
      <w:r>
        <w:rPr>
          <w:rFonts w:ascii="Times New Roman" w:hAnsi="Times New Roman"/>
          <w:sz w:val="20"/>
        </w:rPr>
        <w:t> (i) being referred to as an “</w:t>
      </w:r>
      <w:r>
        <w:rPr>
          <w:rFonts w:ascii="Times New Roman" w:hAnsi="Times New Roman"/>
          <w:sz w:val="20"/>
          <w:u w:val="single"/>
        </w:rPr>
        <w:t>Adverse Recommendation Change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hAnsi="Times New Roman"/>
          <w:sz w:val="20"/>
          <w:u w:val="single"/>
        </w:rPr>
        <w:t>Section 5.03(b)(i)</w:t>
      </w:r>
      <w:r>
        <w:rPr>
          <w:rFonts w:ascii="Times New Roman" w:hAnsi="Times New Roman"/>
          <w:sz w:val="20"/>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set forth in </w:t>
      </w:r>
      <w:r>
        <w:rPr>
          <w:rFonts w:ascii="Times New Roman" w:hAnsi="Times New Roman"/>
          <w:sz w:val="20"/>
          <w:u w:val="single"/>
        </w:rPr>
        <w:t>Section 5.03(d)</w:t>
      </w:r>
      <w:r>
        <w:rPr>
          <w:rFonts w:ascii="Times New Roman" w:hAnsi="Times New Roman"/>
          <w:sz w:val="20"/>
        </w:rPr>
        <w:t xml:space="preserve">,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8.01(d)(i)</w:t>
      </w:r>
      <w:r>
        <w:rPr>
          <w:rFonts w:ascii="Times New Roman" w:hAnsi="Times New Roman"/>
          <w:sz w:val="20"/>
        </w:rPr>
        <w:t xml:space="preserve"> or authorize, resolve, agree or propose publicly to take any such action,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not breached any of its obligations under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 (3) Business Day period) and (3) that, subject to </w:t>
      </w:r>
      <w:r>
        <w:rPr>
          <w:rFonts w:ascii="Times New Roman" w:hAnsi="Times New Roman"/>
          <w:sz w:val="20"/>
          <w:u w:val="single"/>
        </w:rPr>
        <w:t>clause</w:t>
      </w:r>
      <w:r>
        <w:rPr>
          <w:rFonts w:ascii="Times New Roman" w:hAnsi="Times New Roman"/>
          <w:sz w:val="20"/>
        </w:rPr>
        <w:t xml:space="preserve"> (iii) below, the Company Boards have determined to effect an Adverse Recommendation Change or terminate this Agreement in accordance with </w:t>
      </w:r>
      <w:r>
        <w:rPr>
          <w:rFonts w:ascii="Times New Roman" w:hAnsi="Times New Roman"/>
          <w:sz w:val="20"/>
          <w:u w:val="single"/>
        </w:rPr>
        <w:t>Section 8.01(d)(i)</w:t>
      </w:r>
      <w:r>
        <w:rPr>
          <w:rFonts w:ascii="Times New Roman" w:hAnsi="Times New Roman"/>
          <w:sz w:val="20"/>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hAnsi="Times New Roman"/>
          <w:sz w:val="20"/>
          <w:u w:val="single"/>
        </w:rPr>
        <w:t>Section 8.01(d)(i)</w:t>
      </w:r>
      <w:r>
        <w:rPr>
          <w:rFonts w:ascii="Times New Roman" w:hAnsi="Times New Roman"/>
          <w:sz w:val="20"/>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hAnsi="Times New Roman"/>
          <w:sz w:val="20"/>
          <w:u w:val="single"/>
        </w:rPr>
        <w:t>Section 8.01(d)(i)</w:t>
      </w:r>
      <w:r>
        <w:rPr>
          <w:rFonts w:ascii="Times New Roman" w:hAnsi="Times New Roman"/>
          <w:sz w:val="20"/>
        </w:rPr>
        <w:t xml:space="preserve">,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 </w:t>
      </w:r>
    </w:p>
    <w:p>
      <w:pPr>
        <w:pStyle w:val="TextBody"/>
        <w:bidi w:val="0"/>
        <w:spacing w:before="120" w:after="0"/>
        <w:jc w:val="left"/>
        <w:rPr>
          <w:rFonts w:ascii="Times New Roman" w:hAnsi="Times New Roman"/>
          <w:sz w:val="20"/>
        </w:rPr>
      </w:pPr>
      <w:r>
        <w:rPr>
          <w:rFonts w:ascii="Times New Roman" w:hAnsi="Times New Roman"/>
          <w:sz w:val="20"/>
        </w:rPr>
        <w:t xml:space="preserve">(iii) 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hAnsi="Times New Roman"/>
          <w:sz w:val="20"/>
          <w:u w:val="single"/>
        </w:rPr>
        <w:t>Section 8.01(d)(i)</w:t>
      </w:r>
      <w:r>
        <w:rPr>
          <w:rFonts w:ascii="Times New Roman" w:hAnsi="Times New Roman"/>
          <w:sz w:val="20"/>
        </w:rPr>
        <w:t xml:space="preserve"> would continue to be inconsistent with the fiduciary duties of the members of the Company Boards under the Laws of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set forth in </w:t>
      </w:r>
      <w:r>
        <w:rPr>
          <w:rFonts w:ascii="Times New Roman" w:hAnsi="Times New Roman"/>
          <w:sz w:val="20"/>
          <w:u w:val="single"/>
        </w:rPr>
        <w:t>Section 5.03(d)</w:t>
      </w:r>
      <w:r>
        <w:rPr>
          <w:rFonts w:ascii="Times New Roman" w:hAnsi="Times New Roman"/>
          <w:sz w:val="20"/>
        </w:rPr>
        <w:t xml:space="preserve">, upon the occurrence of any Intervening Event, the Company Boards may, at any time prior to the Expiration Time, make an Adverse Recommendation Change, or authorize, resolve, agree or propose publicly to take any such action,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hAnsi="Times New Roman"/>
          <w:sz w:val="20"/>
          <w:u w:val="single"/>
        </w:rPr>
        <w:t>clause</w:t>
      </w:r>
      <w:r>
        <w:rPr>
          <w:rFonts w:ascii="Times New Roman" w:hAnsi="Times New Roman"/>
          <w:sz w:val="20"/>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hAnsi="Times New Roman"/>
          <w:sz w:val="20"/>
          <w:u w:val="single"/>
        </w:rPr>
        <w:t>clause</w:t>
      </w:r>
      <w:r>
        <w:rPr>
          <w:rFonts w:ascii="Times New Roman" w:hAnsi="Times New Roman"/>
          <w:sz w:val="20"/>
        </w:rPr>
        <w:t xml:space="preserve"> (ii) below would no longer be inconsistent with the fiduciary duties of the members of the Company Boards under the Laws of The Netherlands; and </w:t>
      </w:r>
    </w:p>
    <w:p>
      <w:pPr>
        <w:pStyle w:val="TextBody"/>
        <w:bidi w:val="0"/>
        <w:spacing w:before="120" w:after="0"/>
        <w:jc w:val="left"/>
        <w:rPr>
          <w:rFonts w:ascii="Times New Roman" w:hAnsi="Times New Roman"/>
          <w:sz w:val="20"/>
        </w:rPr>
      </w:pPr>
      <w:r>
        <w:rPr>
          <w:rFonts w:ascii="Times New Roman" w:hAnsi="Times New Roman"/>
          <w:sz w:val="20"/>
        </w:rPr>
        <w:t xml:space="preserve">(ii) 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change to the circumstances giving rise to the Intervening Event that was previously the subject of a notice hereunder shall require a new notice to Buyer as provided above; </w:t>
      </w:r>
      <w:r>
        <w:rPr>
          <w:rFonts w:ascii="Times New Roman" w:hAnsi="Times New Roman"/>
          <w:sz w:val="20"/>
          <w:u w:val="single"/>
        </w:rPr>
        <w:t>provided</w:t>
      </w:r>
      <w:r>
        <w:rPr>
          <w:rFonts w:ascii="Times New Roman" w:hAnsi="Times New Roman"/>
          <w:sz w:val="20"/>
        </w:rPr>
        <w:t xml:space="preserve">, that, with respect to each such material change, each reference in the preceding clauses (i) and (ii) to a “four (4) Business Day” period shall be changed to refer to a “three (3) Business Day” period). </w:t>
      </w:r>
    </w:p>
    <w:p>
      <w:pPr>
        <w:pStyle w:val="TextBody"/>
        <w:bidi w:val="0"/>
        <w:spacing w:before="240" w:after="0"/>
        <w:jc w:val="left"/>
        <w:rPr>
          <w:rFonts w:ascii="Times New Roman" w:hAnsi="Times New Roman"/>
          <w:sz w:val="20"/>
        </w:rPr>
      </w:pPr>
      <w:r>
        <w:rPr>
          <w:rFonts w:ascii="Times New Roman" w:hAnsi="Times New Roman"/>
          <w:sz w:val="20"/>
        </w:rPr>
        <w:t xml:space="preserve">(g) 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hAnsi="Times New Roman"/>
          <w:sz w:val="20"/>
          <w:u w:val="single"/>
        </w:rPr>
        <w:t>provided</w:t>
      </w:r>
      <w:r>
        <w:rPr>
          <w:rFonts w:ascii="Times New Roman" w:hAnsi="Times New Roman"/>
          <w:sz w:val="20"/>
        </w:rPr>
        <w:t xml:space="preserve"> that any disclosures with respect to any of the foregoing shall be deemed an Adverse Recommendation Change unless the Company Boards expressly publicly reaffirm the Company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Compensation Arrangements</w:t>
      </w:r>
      <w:r>
        <w:rPr>
          <w:rFonts w:ascii="Times New Roman" w:hAnsi="Times New Roman"/>
          <w:sz w:val="20"/>
        </w:rPr>
        <w:t xml:space="preserve">.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 (b) the treatment of the Company Equity Awards, in accordance with the terms set forth in this Agreement, and (c) the applicable terms of </w:t>
      </w:r>
      <w:r>
        <w:rPr>
          <w:rFonts w:ascii="Times New Roman" w:hAnsi="Times New Roman"/>
          <w:sz w:val="20"/>
          <w:u w:val="single"/>
        </w:rPr>
        <w:t>Sections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Delisting; Deregistration</w:t>
      </w:r>
      <w:r>
        <w:rPr>
          <w:rFonts w:ascii="Times New Roman" w:hAnsi="Times New Roman"/>
          <w:sz w:val="20"/>
        </w:rPr>
        <w:t xml:space="preserve">.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Anti-Takeover Measures</w:t>
      </w:r>
      <w:r>
        <w:rPr>
          <w:rFonts w:ascii="Times New Roman" w:hAnsi="Times New Roman"/>
          <w:sz w:val="20"/>
        </w:rPr>
        <w:t xml:space="preserve">.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Internal Controls Remediation Actions</w:t>
      </w:r>
      <w:r>
        <w:rPr>
          <w:rFonts w:ascii="Times New Roman" w:hAnsi="Times New Roman"/>
          <w:sz w:val="20"/>
        </w:rPr>
        <w:t xml:space="preserve">.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shall maintain its books and records in accordance with applicable Tax Law in all material respects through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u w:val="single"/>
        </w:rPr>
        <w:t>COVENANTS OF BUYER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Buyer agrees that: </w:t>
      </w:r>
    </w:p>
    <w:p>
      <w:pPr>
        <w:pStyle w:val="TextBody"/>
        <w:bidi w:val="0"/>
        <w:spacing w:before="12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Director and Officer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hAnsi="Times New Roman"/>
          <w:sz w:val="20"/>
          <w:u w:val="single"/>
        </w:rPr>
        <w:t>Indemnified Person</w:t>
      </w:r>
      <w:r>
        <w:rPr>
          <w:rFonts w:ascii="Times New Roman" w:hAnsi="Times New Roman"/>
          <w:sz w:val="20"/>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hAnsi="Times New Roman"/>
          <w:sz w:val="20"/>
          <w:u w:val="single"/>
        </w:rPr>
        <w:t>Indemnification Agreements</w:t>
      </w:r>
      <w:r>
        <w:rPr>
          <w:rFonts w:ascii="Times New Roman" w:hAnsi="Times New Roman"/>
          <w:sz w:val="20"/>
        </w:rPr>
        <w:t xml:space="preserve">”).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 </w:t>
      </w:r>
    </w:p>
    <w:p>
      <w:pPr>
        <w:pStyle w:val="TextBody"/>
        <w:bidi w:val="0"/>
        <w:spacing w:before="240" w:after="0"/>
        <w:jc w:val="left"/>
        <w:rPr>
          <w:rFonts w:ascii="Times New Roman" w:hAnsi="Times New Roman"/>
          <w:sz w:val="20"/>
        </w:rPr>
      </w:pPr>
      <w:r>
        <w:rPr>
          <w:rFonts w:ascii="Times New Roman" w:hAnsi="Times New Roman"/>
          <w:sz w:val="20"/>
        </w:rPr>
        <w:t>(b) 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hAnsi="Times New Roman"/>
          <w:sz w:val="20"/>
          <w:u w:val="single"/>
        </w:rPr>
        <w:t>Premium Cap</w:t>
      </w:r>
      <w:r>
        <w:rPr>
          <w:rFonts w:ascii="Times New Roman" w:hAnsi="Times New Roman"/>
          <w:sz w:val="20"/>
        </w:rPr>
        <w:t xml:space="preserve">”), and if the total cost for such prepaid “tail” policy exceeds the Premium Cap, then Buyer shall cause the Company may obtain, or cause to be obtained, a prepaid “tail” policy with the maximum coverage available for a total cost of the Premium Cap.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Buyer, the Company or any of their respective successors or assigns (other than pursuant to the Transactions) (i) shall consolidate with, or merge with or into, any other Person and shall not be the continuing or surviving corporation or entity of such consolidation or merger or (ii) shall transfer all or substantially all of its properties or assets to any Person, then, in each case, Buyer shall take such action as may be necessary so that such Person shall assume all of the applicable obligations set forth in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Each of the Indemnified Persons is intended to be third-party beneficiaries of this </w:t>
      </w:r>
      <w:r>
        <w:rPr>
          <w:rFonts w:ascii="Times New Roman" w:hAnsi="Times New Roman"/>
          <w:sz w:val="20"/>
          <w:u w:val="single"/>
        </w:rPr>
        <w:t>Section 6.01</w:t>
      </w:r>
      <w:r>
        <w:rPr>
          <w:rFonts w:ascii="Times New Roman" w:hAnsi="Times New Roman"/>
          <w:sz w:val="20"/>
        </w:rPr>
        <w:t xml:space="preserve">, with full rights of enforcement as if such Indemnified Person was a party hereto. The rights of any Indemnified Person under this </w:t>
      </w:r>
      <w:r>
        <w:rPr>
          <w:rFonts w:ascii="Times New Roman" w:hAnsi="Times New Roman"/>
          <w:sz w:val="20"/>
          <w:u w:val="single"/>
        </w:rPr>
        <w:t>Section 6.01</w:t>
      </w:r>
      <w:r>
        <w:rPr>
          <w:rFonts w:ascii="Times New Roman" w:hAnsi="Times New Roman"/>
          <w:sz w:val="20"/>
        </w:rPr>
        <w:t xml:space="preserve"> shall be in addition to, and not in substitution of, any other rights that such Persons may have under the Company Organizational Documents, the Indemnification Agreements or applicable Law (whether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hAnsi="Times New Roman"/>
          <w:sz w:val="20"/>
          <w:u w:val="single"/>
        </w:rPr>
        <w:t>Continuing Employee</w:t>
      </w:r>
      <w:r>
        <w:rPr>
          <w:rFonts w:ascii="Times New Roman" w:hAnsi="Times New Roman"/>
          <w:sz w:val="20"/>
        </w:rPr>
        <w:t xml:space="preserve">”)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Notwithstanding the generality of </w:t>
      </w:r>
      <w:r>
        <w:rPr>
          <w:rFonts w:ascii="Times New Roman" w:hAnsi="Times New Roman"/>
          <w:sz w:val="20"/>
          <w:u w:val="single"/>
        </w:rPr>
        <w:t>Section 9.09</w:t>
      </w:r>
      <w:r>
        <w:rPr>
          <w:rFonts w:ascii="Times New Roman" w:hAnsi="Times New Roman"/>
          <w:sz w:val="20"/>
        </w:rPr>
        <w:t xml:space="preserve">, the provisions of this </w:t>
      </w:r>
      <w:r>
        <w:rPr>
          <w:rFonts w:ascii="Times New Roman" w:hAnsi="Times New Roman"/>
          <w:sz w:val="20"/>
          <w:u w:val="single"/>
        </w:rPr>
        <w:t>Section 6.02</w:t>
      </w:r>
      <w:r>
        <w:rPr>
          <w:rFonts w:ascii="Times New Roman" w:hAnsi="Times New Roman"/>
          <w:sz w:val="20"/>
        </w:rPr>
        <w:t xml:space="preserve"> are solely for the benefit of the Parties, and no current or former Company Service Provider or any other individual associated therewith shall be regarded for any purpose as a third-party beneficiary of this </w:t>
      </w:r>
      <w:r>
        <w:rPr>
          <w:rFonts w:ascii="Times New Roman" w:hAnsi="Times New Roman"/>
          <w:sz w:val="20"/>
          <w:u w:val="single"/>
        </w:rPr>
        <w:t>Section 6.02</w:t>
      </w:r>
      <w:r>
        <w:rPr>
          <w:rFonts w:ascii="Times New Roman" w:hAnsi="Times New Roman"/>
          <w:sz w:val="20"/>
        </w:rPr>
        <w:t xml:space="preserve">.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Stock Exchange Listing</w:t>
      </w:r>
      <w:r>
        <w:rPr>
          <w:rFonts w:ascii="Times New Roman" w:hAnsi="Times New Roman"/>
          <w:sz w:val="20"/>
        </w:rPr>
        <w:t xml:space="preserve">. Prior to the Expiration Time, Buyer shall cause the Buyer ADSs to be issued in the Offer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Conduct of Buyer</w:t>
      </w:r>
      <w:r>
        <w:rPr>
          <w:rFonts w:ascii="Times New Roman" w:hAnsi="Times New Roman"/>
          <w:sz w:val="20"/>
        </w:rPr>
        <w:t xml:space="preserve">. During the Pre-Closing Period, except as (i) expressly required or expressly contemplated by this Agreement, (ii) set forth in </w:t>
      </w:r>
      <w:r>
        <w:rPr>
          <w:rFonts w:ascii="Times New Roman" w:hAnsi="Times New Roman"/>
          <w:sz w:val="20"/>
          <w:u w:val="single"/>
        </w:rPr>
        <w:t>Section 6.04</w:t>
      </w:r>
      <w:r>
        <w:rPr>
          <w:rFonts w:ascii="Times New Roman" w:hAnsi="Times New Roman"/>
          <w:sz w:val="20"/>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hAnsi="Times New Roman"/>
          <w:sz w:val="20"/>
          <w:u w:val="single"/>
        </w:rPr>
        <w:t>provided</w:t>
      </w:r>
      <w:r>
        <w:rPr>
          <w:rFonts w:ascii="Times New Roman" w:hAnsi="Times New Roman"/>
          <w:sz w:val="20"/>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hAnsi="Times New Roman"/>
          <w:sz w:val="20"/>
          <w:u w:val="single"/>
        </w:rPr>
        <w:t>Section 6.04</w:t>
      </w:r>
      <w:r>
        <w:rPr>
          <w:rFonts w:ascii="Times New Roman" w:hAnsi="Times New Roman"/>
          <w:sz w:val="20"/>
        </w:rPr>
        <w:t xml:space="preserve"> of the Buyer Letter, (y) required by applicable Law or (z) consented to in advance in writing by the Company (such consent not to be unreasonably withheld, conditioned or delayed), Buyer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(a) 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 </w:t>
      </w:r>
    </w:p>
    <w:p>
      <w:pPr>
        <w:pStyle w:val="TextBody"/>
        <w:bidi w:val="0"/>
        <w:spacing w:before="240" w:after="0"/>
        <w:jc w:val="left"/>
        <w:rPr>
          <w:rFonts w:ascii="Times New Roman" w:hAnsi="Times New Roman"/>
          <w:sz w:val="20"/>
        </w:rPr>
      </w:pPr>
      <w:r>
        <w:rPr>
          <w:rFonts w:ascii="Times New Roman" w:hAnsi="Times New Roman"/>
          <w:sz w:val="20"/>
        </w:rPr>
        <w:t xml:space="preserve">(c) split, combine, subdivide, exchange or reclassify the Buyer Shares or Buyer ADSs including pursuant to any recapitalization, merger, issuer tender or exchange offer or other similar transaction,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Consideration and any other amounts payable pursuant to the Transactions contemplated in this Agreement are equitably adjusted in order to provide the (former) shareholders of the Company the same economic benefit as contemplated by this Agreement prior to such event; or </w:t>
      </w:r>
    </w:p>
    <w:p>
      <w:pPr>
        <w:pStyle w:val="TextBody"/>
        <w:bidi w:val="0"/>
        <w:spacing w:before="240" w:after="0"/>
        <w:jc w:val="left"/>
        <w:rPr>
          <w:rFonts w:ascii="Times New Roman" w:hAnsi="Times New Roman"/>
          <w:sz w:val="20"/>
        </w:rPr>
      </w:pPr>
      <w:r>
        <w:rPr>
          <w:rFonts w:ascii="Times New Roman" w:hAnsi="Times New Roman"/>
          <w:sz w:val="20"/>
        </w:rPr>
        <w:t xml:space="preserve">(d)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shall not make (and shall cause each of its Affiliates to not make) any election under Section 338 of the Code or any similar provision of any U.S. state or local or foreign Law with respect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 </w:t>
      </w:r>
    </w:p>
    <w:p>
      <w:pPr>
        <w:pStyle w:val="TextBody"/>
        <w:bidi w:val="0"/>
        <w:spacing w:before="240" w:after="0"/>
        <w:jc w:val="left"/>
        <w:rPr>
          <w:rFonts w:ascii="Times New Roman" w:hAnsi="Times New Roman"/>
          <w:sz w:val="20"/>
        </w:rPr>
      </w:pPr>
      <w:r>
        <w:rPr>
          <w:rFonts w:ascii="Times New Roman" w:hAnsi="Times New Roman"/>
          <w:sz w:val="20"/>
        </w:rPr>
        <w:t>(d) During the one-year period beginning on the date of the Cancellation Effective Date, Buyer shall not transfer any of the assets of the Company and, after the New Topco U.S. Tax Election pursuant to Section 2.07</w:t>
      </w:r>
      <w:r>
        <w:rPr>
          <w:rFonts w:ascii="Times New Roman" w:hAnsi="Times New Roman"/>
          <w:sz w:val="20"/>
          <w:u w:val="single"/>
        </w:rPr>
        <w:t>(b)(vi)</w:t>
      </w:r>
      <w:r>
        <w:rPr>
          <w:rFonts w:ascii="Times New Roman" w:hAnsi="Times New Roman"/>
          <w:sz w:val="20"/>
        </w:rPr>
        <w:t xml:space="preserve">,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u w:val="single"/>
        </w:rPr>
        <w:t>COVENANTS OF THE PARTIES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w:t>
      </w:r>
    </w:p>
    <w:p>
      <w:pPr>
        <w:pStyle w:val="TextBody"/>
        <w:bidi w:val="0"/>
        <w:spacing w:before="12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Regulatory Approvals;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Pre-Closing Period, the Parties shall use their respective reasonable best efforts to consummate and make effective the Transactions in accordance with the terms hereof and subject to </w:t>
      </w:r>
      <w:r>
        <w:rPr>
          <w:rFonts w:ascii="Times New Roman" w:hAnsi="Times New Roman"/>
          <w:sz w:val="20"/>
          <w:u w:val="single"/>
        </w:rPr>
        <w:t>Section 7.01(g)</w:t>
      </w:r>
      <w:r>
        <w:rPr>
          <w:rFonts w:ascii="Times New Roman" w:hAnsi="Times New Roman"/>
          <w:sz w:val="20"/>
        </w:rPr>
        <w:t xml:space="preserve">. Without limiting the foregoing, during the Pre-Closing Period, the Parties shall use their respective reasonable best efforts to (i) promptly satisfy the Offer Condition set forth in paragraphs (B) and (L) of Annex I and (ii) 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proposals made or submitted to any Governmental Authority in connection with proceedings relating to the HSR Act and the Other Required Regulatory Approvals; </w:t>
      </w:r>
      <w:r>
        <w:rPr>
          <w:rFonts w:ascii="Times New Roman" w:hAnsi="Times New Roman"/>
          <w:sz w:val="20"/>
          <w:u w:val="single"/>
        </w:rPr>
        <w:t>provided</w:t>
      </w:r>
      <w:r>
        <w:rPr>
          <w:rFonts w:ascii="Times New Roman" w:hAnsi="Times New Roman"/>
          <w:sz w:val="20"/>
        </w:rPr>
        <w:t xml:space="preserve">, that each Party may limit disclosure of commercially sensitive portions of such materials to the outside legal counsel and consultants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(c) 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hAnsi="Times New Roman"/>
          <w:sz w:val="20"/>
          <w:u w:val="single"/>
        </w:rPr>
        <w:t>provided</w:t>
      </w:r>
      <w:r>
        <w:rPr>
          <w:rFonts w:ascii="Times New Roman" w:hAnsi="Times New Roman"/>
          <w:sz w:val="20"/>
        </w:rPr>
        <w:t xml:space="preserve">, that no prior approval is required for the submission of the Notification and Report Form pursuant to the HSR Act or any submission related to the Transactions reasonably required to comply with the Company’s statutory obligations. </w:t>
      </w:r>
    </w:p>
    <w:p>
      <w:pPr>
        <w:pStyle w:val="TextBody"/>
        <w:bidi w:val="0"/>
        <w:spacing w:before="240" w:after="0"/>
        <w:jc w:val="left"/>
        <w:rPr>
          <w:rFonts w:ascii="Times New Roman" w:hAnsi="Times New Roman"/>
          <w:sz w:val="20"/>
        </w:rPr>
      </w:pPr>
      <w:r>
        <w:rPr>
          <w:rFonts w:ascii="Times New Roman" w:hAnsi="Times New Roman"/>
          <w:sz w:val="20"/>
        </w:rPr>
        <w:t>(d) 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hAnsi="Times New Roman"/>
          <w:sz w:val="20"/>
          <w:u w:val="single"/>
        </w:rPr>
        <w:t>Antitrust Investigation</w:t>
      </w:r>
      <w:r>
        <w:rPr>
          <w:rFonts w:ascii="Times New Roman" w:hAnsi="Times New Roman"/>
          <w:sz w:val="20"/>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prior approval is required for the submission of the Notification and Report Form pursuant to the HSR Act or any submission related to the Transactions reasonably required to comply with the Company’s statutory obligations.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hAnsi="Times New Roman"/>
          <w:sz w:val="20"/>
          <w:u w:val="single"/>
        </w:rPr>
        <w:t>provided</w:t>
      </w:r>
      <w:r>
        <w:rPr>
          <w:rFonts w:ascii="Times New Roman" w:hAnsi="Times New Roman"/>
          <w:sz w:val="20"/>
        </w:rPr>
        <w:t xml:space="preserve">,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 </w:t>
      </w:r>
    </w:p>
    <w:p>
      <w:pPr>
        <w:pStyle w:val="TextBody"/>
        <w:bidi w:val="0"/>
        <w:spacing w:before="240" w:after="0"/>
        <w:jc w:val="left"/>
        <w:rPr>
          <w:rFonts w:ascii="Times New Roman" w:hAnsi="Times New Roman"/>
          <w:sz w:val="20"/>
        </w:rPr>
      </w:pPr>
      <w:r>
        <w:rPr>
          <w:rFonts w:ascii="Times New Roman" w:hAnsi="Times New Roman"/>
          <w:sz w:val="20"/>
        </w:rPr>
        <w:t xml:space="preserve">(f) Each Party further agrees to cooperate with the other and use its reasonable best efforts in order to resolve any investigation or other inquiry concerning the Transactions initiated by the United States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 </w:t>
      </w:r>
    </w:p>
    <w:p>
      <w:pPr>
        <w:pStyle w:val="TextBody"/>
        <w:bidi w:val="0"/>
        <w:spacing w:before="240" w:after="0"/>
        <w:jc w:val="left"/>
        <w:rPr>
          <w:rFonts w:ascii="Times New Roman" w:hAnsi="Times New Roman"/>
          <w:sz w:val="20"/>
        </w:rPr>
      </w:pPr>
      <w:r>
        <w:rPr>
          <w:rFonts w:ascii="Times New Roman" w:hAnsi="Times New Roman"/>
          <w:sz w:val="20"/>
        </w:rPr>
        <w:t xml:space="preserve">(i) 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Filings</w:t>
      </w:r>
      <w:r>
        <w:rPr>
          <w:rFonts w:ascii="Times New Roman" w:hAnsi="Times New Roman"/>
          <w:sz w:val="20"/>
        </w:rPr>
        <w:t xml:space="preserve">.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Further Assurances</w:t>
      </w:r>
      <w:r>
        <w:rPr>
          <w:rFonts w:ascii="Times New Roman" w:hAnsi="Times New Roman"/>
          <w:sz w:val="20"/>
        </w:rPr>
        <w:t xml:space="preserve">.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proper deeds, assignments, instruments and assurances and do all other things reasonably necessary or desirable to consummate the Transactions and to carry out the purposes and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Public Announcements</w:t>
      </w:r>
      <w:r>
        <w:rPr>
          <w:rFonts w:ascii="Times New Roman" w:hAnsi="Times New Roman"/>
          <w:sz w:val="20"/>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hAnsi="Times New Roman"/>
          <w:sz w:val="20"/>
          <w:u w:val="single"/>
        </w:rPr>
        <w:t>provided</w:t>
      </w:r>
      <w:r>
        <w:rPr>
          <w:rFonts w:ascii="Times New Roman" w:hAnsi="Times New Roman"/>
          <w:sz w:val="20"/>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hAnsi="Times New Roman"/>
          <w:sz w:val="20"/>
          <w:u w:val="single"/>
        </w:rPr>
        <w:t>Section 7.04</w:t>
      </w:r>
      <w:r>
        <w:rPr>
          <w:rFonts w:ascii="Times New Roman" w:hAnsi="Times New Roman"/>
          <w:sz w:val="20"/>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hAnsi="Times New Roman"/>
          <w:sz w:val="20"/>
          <w:u w:val="single"/>
        </w:rPr>
        <w:t>Section 7.04</w:t>
      </w:r>
      <w:r>
        <w:rPr>
          <w:rFonts w:ascii="Times New Roman" w:hAnsi="Times New Roman"/>
          <w:sz w:val="20"/>
        </w:rPr>
        <w:t xml:space="preserve">. The Company and Buyer agree to issue (or cause to be issued) the previously agreed upon form of joint press release announcing the execution of this Agreement promptly following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Notices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hAnsi="Times New Roman"/>
          <w:sz w:val="20"/>
          <w:u w:val="single"/>
        </w:rPr>
        <w:t>provided</w:t>
      </w:r>
      <w:r>
        <w:rPr>
          <w:rFonts w:ascii="Times New Roman" w:hAnsi="Times New Roman"/>
          <w:sz w:val="20"/>
        </w:rPr>
        <w:t xml:space="preserve">, that the delivery of notice pursuant to this </w:t>
      </w:r>
      <w:r>
        <w:rPr>
          <w:rFonts w:ascii="Times New Roman" w:hAnsi="Times New Roman"/>
          <w:sz w:val="20"/>
          <w:u w:val="single"/>
        </w:rPr>
        <w:t>Section 7.05(a)</w:t>
      </w:r>
      <w:r>
        <w:rPr>
          <w:rFonts w:ascii="Times New Roman" w:hAnsi="Times New Roman"/>
          <w:sz w:val="20"/>
        </w:rPr>
        <w:t xml:space="preserve"> shall not cure any breach of any representation, warranty, obligation, covenant or agreement contained in this Agreement or otherwise limit or otherwise affect the remedies available hereunder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hAnsi="Times New Roman"/>
          <w:sz w:val="20"/>
          <w:u w:val="single"/>
        </w:rPr>
        <w:t>paragraph (D)</w:t>
      </w:r>
      <w:r>
        <w:rPr>
          <w:rFonts w:ascii="Times New Roman" w:hAnsi="Times New Roman"/>
          <w:sz w:val="20"/>
        </w:rPr>
        <w:t xml:space="preserve"> or </w:t>
      </w:r>
      <w:r>
        <w:rPr>
          <w:rFonts w:ascii="Times New Roman" w:hAnsi="Times New Roman"/>
          <w:sz w:val="20"/>
          <w:u w:val="single"/>
        </w:rPr>
        <w:t>paragraph (E)</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or (B) 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hAnsi="Times New Roman"/>
          <w:sz w:val="20"/>
          <w:u w:val="single"/>
        </w:rPr>
        <w:t>provided</w:t>
      </w:r>
      <w:r>
        <w:rPr>
          <w:rFonts w:ascii="Times New Roman" w:hAnsi="Times New Roman"/>
          <w:sz w:val="20"/>
        </w:rPr>
        <w:t xml:space="preserve">, that the delivery of any notice pursuant to this </w:t>
      </w:r>
      <w:r>
        <w:rPr>
          <w:rFonts w:ascii="Times New Roman" w:hAnsi="Times New Roman"/>
          <w:sz w:val="20"/>
          <w:u w:val="single"/>
        </w:rPr>
        <w:t>Section 7.05</w:t>
      </w:r>
      <w:r>
        <w:rPr>
          <w:rFonts w:ascii="Times New Roman" w:hAnsi="Times New Roman"/>
          <w:sz w:val="20"/>
        </w:rPr>
        <w:t xml:space="preserve"> shall not cure any breach of any representation, warranty, obligation, covenant or agreement contained in this Agreement or otherwise limit or affect any remedies available hereunder to the Party receiving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set forth in </w:t>
      </w:r>
      <w:r>
        <w:rPr>
          <w:rFonts w:ascii="Times New Roman" w:hAnsi="Times New Roman"/>
          <w:sz w:val="20"/>
          <w:u w:val="single"/>
        </w:rPr>
        <w:t>Section 7.01</w:t>
      </w:r>
      <w:r>
        <w:rPr>
          <w:rFonts w:ascii="Times New Roman" w:hAnsi="Times New Roman"/>
          <w:sz w:val="20"/>
        </w:rPr>
        <w:t>, the Company shall control any Action brought against the Company or any of its Subsidiaries or their directors or officers relating in any way to this Agreement or the Transactions (“</w:t>
      </w:r>
      <w:r>
        <w:rPr>
          <w:rFonts w:ascii="Times New Roman" w:hAnsi="Times New Roman"/>
          <w:sz w:val="20"/>
          <w:u w:val="single"/>
        </w:rPr>
        <w:t>Transaction Litigation</w:t>
      </w:r>
      <w:r>
        <w:rPr>
          <w:rFonts w:ascii="Times New Roman" w:hAnsi="Times New Roman"/>
          <w:sz w:val="20"/>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hAnsi="Times New Roman"/>
          <w:sz w:val="20"/>
          <w:u w:val="single"/>
        </w:rPr>
        <w:t>Section 7.06</w:t>
      </w:r>
      <w:r>
        <w:rPr>
          <w:rFonts w:ascii="Times New Roman" w:hAnsi="Times New Roman"/>
          <w:sz w:val="20"/>
        </w:rPr>
        <w:t xml:space="preserve"> shall not cure any breach of any representation, warranty, obligation, covenant or agreement contained in this Agreement or otherwise limit or affect any remedies available hereunder to the Party receiving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further agree to the matters set forth on </w:t>
      </w:r>
      <w:r>
        <w:rPr>
          <w:rFonts w:ascii="Times New Roman" w:hAnsi="Times New Roman"/>
          <w:sz w:val="20"/>
          <w:u w:val="single"/>
        </w:rPr>
        <w:t>Schedule 7.06(b)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Business Continuity</w:t>
      </w:r>
      <w:r>
        <w:rPr>
          <w:rFonts w:ascii="Times New Roman" w:hAnsi="Times New Roman"/>
          <w:sz w:val="20"/>
        </w:rPr>
        <w:t xml:space="preserve">.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Tax Free Reorganization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(b) 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hAnsi="Times New Roman"/>
          <w:sz w:val="20"/>
          <w:u w:val="single"/>
        </w:rPr>
        <w:t>Buyer Tax Counsel</w:t>
      </w:r>
      <w:r>
        <w:rPr>
          <w:rFonts w:ascii="Times New Roman" w:hAnsi="Times New Roman"/>
          <w:sz w:val="20"/>
        </w:rPr>
        <w:t>”) or (ii) a written opinion, in form and substance reasonably satisfactory to the Company, of Skadden, Arps, Slate, Meagher &amp; Flom LLP or other nationally recognized tax counsel reasonably acceptable to the Company (“</w:t>
      </w:r>
      <w:r>
        <w:rPr>
          <w:rFonts w:ascii="Times New Roman" w:hAnsi="Times New Roman"/>
          <w:sz w:val="20"/>
          <w:u w:val="single"/>
        </w:rPr>
        <w:t>Company Tax Counsel</w:t>
      </w:r>
      <w:r>
        <w:rPr>
          <w:rFonts w:ascii="Times New Roman" w:hAnsi="Times New Roman"/>
          <w:sz w:val="20"/>
        </w:rPr>
        <w:t>”) (each such opinion, a “</w:t>
      </w:r>
      <w:r>
        <w:rPr>
          <w:rFonts w:ascii="Times New Roman" w:hAnsi="Times New Roman"/>
          <w:sz w:val="20"/>
          <w:u w:val="single"/>
        </w:rPr>
        <w:t>Tax Opinion</w:t>
      </w:r>
      <w:r>
        <w:rPr>
          <w:rFonts w:ascii="Times New Roman" w:hAnsi="Times New Roman"/>
          <w:sz w:val="20"/>
        </w:rPr>
        <w:t xml:space="preserve">”), solely to the extent one or both of such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hAnsi="Times New Roman"/>
          <w:sz w:val="20"/>
          <w:u w:val="single"/>
        </w:rPr>
        <w:t>Tax Representation Letters</w:t>
      </w:r>
      <w:r>
        <w:rPr>
          <w:rFonts w:ascii="Times New Roman" w:hAnsi="Times New Roman"/>
          <w:sz w:val="20"/>
        </w:rPr>
        <w:t xml:space="preserve">”)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u w:val="single"/>
        </w:rPr>
        <w:t>TERMINATION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Termination</w:t>
      </w:r>
      <w:r>
        <w:rPr>
          <w:rFonts w:ascii="Times New Roman" w:hAnsi="Times New Roman"/>
          <w:sz w:val="20"/>
        </w:rPr>
        <w:t xml:space="preserve">. This Agreement may be terminated and the Transactions may be abandoned at any time prior to the Acceptance Time: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Company and Buyer; </w:t>
      </w:r>
    </w:p>
    <w:p>
      <w:pPr>
        <w:pStyle w:val="TextBody"/>
        <w:bidi w:val="0"/>
        <w:spacing w:before="240" w:after="0"/>
        <w:jc w:val="left"/>
        <w:rPr>
          <w:rFonts w:ascii="Times New Roman" w:hAnsi="Times New Roman"/>
          <w:sz w:val="20"/>
        </w:rPr>
      </w:pPr>
      <w:r>
        <w:rPr>
          <w:rFonts w:ascii="Times New Roman" w:hAnsi="Times New Roman"/>
          <w:sz w:val="20"/>
        </w:rPr>
        <w:t xml:space="preserve">(b) by either the Company or Buyer: </w:t>
      </w:r>
    </w:p>
    <w:p>
      <w:pPr>
        <w:pStyle w:val="TextBody"/>
        <w:bidi w:val="0"/>
        <w:spacing w:before="120" w:after="0"/>
        <w:jc w:val="left"/>
        <w:rPr>
          <w:rFonts w:ascii="Times New Roman" w:hAnsi="Times New Roman"/>
          <w:sz w:val="20"/>
        </w:rPr>
      </w:pPr>
      <w:r>
        <w:rPr>
          <w:rFonts w:ascii="Times New Roman" w:hAnsi="Times New Roman"/>
          <w:sz w:val="20"/>
        </w:rPr>
        <w:t>(i) 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the right to terminate this Agreement under this </w:t>
      </w:r>
      <w:r>
        <w:rPr>
          <w:rFonts w:ascii="Times New Roman" w:hAnsi="Times New Roman"/>
          <w:sz w:val="20"/>
          <w:u w:val="single"/>
        </w:rPr>
        <w:t>Section 8.01(b)(i)</w:t>
      </w:r>
      <w:r>
        <w:rPr>
          <w:rFonts w:ascii="Times New Roman" w:hAnsi="Times New Roman"/>
          <w:sz w:val="20"/>
        </w:rPr>
        <w:t xml:space="preserve"> shall not be available to any Party seeking to terminate if such Party is in breach of, or has breached, this Agreement prior to the Acceptance Time where such breach proximately caused the failure of the Acceptance Time to occur by the End Date; </w:t>
      </w:r>
    </w:p>
    <w:p>
      <w:pPr>
        <w:pStyle w:val="TextBody"/>
        <w:bidi w:val="0"/>
        <w:spacing w:before="120" w:after="0"/>
        <w:jc w:val="left"/>
        <w:rPr>
          <w:rFonts w:ascii="Times New Roman" w:hAnsi="Times New Roman"/>
          <w:sz w:val="20"/>
        </w:rPr>
      </w:pPr>
      <w:r>
        <w:rPr>
          <w:rFonts w:ascii="Times New Roman" w:hAnsi="Times New Roman"/>
          <w:sz w:val="20"/>
        </w:rPr>
        <w:t xml:space="preserve">(ii) if the Offer Condition set forth in </w:t>
      </w:r>
      <w:r>
        <w:rPr>
          <w:rFonts w:ascii="Times New Roman" w:hAnsi="Times New Roman"/>
          <w:sz w:val="20"/>
          <w:u w:val="single"/>
        </w:rPr>
        <w:t>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is not satisfied and the Legal Restraint giving rise to such non-satisfaction shall have become final, permanent and non-appealable; </w:t>
      </w:r>
      <w:r>
        <w:rPr>
          <w:rFonts w:ascii="Times New Roman" w:hAnsi="Times New Roman"/>
          <w:sz w:val="20"/>
          <w:u w:val="single"/>
        </w:rPr>
        <w:t>provided</w:t>
      </w:r>
      <w:r>
        <w:rPr>
          <w:rFonts w:ascii="Times New Roman" w:hAnsi="Times New Roman"/>
          <w:sz w:val="20"/>
        </w:rPr>
        <w:t xml:space="preserve">, that the Party seeking to terminate this Agreement pursuant to this </w:t>
      </w:r>
      <w:r>
        <w:rPr>
          <w:rFonts w:ascii="Times New Roman" w:hAnsi="Times New Roman"/>
          <w:sz w:val="20"/>
          <w:u w:val="single"/>
        </w:rPr>
        <w:t>Section 8.01(b)(ii)</w:t>
      </w:r>
      <w:r>
        <w:rPr>
          <w:rFonts w:ascii="Times New Roman" w:hAnsi="Times New Roman"/>
          <w:sz w:val="20"/>
        </w:rPr>
        <w:t xml:space="preserve"> shall have complied in all material respects with its obligations under </w:t>
      </w:r>
      <w:r>
        <w:rPr>
          <w:rFonts w:ascii="Times New Roman" w:hAnsi="Times New Roman"/>
          <w:sz w:val="20"/>
          <w:u w:val="single"/>
        </w:rPr>
        <w:t>Section 7.01</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if the Offer shall have expired in accordance with its terms without all of the Offer Conditions having been satisfied and shall have not been extended by Buyer;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8.01(b)(iii)</w:t>
      </w:r>
      <w:r>
        <w:rPr>
          <w:rFonts w:ascii="Times New Roman" w:hAnsi="Times New Roman"/>
          <w:sz w:val="20"/>
        </w:rPr>
        <w:t xml:space="preserve"> shall not be available to any Party whose breach of this Agreement proximately caused the Offer to expire without all of the Offer Conditions having been satisfied;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8.01(b)(iii)</w:t>
      </w:r>
      <w:r>
        <w:rPr>
          <w:rFonts w:ascii="Times New Roman" w:hAnsi="Times New Roman"/>
          <w:sz w:val="20"/>
        </w:rPr>
        <w:t xml:space="preserve"> shall not be available to Buyer if Buyer does not extend the Offer in circumstances where Buyer is required to extend the Offer under this Agreement; 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Buyer: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hAnsi="Times New Roman"/>
          <w:sz w:val="20"/>
          <w:u w:val="single"/>
        </w:rPr>
        <w:t>provided</w:t>
      </w:r>
      <w:r>
        <w:rPr>
          <w:rFonts w:ascii="Times New Roman" w:hAnsi="Times New Roman"/>
          <w:sz w:val="20"/>
        </w:rPr>
        <w:t xml:space="preserve">, that Buyer is not then in material breach of its representations or warranties or then materially failing to perform its covenants, obligations or agreements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following an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(iii) if the Subsequent EGM has been held and been concluded and (A) the Governance Resolutions have not been adopted or (B) the Post-Offer Reorganization Resolutions have not been adopted; </w:t>
      </w:r>
    </w:p>
    <w:p>
      <w:pPr>
        <w:pStyle w:val="TextBody"/>
        <w:bidi w:val="0"/>
        <w:spacing w:before="120" w:after="0"/>
        <w:jc w:val="left"/>
        <w:rPr>
          <w:rFonts w:ascii="Times New Roman" w:hAnsi="Times New Roman"/>
          <w:sz w:val="20"/>
        </w:rPr>
      </w:pPr>
      <w:r>
        <w:rPr>
          <w:rFonts w:ascii="Times New Roman" w:hAnsi="Times New Roman"/>
          <w:sz w:val="20"/>
        </w:rPr>
        <w:t xml:space="preserve">(iv) following a Willful Breach of any of the Company’s obligations under </w:t>
      </w:r>
      <w:r>
        <w:rPr>
          <w:rFonts w:ascii="Times New Roman" w:hAnsi="Times New Roman"/>
          <w:sz w:val="20"/>
          <w:u w:val="single"/>
        </w:rPr>
        <w:t>Section 5.03</w:t>
      </w:r>
      <w:r>
        <w:rPr>
          <w:rFonts w:ascii="Times New Roman" w:hAnsi="Times New Roman"/>
          <w:sz w:val="20"/>
        </w:rPr>
        <w:t xml:space="preserve"> in any material respect; or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in order to concurrently with or immediately following such termination enter into a definitive agreement with respect to a Superior Proposal subject to, and in accordance with, the terms and conditions of </w:t>
      </w:r>
      <w:r>
        <w:rPr>
          <w:rFonts w:ascii="Times New Roman" w:hAnsi="Times New Roman"/>
          <w:sz w:val="20"/>
          <w:u w:val="single"/>
        </w:rPr>
        <w:t>Section 5.03(e)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substantially concurrently with such termination, the Company pays the Company Termination Compensation pursuant to </w:t>
      </w:r>
      <w:r>
        <w:rPr>
          <w:rFonts w:ascii="Times New Roman" w:hAnsi="Times New Roman"/>
          <w:sz w:val="20"/>
          <w:u w:val="single"/>
        </w:rPr>
        <w:t>Section 8.03(b)(i)</w:t>
      </w:r>
      <w:r>
        <w:rPr>
          <w:rFonts w:ascii="Times New Roman" w:hAnsi="Times New Roman"/>
          <w:sz w:val="20"/>
        </w:rPr>
        <w:t xml:space="preserve"> and (B) the Company shall not have breached in any material respect any of its obligations under </w:t>
      </w:r>
      <w:r>
        <w:rPr>
          <w:rFonts w:ascii="Times New Roman" w:hAnsi="Times New Roman"/>
          <w:sz w:val="20"/>
          <w:u w:val="single"/>
        </w:rPr>
        <w:t>Section 5.03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hAnsi="Times New Roman"/>
          <w:sz w:val="20"/>
          <w:u w:val="single"/>
        </w:rPr>
        <w:t>provided</w:t>
      </w:r>
      <w:r>
        <w:rPr>
          <w:rFonts w:ascii="Times New Roman" w:hAnsi="Times New Roman"/>
          <w:sz w:val="20"/>
        </w:rPr>
        <w:t xml:space="preserve">, that the Company is not then in material breach of its representations or warranties or then materially failing to perform its covenants, obligations or agreements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if (A) the Acceptance Time has occurred and (B) the First Capital Increase has not become effective within ninety (90) calendar days after the Acceptance Time; or </w:t>
      </w:r>
    </w:p>
    <w:p>
      <w:pPr>
        <w:pStyle w:val="TextBody"/>
        <w:bidi w:val="0"/>
        <w:spacing w:before="120" w:after="0"/>
        <w:jc w:val="left"/>
        <w:rPr>
          <w:rFonts w:ascii="Times New Roman" w:hAnsi="Times New Roman"/>
          <w:sz w:val="20"/>
        </w:rPr>
      </w:pPr>
      <w:r>
        <w:rPr>
          <w:rFonts w:ascii="Times New Roman" w:hAnsi="Times New Roman"/>
          <w:sz w:val="20"/>
        </w:rPr>
        <w:t xml:space="preserve">(iv) 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Effect of Termination</w:t>
      </w:r>
      <w:r>
        <w:rPr>
          <w:rFonts w:ascii="Times New Roman" w:hAnsi="Times New Roman"/>
          <w:sz w:val="20"/>
        </w:rPr>
        <w:t xml:space="preserve">. In the event of the valid termination of this Agreement as provided in this </w:t>
      </w:r>
      <w:r>
        <w:rPr>
          <w:rFonts w:ascii="Times New Roman" w:hAnsi="Times New Roman"/>
          <w:sz w:val="20"/>
          <w:u w:val="single"/>
        </w:rPr>
        <w:t>Article 8</w:t>
      </w:r>
      <w:r>
        <w:rPr>
          <w:rFonts w:ascii="Times New Roman" w:hAnsi="Times New Roman"/>
          <w:sz w:val="20"/>
        </w:rPr>
        <w:t xml:space="preserve">, notice thereof shall be given to the other Party, specifying the provision hereof pursuant to which such termination is made (other than in the case of termination pursuant to </w:t>
      </w:r>
      <w:r>
        <w:rPr>
          <w:rFonts w:ascii="Times New Roman" w:hAnsi="Times New Roman"/>
          <w:sz w:val="20"/>
          <w:u w:val="single"/>
        </w:rPr>
        <w:t>Section 8.01(a)</w:t>
      </w:r>
      <w:r>
        <w:rPr>
          <w:rFonts w:ascii="Times New Roman" w:hAnsi="Times New Roman"/>
          <w:sz w:val="20"/>
        </w:rPr>
        <w:t xml:space="preserve">), and this Agreement shall immediately become void and of no effect, without any Liability on the part of any Party (or its respective directors, officers, employees, shareholders, Representatives, agents or advisors); </w:t>
      </w:r>
      <w:r>
        <w:rPr>
          <w:rFonts w:ascii="Times New Roman" w:hAnsi="Times New Roman"/>
          <w:sz w:val="20"/>
          <w:u w:val="single"/>
        </w:rPr>
        <w:t>provided</w:t>
      </w:r>
      <w:r>
        <w:rPr>
          <w:rFonts w:ascii="Times New Roman" w:hAnsi="Times New Roman"/>
          <w:sz w:val="20"/>
        </w:rPr>
        <w:t xml:space="preserve">, that, subject in all respects to this </w:t>
      </w:r>
      <w:r>
        <w:rPr>
          <w:rFonts w:ascii="Times New Roman" w:hAnsi="Times New Roman"/>
          <w:sz w:val="20"/>
          <w:u w:val="single"/>
        </w:rPr>
        <w:t>Section 8.02</w:t>
      </w:r>
      <w:r>
        <w:rPr>
          <w:rFonts w:ascii="Times New Roman" w:hAnsi="Times New Roman"/>
          <w:sz w:val="20"/>
        </w:rPr>
        <w:t xml:space="preserve">, </w:t>
      </w:r>
      <w:r>
        <w:rPr>
          <w:rFonts w:ascii="Times New Roman" w:hAnsi="Times New Roman"/>
          <w:sz w:val="20"/>
          <w:u w:val="single"/>
        </w:rPr>
        <w:t>Section 8.03</w:t>
      </w:r>
      <w:r>
        <w:rPr>
          <w:rFonts w:ascii="Times New Roman" w:hAnsi="Times New Roman"/>
          <w:sz w:val="20"/>
        </w:rPr>
        <w:t xml:space="preserve"> and </w:t>
      </w:r>
      <w:r>
        <w:rPr>
          <w:rFonts w:ascii="Times New Roman" w:hAnsi="Times New Roman"/>
          <w:sz w:val="20"/>
          <w:u w:val="single"/>
        </w:rPr>
        <w:t>Section 9.11</w:t>
      </w:r>
      <w:r>
        <w:rPr>
          <w:rFonts w:ascii="Times New Roman" w:hAnsi="Times New Roman"/>
          <w:sz w:val="20"/>
        </w:rPr>
        <w:t xml:space="preserve"> (including, in each case, the limitations set forth therein), (a) the Confidentiality Agreements, </w:t>
      </w:r>
      <w:r>
        <w:rPr>
          <w:rFonts w:ascii="Times New Roman" w:hAnsi="Times New Roman"/>
          <w:sz w:val="20"/>
          <w:u w:val="single"/>
        </w:rPr>
        <w:t>Section 5.02(b)</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w:t>
      </w:r>
      <w:r>
        <w:rPr>
          <w:rFonts w:ascii="Times New Roman" w:hAnsi="Times New Roman"/>
          <w:sz w:val="20"/>
          <w:u w:val="single"/>
        </w:rPr>
        <w:t>Section 8.03</w:t>
      </w:r>
      <w:r>
        <w:rPr>
          <w:rFonts w:ascii="Times New Roman" w:hAnsi="Times New Roman"/>
          <w:sz w:val="20"/>
        </w:rPr>
        <w:t xml:space="preserve">, </w:t>
      </w:r>
      <w:r>
        <w:rPr>
          <w:rFonts w:ascii="Times New Roman" w:hAnsi="Times New Roman"/>
          <w:sz w:val="20"/>
          <w:u w:val="single"/>
        </w:rPr>
        <w:t>Article 1</w:t>
      </w:r>
      <w:r>
        <w:rPr>
          <w:rFonts w:ascii="Times New Roman" w:hAnsi="Times New Roman"/>
          <w:sz w:val="20"/>
        </w:rPr>
        <w:t xml:space="preserve"> and </w:t>
      </w:r>
      <w:r>
        <w:rPr>
          <w:rFonts w:ascii="Times New Roman" w:hAnsi="Times New Roman"/>
          <w:sz w:val="20"/>
          <w:u w:val="single"/>
        </w:rPr>
        <w:t>Article 9</w:t>
      </w:r>
      <w:r>
        <w:rPr>
          <w:rFonts w:ascii="Times New Roman" w:hAnsi="Times New Roman"/>
          <w:sz w:val="20"/>
        </w:rPr>
        <w:t xml:space="preserve"> (in each case, subject to the limitations set forth therein) shall survive the valid termination hereof and (b) nothing herein shall relieve either Party of any Liability for damages resulting from such Party’s fraud or Willful Breach prior to such valid termination (including, with respect to the Company, damage to the Company’s shareholders resulting from the failure of the Closing to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Expenses; Termination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8.03</w:t>
      </w:r>
      <w:r>
        <w:rPr>
          <w:rFonts w:ascii="Times New Roman" w:hAnsi="Times New Roman"/>
          <w:sz w:val="20"/>
        </w:rPr>
        <w:t xml:space="preserve">, all fees, costs and expenses incurred in connection with this Agreement and the Transactions shall be paid by the Party incurring such fees, costs and expenses, whether or not the Transactions are consummated.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Termination Compensation</w:t>
      </w:r>
      <w:r>
        <w:rPr>
          <w:rFonts w:ascii="Times New Roman" w:hAnsi="Times New Roman"/>
          <w:sz w:val="20"/>
        </w:rPr>
        <w:t xml:space="preserve">. The Company shall pay, or cause to be paid, to Buyer by wire transfer of immediately available funds an amount equal to the Company Termination Compensation (without interest and less any applicable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(i) if this Agreement is validly terminated by the Company pursuant to </w:t>
      </w:r>
      <w:r>
        <w:rPr>
          <w:rFonts w:ascii="Times New Roman" w:hAnsi="Times New Roman"/>
          <w:sz w:val="20"/>
          <w:u w:val="single"/>
        </w:rPr>
        <w:t>Section 8.01(d)(i)</w:t>
      </w:r>
      <w:r>
        <w:rPr>
          <w:rFonts w:ascii="Times New Roman" w:hAnsi="Times New Roman"/>
          <w:sz w:val="20"/>
        </w:rPr>
        <w:t xml:space="preserve">, in which case payment shall be made concurrently with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(ii) if this Agreement is validly terminated by Buyer pursuant to </w:t>
      </w:r>
      <w:r>
        <w:rPr>
          <w:rFonts w:ascii="Times New Roman" w:hAnsi="Times New Roman"/>
          <w:sz w:val="20"/>
          <w:u w:val="single"/>
        </w:rPr>
        <w:t>Section 8.01(c)(ii)</w:t>
      </w:r>
      <w:r>
        <w:rPr>
          <w:rFonts w:ascii="Times New Roman" w:hAnsi="Times New Roman"/>
          <w:sz w:val="20"/>
        </w:rPr>
        <w:t xml:space="preserve"> or </w:t>
      </w:r>
      <w:r>
        <w:rPr>
          <w:rFonts w:ascii="Times New Roman" w:hAnsi="Times New Roman"/>
          <w:sz w:val="20"/>
          <w:u w:val="single"/>
        </w:rPr>
        <w:t>Section 8.01(c)(iv)</w:t>
      </w:r>
      <w:r>
        <w:rPr>
          <w:rFonts w:ascii="Times New Roman" w:hAnsi="Times New Roman"/>
          <w:sz w:val="20"/>
        </w:rPr>
        <w:t xml:space="preserve">, in which case payment shall be made within five (5) Business Days following any such termination; or </w:t>
      </w:r>
    </w:p>
    <w:p>
      <w:pPr>
        <w:pStyle w:val="TextBody"/>
        <w:bidi w:val="0"/>
        <w:spacing w:before="120" w:after="0"/>
        <w:jc w:val="left"/>
        <w:rPr>
          <w:rFonts w:ascii="Times New Roman" w:hAnsi="Times New Roman"/>
          <w:sz w:val="20"/>
        </w:rPr>
      </w:pPr>
      <w:r>
        <w:rPr>
          <w:rFonts w:ascii="Times New Roman" w:hAnsi="Times New Roman"/>
          <w:sz w:val="20"/>
        </w:rPr>
        <w:t xml:space="preserve">(iii) 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hAnsi="Times New Roman"/>
          <w:sz w:val="20"/>
          <w:u w:val="single"/>
        </w:rPr>
        <w:t>Section 8.01(b)(i)</w:t>
      </w:r>
      <w:r>
        <w:rPr>
          <w:rFonts w:ascii="Times New Roman" w:hAnsi="Times New Roman"/>
          <w:sz w:val="20"/>
        </w:rPr>
        <w:t xml:space="preserve"> (if by Buyer, only if at such time Buyer would not be prohibited from terminating this Agreement by the proviso set forth in </w:t>
      </w:r>
      <w:r>
        <w:rPr>
          <w:rFonts w:ascii="Times New Roman" w:hAnsi="Times New Roman"/>
          <w:sz w:val="20"/>
          <w:u w:val="single"/>
        </w:rPr>
        <w:t>Section 8.01(b)(i)</w:t>
      </w:r>
      <w:r>
        <w:rPr>
          <w:rFonts w:ascii="Times New Roman" w:hAnsi="Times New Roman"/>
          <w:sz w:val="20"/>
        </w:rPr>
        <w:t xml:space="preserve">), (2) by the Company or Buyer pursuant to </w:t>
      </w:r>
      <w:r>
        <w:rPr>
          <w:rFonts w:ascii="Times New Roman" w:hAnsi="Times New Roman"/>
          <w:sz w:val="20"/>
          <w:u w:val="single"/>
        </w:rPr>
        <w:t>Section 8.01(b)(iii)</w:t>
      </w:r>
      <w:r>
        <w:rPr>
          <w:rFonts w:ascii="Times New Roman" w:hAnsi="Times New Roman"/>
          <w:sz w:val="20"/>
        </w:rPr>
        <w:t xml:space="preserve"> (if by Buyer, only if at such time Buyer would not be prohibited from terminating this Agreement by either proviso in </w:t>
      </w:r>
      <w:r>
        <w:rPr>
          <w:rFonts w:ascii="Times New Roman" w:hAnsi="Times New Roman"/>
          <w:sz w:val="20"/>
          <w:u w:val="single"/>
        </w:rPr>
        <w:t>Section 8.01(b)(iii)</w:t>
      </w:r>
      <w:r>
        <w:rPr>
          <w:rFonts w:ascii="Times New Roman" w:hAnsi="Times New Roman"/>
          <w:sz w:val="20"/>
        </w:rPr>
        <w:t>) and the Minimum Condition has not been satisfied as of the final Expiration Time of the Offer (</w:t>
      </w:r>
      <w:r>
        <w:rPr>
          <w:rFonts w:ascii="Times New Roman" w:hAnsi="Times New Roman"/>
          <w:sz w:val="20"/>
          <w:u w:val="single"/>
        </w:rPr>
        <w:t>provided</w:t>
      </w:r>
      <w:r>
        <w:rPr>
          <w:rFonts w:ascii="Times New Roman" w:hAnsi="Times New Roman"/>
          <w:sz w:val="20"/>
        </w:rPr>
        <w:t xml:space="preserve">, that the Offer Conditions set forth in </w:t>
      </w:r>
      <w:r>
        <w:rPr>
          <w:rFonts w:ascii="Times New Roman" w:hAnsi="Times New Roman"/>
          <w:sz w:val="20"/>
          <w:u w:val="single"/>
        </w:rPr>
        <w:t>paragraphs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have been satisfied as of such date) or (3) by Buyer pursuant to </w:t>
      </w:r>
      <w:r>
        <w:rPr>
          <w:rFonts w:ascii="Times New Roman" w:hAnsi="Times New Roman"/>
          <w:sz w:val="20"/>
          <w:u w:val="single"/>
        </w:rPr>
        <w:t>Section 8.01(c)(i)</w:t>
      </w:r>
      <w:r>
        <w:rPr>
          <w:rFonts w:ascii="Times New Roman" w:hAnsi="Times New Roman"/>
          <w:sz w:val="20"/>
        </w:rPr>
        <w:t xml:space="preserve"> or </w:t>
      </w:r>
      <w:r>
        <w:rPr>
          <w:rFonts w:ascii="Times New Roman" w:hAnsi="Times New Roman"/>
          <w:sz w:val="20"/>
          <w:u w:val="single"/>
        </w:rPr>
        <w:t>Section 8.01(c)(iii)</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hAnsi="Times New Roman"/>
          <w:sz w:val="20"/>
          <w:u w:val="single"/>
        </w:rPr>
        <w:t>clause</w:t>
      </w:r>
      <w:r>
        <w:rPr>
          <w:rFonts w:ascii="Times New Roman" w:hAnsi="Times New Roman"/>
          <w:sz w:val="20"/>
        </w:rPr>
        <w:t xml:space="preserve"> (A), in which case payment shall be made to Buyer concurrently with the earlier of the date on which such transaction is consummated and the date on which the Company enters into such Contract. For purposes of the foregoing </w:t>
      </w:r>
      <w:r>
        <w:rPr>
          <w:rFonts w:ascii="Times New Roman" w:hAnsi="Times New Roman"/>
          <w:sz w:val="20"/>
          <w:u w:val="single"/>
        </w:rPr>
        <w:t>clause</w:t>
      </w:r>
      <w:r>
        <w:rPr>
          <w:rFonts w:ascii="Times New Roman" w:hAnsi="Times New Roman"/>
          <w:sz w:val="20"/>
        </w:rPr>
        <w:t xml:space="preserve"> (C), references in the definition of the term “Alternative Acquisition Proposal” to the figure “twenty percent (20%)” shall be deemed to be replaced by “fifty percent (50%).”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Buyer Termination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Buyer or the Company pursuant to </w:t>
      </w:r>
      <w:r>
        <w:rPr>
          <w:rFonts w:ascii="Times New Roman" w:hAnsi="Times New Roman"/>
          <w:sz w:val="20"/>
          <w:u w:val="single"/>
        </w:rPr>
        <w:t>Section 8.01(b)(i)</w:t>
      </w:r>
      <w:r>
        <w:rPr>
          <w:rFonts w:ascii="Times New Roman" w:hAnsi="Times New Roman"/>
          <w:sz w:val="20"/>
        </w:rPr>
        <w:t>,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w:t>
      </w:r>
      <w:r>
        <w:rPr>
          <w:rFonts w:ascii="Times New Roman" w:hAnsi="Times New Roman"/>
          <w:sz w:val="20"/>
          <w:u w:val="single"/>
        </w:rPr>
        <w:t> paragraph (B)</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or (b)</w:t>
      </w:r>
      <w:r>
        <w:rPr>
          <w:rFonts w:ascii="Times New Roman" w:hAnsi="Times New Roman"/>
          <w:sz w:val="20"/>
          <w:u w:val="single"/>
        </w:rPr>
        <w:t xml:space="preserve"> 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w:t>
      </w:r>
    </w:p>
    <w:p>
      <w:pPr>
        <w:pStyle w:val="TextBody"/>
        <w:bidi w:val="0"/>
        <w:spacing w:before="120" w:after="0"/>
        <w:jc w:val="left"/>
        <w:rPr>
          <w:rFonts w:ascii="Times New Roman" w:hAnsi="Times New Roman"/>
          <w:sz w:val="20"/>
        </w:rPr>
      </w:pPr>
      <w:r>
        <w:rPr>
          <w:rFonts w:ascii="Times New Roman" w:hAnsi="Times New Roman"/>
          <w:sz w:val="20"/>
        </w:rPr>
        <w:t xml:space="preserve">(ii) by Buyer or the Company pursuant to </w:t>
      </w:r>
      <w:r>
        <w:rPr>
          <w:rFonts w:ascii="Times New Roman" w:hAnsi="Times New Roman"/>
          <w:sz w:val="20"/>
          <w:u w:val="single"/>
        </w:rPr>
        <w:t>Section 8.01(b)(ii)</w:t>
      </w:r>
      <w:r>
        <w:rPr>
          <w:rFonts w:ascii="Times New Roman" w:hAnsi="Times New Roman"/>
          <w:sz w:val="20"/>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 </w:t>
      </w:r>
    </w:p>
    <w:p>
      <w:pPr>
        <w:pStyle w:val="TextBody"/>
        <w:bidi w:val="0"/>
        <w:spacing w:before="120" w:after="0"/>
        <w:jc w:val="left"/>
        <w:rPr>
          <w:rFonts w:ascii="Times New Roman" w:hAnsi="Times New Roman"/>
          <w:sz w:val="20"/>
        </w:rPr>
      </w:pPr>
      <w:r>
        <w:rPr>
          <w:rFonts w:ascii="Times New Roman" w:hAnsi="Times New Roman"/>
          <w:sz w:val="20"/>
        </w:rPr>
        <w:t xml:space="preserve">(iii) by Buyer or the Company pursuant to </w:t>
      </w:r>
      <w:r>
        <w:rPr>
          <w:rFonts w:ascii="Times New Roman" w:hAnsi="Times New Roman"/>
          <w:sz w:val="20"/>
          <w:u w:val="single"/>
        </w:rPr>
        <w:t>Section 8.01(b)(iii)</w:t>
      </w:r>
      <w:r>
        <w:rPr>
          <w:rFonts w:ascii="Times New Roman" w:hAnsi="Times New Roman"/>
          <w:sz w:val="20"/>
        </w:rPr>
        <w:t xml:space="preserve">, if, as of the time of such termination, the only Offer Conditions that have not been satisfied or waived (to the extent such waiver is not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applicable Law, other than those conditions that by their nature are to be satisfied by actions taken at the Expiration Time) are any one or more those conditions set forth in (a)</w:t>
      </w:r>
      <w:r>
        <w:rPr>
          <w:rFonts w:ascii="Times New Roman" w:hAnsi="Times New Roman"/>
          <w:sz w:val="20"/>
          <w:u w:val="single"/>
        </w:rPr>
        <w:t> paragraph (B)</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or (b)</w:t>
      </w:r>
      <w:r>
        <w:rPr>
          <w:rFonts w:ascii="Times New Roman" w:hAnsi="Times New Roman"/>
          <w:sz w:val="20"/>
          <w:u w:val="single"/>
        </w:rPr>
        <w:t> 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w:t>
      </w:r>
    </w:p>
    <w:p>
      <w:pPr>
        <w:pStyle w:val="TextBody"/>
        <w:bidi w:val="0"/>
        <w:spacing w:before="120" w:after="0"/>
        <w:jc w:val="left"/>
        <w:rPr>
          <w:rFonts w:ascii="Times New Roman" w:hAnsi="Times New Roman"/>
          <w:sz w:val="20"/>
        </w:rPr>
      </w:pPr>
      <w:r>
        <w:rPr>
          <w:rFonts w:ascii="Times New Roman" w:hAnsi="Times New Roman"/>
          <w:sz w:val="20"/>
        </w:rPr>
        <w:t>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hAnsi="Times New Roman"/>
          <w:sz w:val="20"/>
          <w:u w:val="single"/>
        </w:rPr>
        <w:t>paragraph (C)</w:t>
      </w:r>
      <w:r>
        <w:rPr>
          <w:rFonts w:ascii="Times New Roman" w:hAnsi="Times New Roman"/>
          <w:sz w:val="20"/>
        </w:rPr>
        <w:t xml:space="preserve"> of </w:t>
      </w:r>
      <w:r>
        <w:rPr>
          <w:rFonts w:ascii="Times New Roman" w:hAnsi="Times New Roman"/>
          <w:sz w:val="20"/>
          <w:u w:val="single"/>
        </w:rPr>
        <w:t>Annex I</w:t>
      </w:r>
      <w:r>
        <w:rPr>
          <w:rFonts w:ascii="Times New Roman" w:hAnsi="Times New Roman"/>
          <w:sz w:val="20"/>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hAnsi="Times New Roman"/>
          <w:sz w:val="20"/>
          <w:u w:val="single"/>
        </w:rPr>
        <w:t>Section 8.01(c)(i)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acknowledge that the agreements contained in </w:t>
      </w:r>
      <w:r>
        <w:rPr>
          <w:rFonts w:ascii="Times New Roman" w:hAnsi="Times New Roman"/>
          <w:sz w:val="20"/>
          <w:u w:val="single"/>
        </w:rPr>
        <w:t>Section 8.03</w:t>
      </w:r>
      <w:r>
        <w:rPr>
          <w:rFonts w:ascii="Times New Roman" w:hAnsi="Times New Roman"/>
          <w:sz w:val="20"/>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hAnsi="Times New Roman"/>
          <w:sz w:val="20"/>
          <w:u w:val="single"/>
        </w:rPr>
        <w:t>Section 8.03(b)</w:t>
      </w:r>
      <w:r>
        <w:rPr>
          <w:rFonts w:ascii="Times New Roman" w:hAnsi="Times New Roman"/>
          <w:sz w:val="20"/>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hAnsi="Times New Roman"/>
          <w:sz w:val="20"/>
          <w:u w:val="single"/>
        </w:rPr>
        <w:t>Section 8.03(b)</w:t>
      </w:r>
      <w:r>
        <w:rPr>
          <w:rFonts w:ascii="Times New Roman" w:hAnsi="Times New Roman"/>
          <w:sz w:val="20"/>
        </w:rPr>
        <w:t xml:space="preserve"> or the Company is entitled to receive the Buyer Termination Compensation pursuant to and Section 8.04(a), the Company Termination Compensation or the Buyer Termination Compensation, as applicable, shall, subject to </w:t>
      </w:r>
      <w:r>
        <w:rPr>
          <w:rFonts w:ascii="Times New Roman" w:hAnsi="Times New Roman"/>
          <w:sz w:val="20"/>
          <w:u w:val="single"/>
        </w:rPr>
        <w:t>Section 9.11</w:t>
      </w:r>
      <w:r>
        <w:rPr>
          <w:rFonts w:ascii="Times New Roman" w:hAnsi="Times New Roman"/>
          <w:sz w:val="20"/>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Buyer, to: </w:t>
      </w:r>
    </w:p>
    <w:p>
      <w:pPr>
        <w:pStyle w:val="TextBody"/>
        <w:bidi w:val="0"/>
        <w:spacing w:before="120" w:after="0"/>
        <w:jc w:val="left"/>
        <w:rPr>
          <w:rFonts w:ascii="Times New Roman" w:hAnsi="Times New Roman"/>
          <w:sz w:val="20"/>
        </w:rPr>
      </w:pPr>
      <w:r>
        <w:rPr>
          <w:rFonts w:ascii="Times New Roman" w:hAnsi="Times New Roman"/>
          <w:sz w:val="20"/>
        </w:rPr>
        <w:t xml:space="preserve">BioNTech SE </w:t>
      </w:r>
    </w:p>
    <w:p>
      <w:pPr>
        <w:pStyle w:val="TextBody"/>
        <w:bidi w:val="0"/>
        <w:spacing w:before="0" w:after="0"/>
        <w:jc w:val="left"/>
        <w:rPr>
          <w:rFonts w:ascii="Times New Roman" w:hAnsi="Times New Roman"/>
          <w:sz w:val="20"/>
        </w:rPr>
      </w:pPr>
      <w:r>
        <w:rPr>
          <w:rFonts w:ascii="Times New Roman" w:hAnsi="Times New Roman"/>
          <w:sz w:val="20"/>
        </w:rPr>
        <w:t xml:space="preserve">An der Goldgrube 12 </w:t>
      </w:r>
    </w:p>
    <w:p>
      <w:pPr>
        <w:pStyle w:val="TextBody"/>
        <w:bidi w:val="0"/>
        <w:spacing w:before="0" w:after="0"/>
        <w:jc w:val="left"/>
        <w:rPr>
          <w:rFonts w:ascii="Times New Roman" w:hAnsi="Times New Roman"/>
          <w:sz w:val="20"/>
        </w:rPr>
      </w:pPr>
      <w:r>
        <w:rPr>
          <w:rFonts w:ascii="Times New Roman" w:hAnsi="Times New Roman"/>
          <w:sz w:val="20"/>
        </w:rPr>
        <w:t xml:space="preserve">55131 Mainz </w:t>
      </w:r>
    </w:p>
    <w:p>
      <w:pPr>
        <w:pStyle w:val="TextBody"/>
        <w:bidi w:val="0"/>
        <w:spacing w:before="0" w:after="0"/>
        <w:jc w:val="left"/>
        <w:rPr>
          <w:rFonts w:ascii="Times New Roman" w:hAnsi="Times New Roman"/>
          <w:sz w:val="20"/>
        </w:rPr>
      </w:pPr>
      <w:r>
        <w:rPr>
          <w:rFonts w:ascii="Times New Roman" w:hAnsi="Times New Roman"/>
          <w:sz w:val="20"/>
        </w:rPr>
        <w:t xml:space="preserve">Germany </w:t>
      </w:r>
    </w:p>
    <w:p>
      <w:pPr>
        <w:pStyle w:val="TextBody"/>
        <w:bidi w:val="0"/>
        <w:spacing w:before="0" w:after="0"/>
        <w:jc w:val="left"/>
        <w:rPr>
          <w:rFonts w:ascii="Times New Roman" w:hAnsi="Times New Roman"/>
          <w:sz w:val="20"/>
        </w:rPr>
      </w:pPr>
      <w:r>
        <w:rPr>
          <w:rFonts w:ascii="Times New Roman" w:hAnsi="Times New Roman"/>
          <w:sz w:val="20"/>
        </w:rPr>
        <w:t xml:space="preserve">Attention: James Ryan, Chief Legal Officer &amp; Chief Business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The New York Times Building </w:t>
      </w:r>
    </w:p>
    <w:p>
      <w:pPr>
        <w:pStyle w:val="TextBody"/>
        <w:bidi w:val="0"/>
        <w:spacing w:before="0" w:after="0"/>
        <w:jc w:val="left"/>
        <w:rPr>
          <w:rFonts w:ascii="Times New Roman" w:hAnsi="Times New Roman"/>
          <w:sz w:val="20"/>
        </w:rPr>
      </w:pPr>
      <w:r>
        <w:rPr>
          <w:rFonts w:ascii="Times New Roman" w:hAnsi="Times New Roman"/>
          <w:sz w:val="20"/>
        </w:rPr>
        <w:t xml:space="preserve">620 Eighth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10018 </w:t>
      </w:r>
    </w:p>
    <w:p>
      <w:pPr>
        <w:pStyle w:val="TextBody"/>
        <w:bidi w:val="0"/>
        <w:spacing w:before="0" w:after="0"/>
        <w:jc w:val="left"/>
        <w:rPr>
          <w:rFonts w:ascii="Times New Roman" w:hAnsi="Times New Roman"/>
          <w:sz w:val="20"/>
        </w:rPr>
      </w:pPr>
      <w:r>
        <w:rPr>
          <w:rFonts w:ascii="Times New Roman" w:hAnsi="Times New Roman"/>
          <w:sz w:val="20"/>
        </w:rPr>
        <w:t xml:space="preserve">Attention:  Paul Claydon </w:t>
      </w:r>
    </w:p>
    <w:p>
      <w:pPr>
        <w:pStyle w:val="TextBody"/>
        <w:bidi w:val="0"/>
        <w:spacing w:before="0" w:after="0"/>
        <w:jc w:val="left"/>
        <w:rPr>
          <w:rFonts w:ascii="Times New Roman" w:hAnsi="Times New Roman"/>
          <w:sz w:val="20"/>
        </w:rPr>
      </w:pPr>
      <w:r>
        <w:rPr>
          <w:rFonts w:ascii="Times New Roman" w:hAnsi="Times New Roman"/>
          <w:sz w:val="20"/>
        </w:rPr>
        <w:t xml:space="preserve">Jack S. Bodner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 xml:space="preserve">Hengeler Mueller Partnerschaft von Rechtsanwälten mbB </w:t>
      </w:r>
    </w:p>
    <w:p>
      <w:pPr>
        <w:pStyle w:val="TextBody"/>
        <w:bidi w:val="0"/>
        <w:spacing w:before="0" w:after="0"/>
        <w:jc w:val="left"/>
        <w:rPr>
          <w:rFonts w:ascii="Times New Roman" w:hAnsi="Times New Roman"/>
          <w:sz w:val="20"/>
        </w:rPr>
      </w:pPr>
      <w:r>
        <w:rPr>
          <w:rFonts w:ascii="Times New Roman" w:hAnsi="Times New Roman"/>
          <w:sz w:val="20"/>
        </w:rPr>
        <w:t xml:space="preserve">Bockenheimer Landstraße 24 </w:t>
      </w:r>
    </w:p>
    <w:p>
      <w:pPr>
        <w:pStyle w:val="TextBody"/>
        <w:bidi w:val="0"/>
        <w:spacing w:before="0" w:after="0"/>
        <w:jc w:val="left"/>
        <w:rPr>
          <w:rFonts w:ascii="Times New Roman" w:hAnsi="Times New Roman"/>
          <w:sz w:val="20"/>
        </w:rPr>
      </w:pPr>
      <w:r>
        <w:rPr>
          <w:rFonts w:ascii="Times New Roman" w:hAnsi="Times New Roman"/>
          <w:sz w:val="20"/>
        </w:rPr>
        <w:t xml:space="preserve">60323 Frankfurt am Main </w:t>
      </w:r>
    </w:p>
    <w:p>
      <w:pPr>
        <w:pStyle w:val="TextBody"/>
        <w:bidi w:val="0"/>
        <w:spacing w:before="0" w:after="0"/>
        <w:jc w:val="left"/>
        <w:rPr>
          <w:rFonts w:ascii="Times New Roman" w:hAnsi="Times New Roman"/>
          <w:sz w:val="20"/>
        </w:rPr>
      </w:pPr>
      <w:r>
        <w:rPr>
          <w:rFonts w:ascii="Times New Roman" w:hAnsi="Times New Roman"/>
          <w:sz w:val="20"/>
        </w:rPr>
        <w:t xml:space="preserve">Attention: Lucina Berger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 xml:space="preserve">Loyens &amp; Loeff N.V. </w:t>
      </w:r>
    </w:p>
    <w:p>
      <w:pPr>
        <w:pStyle w:val="TextBody"/>
        <w:bidi w:val="0"/>
        <w:spacing w:before="0" w:after="0"/>
        <w:jc w:val="left"/>
        <w:rPr>
          <w:rFonts w:ascii="Times New Roman" w:hAnsi="Times New Roman"/>
          <w:sz w:val="20"/>
        </w:rPr>
      </w:pPr>
      <w:r>
        <w:rPr>
          <w:rFonts w:ascii="Times New Roman" w:hAnsi="Times New Roman"/>
          <w:sz w:val="20"/>
        </w:rPr>
        <w:t xml:space="preserve">Parnassusweg 300 </w:t>
      </w:r>
    </w:p>
    <w:p>
      <w:pPr>
        <w:pStyle w:val="TextBody"/>
        <w:bidi w:val="0"/>
        <w:spacing w:before="0" w:after="0"/>
        <w:jc w:val="left"/>
        <w:rPr>
          <w:rFonts w:ascii="Times New Roman" w:hAnsi="Times New Roman"/>
          <w:sz w:val="20"/>
        </w:rPr>
      </w:pPr>
      <w:r>
        <w:rPr>
          <w:rFonts w:ascii="Times New Roman" w:hAnsi="Times New Roman"/>
          <w:sz w:val="20"/>
        </w:rPr>
        <w:t xml:space="preserve">1081 LC Amsterdam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Attention:  Michel van Agt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CureVac N.V. </w:t>
      </w:r>
    </w:p>
    <w:p>
      <w:pPr>
        <w:pStyle w:val="TextBody"/>
        <w:bidi w:val="0"/>
        <w:spacing w:before="0" w:after="0"/>
        <w:jc w:val="left"/>
        <w:rPr>
          <w:rFonts w:ascii="Times New Roman" w:hAnsi="Times New Roman"/>
          <w:sz w:val="20"/>
        </w:rPr>
      </w:pPr>
      <w:r>
        <w:rPr>
          <w:rFonts w:ascii="Times New Roman" w:hAnsi="Times New Roman"/>
          <w:sz w:val="20"/>
        </w:rPr>
        <w:t xml:space="preserve">Friedrich-Miescher-Strasse 15 </w:t>
      </w:r>
    </w:p>
    <w:p>
      <w:pPr>
        <w:pStyle w:val="TextBody"/>
        <w:bidi w:val="0"/>
        <w:spacing w:before="0" w:after="0"/>
        <w:jc w:val="left"/>
        <w:rPr>
          <w:rFonts w:ascii="Times New Roman" w:hAnsi="Times New Roman"/>
          <w:sz w:val="20"/>
        </w:rPr>
      </w:pPr>
      <w:r>
        <w:rPr>
          <w:rFonts w:ascii="Times New Roman" w:hAnsi="Times New Roman"/>
          <w:sz w:val="20"/>
        </w:rPr>
        <w:t xml:space="preserve">72076 Tübingen </w:t>
      </w:r>
    </w:p>
    <w:p>
      <w:pPr>
        <w:pStyle w:val="TextBody"/>
        <w:bidi w:val="0"/>
        <w:spacing w:before="0" w:after="0"/>
        <w:jc w:val="left"/>
        <w:rPr>
          <w:rFonts w:ascii="Times New Roman" w:hAnsi="Times New Roman"/>
          <w:sz w:val="20"/>
        </w:rPr>
      </w:pPr>
      <w:r>
        <w:rPr>
          <w:rFonts w:ascii="Times New Roman" w:hAnsi="Times New Roman"/>
          <w:sz w:val="20"/>
        </w:rPr>
        <w:t xml:space="preserve">Germany </w:t>
      </w:r>
    </w:p>
    <w:p>
      <w:pPr>
        <w:pStyle w:val="TextBody"/>
        <w:bidi w:val="0"/>
        <w:spacing w:before="0" w:after="0"/>
        <w:jc w:val="left"/>
        <w:rPr>
          <w:rFonts w:ascii="Times New Roman" w:hAnsi="Times New Roman"/>
          <w:sz w:val="20"/>
        </w:rPr>
      </w:pPr>
      <w:r>
        <w:rPr>
          <w:rFonts w:ascii="Times New Roman" w:hAnsi="Times New Roman"/>
          <w:sz w:val="20"/>
        </w:rPr>
        <w:t xml:space="preserve">Attention:  Thaminda Ramanayake, Chief Business Officer </w:t>
      </w:r>
    </w:p>
    <w:p>
      <w:pPr>
        <w:pStyle w:val="TextBody"/>
        <w:bidi w:val="0"/>
        <w:spacing w:before="0" w:after="0"/>
        <w:jc w:val="left"/>
        <w:rPr/>
      </w:pPr>
      <w:r>
        <w:rPr/>
        <w:t>     </w:t>
      </w:r>
      <w:r>
        <w:rPr>
          <w:rFonts w:ascii="Times New Roman" w:hAnsi="Times New Roman"/>
          <w:sz w:val="20"/>
        </w:rPr>
        <w:t xml:space="preserve">Marco Rau,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One Manhattan West </w:t>
      </w:r>
    </w:p>
    <w:p>
      <w:pPr>
        <w:pStyle w:val="TextBody"/>
        <w:bidi w:val="0"/>
        <w:spacing w:before="0" w:after="0"/>
        <w:jc w:val="left"/>
        <w:rPr>
          <w:rFonts w:ascii="Times New Roman" w:hAnsi="Times New Roman"/>
          <w:sz w:val="20"/>
        </w:rPr>
      </w:pPr>
      <w:r>
        <w:rPr>
          <w:rFonts w:ascii="Times New Roman" w:hAnsi="Times New Roman"/>
          <w:sz w:val="20"/>
        </w:rPr>
        <w:t xml:space="preserve">395 9th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 Howard L. Ellin </w:t>
      </w:r>
    </w:p>
    <w:p>
      <w:pPr>
        <w:pStyle w:val="TextBody"/>
        <w:bidi w:val="0"/>
        <w:spacing w:before="0" w:after="0"/>
        <w:jc w:val="left"/>
        <w:rPr/>
      </w:pPr>
      <w:r>
        <w:rPr/>
        <w:t>     </w:t>
      </w:r>
      <w:r>
        <w:rPr>
          <w:rFonts w:ascii="Times New Roman" w:hAnsi="Times New Roman"/>
          <w:sz w:val="20"/>
        </w:rPr>
        <w:t xml:space="preserve">June S. Dipchand </w:t>
      </w:r>
    </w:p>
    <w:p>
      <w:pPr>
        <w:pStyle w:val="TextBody"/>
        <w:bidi w:val="0"/>
        <w:spacing w:before="0" w:after="0"/>
        <w:jc w:val="left"/>
        <w:rPr/>
      </w:pPr>
      <w:r>
        <w:rPr/>
        <w:t>     </w:t>
      </w:r>
      <w:r>
        <w:rPr>
          <w:rFonts w:ascii="Times New Roman" w:hAnsi="Times New Roman"/>
          <w:sz w:val="20"/>
        </w:rPr>
        <w:t xml:space="preserve">Stephan Hutter </w:t>
      </w:r>
    </w:p>
    <w:p>
      <w:pPr>
        <w:pStyle w:val="TextBody"/>
        <w:bidi w:val="0"/>
        <w:spacing w:before="0" w:after="0"/>
        <w:jc w:val="left"/>
        <w:rPr/>
      </w:pPr>
      <w:r>
        <w:rPr/>
        <w:t>     </w:t>
      </w:r>
      <w:r>
        <w:rPr>
          <w:rFonts w:ascii="Times New Roman" w:hAnsi="Times New Roman"/>
          <w:sz w:val="20"/>
        </w:rPr>
        <w:t xml:space="preserve">Holger Hofmeister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 xml:space="preserve">NautaDutilh N.V. </w:t>
      </w:r>
    </w:p>
    <w:p>
      <w:pPr>
        <w:pStyle w:val="TextBody"/>
        <w:bidi w:val="0"/>
        <w:spacing w:before="0" w:after="0"/>
        <w:jc w:val="left"/>
        <w:rPr>
          <w:rFonts w:ascii="Times New Roman" w:hAnsi="Times New Roman"/>
          <w:sz w:val="20"/>
        </w:rPr>
      </w:pPr>
      <w:r>
        <w:rPr>
          <w:rFonts w:ascii="Times New Roman" w:hAnsi="Times New Roman"/>
          <w:sz w:val="20"/>
        </w:rPr>
        <w:t xml:space="preserve">Beethovenstraat 400 </w:t>
      </w:r>
    </w:p>
    <w:p>
      <w:pPr>
        <w:pStyle w:val="TextBody"/>
        <w:bidi w:val="0"/>
        <w:spacing w:before="0" w:after="0"/>
        <w:jc w:val="left"/>
        <w:rPr>
          <w:rFonts w:ascii="Times New Roman" w:hAnsi="Times New Roman"/>
          <w:sz w:val="20"/>
        </w:rPr>
      </w:pPr>
      <w:r>
        <w:rPr>
          <w:rFonts w:ascii="Times New Roman" w:hAnsi="Times New Roman"/>
          <w:sz w:val="20"/>
        </w:rPr>
        <w:t xml:space="preserve">1082 PR Amsterdam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Attention:  Paul van der Bijl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Non-Survival of Representations and Warranties; Survival of Certain Covenants and Agreements</w:t>
      </w:r>
      <w:r>
        <w:rPr>
          <w:rFonts w:ascii="Times New Roman" w:hAnsi="Times New Roman"/>
          <w:sz w:val="20"/>
        </w:rPr>
        <w:t xml:space="preserve">. The representations and warranties contained in this Agreement and in any certificate or other writing delivered pursuant to this Agreement shall not survive the Acceptance Time. This </w:t>
      </w:r>
      <w:r>
        <w:rPr>
          <w:rFonts w:ascii="Times New Roman" w:hAnsi="Times New Roman"/>
          <w:sz w:val="20"/>
          <w:u w:val="single"/>
        </w:rPr>
        <w:t>Section 9.02</w:t>
      </w:r>
      <w:r>
        <w:rPr>
          <w:rFonts w:ascii="Times New Roman" w:hAnsi="Times New Roman"/>
          <w:sz w:val="20"/>
        </w:rPr>
        <w:t xml:space="preserve"> shall not limit </w:t>
      </w:r>
      <w:r>
        <w:rPr>
          <w:rFonts w:ascii="Times New Roman" w:hAnsi="Times New Roman"/>
          <w:sz w:val="20"/>
          <w:u w:val="single"/>
        </w:rPr>
        <w:t>Section 8.02</w:t>
      </w:r>
      <w:r>
        <w:rPr>
          <w:rFonts w:ascii="Times New Roman" w:hAnsi="Times New Roman"/>
          <w:sz w:val="20"/>
        </w:rPr>
        <w:t xml:space="preserve">, </w:t>
      </w:r>
      <w:r>
        <w:rPr>
          <w:rFonts w:ascii="Times New Roman" w:hAnsi="Times New Roman"/>
          <w:sz w:val="20"/>
          <w:u w:val="single"/>
        </w:rPr>
        <w:t>Section 8.03(b)</w:t>
      </w:r>
      <w:r>
        <w:rPr>
          <w:rFonts w:ascii="Times New Roman" w:hAnsi="Times New Roman"/>
          <w:sz w:val="20"/>
        </w:rPr>
        <w:t xml:space="preserve"> or </w:t>
      </w:r>
      <w:r>
        <w:rPr>
          <w:rFonts w:ascii="Times New Roman" w:hAnsi="Times New Roman"/>
          <w:sz w:val="20"/>
          <w:u w:val="single"/>
        </w:rPr>
        <w:t>Section 8.04</w:t>
      </w:r>
      <w:r>
        <w:rPr>
          <w:rFonts w:ascii="Times New Roman" w:hAnsi="Times New Roman"/>
          <w:sz w:val="20"/>
        </w:rPr>
        <w:t xml:space="preserve"> or any covenant or agreement of the Parties that by its terms contemplates performance after the Acceptance Time. The terms of </w:t>
      </w:r>
      <w:r>
        <w:rPr>
          <w:rFonts w:ascii="Times New Roman" w:hAnsi="Times New Roman"/>
          <w:sz w:val="20"/>
          <w:u w:val="single"/>
        </w:rPr>
        <w:t>Article 1</w:t>
      </w:r>
      <w:r>
        <w:rPr>
          <w:rFonts w:ascii="Times New Roman" w:hAnsi="Times New Roman"/>
          <w:sz w:val="20"/>
        </w:rPr>
        <w:t xml:space="preserve"> and this </w:t>
      </w:r>
      <w:r>
        <w:rPr>
          <w:rFonts w:ascii="Times New Roman" w:hAnsi="Times New Roman"/>
          <w:sz w:val="20"/>
          <w:u w:val="single"/>
        </w:rPr>
        <w:t>Article 9</w:t>
      </w:r>
      <w:r>
        <w:rPr>
          <w:rFonts w:ascii="Times New Roman" w:hAnsi="Times New Roman"/>
          <w:sz w:val="20"/>
        </w:rPr>
        <w:t xml:space="preserve">, as well as the covenants and other agreements set forth in this Agreement that by their terms apply, or that are to be performed in whole or in part, after the Acceptance Time shall survive the Acceptance Time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for in </w:t>
      </w:r>
      <w:r>
        <w:rPr>
          <w:rFonts w:ascii="Times New Roman" w:hAnsi="Times New Roman"/>
          <w:sz w:val="20"/>
          <w:u w:val="single"/>
        </w:rPr>
        <w:t>Annex I</w:t>
      </w:r>
      <w:r>
        <w:rPr>
          <w:rFonts w:ascii="Times New Roman" w:hAnsi="Times New Roman"/>
          <w:sz w:val="20"/>
        </w:rPr>
        <w:t xml:space="preserve">,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Rules of Construction</w:t>
      </w:r>
      <w:r>
        <w:rPr>
          <w:rFonts w:ascii="Times New Roman" w:hAnsi="Times New Roman"/>
          <w:sz w:val="20"/>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hAnsi="Times New Roman"/>
          <w:sz w:val="20"/>
          <w:u w:val="single"/>
        </w:rPr>
        <w:t>provided</w:t>
      </w:r>
      <w:r>
        <w:rPr>
          <w:rFonts w:ascii="Times New Roman" w:hAnsi="Times New Roman"/>
          <w:sz w:val="20"/>
        </w:rPr>
        <w:t xml:space="preserve">, that without the consent of the Company, (a) Buyer may assign, in its sole discretion, any or all of its rights, interests and obligations under this Agreement to any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direct or indirect wholly owned Subsidiaries or Affiliates controlled by Buyer and (b) after the Acceptance Time, Buyer may transfer or assign its rights and obligations under this Agreement to any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of clauses (a) and (b), such transfer or assignment shall not (i) 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Governing Law</w:t>
      </w:r>
      <w:r>
        <w:rPr>
          <w:rFonts w:ascii="Times New Roman" w:hAnsi="Times New Roman"/>
          <w:sz w:val="20"/>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hAnsi="Times New Roman"/>
          <w:sz w:val="20"/>
          <w:u w:val="single"/>
        </w:rPr>
        <w:t>provided</w:t>
      </w:r>
      <w:r>
        <w:rPr>
          <w:rFonts w:ascii="Times New Roman" w:hAnsi="Times New Roman"/>
          <w:sz w:val="20"/>
        </w:rPr>
        <w:t xml:space="preserve">, that, notwithstanding the foregoing, any matters concerning or implicating the Company Boards’ fiduciary duties shall be governed by and construed in accordance with the applicable fiduciary duty Laws of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Dispute Resolution</w:t>
      </w:r>
      <w:r>
        <w:rPr>
          <w:rFonts w:ascii="Times New Roman" w:hAnsi="Times New Roman"/>
          <w:sz w:val="20"/>
        </w:rPr>
        <w:t>. Any dispute, controversy, or claim arising out of or relating to this Agreement (and any subsequent amendments thereof), or the breach, termination, or validity thereof, or the Transactions contemplated hereby (each a “</w:t>
      </w:r>
      <w:r>
        <w:rPr>
          <w:rFonts w:ascii="Times New Roman" w:hAnsi="Times New Roman"/>
          <w:sz w:val="20"/>
          <w:u w:val="single"/>
        </w:rPr>
        <w:t>Dispute</w:t>
      </w:r>
      <w:r>
        <w:rPr>
          <w:rFonts w:ascii="Times New Roman" w:hAnsi="Times New Roman"/>
          <w:sz w:val="20"/>
        </w:rPr>
        <w:t xml:space="preserve">”) shall be resolved in accordance with this </w:t>
      </w:r>
      <w:r>
        <w:rPr>
          <w:rFonts w:ascii="Times New Roman" w:hAnsi="Times New Roman"/>
          <w:sz w:val="20"/>
          <w:u w:val="single"/>
        </w:rPr>
        <w:t>Section 9.07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Consent to Jurisdiction.</w:t>
      </w:r>
      <w:r>
        <w:rPr>
          <w:rFonts w:ascii="Times New Roman" w:hAnsi="Times New Roman"/>
          <w:sz w:val="20"/>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hAnsi="Times New Roman"/>
          <w:sz w:val="20"/>
          <w:u w:val="single"/>
        </w:rPr>
        <w:t>Chosen Court</w:t>
      </w:r>
      <w:r>
        <w:rPr>
          <w:rFonts w:ascii="Times New Roman" w:hAnsi="Times New Roman"/>
          <w:sz w:val="20"/>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hAnsi="Times New Roman"/>
          <w:sz w:val="20"/>
          <w:u w:val="single"/>
        </w:rPr>
        <w:t>Section 9.07(b)</w:t>
      </w:r>
      <w:r>
        <w:rPr>
          <w:rFonts w:ascii="Times New Roman" w:hAnsi="Times New Roman"/>
          <w:sz w:val="20"/>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Arbitration</w:t>
      </w:r>
      <w:r>
        <w:rPr>
          <w:rFonts w:ascii="Times New Roman" w:hAnsi="Times New Roman"/>
          <w:sz w:val="20"/>
        </w:rPr>
        <w:t xml:space="preserve">. In the event that a Chosen Court of first instance declines jurisdiction over an action brought in accordance with </w:t>
      </w:r>
      <w:r>
        <w:rPr>
          <w:rFonts w:ascii="Times New Roman" w:hAnsi="Times New Roman"/>
          <w:sz w:val="20"/>
          <w:u w:val="single"/>
        </w:rPr>
        <w:t>Section 9.07(a)</w:t>
      </w:r>
      <w:r>
        <w:rPr>
          <w:rFonts w:ascii="Times New Roman" w:hAnsi="Times New Roman"/>
          <w:sz w:val="20"/>
        </w:rPr>
        <w:t>, the associated Dispute shall be resolved by final and binding arbitration administered by the International Chamber of Commerce (the “</w:t>
      </w:r>
      <w:r>
        <w:rPr>
          <w:rFonts w:ascii="Times New Roman" w:hAnsi="Times New Roman"/>
          <w:sz w:val="20"/>
          <w:u w:val="single"/>
        </w:rPr>
        <w:t>ICC</w:t>
      </w:r>
      <w:r>
        <w:rPr>
          <w:rFonts w:ascii="Times New Roman" w:hAnsi="Times New Roman"/>
          <w:sz w:val="20"/>
        </w:rPr>
        <w:t>”) in accordance with its Rules of Arbitration in effect at the time (the “</w:t>
      </w:r>
      <w:r>
        <w:rPr>
          <w:rFonts w:ascii="Times New Roman" w:hAnsi="Times New Roman"/>
          <w:sz w:val="20"/>
          <w:u w:val="single"/>
        </w:rPr>
        <w:t>Rules</w:t>
      </w:r>
      <w:r>
        <w:rPr>
          <w:rFonts w:ascii="Times New Roman" w:hAnsi="Times New Roman"/>
          <w:sz w:val="20"/>
        </w:rPr>
        <w:t xml:space="preserve">”), except as modified herein. </w:t>
      </w:r>
    </w:p>
    <w:p>
      <w:pPr>
        <w:pStyle w:val="TextBody"/>
        <w:bidi w:val="0"/>
        <w:spacing w:before="120" w:after="0"/>
        <w:jc w:val="left"/>
        <w:rPr>
          <w:rFonts w:ascii="Times New Roman" w:hAnsi="Times New Roman"/>
          <w:sz w:val="20"/>
        </w:rPr>
      </w:pPr>
      <w:r>
        <w:rPr>
          <w:rFonts w:ascii="Times New Roman" w:hAnsi="Times New Roman"/>
          <w:sz w:val="20"/>
        </w:rPr>
        <w:t xml:space="preserve">(i) The seat of arbitration shall be Frankfurt, Germany and the arbitration shall be conducted in the English language. </w:t>
      </w:r>
    </w:p>
    <w:p>
      <w:pPr>
        <w:pStyle w:val="TextBody"/>
        <w:bidi w:val="0"/>
        <w:spacing w:before="120" w:after="0"/>
        <w:jc w:val="left"/>
        <w:rPr>
          <w:rFonts w:ascii="Times New Roman" w:hAnsi="Times New Roman"/>
          <w:sz w:val="20"/>
        </w:rPr>
      </w:pPr>
      <w:r>
        <w:rPr>
          <w:rFonts w:ascii="Times New Roman" w:hAnsi="Times New Roman"/>
          <w:sz w:val="20"/>
        </w:rPr>
        <w:t>(ii) 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hAnsi="Times New Roman"/>
          <w:sz w:val="20"/>
          <w:u w:val="single"/>
        </w:rPr>
        <w:t>Presiding Arbitrator</w:t>
      </w:r>
      <w:r>
        <w:rPr>
          <w:rFonts w:ascii="Times New Roman" w:hAnsi="Times New Roman"/>
          <w:sz w:val="20"/>
        </w:rPr>
        <w:t>”) within thirty (30) days of the confirmation by the ICC Court of Arbitration (“</w:t>
      </w:r>
      <w:r>
        <w:rPr>
          <w:rFonts w:ascii="Times New Roman" w:hAnsi="Times New Roman"/>
          <w:sz w:val="20"/>
          <w:u w:val="single"/>
        </w:rPr>
        <w:t>ICC Court</w:t>
      </w:r>
      <w:r>
        <w:rPr>
          <w:rFonts w:ascii="Times New Roman" w:hAnsi="Times New Roman"/>
          <w:sz w:val="20"/>
        </w:rPr>
        <w:t xml:space="preserve">”)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 </w:t>
      </w:r>
    </w:p>
    <w:p>
      <w:pPr>
        <w:pStyle w:val="TextBody"/>
        <w:bidi w:val="0"/>
        <w:spacing w:before="120" w:after="0"/>
        <w:jc w:val="left"/>
        <w:rPr>
          <w:rFonts w:ascii="Times New Roman" w:hAnsi="Times New Roman"/>
          <w:sz w:val="20"/>
        </w:rPr>
      </w:pPr>
      <w:r>
        <w:rPr>
          <w:rFonts w:ascii="Times New Roman" w:hAnsi="Times New Roman"/>
          <w:sz w:val="20"/>
        </w:rPr>
        <w:t xml:space="preserve">(iii) By agreeing to arbitration, the parties do not intend to deprive any court of its jurisdiction to issue an injunction, attachment or other order in aid of arbitration proceedings. Without prejudice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 </w:t>
      </w:r>
    </w:p>
    <w:p>
      <w:pPr>
        <w:pStyle w:val="TextBody"/>
        <w:bidi w:val="0"/>
        <w:spacing w:before="120" w:after="0"/>
        <w:jc w:val="left"/>
        <w:rPr>
          <w:rFonts w:ascii="Times New Roman" w:hAnsi="Times New Roman"/>
          <w:sz w:val="20"/>
        </w:rPr>
      </w:pPr>
      <w:r>
        <w:rPr>
          <w:rFonts w:ascii="Times New Roman" w:hAnsi="Times New Roman"/>
          <w:sz w:val="20"/>
        </w:rPr>
        <w:t xml:space="preserve">(iv) 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hAnsi="Times New Roman"/>
          <w:sz w:val="20"/>
          <w:u w:val="single"/>
        </w:rPr>
        <w:t>Section 9.07(c)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Counterparts; Electronic Delivery; Effectiveness</w:t>
      </w:r>
      <w:r>
        <w:rPr>
          <w:rFonts w:ascii="Times New Roman" w:hAnsi="Times New Roman"/>
          <w:sz w:val="20"/>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hAnsi="Times New Roman"/>
          <w:sz w:val="20"/>
          <w:u w:val="single"/>
        </w:rPr>
        <w:t>Electronic Delivery</w:t>
      </w:r>
      <w:r>
        <w:rPr>
          <w:rFonts w:ascii="Times New Roman" w:hAnsi="Times New Roman"/>
          <w:sz w:val="20"/>
        </w:rPr>
        <w:t xml:space="preserve">”),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Entire Agreement; No Third-Party Beneficiaries</w:t>
      </w:r>
      <w:r>
        <w:rPr>
          <w:rFonts w:ascii="Times New Roman" w:hAnsi="Times New Roman"/>
          <w:sz w:val="20"/>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hAnsi="Times New Roman"/>
          <w:sz w:val="20"/>
          <w:u w:val="single"/>
        </w:rPr>
        <w:t>provided</w:t>
      </w:r>
      <w:r>
        <w:rPr>
          <w:rFonts w:ascii="Times New Roman" w:hAnsi="Times New Roman"/>
          <w:sz w:val="20"/>
        </w:rPr>
        <w:t xml:space="preserve">, that (a) the provisions of </w:t>
      </w:r>
      <w:r>
        <w:rPr>
          <w:rFonts w:ascii="Times New Roman" w:hAnsi="Times New Roman"/>
          <w:sz w:val="20"/>
          <w:u w:val="single"/>
        </w:rPr>
        <w:t>Section 6.01</w:t>
      </w:r>
      <w:r>
        <w:rPr>
          <w:rFonts w:ascii="Times New Roman" w:hAnsi="Times New Roman"/>
          <w:sz w:val="20"/>
        </w:rPr>
        <w:t xml:space="preserve"> are intended to be for the benefit of, and shall be enforceable by, each indemnified or insured party (including the Indemnified Persons), his or her heirs and representatives; and (b) the provisions of </w:t>
      </w:r>
      <w:r>
        <w:rPr>
          <w:rFonts w:ascii="Times New Roman" w:hAnsi="Times New Roman"/>
          <w:sz w:val="20"/>
          <w:u w:val="single"/>
        </w:rPr>
        <w:t>Section 2.04(a)(iii)</w:t>
      </w:r>
      <w:r>
        <w:rPr>
          <w:rFonts w:ascii="Times New Roman" w:hAnsi="Times New Roman"/>
          <w:sz w:val="20"/>
        </w:rPr>
        <w:t xml:space="preserve"> and </w:t>
      </w:r>
      <w:r>
        <w:rPr>
          <w:rFonts w:ascii="Times New Roman" w:hAnsi="Times New Roman"/>
          <w:sz w:val="20"/>
          <w:u w:val="single"/>
        </w:rPr>
        <w:t>Section 2.05(g)</w:t>
      </w:r>
      <w:r>
        <w:rPr>
          <w:rFonts w:ascii="Times New Roman" w:hAnsi="Times New Roman"/>
          <w:sz w:val="20"/>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hAnsi="Times New Roman"/>
          <w:sz w:val="20"/>
          <w:u w:val="single"/>
        </w:rPr>
        <w:t>Section 2.05</w:t>
      </w:r>
      <w:r>
        <w:rPr>
          <w:rFonts w:ascii="Times New Roman" w:hAnsi="Times New Roman"/>
          <w:sz w:val="20"/>
        </w:rPr>
        <w:t xml:space="preserve"> and all members of the Supervisory Board resigning at the Acceptance Time.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so as to effect the original intent of the Parties as closely as possible in an acceptable manner in order that the Transactions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hAnsi="Times New Roman"/>
          <w:sz w:val="20"/>
          <w:u w:val="single"/>
        </w:rPr>
        <w:t>Section 8.03</w:t>
      </w:r>
      <w:r>
        <w:rPr>
          <w:rFonts w:ascii="Times New Roman" w:hAnsi="Times New Roman"/>
          <w:sz w:val="20"/>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hAnsi="Times New Roman"/>
          <w:sz w:val="20"/>
          <w:u w:val="single"/>
        </w:rPr>
        <w:t>Section 9.11</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has been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date set forth on the cover page of this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BioNTech SE</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Uğur Şahin</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Uğur Şahin</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Chief Executive Officer and Management Board Member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Sierk Poetting</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Sierk Poetting</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Chief Operating Officer and Management Board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CureVac N.V.</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Zehnder</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Alexander Zehnder</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Chief Executive Officer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Thaminda Ramanayake</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Thaminda Ramanayake</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Chief Business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Purchase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480" w:after="0"/>
        <w:jc w:val="center"/>
        <w:rPr>
          <w:rFonts w:ascii="Times New Roman" w:hAnsi="Times New Roman"/>
          <w:b/>
          <w:sz w:val="20"/>
        </w:rPr>
      </w:pPr>
      <w:r>
        <w:rPr>
          <w:rFonts w:ascii="Times New Roman" w:hAnsi="Times New Roman"/>
          <w:b/>
          <w:sz w:val="20"/>
        </w:rPr>
        <w:t xml:space="preserve">OFFER CONDITIONS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 </w:t>
      </w:r>
    </w:p>
    <w:p>
      <w:pPr>
        <w:pStyle w:val="TextBody"/>
        <w:bidi w:val="0"/>
        <w:spacing w:before="120" w:after="0"/>
        <w:jc w:val="left"/>
        <w:rPr>
          <w:rFonts w:ascii="Times New Roman" w:hAnsi="Times New Roman"/>
          <w:sz w:val="20"/>
        </w:rPr>
      </w:pPr>
      <w:r>
        <w:rPr>
          <w:rFonts w:ascii="Times New Roman" w:hAnsi="Times New Roman"/>
          <w:sz w:val="20"/>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hAnsi="Times New Roman"/>
          <w:i/>
          <w:sz w:val="20"/>
        </w:rPr>
        <w:t>geplaatst en uitstaand kapitaal</w:t>
      </w:r>
      <w:r>
        <w:rPr>
          <w:rFonts w:ascii="Times New Roman" w:hAnsi="Times New Roman"/>
          <w:sz w:val="20"/>
        </w:rPr>
        <w:t>) immediately prior to the Expiration Time (the “</w:t>
      </w:r>
      <w:r>
        <w:rPr>
          <w:rFonts w:ascii="Times New Roman" w:hAnsi="Times New Roman"/>
          <w:sz w:val="20"/>
          <w:u w:val="single"/>
        </w:rPr>
        <w:t>Minimum Condition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hAnsi="Times New Roman"/>
          <w:sz w:val="20"/>
          <w:u w:val="single"/>
        </w:rPr>
        <w:t>Section 2.01(e)(ii)</w:t>
      </w:r>
      <w:r>
        <w:rPr>
          <w:rFonts w:ascii="Times New Roman" w:hAnsi="Times New Roman"/>
          <w:sz w:val="20"/>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hAnsi="Times New Roman"/>
          <w:i/>
          <w:sz w:val="20"/>
        </w:rPr>
        <w:t>geplaatst en uitstaand kapitaal</w:t>
      </w:r>
      <w:r>
        <w:rPr>
          <w:rFonts w:ascii="Times New Roman" w:hAnsi="Times New Roman"/>
          <w:sz w:val="20"/>
        </w:rPr>
        <w:t xml:space="preserve">) immediately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 </w:t>
      </w:r>
    </w:p>
    <w:p>
      <w:pPr>
        <w:pStyle w:val="TextBody"/>
        <w:bidi w:val="0"/>
        <w:spacing w:before="240" w:after="0"/>
        <w:jc w:val="left"/>
        <w:rPr>
          <w:rFonts w:ascii="Times New Roman" w:hAnsi="Times New Roman"/>
          <w:sz w:val="20"/>
        </w:rPr>
      </w:pPr>
      <w:r>
        <w:rPr>
          <w:rFonts w:ascii="Times New Roman" w:hAnsi="Times New Roman"/>
          <w:sz w:val="20"/>
        </w:rPr>
        <w:t>C. no applicable Law or Order (whether temporary, preliminary or permanent), entered, enacted, promulgated, enforced or issued by any court or other Governmental Authority of competent jurisdiction (collectively, the “</w:t>
      </w:r>
      <w:r>
        <w:rPr>
          <w:rFonts w:ascii="Times New Roman" w:hAnsi="Times New Roman"/>
          <w:sz w:val="20"/>
          <w:u w:val="single"/>
        </w:rPr>
        <w:t>Legal Restraints</w:t>
      </w:r>
      <w:r>
        <w:rPr>
          <w:rFonts w:ascii="Times New Roman" w:hAnsi="Times New Roman"/>
          <w:sz w:val="20"/>
        </w:rPr>
        <w:t xml:space="preserve">”) shall be in effect that prohibits, renders illegal or enjoins, the consummation of the Offer, the Post-Offer Reorganization, the Legal Downstream Merger, the Post-Downstream Merger Share Sale, the Cancellation,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representations and warranties of the Company (i) set forth in </w:t>
      </w:r>
      <w:r>
        <w:rPr>
          <w:rFonts w:ascii="Times New Roman" w:hAnsi="Times New Roman"/>
          <w:sz w:val="20"/>
          <w:u w:val="single"/>
        </w:rPr>
        <w:t>Section 3.11(a)</w:t>
      </w:r>
      <w:r>
        <w:rPr>
          <w:rFonts w:ascii="Times New Roman" w:hAnsi="Times New Roman"/>
          <w:sz w:val="20"/>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hAnsi="Times New Roman"/>
          <w:sz w:val="20"/>
          <w:u w:val="single"/>
        </w:rPr>
        <w:t>Section 3.05</w:t>
      </w:r>
      <w:r>
        <w:rPr>
          <w:rFonts w:ascii="Times New Roman" w:hAnsi="Times New Roman"/>
          <w:sz w:val="20"/>
        </w:rPr>
        <w:t xml:space="preserve">(a), </w:t>
      </w:r>
      <w:r>
        <w:rPr>
          <w:rFonts w:ascii="Times New Roman" w:hAnsi="Times New Roman"/>
          <w:sz w:val="20"/>
          <w:u w:val="single"/>
        </w:rPr>
        <w:t>Section 3.05</w:t>
      </w:r>
      <w:r>
        <w:rPr>
          <w:rFonts w:ascii="Times New Roman" w:hAnsi="Times New Roman"/>
          <w:sz w:val="20"/>
        </w:rPr>
        <w:t xml:space="preserve">(b), </w:t>
      </w:r>
      <w:r>
        <w:rPr>
          <w:rFonts w:ascii="Times New Roman" w:hAnsi="Times New Roman"/>
          <w:sz w:val="20"/>
          <w:u w:val="single"/>
        </w:rPr>
        <w:t>Section 3.05</w:t>
      </w:r>
      <w:r>
        <w:rPr>
          <w:rFonts w:ascii="Times New Roman" w:hAnsi="Times New Roman"/>
          <w:sz w:val="20"/>
        </w:rPr>
        <w:t xml:space="preserve">(c) and </w:t>
      </w:r>
      <w:r>
        <w:rPr>
          <w:rFonts w:ascii="Times New Roman" w:hAnsi="Times New Roman"/>
          <w:sz w:val="20"/>
          <w:u w:val="single"/>
        </w:rPr>
        <w:t>Section 3.06</w:t>
      </w:r>
      <w:r>
        <w:rPr>
          <w:rFonts w:ascii="Times New Roman" w:hAnsi="Times New Roman"/>
          <w:sz w:val="20"/>
        </w:rPr>
        <w:t xml:space="preserve"> of the Agreement shall be true and correct in all respects (except for any </w:t>
      </w:r>
      <w:r>
        <w:rPr>
          <w:rFonts w:ascii="Times New Roman" w:hAnsi="Times New Roman"/>
          <w:i/>
          <w:sz w:val="20"/>
        </w:rPr>
        <w:t>de minimis</w:t>
      </w:r>
      <w:r>
        <w:rPr>
          <w:rFonts w:ascii="Times New Roman" w:hAnsi="Times New Roman"/>
          <w:sz w:val="20"/>
        </w:rPr>
        <w:t xml:space="preserve"> inaccuracies), at and as of the date of this Agreement and at and as of the Expiration Time with the same effect as though made as of the Expiration Time (except to the extent expressly made as of an earlier date, in which case as of such earlier date), (iii) set forth in </w:t>
      </w:r>
      <w:r>
        <w:rPr>
          <w:rFonts w:ascii="Times New Roman" w:hAnsi="Times New Roman"/>
          <w:sz w:val="20"/>
          <w:u w:val="single"/>
        </w:rPr>
        <w:t>Section 3.01</w:t>
      </w:r>
      <w:r>
        <w:rPr>
          <w:rFonts w:ascii="Times New Roman" w:hAnsi="Times New Roman"/>
          <w:sz w:val="20"/>
        </w:rPr>
        <w:t xml:space="preserve">, </w:t>
      </w:r>
      <w:r>
        <w:rPr>
          <w:rFonts w:ascii="Times New Roman" w:hAnsi="Times New Roman"/>
          <w:sz w:val="20"/>
          <w:u w:val="single"/>
        </w:rPr>
        <w:t>Section 3.02</w:t>
      </w:r>
      <w:r>
        <w:rPr>
          <w:rFonts w:ascii="Times New Roman" w:hAnsi="Times New Roman"/>
          <w:sz w:val="20"/>
        </w:rPr>
        <w:t xml:space="preserve">, </w:t>
      </w:r>
      <w:r>
        <w:rPr>
          <w:rFonts w:ascii="Times New Roman" w:hAnsi="Times New Roman"/>
          <w:sz w:val="20"/>
          <w:u w:val="single"/>
        </w:rPr>
        <w:t>Section 3.22</w:t>
      </w:r>
      <w:r>
        <w:rPr>
          <w:rFonts w:ascii="Times New Roman" w:hAnsi="Times New Roman"/>
          <w:sz w:val="20"/>
        </w:rPr>
        <w:t xml:space="preserve"> and </w:t>
      </w:r>
      <w:r>
        <w:rPr>
          <w:rFonts w:ascii="Times New Roman" w:hAnsi="Times New Roman"/>
          <w:sz w:val="20"/>
          <w:u w:val="single"/>
        </w:rPr>
        <w:t>Section 3.23</w:t>
      </w:r>
      <w:r>
        <w:rPr>
          <w:rFonts w:ascii="Times New Roman" w:hAnsi="Times New Roman"/>
          <w:sz w:val="20"/>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 (iii) 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hAnsi="Times New Roman"/>
          <w:sz w:val="20"/>
          <w:u w:val="single"/>
        </w:rPr>
        <w:t>clause</w:t>
      </w:r>
      <w:r>
        <w:rPr>
          <w:rFonts w:ascii="Times New Roman" w:hAnsi="Times New Roman"/>
          <w:sz w:val="20"/>
        </w:rPr>
        <w:t xml:space="preserve"> (iv), where the failure to be true and correct would not have or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performed or complied with, in all material respects, each of the obligations, agreements and covenants, required to be performed by, or complied with by, it under the Agreement at or prior to the Expiration Time;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since the date of the Agreement, there shall not have occurred any Company Material Adverse Effect that is continuing;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clause</w:t>
      </w:r>
      <w:r>
        <w:rPr>
          <w:rFonts w:ascii="Times New Roman" w:hAnsi="Times New Roman"/>
          <w:sz w:val="20"/>
        </w:rPr>
        <w:t xml:space="preserve"> (ii) of the definition of Company Material Adverse Effect shall be excluded from such definition for the purposes of determining the satisfaction of this paragraph (F); </w:t>
      </w:r>
    </w:p>
    <w:p>
      <w:pPr>
        <w:pStyle w:val="TextBody"/>
        <w:bidi w:val="0"/>
        <w:spacing w:before="240" w:after="0"/>
        <w:jc w:val="left"/>
        <w:rPr>
          <w:rFonts w:ascii="Times New Roman" w:hAnsi="Times New Roman"/>
          <w:sz w:val="20"/>
        </w:rPr>
      </w:pPr>
      <w:r>
        <w:rPr>
          <w:rFonts w:ascii="Times New Roman" w:hAnsi="Times New Roman"/>
          <w:sz w:val="20"/>
        </w:rPr>
        <w:t xml:space="preserve">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 </w:t>
      </w:r>
    </w:p>
    <w:p>
      <w:pPr>
        <w:pStyle w:val="TextBody"/>
        <w:bidi w:val="0"/>
        <w:spacing w:before="240" w:after="0"/>
        <w:jc w:val="left"/>
        <w:rPr>
          <w:rFonts w:ascii="Times New Roman" w:hAnsi="Times New Roman"/>
          <w:sz w:val="20"/>
        </w:rPr>
      </w:pPr>
      <w:r>
        <w:rPr>
          <w:rFonts w:ascii="Times New Roman" w:hAnsi="Times New Roman"/>
          <w:sz w:val="20"/>
        </w:rPr>
        <w:t xml:space="preserve">H. the Governance Resolutions shall have been adopted at the EGM; </w:t>
      </w:r>
    </w:p>
    <w:p>
      <w:pPr>
        <w:pStyle w:val="TextBody"/>
        <w:bidi w:val="0"/>
        <w:spacing w:before="240" w:after="0"/>
        <w:jc w:val="left"/>
        <w:rPr>
          <w:rFonts w:ascii="Times New Roman" w:hAnsi="Times New Roman"/>
          <w:sz w:val="20"/>
        </w:rPr>
      </w:pPr>
      <w:r>
        <w:rPr>
          <w:rFonts w:ascii="Times New Roman" w:hAnsi="Times New Roman"/>
          <w:sz w:val="20"/>
        </w:rPr>
        <w:t xml:space="preserve">I. the Post-Offer Reorganization Resolutions shall have been adopted at the EGM;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delivered to Buyer a certificate signed by an executive officer of the Company, dated as of the Expiration Time, certifying that the Offer Conditions specified in paragraphs (D), (E) and (F)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K. a stop order suspending the effectiveness of the Form F-4 shall have not been issued, or, if issued, not withdrawn, by the SEC or proceedings for that purpose shall have not been initiated or threatened by the SEC; </w:t>
      </w:r>
    </w:p>
    <w:p>
      <w:pPr>
        <w:pStyle w:val="TextBody"/>
        <w:bidi w:val="0"/>
        <w:spacing w:before="240" w:after="0"/>
        <w:jc w:val="left"/>
        <w:rPr>
          <w:rFonts w:ascii="Times New Roman" w:hAnsi="Times New Roman"/>
          <w:sz w:val="20"/>
        </w:rPr>
      </w:pPr>
      <w:r>
        <w:rPr>
          <w:rFonts w:ascii="Times New Roman" w:hAnsi="Times New Roman"/>
          <w:sz w:val="20"/>
        </w:rPr>
        <w:t xml:space="preserve">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 </w:t>
      </w:r>
    </w:p>
    <w:p>
      <w:pPr>
        <w:pStyle w:val="TextBody"/>
        <w:bidi w:val="0"/>
        <w:spacing w:before="240" w:after="0"/>
        <w:jc w:val="left"/>
        <w:rPr>
          <w:rFonts w:ascii="Times New Roman" w:hAnsi="Times New Roman"/>
          <w:sz w:val="20"/>
        </w:rPr>
      </w:pPr>
      <w:r>
        <w:rPr>
          <w:rFonts w:ascii="Times New Roman" w:hAnsi="Times New Roman"/>
          <w:sz w:val="20"/>
        </w:rPr>
        <w:t xml:space="preserve">M. the Agreement shall not have been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condition specified in paragraph (G), which is for the sole benefit of the Company and may therefore only be waived by the Company in writing, the foregoing conditions in this </w:t>
      </w:r>
      <w:r>
        <w:rPr>
          <w:rFonts w:ascii="Times New Roman" w:hAnsi="Times New Roman"/>
          <w:sz w:val="20"/>
          <w:u w:val="single"/>
        </w:rPr>
        <w:t>Annex I</w:t>
      </w:r>
      <w:r>
        <w:rPr>
          <w:rFonts w:ascii="Times New Roman" w:hAnsi="Times New Roman"/>
          <w:sz w:val="20"/>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in this </w:t>
      </w:r>
      <w:r>
        <w:rPr>
          <w:rFonts w:ascii="Times New Roman" w:hAnsi="Times New Roman"/>
          <w:sz w:val="20"/>
          <w:u w:val="single"/>
        </w:rPr>
        <w:t>Annex I</w:t>
      </w:r>
      <w:r>
        <w:rPr>
          <w:rFonts w:ascii="Times New Roman" w:hAnsi="Times New Roman"/>
          <w:sz w:val="20"/>
        </w:rPr>
        <w:t xml:space="preserve"> and not defined in this </w:t>
      </w:r>
      <w:r>
        <w:rPr>
          <w:rFonts w:ascii="Times New Roman" w:hAnsi="Times New Roman"/>
          <w:sz w:val="20"/>
          <w:u w:val="single"/>
        </w:rPr>
        <w:t>Annex I</w:t>
      </w:r>
      <w:r>
        <w:rPr>
          <w:rFonts w:ascii="Times New Roman" w:hAnsi="Times New Roman"/>
          <w:sz w:val="20"/>
        </w:rPr>
        <w:t xml:space="preserve"> shall have the meanings set forth in the Purchase Agreement, dated as of June 12, 2025, by and between BioNTech SE (“</w:t>
      </w:r>
      <w:r>
        <w:rPr>
          <w:rFonts w:ascii="Times New Roman" w:hAnsi="Times New Roman"/>
          <w:sz w:val="20"/>
          <w:u w:val="single"/>
        </w:rPr>
        <w:t>Buyer</w:t>
      </w:r>
      <w:r>
        <w:rPr>
          <w:rFonts w:ascii="Times New Roman" w:hAnsi="Times New Roman"/>
          <w:sz w:val="20"/>
        </w:rPr>
        <w:t>”) and CureVac N.V. (the “</w:t>
      </w:r>
      <w:r>
        <w:rPr>
          <w:rFonts w:ascii="Times New Roman" w:hAnsi="Times New Roman"/>
          <w:sz w:val="20"/>
          <w:u w:val="single"/>
        </w:rPr>
        <w:t>Company</w:t>
      </w:r>
      <w:r>
        <w:rPr>
          <w:rFonts w:ascii="Times New Roman" w:hAnsi="Times New Roman"/>
          <w:sz w:val="20"/>
        </w:rPr>
        <w:t>”) (the “</w:t>
      </w:r>
      <w:r>
        <w:rPr>
          <w:rFonts w:ascii="Times New Roman" w:hAnsi="Times New Roman"/>
          <w:sz w:val="20"/>
          <w:u w:val="single"/>
        </w:rPr>
        <w:t>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9" w:name="anxb"/>
      <w:bookmarkStart w:id="90" w:name="toc847647_82"/>
      <w:bookmarkEnd w:id="89"/>
      <w:bookmarkEnd w:id="90"/>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TENDER AND SUPPORT AGREEMENT </w:t>
      </w:r>
    </w:p>
    <w:p>
      <w:pPr>
        <w:pStyle w:val="TextBody"/>
        <w:bidi w:val="0"/>
        <w:spacing w:before="240" w:after="0"/>
        <w:jc w:val="left"/>
        <w:rPr>
          <w:rFonts w:ascii="Times New Roman" w:hAnsi="Times New Roman"/>
          <w:sz w:val="20"/>
        </w:rPr>
      </w:pPr>
      <w:r>
        <w:rPr>
          <w:rFonts w:ascii="Times New Roman" w:hAnsi="Times New Roman"/>
          <w:sz w:val="20"/>
        </w:rPr>
        <w:t>This Tender and Support Agreement (this “</w:t>
      </w:r>
      <w:r>
        <w:rPr>
          <w:rFonts w:ascii="Times New Roman" w:hAnsi="Times New Roman"/>
          <w:sz w:val="20"/>
          <w:u w:val="single"/>
        </w:rPr>
        <w:t>Agreement</w:t>
      </w:r>
      <w:r>
        <w:rPr>
          <w:rFonts w:ascii="Times New Roman" w:hAnsi="Times New Roman"/>
          <w:sz w:val="20"/>
        </w:rPr>
        <w:t>”), dated as of June 12, 2025, is entered into by and between BioNTech SE, a European stock corporation (</w:t>
      </w:r>
      <w:r>
        <w:rPr>
          <w:rFonts w:ascii="Times New Roman" w:hAnsi="Times New Roman"/>
          <w:i/>
          <w:sz w:val="20"/>
        </w:rPr>
        <w:t>Societas</w:t>
      </w:r>
      <w:r>
        <w:rPr>
          <w:rFonts w:ascii="Times New Roman" w:hAnsi="Times New Roman"/>
          <w:sz w:val="20"/>
        </w:rPr>
        <w:t xml:space="preserve"> </w:t>
      </w:r>
      <w:r>
        <w:rPr>
          <w:rFonts w:ascii="Times New Roman" w:hAnsi="Times New Roman"/>
          <w:i/>
          <w:sz w:val="20"/>
        </w:rPr>
        <w:t>Europaea</w:t>
      </w:r>
      <w:r>
        <w:rPr>
          <w:rFonts w:ascii="Times New Roman" w:hAnsi="Times New Roman"/>
          <w:sz w:val="20"/>
        </w:rPr>
        <w:t>) organized under the Laws of Germany and the European Union registered with the commercial register at the district court of Mainz under HRB 48720 (“</w:t>
      </w:r>
      <w:r>
        <w:rPr>
          <w:rFonts w:ascii="Times New Roman" w:hAnsi="Times New Roman"/>
          <w:sz w:val="20"/>
          <w:u w:val="single"/>
        </w:rPr>
        <w:t>Buyer</w:t>
      </w:r>
      <w:r>
        <w:rPr>
          <w:rFonts w:ascii="Times New Roman" w:hAnsi="Times New Roman"/>
          <w:sz w:val="20"/>
        </w:rPr>
        <w:t>”), and the stockholder of CureVac N.V., a public limited liability company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organized under the Laws of The Netherlands, with its corporate seat in Amsterdam, the Netherlands, and registered with the trade register of the Dutch Chamber of Commerce under number 77798031 (the “</w:t>
      </w:r>
      <w:r>
        <w:rPr>
          <w:rFonts w:ascii="Times New Roman" w:hAnsi="Times New Roman"/>
          <w:sz w:val="20"/>
          <w:u w:val="single"/>
        </w:rPr>
        <w:t>Company</w:t>
      </w:r>
      <w:r>
        <w:rPr>
          <w:rFonts w:ascii="Times New Roman" w:hAnsi="Times New Roman"/>
          <w:sz w:val="20"/>
        </w:rPr>
        <w:t xml:space="preserve">”), listed on </w:t>
      </w:r>
      <w:r>
        <w:rPr>
          <w:rFonts w:ascii="Times New Roman" w:hAnsi="Times New Roman"/>
          <w:sz w:val="20"/>
          <w:u w:val="single"/>
        </w:rPr>
        <w:t>Exhibit A</w:t>
      </w:r>
      <w:r>
        <w:rPr>
          <w:rFonts w:ascii="Times New Roman" w:hAnsi="Times New Roman"/>
          <w:sz w:val="20"/>
        </w:rPr>
        <w:t xml:space="preserve"> hereto (the “</w:t>
      </w:r>
      <w:r>
        <w:rPr>
          <w:rFonts w:ascii="Times New Roman" w:hAnsi="Times New Roman"/>
          <w:sz w:val="20"/>
          <w:u w:val="single"/>
        </w:rPr>
        <w:t>Stockholder</w:t>
      </w:r>
      <w:r>
        <w:rPr>
          <w:rFonts w:ascii="Times New Roman" w:hAnsi="Times New Roman"/>
          <w:sz w:val="20"/>
        </w:rPr>
        <w:t xml:space="preserve">”). Capitalized terms used but not defined herein shall have the meanings given to them in the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and Buyer are entering into a Purchase Agreement (as may be amended from time to time, the “</w:t>
      </w:r>
      <w:r>
        <w:rPr>
          <w:rFonts w:ascii="Times New Roman" w:hAnsi="Times New Roman"/>
          <w:sz w:val="20"/>
          <w:u w:val="single"/>
        </w:rPr>
        <w:t>Purchase Agreement</w:t>
      </w:r>
      <w:r>
        <w:rPr>
          <w:rFonts w:ascii="Times New Roman" w:hAnsi="Times New Roman"/>
          <w:sz w:val="20"/>
        </w:rPr>
        <w:t>”), providing, among other things, for (a) Buyer to commence an exchange offer to acquire (subject to the Minimum Condition (as defined in the Purchase Agreement)) any and all of the outstanding ordinary shares, par value 0.12 per share, of the Company (collectively, the “</w:t>
      </w:r>
      <w:r>
        <w:rPr>
          <w:rFonts w:ascii="Times New Roman" w:hAnsi="Times New Roman"/>
          <w:sz w:val="20"/>
          <w:u w:val="single"/>
        </w:rPr>
        <w:t>Company Shares</w:t>
      </w:r>
      <w:r>
        <w:rPr>
          <w:rFonts w:ascii="Times New Roman" w:hAnsi="Times New Roman"/>
          <w:sz w:val="20"/>
        </w:rPr>
        <w:t>”) for the consideration and upon the terms and subject to the conditions set forth in the Purchase Agreement (as it may be extended, amended and supplemented from time to time as permitted by the Purchase Agreement, the “</w:t>
      </w:r>
      <w:r>
        <w:rPr>
          <w:rFonts w:ascii="Times New Roman" w:hAnsi="Times New Roman"/>
          <w:sz w:val="20"/>
          <w:u w:val="single"/>
        </w:rPr>
        <w:t>Offer</w:t>
      </w:r>
      <w:r>
        <w:rPr>
          <w:rFonts w:ascii="Times New Roman" w:hAnsi="Times New Roman"/>
          <w:sz w:val="20"/>
        </w:rPr>
        <w:t xml:space="preserve">”) and (b) following the consummation of the Offer, the Post-Offer Reorganization (as defined in the Purchase Agreement) of the Company; </w:t>
      </w:r>
    </w:p>
    <w:p>
      <w:pPr>
        <w:pStyle w:val="TextBody"/>
        <w:bidi w:val="0"/>
        <w:spacing w:before="240" w:after="0"/>
        <w:jc w:val="left"/>
        <w:rPr>
          <w:rFonts w:ascii="Times New Roman" w:hAnsi="Times New Roman"/>
          <w:sz w:val="20"/>
        </w:rPr>
      </w:pPr>
      <w:r>
        <w:rPr>
          <w:rFonts w:ascii="Times New Roman" w:hAnsi="Times New Roman"/>
          <w:sz w:val="20"/>
        </w:rPr>
        <w:t>WHEREAS, as of the date hereof, the Stockholder is the record owner or “beneficial owner” (within the meaning of Rule 13d-3 under the United States Securities Exchange Act of 1934 (as amended, the “</w:t>
      </w:r>
      <w:r>
        <w:rPr>
          <w:rFonts w:ascii="Times New Roman" w:hAnsi="Times New Roman"/>
          <w:sz w:val="20"/>
          <w:u w:val="single"/>
        </w:rPr>
        <w:t>1934 Act</w:t>
      </w:r>
      <w:r>
        <w:rPr>
          <w:rFonts w:ascii="Times New Roman" w:hAnsi="Times New Roman"/>
          <w:sz w:val="20"/>
        </w:rPr>
        <w:t xml:space="preserve">”)) of the number of Company Shares set forth opposite the Stockholder’s name on </w:t>
      </w:r>
      <w:r>
        <w:rPr>
          <w:rFonts w:ascii="Times New Roman" w:hAnsi="Times New Roman"/>
          <w:sz w:val="20"/>
          <w:u w:val="single"/>
        </w:rPr>
        <w:t>Exhibit A</w:t>
      </w:r>
      <w:r>
        <w:rPr>
          <w:rFonts w:ascii="Times New Roman" w:hAnsi="Times New Roman"/>
          <w:sz w:val="20"/>
        </w:rPr>
        <w:t xml:space="preserve"> hereto under the heading “Owned Shares,” being all of the Company Shares owned of record or beneficially by the Stockholder or any of its controlled Affiliates, or in relation to which any such Person is able to control the exercise of all rights, including voting rights, as of the date hereof (the “</w:t>
      </w:r>
      <w:r>
        <w:rPr>
          <w:rFonts w:ascii="Times New Roman" w:hAnsi="Times New Roman"/>
          <w:sz w:val="20"/>
          <w:u w:val="single"/>
        </w:rPr>
        <w:t>Owned Shares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Buyer to enter into the Purchase Agreement and in consideration therefor, Buyer has required that the Stockholder, and the Stockholder has agreed to, enter into and perform this Agreement and tender and vote the Stockholder’s Owned Shares and Additional Owned Shares (as defined below)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in this Agreement, and intending to be legally bound hereby, the Stockholder and Buyer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Tender the Company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On the terms and subject to the conditions of this Agreement, the Stockholder hereby irrevocably (subject to </w:t>
      </w:r>
      <w:r>
        <w:rPr>
          <w:rFonts w:ascii="Times New Roman" w:hAnsi="Times New Roman"/>
          <w:sz w:val="20"/>
          <w:u w:val="single"/>
        </w:rPr>
        <w:t>Section 3</w:t>
      </w:r>
      <w:r>
        <w:rPr>
          <w:rFonts w:ascii="Times New Roman" w:hAnsi="Times New Roman"/>
          <w:sz w:val="20"/>
        </w:rPr>
        <w:t>) agrees that he or she (a) shall tender the Stockholder’s Owned Shares and any additional Company Shares that are beneficially owned by the Stockholder or any of its controlled Affiliates, or for which any such Person is the record owner or in relation to which any such Person is able to control the exercise of all rights, including voting rights, which are acquired after the date hereof and prior to the Termination Date (including through the exercise of stock options, warrants or similar rights, including Company Equity Awards, or the vesting, conversion or exchange of securities, including Company Equity Awards, or the acquisition of the power to vote or direct the voting of such Company Shares) (the “</w:t>
      </w:r>
      <w:r>
        <w:rPr>
          <w:rFonts w:ascii="Times New Roman" w:hAnsi="Times New Roman"/>
          <w:sz w:val="20"/>
          <w:u w:val="single"/>
        </w:rPr>
        <w:t>Additional Owned Shares</w:t>
      </w:r>
      <w:r>
        <w:rPr>
          <w:rFonts w:ascii="Times New Roman" w:hAnsi="Times New Roman"/>
          <w:sz w:val="20"/>
        </w:rPr>
        <w:t>” and, together with the Owned Shares, the “</w:t>
      </w:r>
      <w:r>
        <w:rPr>
          <w:rFonts w:ascii="Times New Roman" w:hAnsi="Times New Roman"/>
          <w:sz w:val="20"/>
          <w:u w:val="single"/>
        </w:rPr>
        <w:t>Covered Shares</w:t>
      </w:r>
      <w:r>
        <w:rPr>
          <w:rFonts w:ascii="Times New Roman" w:hAnsi="Times New Roman"/>
          <w:sz w:val="20"/>
        </w:rPr>
        <w:t xml:space="preserve">”), or cause such Covered Shares to be tendered, into the Offer, free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clear of all Liens other than restrictions on Transfer (as defined below) or voting as created by this Agreement or under applicable securities Laws, promptly, and in any event no later than the latest of (but in any event prior to the Expiration Time): (i) ten (10) Business Days following the commencement of the Offer; (ii) within five (5) Business Days following receipt of the Offer Documents by the Stockholder; and (iii) in the case of Additional Owned Shares acquired following the commencement of the Offer, within three (3) Business Days following acquisition thereof; and (b) shall not tender any Covered Shares in connection with any Alternative Acquisition Proposal. The Stockholder shall not withdraw any Company Shares, or cause such Company Shares to be withdrawn, from the Offer unless and until this Agreement is terminated in accordance with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If (a) the Offer is terminated or withdrawn by Buyer, (b) the Purchase Agreement is terminated in accordance with Section 8.01 thereof prior to the acceptance for payment of the Covered Shares in the Offer or (c) this Agreement is terminated in accordance with </w:t>
      </w:r>
      <w:r>
        <w:rPr>
          <w:rFonts w:ascii="Times New Roman" w:hAnsi="Times New Roman"/>
          <w:sz w:val="20"/>
          <w:u w:val="single"/>
        </w:rPr>
        <w:t>Section 3</w:t>
      </w:r>
      <w:r>
        <w:rPr>
          <w:rFonts w:ascii="Times New Roman" w:hAnsi="Times New Roman"/>
          <w:sz w:val="20"/>
        </w:rPr>
        <w:t xml:space="preserve">, then in each case Buyer shall promptly return, and shall cause any depositary acting on behalf of Buyer to return to the Stockholder all the Covered Shares tendered by the Stockholder in the Offer. </w:t>
      </w:r>
    </w:p>
    <w:p>
      <w:pPr>
        <w:pStyle w:val="TextBody"/>
        <w:bidi w:val="0"/>
        <w:spacing w:before="240" w:after="0"/>
        <w:jc w:val="left"/>
        <w:rPr>
          <w:rFonts w:ascii="Times New Roman" w:hAnsi="Times New Roman"/>
          <w:sz w:val="20"/>
        </w:rPr>
      </w:pPr>
      <w:r>
        <w:rPr>
          <w:rFonts w:ascii="Times New Roman" w:hAnsi="Times New Roman"/>
          <w:sz w:val="20"/>
        </w:rPr>
        <w:t xml:space="preserve">1.3 Subject to the terms of this Agreement, Stockholder hereby irrevocably undertakes and agrees to confirm, upon Buyer’s reasonable written request, in relevant public statements and at the EGM and any Subsequent EGM (if any), that Stockholder will tender its Covered Shares into the Offer and will vote as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Vote the 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Agreement to Vote and Support</w:t>
      </w:r>
      <w:r>
        <w:rPr>
          <w:rFonts w:ascii="Times New Roman" w:hAnsi="Times New Roman"/>
          <w:sz w:val="20"/>
        </w:rPr>
        <w:t>. Beginning on the date hereof until the Termination Date, at every meeting of the stockholders of the Company (the “</w:t>
      </w:r>
      <w:r>
        <w:rPr>
          <w:rFonts w:ascii="Times New Roman" w:hAnsi="Times New Roman"/>
          <w:sz w:val="20"/>
          <w:u w:val="single"/>
        </w:rPr>
        <w:t>Company Stockholders</w:t>
      </w:r>
      <w:r>
        <w:rPr>
          <w:rFonts w:ascii="Times New Roman" w:hAnsi="Times New Roman"/>
          <w:sz w:val="20"/>
        </w:rPr>
        <w:t>”) (including the EGM and, if necessary, any Subsequent EGM), including any postponement or adjournment thereof, however called, or in any other circumstance in which the vote, consent or other approval of the Company Stockholders is sought (each, a “</w:t>
      </w:r>
      <w:r>
        <w:rPr>
          <w:rFonts w:ascii="Times New Roman" w:hAnsi="Times New Roman"/>
          <w:sz w:val="20"/>
          <w:u w:val="single"/>
        </w:rPr>
        <w:t>Company Stockholders Meeting</w:t>
      </w:r>
      <w:r>
        <w:rPr>
          <w:rFonts w:ascii="Times New Roman" w:hAnsi="Times New Roman"/>
          <w:sz w:val="20"/>
        </w:rPr>
        <w:t xml:space="preserve">”), the Stockholder agrees to, and if applicable, to cause its controlled Affiliates or the holder of record of any of its Covered Shares to, appear (in person or by proxy) at each Company Stockholders Meeting or otherwise cause all Covered Shares beneficially owned by it as of the record date to be counted as present thereat for purposes of calculating a quorum (if applicable), and unconditionally and irrevocably affirmatively vote (including via proxy) or execute consents with respect to (or cause to be voted (including via proxy) or consents to be executed with respect to), and not to withdraw any such vote or consent with respect to, all of the Stockholder’s Covered Shares, as follows (with the matters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below being referred to collectively as the “</w:t>
      </w:r>
      <w:r>
        <w:rPr>
          <w:rFonts w:ascii="Times New Roman" w:hAnsi="Times New Roman"/>
          <w:sz w:val="20"/>
          <w:u w:val="single"/>
        </w:rPr>
        <w:t>Supported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favor of the adoption of each resolution described in Section 2.04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favor of any other matter related to the Transactions that is (i) submitted by the Company for approval by the Company Stockholders at the EGM or any Subsequent EGM, and (ii) recommended by the Company Boards, prior to the Closing Date, for approval by the Company Stockholders, in each case, intended to facilitate the consummation of the Offer in accordance with the Purchase Agreement; </w:t>
      </w:r>
      <w:r>
        <w:rPr>
          <w:rFonts w:ascii="Times New Roman" w:hAnsi="Times New Roman"/>
          <w:sz w:val="20"/>
          <w:u w:val="single"/>
        </w:rPr>
        <w:t>provided</w:t>
      </w:r>
      <w:r>
        <w:rPr>
          <w:rFonts w:ascii="Times New Roman" w:hAnsi="Times New Roman"/>
          <w:sz w:val="20"/>
        </w:rPr>
        <w:t xml:space="preserve">, that, nothing in this Agreement shall be interpreted as creating an obligation of the Company to submit any matter requested by Buyer to be submitted for such Company Stockholder approval or to recommend that the Company Stockholders vote to approve any such matter; and </w:t>
      </w:r>
    </w:p>
    <w:p>
      <w:pPr>
        <w:pStyle w:val="TextBody"/>
        <w:bidi w:val="0"/>
        <w:spacing w:before="240" w:after="0"/>
        <w:jc w:val="left"/>
        <w:rPr>
          <w:rFonts w:ascii="Times New Roman" w:hAnsi="Times New Roman"/>
          <w:sz w:val="20"/>
        </w:rPr>
      </w:pPr>
      <w:r>
        <w:rPr>
          <w:rFonts w:ascii="Times New Roman" w:hAnsi="Times New Roman"/>
          <w:sz w:val="20"/>
        </w:rPr>
        <w:t xml:space="preserve">(c) against (i) any proposal, action or agreement that would reasonably be expected to (A) prevent or nullify any provision of this Agreement, (B) result in a breach of any covenant, representation or warranty or other obligation or agreement of the Stockholder contained in this Agreement or the Company contained in the Purchase Agreement, or (C) result in any of the Offer Conditions as set forth in the Purchase Agreement not being satisfied or not being fulfilled, (ii) any Alternative Acquisition Proposal, any proposal relating to an Alternative Acquisition Proposal, or any other proposal made in opposition to, in competition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inconsistent with, the Purchase Agreement, the Offer, the Post-Offer Reorganization or the other Transactions, (iii) any (A) Alternative Acquisition Agreement (or any transactions contemplated thereby), (B) merger, consolidation, business combination, share exchange, reorganization, recapitalization, dissolution, liquidation, winding up or similar extraordinary transaction involving the Company or its Subsidiaries (other than the Purchase Agreement, the Post-Offer Reorganization documentation, and the other Transactions), or (C) sale, lease, license or transfer involving any Company Product or a material amount of assets (including, for the avoidance of doubt, any Intellectual Property Rights or capital stock of any Subsidiary) of the Company or its Subsidiaries, taken as a whole, or agreement relating to the foregoing (other than the Purchase Agreement, the Post-Offer Reorganization and the other Transactions, or as contemplated by the Purchase Agreement), (iv) any change in or to (A) the Company Boards that is not recommended or approved by the Company Boards, (B) the present capitalization or corporate structure of the Company or (C) the Company Organizational Documents, in each case not consented to by Buyer under the Purchase Agreement unless expressly contemplated by the Purchase Agreement and (v) any other action, agreement or proposal which would reasonably be expected to prevent, impede or delay the consummation of the Offer, the Post-Offer Reorganization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Other Voting Commitments</w:t>
      </w:r>
      <w:r>
        <w:rPr>
          <w:rFonts w:ascii="Times New Roman" w:hAnsi="Times New Roman"/>
          <w:sz w:val="20"/>
        </w:rPr>
        <w:t xml:space="preserve">. The Stockholder shall not propose, commit, publicly affirmatively support, or agree to take any action inconsistent with the Supported Matters. For the avoidance of doubt, other than with respect to the Supported Matters or as otherwise set forth in this Agreement, the Stockholder shall not have any obligation to vote the Covered Shares in any particular manner.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w:t>
      </w:r>
      <w:r>
        <w:rPr>
          <w:rFonts w:ascii="Times New Roman" w:hAnsi="Times New Roman"/>
          <w:sz w:val="20"/>
        </w:rPr>
        <w:t>. This Agreement shall terminate automatically and without further action upon the earliest to occur of: (a) the mutual written agreement of Buyer and the Stockholder; (b) the valid termination of the Purchase Agreement in accordance with its terms; (c) any modification to the Purchase Agreement or the Offer that (i) is effected without the Stockholder’s prior written consent and (ii) decreases the Offer Consideration or changes the form of consideration payable to the Stockholder pursuant to the terms of the Purchase Agreement in a manner that is inconsistent with the Purchase Agreement; and (d) after the Closing Date (such earlier date, the “</w:t>
      </w:r>
      <w:r>
        <w:rPr>
          <w:rFonts w:ascii="Times New Roman" w:hAnsi="Times New Roman"/>
          <w:sz w:val="20"/>
          <w:u w:val="single"/>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provisions set forth in this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Sections 12</w:t>
      </w:r>
      <w:r>
        <w:rPr>
          <w:rFonts w:ascii="Times New Roman" w:hAnsi="Times New Roman"/>
          <w:sz w:val="20"/>
        </w:rPr>
        <w:t xml:space="preserve"> through </w:t>
      </w:r>
      <w:r>
        <w:rPr>
          <w:rFonts w:ascii="Times New Roman" w:hAnsi="Times New Roman"/>
          <w:sz w:val="20"/>
          <w:u w:val="single"/>
        </w:rPr>
        <w:t>21</w:t>
      </w:r>
      <w:r>
        <w:rPr>
          <w:rFonts w:ascii="Times New Roman" w:hAnsi="Times New Roman"/>
          <w:sz w:val="20"/>
        </w:rPr>
        <w:t xml:space="preserve"> shall survive the termination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termination of this Agreement shall not prevent any party hereto from seeking any remedies (at law or in equity) against any other party hereto for that party’s breach that may have occurred at or before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Certain Covenants of the 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Transfers</w:t>
      </w:r>
      <w:r>
        <w:rPr>
          <w:rFonts w:ascii="Times New Roman" w:hAnsi="Times New Roman"/>
          <w:sz w:val="20"/>
        </w:rPr>
        <w:t xml:space="preserve">. Beginning on the date hereof until the Termination Date, the Stockholder hereby covenants and agrees that (a) except as expressly contemplated by this Agreement, the Purchase Agreement or the Offer Documents, the Stockholder shall not, and shall direct his or her Affiliates and their respective Representatives not to, directly or indirectly, Transfer, offer or consent to Transfer, or enter into any Contract, option, understanding or other arrangement with respect to the Transfer of, any Covered Shares or beneficial ownership, voting power or any other interest thereof or therein (including by operation of Law) or commit, permit or agree to take any of the foregoing actions, and (b) the Stockholder shall not, and shall direct his or her Affiliates and their respective Representatives not to, directly or indirectly, take any action that would reasonably be expected to prevent, impede or delay the consummation of the Transactions or the transactions contemplated by this Agreement or cause any representation or warranty of the Stockholder in this Agreement to be untrue or incorrect. Without limiting the foregoing, the Stockholder agrees that he or she shall not, and shall cause each of the Stockholder’s Affiliates not to, become a member of a “group” (as defined under Section 13(d) of the 1934 Act) with respect to any securities of the Company for the purpose of opposing or competing with or taking any actions inconsistent with the Transactions. The Stockholder shall not and shall not permit any Person under the Stockholder’s control to, and shall direct and use its reasonable best efforts to cause the Stockholder’s and their respective Representatives not to, seek or solicit any of the actions referred to in the foregoing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and the Stockholder shall promptly notify Buyer, and shall provide all details requested by Buyer, if the Stockholder, any Person under the Stockholder’s control or any of the Stockholder’s or such Person’s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shall be approached or solicited, directly or indirectly, by any Person with respect to any of the foregoing. To the extent permissible under applicable Law, any Transfer in violation of this </w:t>
      </w:r>
      <w:r>
        <w:rPr>
          <w:rFonts w:ascii="Times New Roman" w:hAnsi="Times New Roman"/>
          <w:sz w:val="20"/>
          <w:u w:val="single"/>
        </w:rPr>
        <w:t>Section 4.1</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For purposes of this Agreement, “</w:t>
      </w:r>
      <w:r>
        <w:rPr>
          <w:rFonts w:ascii="Times New Roman" w:hAnsi="Times New Roman"/>
          <w:sz w:val="20"/>
          <w:u w:val="single"/>
        </w:rPr>
        <w:t>Transfer</w:t>
      </w:r>
      <w:r>
        <w:rPr>
          <w:rFonts w:ascii="Times New Roman" w:hAnsi="Times New Roman"/>
          <w:sz w:val="20"/>
        </w:rPr>
        <w:t xml:space="preserve">” means (i) any direct or indirect offer, sale, assignment, Lien, gift, hedge, hypothecation, disposition, loan or other transfer, or entry into any option or other Contract, arrangement or understanding with respect to any offer, sale, assignment, Lien,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consent, power of attorney, rights of first offer or refusal, or other authorization with respect to any Covered Shares, (iii)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option, arrangement or commitment (whether or not in writing) to take any of the actions referred to in the foregoing clauses </w:t>
      </w:r>
      <w:r>
        <w:rPr>
          <w:rFonts w:ascii="Times New Roman" w:hAnsi="Times New Roman"/>
          <w:sz w:val="20"/>
          <w:u w:val="single"/>
        </w:rPr>
        <w:t>(i)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In furtherance of this Agreement, the Stockholder hereby authorizes and instructs the Company (including through the Company’s transfer agent) to enter a stop transfer order with respect to all of the Covered Shares to prevent any Transfer thereof on the books of the Company in violation of this Agreement, and authorizes the Company to legend the certificates or book-entry records evidencing the Covered Shares to reflect that such Covered Shares are subject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Documentation and Information</w:t>
      </w:r>
      <w:r>
        <w:rPr>
          <w:rFonts w:ascii="Times New Roman" w:hAnsi="Times New Roman"/>
          <w:sz w:val="20"/>
        </w:rPr>
        <w:t xml:space="preserve">. Except as required by applicable Law, the Stockholder shall not, and shall direct the Stockholder’s Representatives not to, make any public announcement regarding this Agreement, the Purchase Agreement, the Offer or the Transactions without the prior written consent of Buyer. If any such public announcement is required by applicable Law, the Stockholder shall provide a draft of such announcement to Buyer and consider any reasonable comments of Buyer or its Representatives in good faith prior to such filing. The Stockholder consents to and hereby authorizes Buyer, the Company or their respective Affiliates to publish and disclose in all documents and schedules filed with the SEC or any other Governmental Authority, and any press release or other disclosure or document that Buyer reasonably determines to be necessary in connection with the Offer, the Post-Offer Reorganization and any of the other Transactions, the Stockholder’s identity and ownership of the Covered Shares, the existence of this Agreement and the nature of the Stockholder’s commitments and obligations under this Agreement, and the Stockholder acknowledges that Buyer or the Company may file this Agreement or a form hereof with the SEC or any other Governmental Authority. The Stockholder may make any filings with respect to this Agreement to the extent required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legally permissible, the Stockholder shall provide Buyer with a reasonable opportunity to review such filings prior to making any such filings and shall incorporate into such filings all such reasonable comments made by Buyer. The Stockholder shall promptly (a) give Buyer or the Company any information it may reasonably require for the preparation of any such disclosure documents, including in connection with the Offer Documents, and will otherwise reasonably assist and cooperate with Buyer and the Company in the preparation, filing and distribution of the Offer Documents and the resolution of any comments thereto received from the SEC, and (b) notify Buyer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or to correct any material omissions therefrom.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Solicitation</w:t>
      </w:r>
      <w:r>
        <w:rPr>
          <w:rFonts w:ascii="Times New Roman" w:hAnsi="Times New Roman"/>
          <w:sz w:val="20"/>
        </w:rPr>
        <w:t xml:space="preserve">. The Stockholder shall not take any action that the Company would be prohibited from taking under Section 5.03 of the Purchase Agreement as if such Section of the Purchase Agreement applied, </w:t>
      </w:r>
      <w:r>
        <w:rPr>
          <w:rFonts w:ascii="Times New Roman" w:hAnsi="Times New Roman"/>
          <w:i/>
          <w:sz w:val="20"/>
        </w:rPr>
        <w:t>mutatis mutandis</w:t>
      </w:r>
      <w:r>
        <w:rPr>
          <w:rFonts w:ascii="Times New Roman" w:hAnsi="Times New Roman"/>
          <w:sz w:val="20"/>
        </w:rPr>
        <w:t xml:space="preserve">, to the Stockholder. The Stockholder (solely in the Stockholder’s capacity as a shareholder of the Company) shall, and shall cause its controlled Affiliates and shall cause its and their respective Representatives to, immediately cease and cause to be terminated any and all existing discussions or negotiations with any Person conducted prior to the date of this Agreement with respect to any Alternative Acquisition Proposal. The Stockholder agrees to promptly inform its controlled Affiliates and its and their Representatives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undertaken in this </w:t>
      </w:r>
      <w:r>
        <w:rPr>
          <w:rFonts w:ascii="Times New Roman" w:hAnsi="Times New Roman"/>
          <w:sz w:val="20"/>
          <w:u w:val="single"/>
        </w:rPr>
        <w:t>Section 4.3</w:t>
      </w:r>
      <w:r>
        <w:rPr>
          <w:rFonts w:ascii="Times New Roman" w:hAnsi="Times New Roman"/>
          <w:sz w:val="20"/>
        </w:rPr>
        <w:t xml:space="preserve">. Nothing in this </w:t>
      </w:r>
      <w:r>
        <w:rPr>
          <w:rFonts w:ascii="Times New Roman" w:hAnsi="Times New Roman"/>
          <w:sz w:val="20"/>
          <w:u w:val="single"/>
        </w:rPr>
        <w:t>Section 4.3</w:t>
      </w:r>
      <w:r>
        <w:rPr>
          <w:rFonts w:ascii="Times New Roman" w:hAnsi="Times New Roman"/>
          <w:sz w:val="20"/>
        </w:rPr>
        <w:t xml:space="preserve"> shall prohibit the Stockholder and its Representatives from informing any Person of the existence of the provisions contained in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Buyer as follows (it being understood that, except where expressly stated to be given or made as of the date hereof only, the representations and warranties contained in this </w:t>
      </w:r>
      <w:r>
        <w:rPr>
          <w:rFonts w:ascii="Times New Roman" w:hAnsi="Times New Roman"/>
          <w:sz w:val="20"/>
          <w:u w:val="single"/>
        </w:rPr>
        <w:t>Section 5</w:t>
      </w:r>
      <w:r>
        <w:rPr>
          <w:rFonts w:ascii="Times New Roman" w:hAnsi="Times New Roman"/>
          <w:sz w:val="20"/>
        </w:rPr>
        <w:t xml:space="preserve"> shall be made as of the date hereof, as of the date of the EGM or any Subsequent EGM, and as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Due Authority</w:t>
      </w:r>
      <w:r>
        <w:rPr>
          <w:rFonts w:ascii="Times New Roman" w:hAnsi="Times New Roman"/>
          <w:sz w:val="20"/>
        </w:rPr>
        <w:t xml:space="preserve">. This Agreement has been duly executed and delivered by the Stockholder and, assuming the due execution and delivery of this Agreement by Buyer, constitutes a legal, valid and binding agreement of the Stockholder enforceable against the Stockholder in accordance with its terms, except as such enforceability may be subject to bankruptcy, insolvency, fraudulent transfer, reorganization, moratorium and other similar Laws of general applicability relating to or affecting creditors’ rights, and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 Conflict</w:t>
      </w:r>
      <w:r>
        <w:rPr>
          <w:rFonts w:ascii="Times New Roman" w:hAnsi="Times New Roman"/>
          <w:sz w:val="20"/>
        </w:rPr>
        <w:t xml:space="preserve">.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the Stockholder’s properties, rights or other assets are subject, (c) result in the creation of any Lien on any of the properties or assets (including intangible assets) of the Stockholder, (d) result in a violation or breach of, or constitute (with or without notice or lapse of time or both) a default (or give rise to any third party right of termination, cancellation, modification or acceleration) under, any of the terms, conditions or provisions of any note, bond, mortgage, indenture, lease, license, permit, contract, commitment, arrangement, understanding, agreement or other instrument or obligation of any kind, including any voting agreement, proxy arrangement, pledge agreement, stockholders agreement or voting trust, to which the Stockholder is a party or by which the Stockholder or any of the Stockholder’s properties or assets may be bound, or (e) violate any judgment, Order, writ, injunction, decree or award of any court, administrative agency or other Governmental Authority that is applicable to the Stockholder or any of the Stockholder’s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Consents</w:t>
      </w:r>
      <w:r>
        <w:rPr>
          <w:rFonts w:ascii="Times New Roman" w:hAnsi="Times New Roman"/>
          <w:sz w:val="20"/>
        </w:rPr>
        <w:t xml:space="preserve">. No consent, approval, Order or authorization of, or registration, declaration or filing with, any Governmental Authority or any other Person, is required by or with respect to the Stockholder in connection with the execution and delivery of this Agreement or the consummation by the Stockholder of the transactions contemplated hereby, except (a) as required by the rules and regulations promulgated under the 1933 Act, the 1934 Act, or state securities, takeover and “blue sky” Laws, and (b) the applicable rules and regulations of the SEC or any applicable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Ownership of the Owned Shares</w:t>
      </w:r>
      <w:r>
        <w:rPr>
          <w:rFonts w:ascii="Times New Roman" w:hAnsi="Times New Roman"/>
          <w:sz w:val="20"/>
        </w:rPr>
        <w:t xml:space="preserve">. The Stockholder is, as of the date hereof, the sole record or beneficial owner of (a) the Owned Shares set forth opposite the Stockholder’s name on </w:t>
      </w:r>
      <w:r>
        <w:rPr>
          <w:rFonts w:ascii="Times New Roman" w:hAnsi="Times New Roman"/>
          <w:sz w:val="20"/>
          <w:u w:val="single"/>
        </w:rPr>
        <w:t>Exhibit A</w:t>
      </w:r>
      <w:r>
        <w:rPr>
          <w:rFonts w:ascii="Times New Roman" w:hAnsi="Times New Roman"/>
          <w:sz w:val="20"/>
        </w:rPr>
        <w:t xml:space="preserve"> hereto and (b) the securities of the Company convertible into, exchangeable or exercisable for Company Shares or other securities of the Company, in each case set forth opposite the Stockholder’s name on </w:t>
      </w:r>
      <w:r>
        <w:rPr>
          <w:rFonts w:ascii="Times New Roman" w:hAnsi="Times New Roman"/>
          <w:sz w:val="20"/>
          <w:u w:val="single"/>
        </w:rPr>
        <w:t>Exhibit A</w:t>
      </w:r>
      <w:r>
        <w:rPr>
          <w:rFonts w:ascii="Times New Roman" w:hAnsi="Times New Roman"/>
          <w:sz w:val="20"/>
        </w:rPr>
        <w:t xml:space="preserve"> hereto (the “</w:t>
      </w:r>
      <w:r>
        <w:rPr>
          <w:rFonts w:ascii="Times New Roman" w:hAnsi="Times New Roman"/>
          <w:sz w:val="20"/>
          <w:u w:val="single"/>
        </w:rPr>
        <w:t>Disclosed Owned Securities</w:t>
      </w:r>
      <w:r>
        <w:rPr>
          <w:rFonts w:ascii="Times New Roman" w:hAnsi="Times New Roman"/>
          <w:sz w:val="20"/>
        </w:rPr>
        <w:t xml:space="preserve">”), all of which are fully paid up, free and clear of any Lien, other than those created by this Agreement or arising under applicable securities Laws. The Stockholder does not own, of record or beneficially, any shares of capital stock of the Company, or other rights to acquire, or that are exercisable for, or convertible or exchangeable into, shares of capital stock of the Company, in each case other than the Disclosed Owned Securities. The Stockholder (i) has the sole right to vote and Transfer the Owned Shares set forth opposite the Stockholder’s name on </w:t>
      </w:r>
      <w:r>
        <w:rPr>
          <w:rFonts w:ascii="Times New Roman" w:hAnsi="Times New Roman"/>
          <w:sz w:val="20"/>
          <w:u w:val="single"/>
        </w:rPr>
        <w:t>Exhibit A</w:t>
      </w:r>
      <w:r>
        <w:rPr>
          <w:rFonts w:ascii="Times New Roman" w:hAnsi="Times New Roman"/>
          <w:sz w:val="20"/>
        </w:rPr>
        <w:t xml:space="preserve"> hereto, and none of such Owned Shares is subject to any pledge, disposition, voting, transfer or other Contract, arrangement or restriction, including any proxy, consent or power of attorney, except as contemplated by this Agreement, and (ii) has sole power of disposition and sole power to issue instructions with respect to the matters set forth in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and all other matters set forth in this Agreement, in each case with respect to all of the Covered Shares with no limitations, qualifications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restrictions on such rights, subject to applicable securities Laws and the terms of this Agreement. Any proxies heretofore given in respect of any Owned Shares of the Stockholder, if any, are revocable. As of the date hereof, the Stockholder has not entered into any agreement (other than this Agreement) to Transfer any Owned Shares and no Person has a right to acquire any of such Owned Shares held by the Stockholder. Except as permitted by this Agreement, the Covered Shares are now, and at all times during the term hereof will be, held by Stockholder, or by a nominee or custodian for the benefit of Stockholder, free and clear of any Liens, subject to applicable securities Laws and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Absence of Litigation</w:t>
      </w:r>
      <w:r>
        <w:rPr>
          <w:rFonts w:ascii="Times New Roman" w:hAnsi="Times New Roman"/>
          <w:sz w:val="20"/>
        </w:rPr>
        <w:t xml:space="preserve">. As of the date hereof, there is no Action or Order pending or threatened in writing against, or, to the knowledge of the Stockholder, threatened orally against the Stockholder that would reasonably be expected to restrict, prohibit, impair or delay the consummation of the transactions contemplated herein or the performance by the Stockholder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advisor’s or other similar fee or commission or reimbursement of expenses in connection with this Agreement based upon arrangements made by or on behalf of the Stockholder in its capacity as a stockholder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Ownership of Buyer ADS</w:t>
      </w:r>
      <w:r>
        <w:rPr>
          <w:rFonts w:ascii="Times New Roman" w:hAnsi="Times New Roman"/>
          <w:sz w:val="20"/>
        </w:rPr>
        <w:t xml:space="preserve">. The Stockholder is, as of the date hereof, the record owner or “beneficial owner” (within the meaning of Rule 13d-3 under the 1934 Act) of (a) the number of Buyer ADS set forth opposite the Stockholder’s name on </w:t>
      </w:r>
      <w:r>
        <w:rPr>
          <w:rFonts w:ascii="Times New Roman" w:hAnsi="Times New Roman"/>
          <w:sz w:val="20"/>
          <w:u w:val="single"/>
        </w:rPr>
        <w:t>Exhibit B</w:t>
      </w:r>
      <w:r>
        <w:rPr>
          <w:rFonts w:ascii="Times New Roman" w:hAnsi="Times New Roman"/>
          <w:sz w:val="20"/>
        </w:rPr>
        <w:t xml:space="preserve"> hereto under the heading “Owned Buyer ADS”, being all of the Buyer ADS owned of record or beneficially by the Stockholder or any of its controlled Affiliates, or in relation to which any such Person is able to control the exercise of all rights, including voting rights, and (b) the securities of Buyer convertible into, exchangeable or exercisable for Buyer ADS or other securities of Buyer, in each case set forth opposite the Stockholder’s name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Buyer</w:t>
      </w:r>
      <w:r>
        <w:rPr>
          <w:rFonts w:ascii="Times New Roman" w:hAnsi="Times New Roman"/>
          <w:sz w:val="20"/>
        </w:rPr>
        <w:t xml:space="preserve">. Buyer hereby represents and warrants to the Stockholders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Due Authority</w:t>
      </w:r>
      <w:r>
        <w:rPr>
          <w:rFonts w:ascii="Times New Roman" w:hAnsi="Times New Roman"/>
          <w:sz w:val="20"/>
        </w:rPr>
        <w:t xml:space="preserve">. Buyer is an entity duly organized, validly existing and in good standing under the Laws of its jurisdiction of formation. Buyer has all requisite organizational power and authority and has taken all organizational action necessary (including approval by its board of directors or applicable organizational bodies) to execute, deliver and perform its obligations under this Agreement in accordance with the terms hereof and no other organizational action by Buyer or vote of holders of any class of the capital stock of Buyer is necessary to authorize the execution and delivery of, compliance with and performance by Buyer of, this Agreement. This Agreement has been duly executed and delivered by Buyer and, assuming the due execution and delivery of this Agreement by the Stockholder, constitutes a valid and binding agreement of Buyer enforceable against Buyer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No Conflict</w:t>
      </w:r>
      <w:r>
        <w:rPr>
          <w:rFonts w:ascii="Times New Roman" w:hAnsi="Times New Roman"/>
          <w:sz w:val="20"/>
        </w:rPr>
        <w:t xml:space="preserve">. The execution, delivery and performance by Buyer of this Agreement do not and will not, other than as provided in the Purchase Agreement with respect to the Offer, the Post-Offer Reorganization and the other Transactions, (a) conflict with or result in any violation or breach of any provision of the certificate of incorporation or bylaws or similar organizational documents of Buyer,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Buyer is entitled, under any Contract binding upon Buyer, or to which any of its properties, rights or other assets are subject or (d) result in the creation of any Lien (other than a Permitted Lien) on any of the properties or assets (including intangible assets) of Buyer, except in the case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any such violation, breach, conflict, default, termination, acceleration, cancellation or loss that would not reasonably be expected to restrict, prohibit or impair the performance by Buyer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Non-Survival of Representations, Warranties and Covenants</w:t>
      </w:r>
      <w:r>
        <w:rPr>
          <w:rFonts w:ascii="Times New Roman" w:hAnsi="Times New Roman"/>
          <w:sz w:val="20"/>
        </w:rPr>
        <w:t xml:space="preserve">. The representations, warranties and covenants contained herein shall not survive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 of Appraisal and Dissenter Rights and Certain Other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The Stockholder hereby irrevocably and unconditionally waives, to the fullest extent of the Law, and agrees to cause to be waived and not to assert (a) any appraisal rights, any dissenter’s rights, any rights of first refusal, any tag-along rights, any drag-along rights and any other rights under any existing shareholders agreement and applicable Law with respect to any of the Company Shares in connection with the Offer, the Post-Offer Reorganization, and the other Transactions, and (b) any rights to object to or challenge the consummation of the Offer, the Post-Offer Reorganization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8.2 The Stockholder hereby agrees (a) not to commence or affirmatively participate in or receive any economic or other benefit from any claim or other Action, whether derivative or otherwise, against Buyer, the Company or any of their respective Affiliates or successors, or their respective boards of directors (or similar governing bodies), relating to the negotiation, execution or delivery of this Agreement or the consummation of the Transactions or the transactions contemplated hereby or the consummation of the Offer, the Post-Offer Reorganization or the other Transactions, including any such claim or other Action (i) challenging the validity of, or seeking to enjoin the operation of, any provision of this Agreement or the Purchase Agreement, the Post-Offer Reorganization or the other Transactions, (ii) alleging a breach of any fiduciary duty of the Company Boards in connection with the Purchase Agreement the Post-Offer Reorganization or the other Transactions, or (iii) with respect to SEC disclosure or other disclosure to the Company Stockholders in connection with this Agreement, the Purchase Agreement, the Post-Offer Reorganization or the other Transactions or the transactions contemplated hereby, and (b) to take all actions necessary to opt out of any class in any class action relating to any of the foregoing; </w:t>
      </w:r>
      <w:r>
        <w:rPr>
          <w:rFonts w:ascii="Times New Roman" w:hAnsi="Times New Roman"/>
          <w:sz w:val="20"/>
          <w:u w:val="single"/>
        </w:rPr>
        <w:t>provided</w:t>
      </w:r>
      <w:r>
        <w:rPr>
          <w:rFonts w:ascii="Times New Roman" w:hAnsi="Times New Roman"/>
          <w:sz w:val="20"/>
        </w:rPr>
        <w:t xml:space="preserve">, that the foregoing shall not limit, restrict or prohibit the Stockholder from claiming or asserting any defenses or counterclaims in connection with any Action arising out of or in connection with the Purchase Agreement, the Post-Offer Reorganization, this Agreement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 Additional Owned Shares</w:t>
      </w:r>
      <w:r>
        <w:rPr>
          <w:rFonts w:ascii="Times New Roman" w:hAnsi="Times New Roman"/>
          <w:sz w:val="20"/>
        </w:rPr>
        <w:t xml:space="preserve">. In the event of a stock split, stock dividend or distribution, or any change in the Company Shares by reason of any split-up, reverse stock split, recapitalization, combination, reclassification, exchange of shares or the like, the terms “Company Shares,” “Covered Shares,” “Disclosed Owned Securities,” “Owned Shares,” “Additional Owned Shares” and similar terms shall be deemed to refer to and include such shares as well as all such stock dividends and distributions and any securities into which or for which any or all of such shares may be changed or exchanged or which are received in such transaction. In the event that the Stockholder acquires record or beneficial ownership of, or the power to vote or direct the voting of, any Additional Owned Shares, such Additional Owned Shares shall, without further action of the parties, be subject to the provisions of this Agreement, the representations and warranties of the Stockholder in </w:t>
      </w:r>
      <w:r>
        <w:rPr>
          <w:rFonts w:ascii="Times New Roman" w:hAnsi="Times New Roman"/>
          <w:sz w:val="20"/>
          <w:u w:val="single"/>
        </w:rPr>
        <w:t>Section 5</w:t>
      </w:r>
      <w:r>
        <w:rPr>
          <w:rFonts w:ascii="Times New Roman" w:hAnsi="Times New Roman"/>
          <w:sz w:val="20"/>
        </w:rPr>
        <w:t xml:space="preserve"> shall be true and correct as of the date that beneficial ownership of Additional Owned Shares is acquired, and the number of Owned Shares set forth on </w:t>
      </w:r>
      <w:r>
        <w:rPr>
          <w:rFonts w:ascii="Times New Roman" w:hAnsi="Times New Roman"/>
          <w:sz w:val="20"/>
          <w:u w:val="single"/>
        </w:rPr>
        <w:t>Exhibit A</w:t>
      </w:r>
      <w:r>
        <w:rPr>
          <w:rFonts w:ascii="Times New Roman" w:hAnsi="Times New Roman"/>
          <w:sz w:val="20"/>
        </w:rPr>
        <w:t xml:space="preserve"> opposite the name of the Stockholder will be deemed amended accordingly. The Stockholder shall promptly notify Buyer in writing of any such event and of the number of Additional Owned Shares acquired.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Reliance</w:t>
      </w:r>
      <w:r>
        <w:rPr>
          <w:rFonts w:ascii="Times New Roman" w:hAnsi="Times New Roman"/>
          <w:sz w:val="20"/>
        </w:rPr>
        <w:t xml:space="preserve">. The Stockholder understands and acknowledges that Buyer is entering into the Purchase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Further Assurances</w:t>
      </w:r>
      <w:r>
        <w:rPr>
          <w:rFonts w:ascii="Times New Roman" w:hAnsi="Times New Roman"/>
          <w:sz w:val="20"/>
        </w:rPr>
        <w:t xml:space="preserve">. The Stockholder shall, from time to time, promptly execute and deliver, or cause to be executed and delivered, such additional or further consents, documents and other instruments or take such other actions as Buyer may reasonably request to the extent necessary to effect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mailing if delivered by registered or certified mail, return receipt requested, postage prepaid, in each case to the parties at the following addresses (or at such other address for a party as shall be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Stockholder, to the address set forth on the Stockholder’s signature page hereto; </w:t>
      </w:r>
    </w:p>
    <w:p>
      <w:pPr>
        <w:pStyle w:val="TextBody"/>
        <w:bidi w:val="0"/>
        <w:spacing w:before="120" w:after="0"/>
        <w:jc w:val="left"/>
        <w:rPr>
          <w:rFonts w:ascii="Times New Roman" w:hAnsi="Times New Roman"/>
          <w:sz w:val="20"/>
        </w:rPr>
      </w:pPr>
      <w:r>
        <w:rPr>
          <w:rFonts w:ascii="Times New Roman" w:hAnsi="Times New Roman"/>
          <w:sz w:val="20"/>
        </w:rPr>
        <w:t xml:space="preserve">if to Buyer, to: </w:t>
      </w:r>
    </w:p>
    <w:p>
      <w:pPr>
        <w:pStyle w:val="TextBody"/>
        <w:bidi w:val="0"/>
        <w:spacing w:before="120" w:after="0"/>
        <w:jc w:val="left"/>
        <w:rPr>
          <w:rFonts w:ascii="Times New Roman" w:hAnsi="Times New Roman"/>
          <w:sz w:val="20"/>
        </w:rPr>
      </w:pPr>
      <w:r>
        <w:rPr>
          <w:rFonts w:ascii="Times New Roman" w:hAnsi="Times New Roman"/>
          <w:sz w:val="20"/>
        </w:rPr>
        <w:t xml:space="preserve">BioNTech SE </w:t>
      </w:r>
    </w:p>
    <w:p>
      <w:pPr>
        <w:pStyle w:val="TextBody"/>
        <w:bidi w:val="0"/>
        <w:spacing w:before="0" w:after="0"/>
        <w:jc w:val="left"/>
        <w:rPr>
          <w:rFonts w:ascii="Times New Roman" w:hAnsi="Times New Roman"/>
          <w:sz w:val="20"/>
        </w:rPr>
      </w:pPr>
      <w:r>
        <w:rPr>
          <w:rFonts w:ascii="Times New Roman" w:hAnsi="Times New Roman"/>
          <w:sz w:val="20"/>
        </w:rPr>
        <w:t xml:space="preserve">An der Goldgrube 12 </w:t>
      </w:r>
    </w:p>
    <w:p>
      <w:pPr>
        <w:pStyle w:val="TextBody"/>
        <w:bidi w:val="0"/>
        <w:spacing w:before="0" w:after="0"/>
        <w:jc w:val="left"/>
        <w:rPr>
          <w:rFonts w:ascii="Times New Roman" w:hAnsi="Times New Roman"/>
          <w:sz w:val="20"/>
        </w:rPr>
      </w:pPr>
      <w:r>
        <w:rPr>
          <w:rFonts w:ascii="Times New Roman" w:hAnsi="Times New Roman"/>
          <w:sz w:val="20"/>
        </w:rPr>
        <w:t xml:space="preserve">55131 Mainz </w:t>
      </w:r>
    </w:p>
    <w:p>
      <w:pPr>
        <w:pStyle w:val="TextBody"/>
        <w:bidi w:val="0"/>
        <w:spacing w:before="0" w:after="0"/>
        <w:jc w:val="left"/>
        <w:rPr>
          <w:rFonts w:ascii="Times New Roman" w:hAnsi="Times New Roman"/>
          <w:sz w:val="20"/>
        </w:rPr>
      </w:pPr>
      <w:r>
        <w:rPr>
          <w:rFonts w:ascii="Times New Roman" w:hAnsi="Times New Roman"/>
          <w:sz w:val="20"/>
        </w:rPr>
        <w:t xml:space="preserve">Germany </w:t>
      </w:r>
    </w:p>
    <w:p>
      <w:pPr>
        <w:pStyle w:val="TextBody"/>
        <w:bidi w:val="0"/>
        <w:spacing w:before="0" w:after="0"/>
        <w:jc w:val="left"/>
        <w:rPr>
          <w:rFonts w:ascii="Times New Roman" w:hAnsi="Times New Roman"/>
          <w:sz w:val="20"/>
        </w:rPr>
      </w:pPr>
      <w:r>
        <w:rPr>
          <w:rFonts w:ascii="Times New Roman" w:hAnsi="Times New Roman"/>
          <w:sz w:val="20"/>
        </w:rPr>
        <w:t xml:space="preserve">Attention:  James Ryan, Chief Legal Officer &amp; Chief Business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The New York Times Building </w:t>
      </w:r>
    </w:p>
    <w:p>
      <w:pPr>
        <w:pStyle w:val="TextBody"/>
        <w:bidi w:val="0"/>
        <w:spacing w:before="0" w:after="0"/>
        <w:jc w:val="left"/>
        <w:rPr>
          <w:rFonts w:ascii="Times New Roman" w:hAnsi="Times New Roman"/>
          <w:sz w:val="20"/>
        </w:rPr>
      </w:pPr>
      <w:r>
        <w:rPr>
          <w:rFonts w:ascii="Times New Roman" w:hAnsi="Times New Roman"/>
          <w:sz w:val="20"/>
        </w:rPr>
        <w:t xml:space="preserve">620 Eighth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10018 </w:t>
      </w:r>
    </w:p>
    <w:p>
      <w:pPr>
        <w:pStyle w:val="TextBody"/>
        <w:bidi w:val="0"/>
        <w:spacing w:before="0" w:after="0"/>
        <w:jc w:val="left"/>
        <w:rPr>
          <w:rFonts w:ascii="Times New Roman" w:hAnsi="Times New Roman"/>
          <w:sz w:val="20"/>
        </w:rPr>
      </w:pPr>
      <w:r>
        <w:rPr>
          <w:rFonts w:ascii="Times New Roman" w:hAnsi="Times New Roman"/>
          <w:sz w:val="20"/>
        </w:rPr>
        <w:t xml:space="preserve">Attention:  Paul Claydon; Jack S. Bodner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Hengeler Mueller Partnerschaft von Rechtsanwälten mbB </w:t>
      </w:r>
    </w:p>
    <w:p>
      <w:pPr>
        <w:pStyle w:val="TextBody"/>
        <w:bidi w:val="0"/>
        <w:spacing w:before="0" w:after="0"/>
        <w:jc w:val="left"/>
        <w:rPr>
          <w:rFonts w:ascii="Times New Roman" w:hAnsi="Times New Roman"/>
          <w:sz w:val="20"/>
        </w:rPr>
      </w:pPr>
      <w:r>
        <w:rPr>
          <w:rFonts w:ascii="Times New Roman" w:hAnsi="Times New Roman"/>
          <w:sz w:val="20"/>
        </w:rPr>
        <w:t xml:space="preserve">Bockenheimer Landstraße 24 </w:t>
      </w:r>
    </w:p>
    <w:p>
      <w:pPr>
        <w:pStyle w:val="TextBody"/>
        <w:bidi w:val="0"/>
        <w:spacing w:before="0" w:after="0"/>
        <w:jc w:val="left"/>
        <w:rPr>
          <w:rFonts w:ascii="Times New Roman" w:hAnsi="Times New Roman"/>
          <w:sz w:val="20"/>
        </w:rPr>
      </w:pPr>
      <w:r>
        <w:rPr>
          <w:rFonts w:ascii="Times New Roman" w:hAnsi="Times New Roman"/>
          <w:sz w:val="20"/>
        </w:rPr>
        <w:t xml:space="preserve">60323 Frankfurt am Main </w:t>
      </w:r>
    </w:p>
    <w:p>
      <w:pPr>
        <w:pStyle w:val="TextBody"/>
        <w:bidi w:val="0"/>
        <w:spacing w:before="0" w:after="0"/>
        <w:jc w:val="left"/>
        <w:rPr>
          <w:rFonts w:ascii="Times New Roman" w:hAnsi="Times New Roman"/>
          <w:sz w:val="20"/>
        </w:rPr>
      </w:pPr>
      <w:r>
        <w:rPr>
          <w:rFonts w:ascii="Times New Roman" w:hAnsi="Times New Roman"/>
          <w:sz w:val="20"/>
        </w:rPr>
        <w:t xml:space="preserve">Attention:  Lucina Berger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Loyens &amp; Loeff N.V. </w:t>
      </w:r>
    </w:p>
    <w:p>
      <w:pPr>
        <w:pStyle w:val="TextBody"/>
        <w:bidi w:val="0"/>
        <w:spacing w:before="0" w:after="0"/>
        <w:jc w:val="left"/>
        <w:rPr>
          <w:rFonts w:ascii="Times New Roman" w:hAnsi="Times New Roman"/>
          <w:sz w:val="20"/>
        </w:rPr>
      </w:pPr>
      <w:r>
        <w:rPr>
          <w:rFonts w:ascii="Times New Roman" w:hAnsi="Times New Roman"/>
          <w:sz w:val="20"/>
        </w:rPr>
        <w:t xml:space="preserve">Parnassusweg 300 </w:t>
      </w:r>
    </w:p>
    <w:p>
      <w:pPr>
        <w:pStyle w:val="TextBody"/>
        <w:bidi w:val="0"/>
        <w:spacing w:before="0" w:after="0"/>
        <w:jc w:val="left"/>
        <w:rPr>
          <w:rFonts w:ascii="Times New Roman" w:hAnsi="Times New Roman"/>
          <w:sz w:val="20"/>
        </w:rPr>
      </w:pPr>
      <w:r>
        <w:rPr>
          <w:rFonts w:ascii="Times New Roman" w:hAnsi="Times New Roman"/>
          <w:sz w:val="20"/>
        </w:rPr>
        <w:t xml:space="preserve">1081 LC Amsterdam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Attention:  Michel van Agt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Interpretation</w:t>
      </w:r>
      <w:r>
        <w:rPr>
          <w:rFonts w:ascii="Times New Roman" w:hAnsi="Times New Roman"/>
          <w:sz w:val="20"/>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hAnsi="Times New Roman"/>
          <w:sz w:val="20"/>
          <w:u w:val="single"/>
        </w:rPr>
        <w:t>Dollars</w:t>
      </w:r>
      <w:r>
        <w:rPr>
          <w:rFonts w:ascii="Times New Roman" w:hAnsi="Times New Roman"/>
          <w:sz w:val="20"/>
        </w:rPr>
        <w:t>” and “$” mean U.S. dollars and references to “” or “</w:t>
      </w:r>
      <w:r>
        <w:rPr>
          <w:rFonts w:ascii="Times New Roman" w:hAnsi="Times New Roman"/>
          <w:sz w:val="20"/>
          <w:u w:val="single"/>
        </w:rPr>
        <w:t>Euros</w:t>
      </w:r>
      <w:r>
        <w:rPr>
          <w:rFonts w:ascii="Times New Roman" w:hAnsi="Times New Roman"/>
          <w:sz w:val="20"/>
        </w:rPr>
        <w:t xml:space="preserve">” refer to European Union Euros; (d) references herein (whether capitalized or not) to a specific Section, Subsection, Recital, Schedule, Exhibit or Annex shall refer, respectively, to Sections, Subsections, Recitals, Schedules, Exhibits or Annexes of this Agreement; (e) wherever the word “include”, “includes” or “including” is used in this Agreement, it shall be deemed to be followed by the words “without limitation”; (f) whenever conversion of values from any Foreign Currency for a particular date or period shall be required, such conversion shall be made using Exchange Rate, on the applicable date or dates;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 Counterparts; Electronic Delivery</w:t>
      </w:r>
      <w:r>
        <w:rPr>
          <w:rFonts w:ascii="Times New Roman" w:hAnsi="Times New Roman"/>
          <w:sz w:val="20"/>
        </w:rPr>
        <w:t>. This Agreement, including the Exhibits hereto, and the other documents delivered in connection with this Agreement, constitutes the entire agreement, and supersedes all prior agreements and understandings, both written and oral, among the parties with respect to the transactions contemplated herein.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hAnsi="Times New Roman"/>
          <w:sz w:val="20"/>
          <w:u w:val="single"/>
        </w:rPr>
        <w:t>Electronic Delivery</w:t>
      </w:r>
      <w:r>
        <w:rPr>
          <w:rFonts w:ascii="Times New Roman" w:hAnsi="Times New Roman"/>
          <w:sz w:val="20"/>
        </w:rPr>
        <w:t xml:space="preserve">”),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Governing Law.</w:t>
      </w:r>
      <w:r>
        <w:rPr>
          <w:rFonts w:ascii="Times New Roman" w:hAnsi="Times New Roman"/>
          <w:sz w:val="20"/>
        </w:rPr>
        <w:t xml:space="preserve"> This Agreement, and any Action arising out of or relating to this Agreement or the transactions contemplated herein, shall be governed by, and construed in accordance with, the Laws of the State of Delaware, without regard to choice or conflict of Law principles thereof; </w:t>
      </w:r>
      <w:r>
        <w:rPr>
          <w:rFonts w:ascii="Times New Roman" w:hAnsi="Times New Roman"/>
          <w:sz w:val="20"/>
          <w:u w:val="single"/>
        </w:rPr>
        <w:t>provided</w:t>
      </w:r>
      <w:r>
        <w:rPr>
          <w:rFonts w:ascii="Times New Roman" w:hAnsi="Times New Roman"/>
          <w:sz w:val="20"/>
        </w:rPr>
        <w:t xml:space="preserve">, that, notwithstanding the foregoing, any matters concerning or implicating the Company Boards’ fiduciary duties shall be governed by and construed in accordance with the applicable fiduciary duty Laws of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Dispute Resolution</w:t>
      </w:r>
      <w:r>
        <w:rPr>
          <w:rFonts w:ascii="Times New Roman" w:hAnsi="Times New Roman"/>
          <w:sz w:val="20"/>
        </w:rPr>
        <w:t>. Any dispute, controversy, or claim arising out of or relating to this Agreement (and any subsequent amendments thereof), or the breach, termination, or validity thereof or the transactions contemplated herein (each a “</w:t>
      </w:r>
      <w:r>
        <w:rPr>
          <w:rFonts w:ascii="Times New Roman" w:hAnsi="Times New Roman"/>
          <w:sz w:val="20"/>
          <w:u w:val="single"/>
        </w:rPr>
        <w:t>Dispute</w:t>
      </w:r>
      <w:r>
        <w:rPr>
          <w:rFonts w:ascii="Times New Roman" w:hAnsi="Times New Roman"/>
          <w:sz w:val="20"/>
        </w:rPr>
        <w:t xml:space="preserve">”) shall be resolved in accordance with this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Consent to Jurisdiction.</w:t>
      </w:r>
      <w:r>
        <w:rPr>
          <w:rFonts w:ascii="Times New Roman" w:hAnsi="Times New Roman"/>
          <w:sz w:val="20"/>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hAnsi="Times New Roman"/>
          <w:sz w:val="20"/>
          <w:u w:val="single"/>
        </w:rPr>
        <w:t>Chosen Court</w:t>
      </w:r>
      <w:r>
        <w:rPr>
          <w:rFonts w:ascii="Times New Roman" w:hAnsi="Times New Roman"/>
          <w:sz w:val="20"/>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Section 16(b) below, it shall not bring any action relating to a Dispute in any court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Arbitration</w:t>
      </w:r>
      <w:r>
        <w:rPr>
          <w:rFonts w:ascii="Times New Roman" w:hAnsi="Times New Roman"/>
          <w:sz w:val="20"/>
        </w:rPr>
        <w:t xml:space="preserve">. In the event that a Chosen Court of first instance declines jurisdiction over an action brought in accordance with </w:t>
      </w:r>
      <w:r>
        <w:rPr>
          <w:rFonts w:ascii="Times New Roman" w:hAnsi="Times New Roman"/>
          <w:sz w:val="20"/>
          <w:u w:val="single"/>
        </w:rPr>
        <w:t>Section 16(a)</w:t>
      </w:r>
      <w:r>
        <w:rPr>
          <w:rFonts w:ascii="Times New Roman" w:hAnsi="Times New Roman"/>
          <w:sz w:val="20"/>
        </w:rPr>
        <w:t>, the associated Dispute shall be resolved by final and binding arbitration administered by the International Chamber of Commerce (the “</w:t>
      </w:r>
      <w:r>
        <w:rPr>
          <w:rFonts w:ascii="Times New Roman" w:hAnsi="Times New Roman"/>
          <w:sz w:val="20"/>
          <w:u w:val="single"/>
        </w:rPr>
        <w:t>ICC</w:t>
      </w:r>
      <w:r>
        <w:rPr>
          <w:rFonts w:ascii="Times New Roman" w:hAnsi="Times New Roman"/>
          <w:sz w:val="20"/>
        </w:rPr>
        <w:t>”) in accordance with its Rules of Arbitration in effect at the time (the “</w:t>
      </w:r>
      <w:r>
        <w:rPr>
          <w:rFonts w:ascii="Times New Roman" w:hAnsi="Times New Roman"/>
          <w:sz w:val="20"/>
          <w:u w:val="single"/>
        </w:rPr>
        <w:t>Rules</w:t>
      </w:r>
      <w:r>
        <w:rPr>
          <w:rFonts w:ascii="Times New Roman" w:hAnsi="Times New Roman"/>
          <w:sz w:val="20"/>
        </w:rPr>
        <w:t xml:space="preserve">”), except as modified herein. </w:t>
      </w:r>
    </w:p>
    <w:p>
      <w:pPr>
        <w:pStyle w:val="TextBody"/>
        <w:bidi w:val="0"/>
        <w:spacing w:before="120" w:after="0"/>
        <w:jc w:val="left"/>
        <w:rPr>
          <w:rFonts w:ascii="Times New Roman" w:hAnsi="Times New Roman"/>
          <w:sz w:val="20"/>
        </w:rPr>
      </w:pPr>
      <w:r>
        <w:rPr>
          <w:rFonts w:ascii="Times New Roman" w:hAnsi="Times New Roman"/>
          <w:sz w:val="20"/>
        </w:rPr>
        <w:t xml:space="preserve">(i) The seat of arbitration shall be Frankfurt, Germany and the arbitration shall be conducted in the English language. </w:t>
      </w:r>
    </w:p>
    <w:p>
      <w:pPr>
        <w:pStyle w:val="TextBody"/>
        <w:bidi w:val="0"/>
        <w:spacing w:before="120" w:after="0"/>
        <w:jc w:val="left"/>
        <w:rPr>
          <w:rFonts w:ascii="Times New Roman" w:hAnsi="Times New Roman"/>
          <w:sz w:val="20"/>
        </w:rPr>
      </w:pPr>
      <w:r>
        <w:rPr>
          <w:rFonts w:ascii="Times New Roman" w:hAnsi="Times New Roman"/>
          <w:sz w:val="20"/>
        </w:rPr>
        <w:t>(ii) 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hAnsi="Times New Roman"/>
          <w:sz w:val="20"/>
          <w:u w:val="single"/>
        </w:rPr>
        <w:t>Presiding Arbitrator</w:t>
      </w:r>
      <w:r>
        <w:rPr>
          <w:rFonts w:ascii="Times New Roman" w:hAnsi="Times New Roman"/>
          <w:sz w:val="20"/>
        </w:rPr>
        <w:t>”) within thirty (30) days of the confirmation by the ICC Court of Arbitration (“</w:t>
      </w:r>
      <w:r>
        <w:rPr>
          <w:rFonts w:ascii="Times New Roman" w:hAnsi="Times New Roman"/>
          <w:sz w:val="20"/>
          <w:u w:val="single"/>
        </w:rPr>
        <w:t>ICC Court</w:t>
      </w:r>
      <w:r>
        <w:rPr>
          <w:rFonts w:ascii="Times New Roman" w:hAnsi="Times New Roman"/>
          <w:sz w:val="20"/>
        </w:rPr>
        <w:t xml:space="preserve">”)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 </w:t>
      </w:r>
    </w:p>
    <w:p>
      <w:pPr>
        <w:pStyle w:val="TextBody"/>
        <w:bidi w:val="0"/>
        <w:spacing w:before="120" w:after="0"/>
        <w:jc w:val="left"/>
        <w:rPr>
          <w:rFonts w:ascii="Times New Roman" w:hAnsi="Times New Roman"/>
          <w:sz w:val="20"/>
        </w:rPr>
      </w:pPr>
      <w:r>
        <w:rPr>
          <w:rFonts w:ascii="Times New Roman" w:hAnsi="Times New Roman"/>
          <w:sz w:val="20"/>
        </w:rPr>
        <w:t xml:space="preserve">(iii) By agreeing to arbitration, the parties do not intend to deprive any court of its jurisdiction to issue an injunction, attachment or other order in aid of arbitration proceedings. Without prejudice to such 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consent and submit to the non-exclusive jurisdiction of the Chosen Court for the enforcement of any arbitral award rendered hereunder and to compel arbitration or for interim or provisional remedies in aid of arbitration. In any such action: (i) each party irrevocably waives, to the fullest extent it may effectively do so, any objection, including any objection to the laying of venue or based on the grounds of </w:t>
      </w:r>
      <w:r>
        <w:rPr>
          <w:rFonts w:ascii="Times New Roman" w:hAnsi="Times New Roman"/>
          <w:i/>
          <w:sz w:val="20"/>
        </w:rPr>
        <w:t>forum non conveniens</w:t>
      </w:r>
      <w:r>
        <w:rPr>
          <w:rFonts w:ascii="Times New Roman" w:hAnsi="Times New Roman"/>
          <w:sz w:val="20"/>
        </w:rPr>
        <w:t xml:space="preserve"> or any right of objection to jurisdiction on account of its place of incorporation or domicile, which it may now or hereafter have to the bringing of any such action or proceeding in any Chosen Court; and (ii) each of the parties irrevocably consents to service of process sent by a national courier service (with written confirmation of receipt) to its address identified in Section 13 of this Agreement or in any other manner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 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 without proof of damages or otherwise, this being in addition to any other remedy to which they are entitled under this Agreement and (b) the right of specific performance is an integral part of the transactions contemplated herein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hAnsi="Times New Roman"/>
          <w:sz w:val="20"/>
          <w:u w:val="single"/>
        </w:rPr>
        <w:t>Section 16(c)</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jury trial.</w:t>
      </w:r>
      <w:r>
        <w:rPr>
          <w:rFonts w:ascii="Times New Roman" w:hAnsi="Times New Roman"/>
          <w:sz w:val="20"/>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hAnsi="Times New Roman"/>
          <w:sz w:val="20"/>
          <w:u w:val="single"/>
        </w:rPr>
        <w:t>Section 17(d)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hereto and their respective successors and permitted assigns; provided, however, that neither this Agreement nor any of the rights hereunder may be assigned by a party hereto without the express written consent of the other parties, and any attempted assignment of this Agreement or any of such rights without such consent shall be null and void, except that (a) Buyer may transfer or assign its rights and obligations under this Agreement to any Affiliate of Buyer without the written consent of the Stockholder, and (b) after the Acceptance Time, Buyer may transfer or assign its rights and obligations under this Agreement to any Person, provided that in each case Buyer shall remain jointly and severally liable with such assignee for any and all obligations of Buyer under this Agreement and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 Third Party Beneficiaries.</w:t>
      </w:r>
      <w:r>
        <w:rPr>
          <w:rFonts w:ascii="Times New Roman" w:hAnsi="Times New Roman"/>
          <w:sz w:val="20"/>
        </w:rPr>
        <w:t xml:space="preserve"> This Agreement is not intended to, and shall not, confer upon any Person other than the parties any rights or remedies.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Rules of Construction</w:t>
      </w:r>
      <w:r>
        <w:rPr>
          <w:rFonts w:ascii="Times New Roman" w:hAnsi="Times New Roman"/>
          <w:sz w:val="20"/>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No Ownership Interest</w:t>
      </w:r>
      <w:r>
        <w:rPr>
          <w:rFonts w:ascii="Times New Roman" w:hAnsi="Times New Roman"/>
          <w:sz w:val="20"/>
        </w:rPr>
        <w:t xml:space="preserve">. Stockholder has agreed to enter into this Agreement and act in the manner specified in this Agreement for consideration. Except as expressly set forth in this Agreement, nothing contained in this Agreement shall be deemed, upon execution, to vest in Buyer any direct or indirect ownership or incidence of ownership of or with respect to any Covered Shares. All rights, ownership and economic benefits of and relating to the Covered Shares shall remain vested in and belong to Stockholder, and Buyer shall not have any authority to manage, direct, superintend, restrict, regulate, govern or administer any of the policies or operations of the Company or exercise any power or authority to direct Stockholder in the voting of any of the Covered Shares, except as otherwise provided in this Agreement. Nothing in this Agreement shall be interpreted as creating or forming a “group” with any other Person, including Buyer, for purposes of Rule 13d-5(b)(1) of the 1934 Act or any other similar provision of applicable Law or of conferring upon Buyer beneficial ownership of any Covered Shares at any time prior to the Acceptance Time.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herein is not affected in any material way. Upon such a determination, the parties shall negotiate in good faith to modify this Agreement so as to effect the original intent of the parties as closely as possible in an acceptable manner in order that the transactions contemplated herein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Amendment; Waiver</w:t>
      </w:r>
      <w:r>
        <w:rPr>
          <w:rFonts w:ascii="Times New Roman" w:hAnsi="Times New Roman"/>
          <w:sz w:val="20"/>
        </w:rPr>
        <w:t xml:space="preserve">.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No provision of this Agreement may be waived or extended except by a written instrument signed by the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Spousal Consent</w:t>
      </w:r>
      <w:r>
        <w:rPr>
          <w:rFonts w:ascii="Times New Roman" w:hAnsi="Times New Roman"/>
          <w:sz w:val="20"/>
        </w:rPr>
        <w:t xml:space="preserve">. If the Stockholder is married and any of the Covered Shares may constitute community property or otherwise need spousal or other approval for this Agreement to be legal, valid and binding, the Stockholder shall deliver to Buyer, concurrently herewith, a duly executed consent of the Stockholder’s spouse,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the Company from acting in such capacity or fulfilling the obligations of such office, including by voting, in his or her capacity as a director of the Company, in the Stockholder’s, or its designee’s, sole discretion on any matter (it being understood that this Agreement shall apply to the Stockholder solely in the Stockholder’s capacity as a stockholder of the Company). In this regard, the Stockholder shall not be deemed to make any agreement or understanding in this Agreement in the Stockholder’s capacity as a director or officer of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on the date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65"/>
        <w:gridCol w:w="177"/>
        <w:gridCol w:w="2940"/>
      </w:tblGrid>
      <w:tr>
        <w:trPr/>
        <w:tc>
          <w:tcPr>
            <w:tcW w:w="9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BUYER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BIONTECH SE</w:t>
            </w:r>
          </w:p>
        </w:tc>
      </w:tr>
      <w:tr>
        <w:trPr>
          <w:trHeight w:val="240" w:hRule="atLeast"/>
        </w:trPr>
        <w:tc>
          <w:tcPr>
            <w:tcW w:w="965" w:type="dxa"/>
            <w:tcBorders/>
            <w:vAlign w:val="center"/>
          </w:tcPr>
          <w:p>
            <w:pPr>
              <w:pStyle w:val="TableContents"/>
              <w:bidi w:val="0"/>
              <w:spacing w:before="0" w:after="283"/>
              <w:jc w:val="left"/>
              <w:rPr>
                <w:sz w:val="4"/>
                <w:szCs w:val="4"/>
              </w:rPr>
            </w:pPr>
            <w:r>
              <w:rPr>
                <w:sz w:val="4"/>
                <w:szCs w:val="4"/>
              </w:rPr>
            </w:r>
          </w:p>
        </w:tc>
        <w:tc>
          <w:tcPr>
            <w:tcW w:w="3117"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pPr>
            <w:r>
              <w:rPr/>
              <w:t>By:</w:t>
            </w:r>
          </w:p>
        </w:tc>
        <w:tc>
          <w:tcPr>
            <w:tcW w:w="177" w:type="dxa"/>
            <w:tcBorders>
              <w:bottom w:val="single" w:sz="2" w:space="0" w:color="000000"/>
            </w:tcBorders>
            <w:tcMar>
              <w:bottom w:w="28" w:type="dxa"/>
            </w:tcMar>
            <w:vAlign w:val="bottom"/>
          </w:tcPr>
          <w:p>
            <w:pPr>
              <w:pStyle w:val="TableContents"/>
              <w:bidi w:val="0"/>
              <w:spacing w:before="0" w:after="283"/>
              <w:jc w:val="left"/>
              <w:rPr/>
            </w:pPr>
            <w:r>
              <w:rPr/>
              <w:t> </w:t>
            </w:r>
          </w:p>
        </w:tc>
        <w:tc>
          <w:tcPr>
            <w:tcW w:w="294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sz w:val="20"/>
              </w:rPr>
            </w:pPr>
            <w:r>
              <w:rPr>
                <w:sz w:val="20"/>
              </w:rPr>
              <w:t>Name:</w:t>
            </w:r>
          </w:p>
        </w:tc>
      </w:tr>
      <w:tr>
        <w:trPr/>
        <w:tc>
          <w:tcPr>
            <w:tcW w:w="4082" w:type="dxa"/>
            <w:gridSpan w:val="3"/>
            <w:tcBorders/>
          </w:tcPr>
          <w:p>
            <w:pPr>
              <w:pStyle w:val="TableContents"/>
              <w:bidi w:val="0"/>
              <w:spacing w:before="0" w:after="283"/>
              <w:jc w:val="left"/>
              <w:rPr>
                <w:sz w:val="20"/>
              </w:rPr>
            </w:pPr>
            <w:r>
              <w:rPr>
                <w:sz w:val="20"/>
              </w:rPr>
              <w:t>Title:</w:t>
            </w:r>
          </w:p>
        </w:tc>
      </w:tr>
      <w:tr>
        <w:trPr>
          <w:trHeight w:val="240" w:hRule="atLeast"/>
        </w:trPr>
        <w:tc>
          <w:tcPr>
            <w:tcW w:w="965" w:type="dxa"/>
            <w:tcBorders/>
            <w:vAlign w:val="center"/>
          </w:tcPr>
          <w:p>
            <w:pPr>
              <w:pStyle w:val="TableContents"/>
              <w:bidi w:val="0"/>
              <w:spacing w:before="0" w:after="283"/>
              <w:jc w:val="left"/>
              <w:rPr>
                <w:sz w:val="4"/>
                <w:szCs w:val="4"/>
              </w:rPr>
            </w:pPr>
            <w:r>
              <w:rPr>
                <w:sz w:val="4"/>
                <w:szCs w:val="4"/>
              </w:rPr>
            </w:r>
          </w:p>
        </w:tc>
        <w:tc>
          <w:tcPr>
            <w:tcW w:w="3117"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pPr>
            <w:r>
              <w:rPr/>
              <w:t>By:</w:t>
            </w:r>
          </w:p>
        </w:tc>
        <w:tc>
          <w:tcPr>
            <w:tcW w:w="177" w:type="dxa"/>
            <w:tcBorders>
              <w:bottom w:val="single" w:sz="2" w:space="0" w:color="000000"/>
            </w:tcBorders>
            <w:tcMar>
              <w:bottom w:w="28" w:type="dxa"/>
            </w:tcMar>
            <w:vAlign w:val="bottom"/>
          </w:tcPr>
          <w:p>
            <w:pPr>
              <w:pStyle w:val="TableContents"/>
              <w:bidi w:val="0"/>
              <w:spacing w:before="0" w:after="283"/>
              <w:jc w:val="left"/>
              <w:rPr/>
            </w:pPr>
            <w:r>
              <w:rPr/>
              <w:t> </w:t>
            </w:r>
          </w:p>
        </w:tc>
        <w:tc>
          <w:tcPr>
            <w:tcW w:w="294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sz w:val="20"/>
              </w:rPr>
            </w:pPr>
            <w:r>
              <w:rPr>
                <w:sz w:val="20"/>
              </w:rPr>
              <w:t>Name:</w:t>
            </w:r>
          </w:p>
        </w:tc>
      </w:tr>
      <w:tr>
        <w:trPr/>
        <w:tc>
          <w:tcPr>
            <w:tcW w:w="4082" w:type="dxa"/>
            <w:gridSpan w:val="3"/>
            <w:tcBorders/>
          </w:tcPr>
          <w:p>
            <w:pPr>
              <w:pStyle w:val="TableContents"/>
              <w:bidi w:val="0"/>
              <w:spacing w:before="0" w:after="283"/>
              <w:jc w:val="left"/>
              <w:rPr>
                <w:sz w:val="20"/>
              </w:rPr>
            </w:pPr>
            <w:r>
              <w:rPr>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on the date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91"/>
        <w:gridCol w:w="110"/>
        <w:gridCol w:w="2181"/>
      </w:tblGrid>
      <w:tr>
        <w:trPr/>
        <w:tc>
          <w:tcPr>
            <w:tcW w:w="179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[Stockholder]</w:t>
            </w:r>
          </w:p>
        </w:tc>
      </w:tr>
      <w:tr>
        <w:trPr>
          <w:trHeight w:val="240" w:hRule="atLeast"/>
        </w:trPr>
        <w:tc>
          <w:tcPr>
            <w:tcW w:w="1791"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1791" w:type="dxa"/>
            <w:tcBorders/>
          </w:tcPr>
          <w:p>
            <w:pPr>
              <w:pStyle w:val="TableContents"/>
              <w:bidi w:val="0"/>
              <w:spacing w:before="0" w:after="283"/>
              <w:jc w:val="left"/>
              <w:rPr/>
            </w:pPr>
            <w:r>
              <w:rPr/>
              <w:t>Signature:</w:t>
            </w:r>
          </w:p>
        </w:tc>
        <w:tc>
          <w:tcPr>
            <w:tcW w:w="110" w:type="dxa"/>
            <w:tcBorders/>
            <w:vAlign w:val="bottom"/>
          </w:tcPr>
          <w:p>
            <w:pPr>
              <w:pStyle w:val="TableContents"/>
              <w:bidi w:val="0"/>
              <w:spacing w:before="0" w:after="283"/>
              <w:jc w:val="left"/>
              <w:rPr/>
            </w:pPr>
            <w:r>
              <w:rPr/>
              <w:t> </w:t>
            </w:r>
          </w:p>
        </w:tc>
        <w:tc>
          <w:tcPr>
            <w:tcW w:w="2181"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908"/>
        <w:gridCol w:w="60"/>
        <w:gridCol w:w="3114"/>
      </w:tblGrid>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Address: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exchange agent for the offer is: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Trust Company, N.A.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i/>
                <w:sz w:val="20"/>
              </w:rPr>
            </w:pPr>
            <w:r>
              <w:rPr>
                <w:rFonts w:ascii="Times New Roman" w:hAnsi="Times New Roman"/>
                <w:b/>
                <w:i/>
                <w:sz w:val="20"/>
              </w:rPr>
              <w:t>If delivering by trackable mail, including overnight delivery or any other expedited service:</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Computershare Trust Company, N.A.</w:t>
            </w:r>
          </w:p>
          <w:p>
            <w:pPr>
              <w:pStyle w:val="TableContents"/>
              <w:bidi w:val="0"/>
              <w:spacing w:before="0" w:after="0"/>
              <w:jc w:val="center"/>
              <w:rPr>
                <w:rFonts w:ascii="Times New Roman" w:hAnsi="Times New Roman"/>
                <w:sz w:val="20"/>
              </w:rPr>
            </w:pPr>
            <w:r>
              <w:rPr>
                <w:rFonts w:ascii="Times New Roman" w:hAnsi="Times New Roman"/>
                <w:sz w:val="20"/>
              </w:rPr>
              <w:t>c/o Voluntary Corporate Actions; COY: BNSB</w:t>
            </w:r>
          </w:p>
          <w:p>
            <w:pPr>
              <w:pStyle w:val="TableContents"/>
              <w:bidi w:val="0"/>
              <w:spacing w:before="0" w:after="0"/>
              <w:jc w:val="center"/>
              <w:rPr>
                <w:rFonts w:ascii="Times New Roman" w:hAnsi="Times New Roman"/>
                <w:sz w:val="20"/>
              </w:rPr>
            </w:pPr>
            <w:r>
              <w:rPr>
                <w:rFonts w:ascii="Times New Roman" w:hAnsi="Times New Roman"/>
                <w:sz w:val="20"/>
              </w:rPr>
              <w:t>150 Royall Street, Suite V</w:t>
            </w:r>
          </w:p>
          <w:p>
            <w:pPr>
              <w:pStyle w:val="TableContents"/>
              <w:bidi w:val="0"/>
              <w:spacing w:before="0" w:after="20"/>
              <w:jc w:val="center"/>
              <w:rPr>
                <w:rFonts w:ascii="Times New Roman" w:hAnsi="Times New Roman"/>
                <w:sz w:val="20"/>
              </w:rPr>
            </w:pPr>
            <w:r>
              <w:rPr>
                <w:rFonts w:ascii="Times New Roman" w:hAnsi="Times New Roman"/>
                <w:sz w:val="20"/>
              </w:rPr>
              <w:t>Canton, MA 02021</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i/>
                <w:sz w:val="20"/>
              </w:rPr>
            </w:pPr>
            <w:r>
              <w:rPr>
                <w:rFonts w:ascii="Times New Roman" w:hAnsi="Times New Roman"/>
                <w:b/>
                <w:i/>
                <w:sz w:val="20"/>
              </w:rPr>
              <w:t>If delivering by First Class Mail:</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Computershare Trust Company N.A.</w:t>
            </w:r>
          </w:p>
          <w:p>
            <w:pPr>
              <w:pStyle w:val="TableContents"/>
              <w:bidi w:val="0"/>
              <w:spacing w:before="0" w:after="0"/>
              <w:jc w:val="center"/>
              <w:rPr>
                <w:rFonts w:ascii="Times New Roman" w:hAnsi="Times New Roman"/>
                <w:sz w:val="20"/>
              </w:rPr>
            </w:pPr>
            <w:r>
              <w:rPr>
                <w:rFonts w:ascii="Times New Roman" w:hAnsi="Times New Roman"/>
                <w:sz w:val="20"/>
              </w:rPr>
              <w:t>c/o Voluntary Corporate Actions: COY BNSB</w:t>
            </w:r>
          </w:p>
          <w:p>
            <w:pPr>
              <w:pStyle w:val="TableContents"/>
              <w:bidi w:val="0"/>
              <w:spacing w:before="0" w:after="0"/>
              <w:jc w:val="center"/>
              <w:rPr>
                <w:rFonts w:ascii="Times New Roman" w:hAnsi="Times New Roman"/>
                <w:sz w:val="20"/>
              </w:rPr>
            </w:pPr>
            <w:r>
              <w:rPr>
                <w:rFonts w:ascii="Times New Roman" w:hAnsi="Times New Roman"/>
                <w:sz w:val="20"/>
              </w:rPr>
              <w:t>P.O. Box 43011</w:t>
            </w:r>
          </w:p>
          <w:p>
            <w:pPr>
              <w:pStyle w:val="TableContents"/>
              <w:bidi w:val="0"/>
              <w:spacing w:before="0" w:after="20"/>
              <w:jc w:val="center"/>
              <w:rPr>
                <w:rFonts w:ascii="Times New Roman" w:hAnsi="Times New Roman"/>
                <w:sz w:val="20"/>
              </w:rPr>
            </w:pPr>
            <w:r>
              <w:rPr>
                <w:rFonts w:ascii="Times New Roman" w:hAnsi="Times New Roman"/>
                <w:sz w:val="20"/>
              </w:rPr>
              <w:t>Providence, RI 02940</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questions or requests for assistance or additional copies of this offer and related offer materials may be directed to the information agent at its telephone numbers and locations listed below. Stockholders may also contact their local broker, commercial bank, trust company, or nominee for assistance concerning the offer. </w:t>
      </w:r>
    </w:p>
    <w:p>
      <w:pPr>
        <w:pStyle w:val="TextBody"/>
        <w:bidi w:val="0"/>
        <w:spacing w:before="240" w:after="0"/>
        <w:jc w:val="center"/>
        <w:rPr>
          <w:rFonts w:ascii="Times New Roman" w:hAnsi="Times New Roman"/>
          <w:sz w:val="20"/>
        </w:rPr>
      </w:pPr>
      <w:r>
        <w:rPr>
          <w:rFonts w:ascii="Times New Roman" w:hAnsi="Times New Roman"/>
          <w:sz w:val="20"/>
        </w:rPr>
        <w:t xml:space="preserve">The information agent for the offer is: </w:t>
      </w:r>
    </w:p>
    <w:p>
      <w:pPr>
        <w:pStyle w:val="TextBody"/>
        <w:bidi w:val="0"/>
        <w:spacing w:before="24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240" w:after="0"/>
        <w:jc w:val="center"/>
        <w:rPr>
          <w:rFonts w:ascii="Times New Roman" w:hAnsi="Times New Roman"/>
          <w:sz w:val="20"/>
        </w:rPr>
      </w:pPr>
      <w:r>
        <w:rPr>
          <w:rFonts w:ascii="Times New Roman" w:hAnsi="Times New Roman"/>
          <w:sz w:val="20"/>
        </w:rPr>
        <w:t xml:space="preserve">51 West 52nd Street, 6th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10019 </w:t>
      </w:r>
    </w:p>
    <w:p>
      <w:pPr>
        <w:pStyle w:val="TextBody"/>
        <w:bidi w:val="0"/>
        <w:spacing w:before="240" w:after="0"/>
        <w:jc w:val="center"/>
        <w:rPr>
          <w:rFonts w:ascii="Times New Roman" w:hAnsi="Times New Roman"/>
          <w:sz w:val="20"/>
        </w:rPr>
      </w:pPr>
      <w:r>
        <w:rPr>
          <w:rFonts w:ascii="Times New Roman" w:hAnsi="Times New Roman"/>
          <w:sz w:val="20"/>
        </w:rPr>
        <w:t xml:space="preserve">Call Collect (732) 353-1948 </w:t>
      </w:r>
    </w:p>
    <w:p>
      <w:pPr>
        <w:pStyle w:val="TextBody"/>
        <w:bidi w:val="0"/>
        <w:spacing w:before="0" w:after="0"/>
        <w:jc w:val="center"/>
        <w:rPr>
          <w:rFonts w:ascii="Times New Roman" w:hAnsi="Times New Roman"/>
          <w:sz w:val="20"/>
        </w:rPr>
      </w:pPr>
      <w:r>
        <w:rPr>
          <w:rFonts w:ascii="Times New Roman" w:hAnsi="Times New Roman"/>
          <w:sz w:val="20"/>
        </w:rPr>
        <w:t xml:space="preserve">Call Toll-Free (888) 686-7195 </w:t>
      </w:r>
    </w:p>
    <w:p>
      <w:pPr>
        <w:pStyle w:val="TextBody"/>
        <w:bidi w:val="0"/>
        <w:spacing w:before="0" w:after="0"/>
        <w:jc w:val="center"/>
        <w:rPr>
          <w:rFonts w:ascii="Times New Roman" w:hAnsi="Times New Roman"/>
          <w:sz w:val="20"/>
        </w:rPr>
      </w:pPr>
      <w:r>
        <w:rPr>
          <w:rFonts w:ascii="Times New Roman" w:hAnsi="Times New Roman"/>
          <w:sz w:val="20"/>
        </w:rPr>
        <w:t xml:space="preserve">Email: Curevacoffer@georgeson.com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76985/000177698525000013/bntx-20241231.htm" TargetMode="External"/><Relationship Id="rId4" Type="http://schemas.openxmlformats.org/officeDocument/2006/relationships/hyperlink" Target="http://www.sec.gov/Archives/edgar/data/1776985/000177698525000004/form6-kbiotheusacquisition.htm" TargetMode="External"/><Relationship Id="rId5" Type="http://schemas.openxmlformats.org/officeDocument/2006/relationships/hyperlink" Target="http://www.sec.gov/Archives/edgar/data/1776985/000177698525000006/form6-kbnt165e4mar2025.htm" TargetMode="External"/><Relationship Id="rId6" Type="http://schemas.openxmlformats.org/officeDocument/2006/relationships/hyperlink" Target="http://www.sec.gov/Archives/edgar/data/1776985/000177698525000017/form6-kpennagreements2apr2.htm" TargetMode="External"/><Relationship Id="rId7" Type="http://schemas.openxmlformats.org/officeDocument/2006/relationships/hyperlink" Target="http://www.sec.gov/Archives/edgar/data/1776985/000177698525000019/form6-kagm2025invitation4a.htm" TargetMode="External"/><Relationship Id="rId8" Type="http://schemas.openxmlformats.org/officeDocument/2006/relationships/hyperlink" Target="http://www.sec.gov/Archives/edgar/data/1776985/000177698525000029/form6-kq12025quarterlyrepo.htm" TargetMode="External"/><Relationship Id="rId9" Type="http://schemas.openxmlformats.org/officeDocument/2006/relationships/hyperlink" Target="http://www.sec.gov/Archives/edgar/data/1776985/000177698525000029/form6-kq12025quarterlyrepo.htm" TargetMode="External"/><Relationship Id="rId10" Type="http://schemas.openxmlformats.org/officeDocument/2006/relationships/hyperlink" Target="http://www.sec.gov/Archives/edgar/data/1776985/000177698525000033/form6-k2025agm16may2025.htm" TargetMode="External"/><Relationship Id="rId11" Type="http://schemas.openxmlformats.org/officeDocument/2006/relationships/hyperlink" Target="http://www.sec.gov/Archives/edgar/data/1776985/000177698525000035/form6-kukgrant20may2025.htm" TargetMode="External"/><Relationship Id="rId12" Type="http://schemas.openxmlformats.org/officeDocument/2006/relationships/hyperlink" Target="http://www.sec.gov/Archives/edgar/data/1776985/000177698525000039/form6-kbnt3272jun2025.htm" TargetMode="External"/><Relationship Id="rId13" Type="http://schemas.openxmlformats.org/officeDocument/2006/relationships/hyperlink" Target="http://www.sec.gov/Archives/edgar/data/1776985/000119312525139910/d40967d6k.htm" TargetMode="External"/><Relationship Id="rId14" Type="http://schemas.openxmlformats.org/officeDocument/2006/relationships/hyperlink" Target="http://www.sec.gov/Archives/edgar/data/1776985/000119312525142077/d43024d6k.htm" TargetMode="External"/><Relationship Id="rId15" Type="http://schemas.openxmlformats.org/officeDocument/2006/relationships/hyperlink" Target="http://www.sec.gov/Archives/edgar/data/1776985/000177698525000043/form6-karticlesofassociati.htm" TargetMode="External"/><Relationship Id="rId16" Type="http://schemas.openxmlformats.org/officeDocument/2006/relationships/hyperlink" Target="http://www.sec.gov/Archives/edgar/data/1776985/000177698525000045/form6-kcsoannouncement17ju.htm" TargetMode="External"/><Relationship Id="rId17" Type="http://schemas.openxmlformats.org/officeDocument/2006/relationships/hyperlink" Target="http://www.sec.gov/Archives/edgar/data/1776985/000177698525000047/form6-kchmpopinion25jul2025.htm" TargetMode="External"/><Relationship Id="rId18" Type="http://schemas.openxmlformats.org/officeDocument/2006/relationships/hyperlink" Target="http://www.sec.gov/Archives/edgar/data/1776985/000177698525000051/form6-kq22025quarterlyrepo.htm" TargetMode="External"/><Relationship Id="rId19" Type="http://schemas.openxmlformats.org/officeDocument/2006/relationships/hyperlink" Target="http://www.sec.gov/Archives/edgar/data/1776985/000119312525177415/d74857d6k.htm" TargetMode="External"/><Relationship Id="rId20" Type="http://schemas.openxmlformats.org/officeDocument/2006/relationships/hyperlink" Target="http://www.sec.gov/Archives/edgar/data/1776985/000177698525000053/form6-klp81xadaptedfdaappr.htm" TargetMode="External"/><Relationship Id="rId21" Type="http://schemas.openxmlformats.org/officeDocument/2006/relationships/hyperlink" Target="http://www.sec.gov/Archives/edgar/data/1776985/000177698525000055/form6-kbnt3235sep2025.htm" TargetMode="External"/><Relationship Id="rId22" Type="http://schemas.openxmlformats.org/officeDocument/2006/relationships/hyperlink" Target="http://www.sec.gov/Archives/edgar/data/1776985/000177698525000057/form6-kbmsagreement8sep2025.htm" TargetMode="External"/><Relationship Id="rId23" Type="http://schemas.openxmlformats.org/officeDocument/2006/relationships/hyperlink" Target="http://www.sec.gov/Archives/edgar/data/1776985/000177698525000059/form6-kbnt327esxsclc8sep20.htm" TargetMode="External"/><Relationship Id="rId24" Type="http://schemas.openxmlformats.org/officeDocument/2006/relationships/hyperlink" Target="http://www.sec.gov/Archives/edgar/data/1809122/000141057825000692/cvac-20241231x20f.htm" TargetMode="External"/><Relationship Id="rId25" Type="http://schemas.openxmlformats.org/officeDocument/2006/relationships/hyperlink" Target="http://www.sec.gov/Archives/edgar/data/1809122/000110465925028798/tm2510706d1_6k.htm" TargetMode="External"/><Relationship Id="rId26" Type="http://schemas.openxmlformats.org/officeDocument/2006/relationships/hyperlink" Target="http://www.sec.gov/Archives/edgar/data/1809122/000110465925032611/tm2511714d1_6k.htm" TargetMode="External"/><Relationship Id="rId27" Type="http://schemas.openxmlformats.org/officeDocument/2006/relationships/hyperlink" Target="http://www.sec.gov/Archives/edgar/data/1809122/000110465925049433/tm2515273d1_6k.htm" TargetMode="External"/><Relationship Id="rId28" Type="http://schemas.openxmlformats.org/officeDocument/2006/relationships/hyperlink" Target="http://www.sec.gov/Archives/edgar/data/1809122/000141057825001369/cvac-20250331x6k.htm" TargetMode="External"/><Relationship Id="rId29" Type="http://schemas.openxmlformats.org/officeDocument/2006/relationships/hyperlink" Target="http://www.sec.gov/Archives/edgar/data/1809122/000110465925052416/tm2515968d1_6k.htm" TargetMode="External"/><Relationship Id="rId30" Type="http://schemas.openxmlformats.org/officeDocument/2006/relationships/hyperlink" Target="http://www.sec.gov/Archives/edgar/data/1809122/000110465925058873/tm2517876d1_6k.htm" TargetMode="External"/><Relationship Id="rId31" Type="http://schemas.openxmlformats.org/officeDocument/2006/relationships/hyperlink" Target="http://www.sec.gov/Archives/edgar/data/1809122/000110465925059879/tm2517876d3_6k.htm" TargetMode="External"/><Relationship Id="rId32" Type="http://schemas.openxmlformats.org/officeDocument/2006/relationships/hyperlink" Target="http://www.sec.gov/Archives/edgar/data/1809122/000110465925062143/tm2518794d1_6k.htm" TargetMode="External"/><Relationship Id="rId33" Type="http://schemas.openxmlformats.org/officeDocument/2006/relationships/hyperlink" Target="http://www.sec.gov/Archives/edgar/data/1809122/000110465925063026/tm2519249d1_6k.htm" TargetMode="External"/><Relationship Id="rId34" Type="http://schemas.openxmlformats.org/officeDocument/2006/relationships/hyperlink" Target="http://www.sec.gov/Archives/edgar/data/1809122/000110465925075352/tm2522930d1_6k.htm" TargetMode="External"/><Relationship Id="rId35" Type="http://schemas.openxmlformats.org/officeDocument/2006/relationships/hyperlink" Target="http://www.sec.gov/Archives/edgar/data/../../../ix?doc=/Archives/edgar/data/1809122/000141057825001834/cvac-20250630x6k.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283</Pages>
  <Words>174620</Words>
  <Characters>937354</Characters>
  <CharactersWithSpaces>1114188</CharactersWithSpaces>
  <Paragraphs>8793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