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30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FOR THE MONTH OF MAY 2022</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 May 9, 2022, BioNTech SE (the “Company”) issued a press release announcing its first quarter 2022 financial results and corporate update and details of a conference call to be held at</w:t>
      </w:r>
    </w:p>
    <w:p>
      <w:pPr>
        <w:spacing w:after="0" w:line="2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8:00 am EST on May 9, 2022 to discuss the results. The press release and the conference call presentation are attached as Exhibits 99.1 and 99.2, respectively, and incorporated by reference herein.</w:t>
      </w:r>
    </w:p>
    <w:p>
      <w:pPr>
        <w:spacing w:after="0" w:line="303"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300"/>
          </w:cols>
          <w:pgMar w:left="300" w:top="776"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s the registrant has duly caused this report to be signed on its behalf by the undersigned, thereunto duly authorized.</w:t>
      </w:r>
    </w:p>
    <w:p>
      <w:pPr>
        <w:spacing w:after="0" w:line="18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572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Jens Holstein</w:t>
            </w:r>
          </w:p>
        </w:tc>
      </w:tr>
      <w:tr>
        <w:trPr>
          <w:trHeight w:val="195"/>
        </w:trPr>
        <w:tc>
          <w:tcPr>
            <w:tcW w:w="520" w:type="dxa"/>
            <w:vAlign w:val="bottom"/>
          </w:tcPr>
          <w:p>
            <w:pPr>
              <w:spacing w:after="0"/>
              <w:rPr>
                <w:sz w:val="17"/>
                <w:szCs w:val="17"/>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Jens Holstein</w:t>
            </w:r>
          </w:p>
        </w:tc>
      </w:tr>
      <w:tr>
        <w:trPr>
          <w:trHeight w:val="216"/>
        </w:trPr>
        <w:tc>
          <w:tcPr>
            <w:tcW w:w="52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2022</w:t>
      </w:r>
    </w:p>
    <w:p>
      <w:pPr>
        <w:sectPr>
          <w:pgSz w:w="11900" w:h="16838" w:orient="portrait"/>
          <w:cols w:equalWidth="0" w:num="1">
            <w:col w:w="11300"/>
          </w:cols>
          <w:pgMar w:left="300" w:top="776"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660" w:type="dxa"/>
            <w:vAlign w:val="bottom"/>
            <w:gridSpan w:val="3"/>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4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First Quarter 2022 Financial Results and Corporate Update</w:t>
            </w:r>
          </w:p>
        </w:tc>
        <w:tc>
          <w:tcPr>
            <w:tcW w:w="240" w:type="dxa"/>
            <w:vAlign w:val="bottom"/>
          </w:tcPr>
          <w:p>
            <w:pPr>
              <w:spacing w:after="0"/>
              <w:rPr>
                <w:sz w:val="24"/>
                <w:szCs w:val="24"/>
                <w:color w:val="auto"/>
              </w:rPr>
            </w:pP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First Quarter 2022: Corporate Update and Financial Results</w:t>
            </w:r>
          </w:p>
        </w:tc>
      </w:tr>
      <w:tr>
        <w:trPr>
          <w:trHeight w:val="20"/>
        </w:trPr>
        <w:tc>
          <w:tcPr>
            <w:tcW w:w="4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320165" cy="148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auto"/>
        </w:rPr>
        <w:t>BioNTech Announces First Quarter Financial Results and Corporate Update</w:t>
      </w:r>
    </w:p>
    <w:p>
      <w:pPr>
        <w:spacing w:after="0" w:line="390"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i w:val="1"/>
          <w:iCs w:val="1"/>
          <w:color w:val="auto"/>
        </w:rPr>
      </w:pPr>
      <w:r>
        <w:rPr>
          <w:rFonts w:ascii="Arial" w:cs="Arial" w:eastAsia="Arial" w:hAnsi="Arial"/>
          <w:sz w:val="13"/>
          <w:szCs w:val="13"/>
          <w:i w:val="1"/>
          <w:iCs w:val="1"/>
          <w:color w:val="auto"/>
        </w:rPr>
        <w:t>First quarter revenues of €6.4 billion</w:t>
      </w:r>
      <w:r>
        <w:rPr>
          <w:rFonts w:ascii="Arial" w:cs="Arial" w:eastAsia="Arial" w:hAnsi="Arial"/>
          <w:sz w:val="17"/>
          <w:szCs w:val="17"/>
          <w:i w:val="1"/>
          <w:iCs w:val="1"/>
          <w:color w:val="auto"/>
          <w:vertAlign w:val="superscript"/>
        </w:rPr>
        <w:t>1</w:t>
      </w:r>
      <w:r>
        <w:rPr>
          <w:rFonts w:ascii="Arial" w:cs="Arial" w:eastAsia="Arial" w:hAnsi="Arial"/>
          <w:sz w:val="13"/>
          <w:szCs w:val="13"/>
          <w:i w:val="1"/>
          <w:iCs w:val="1"/>
          <w:color w:val="auto"/>
        </w:rPr>
        <w:t>, net income of €3.7 billion and fully diluted earnings per share of €14.24 ($15.97</w:t>
      </w:r>
      <w:r>
        <w:rPr>
          <w:rFonts w:ascii="Arial" w:cs="Arial" w:eastAsia="Arial" w:hAnsi="Arial"/>
          <w:sz w:val="17"/>
          <w:szCs w:val="17"/>
          <w:i w:val="1"/>
          <w:iCs w:val="1"/>
          <w:color w:val="auto"/>
          <w:vertAlign w:val="superscript"/>
        </w:rPr>
        <w:t>2</w:t>
      </w:r>
      <w:r>
        <w:rPr>
          <w:rFonts w:ascii="Arial" w:cs="Arial" w:eastAsia="Arial" w:hAnsi="Arial"/>
          <w:sz w:val="13"/>
          <w:szCs w:val="13"/>
          <w:i w:val="1"/>
          <w:iCs w:val="1"/>
          <w:color w:val="auto"/>
        </w:rPr>
        <w:t>)</w:t>
      </w:r>
    </w:p>
    <w:p>
      <w:pPr>
        <w:spacing w:after="0" w:line="56" w:lineRule="exact"/>
        <w:rPr>
          <w:rFonts w:ascii="Times New Roman" w:cs="Times New Roman" w:eastAsia="Times New Roman" w:hAnsi="Times New Roman"/>
          <w:sz w:val="13"/>
          <w:szCs w:val="13"/>
          <w:i w:val="1"/>
          <w:iCs w:val="1"/>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i w:val="1"/>
          <w:iCs w:val="1"/>
          <w:color w:val="auto"/>
        </w:rPr>
        <w:t>Reiterates BioNTech COVID-19 2022 vaccine revenue guidance of €13 billion to €17 billion</w:t>
      </w:r>
    </w:p>
    <w:p>
      <w:pPr>
        <w:spacing w:after="0" w:line="92" w:lineRule="exact"/>
        <w:rPr>
          <w:rFonts w:ascii="Times New Roman" w:cs="Times New Roman" w:eastAsia="Times New Roman" w:hAnsi="Times New Roman"/>
          <w:sz w:val="13"/>
          <w:szCs w:val="13"/>
          <w:color w:val="auto"/>
        </w:rPr>
      </w:pPr>
    </w:p>
    <w:p>
      <w:pPr>
        <w:ind w:left="420" w:right="20" w:hanging="212"/>
        <w:spacing w:after="0" w:line="361" w:lineRule="auto"/>
        <w:tabs>
          <w:tab w:leader="none" w:pos="412"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First-in-class CAR-T program targeting CLDN-6 (BNT211) in solid tumors showed manageable safety profile and signs of clinical activity; preliminary Phase 1/2 data presented at AACR Annual Meeting 2022</w:t>
      </w:r>
    </w:p>
    <w:p>
      <w:pPr>
        <w:ind w:left="420" w:hanging="212"/>
        <w:spacing w:after="0"/>
        <w:tabs>
          <w:tab w:leader="none" w:pos="420" w:val="left"/>
        </w:tabs>
        <w:numPr>
          <w:ilvl w:val="0"/>
          <w:numId w:val="1"/>
        </w:numPr>
        <w:rPr>
          <w:rFonts w:ascii="Arial" w:cs="Arial" w:eastAsia="Arial" w:hAnsi="Arial"/>
          <w:sz w:val="13"/>
          <w:szCs w:val="13"/>
          <w:i w:val="1"/>
          <w:iCs w:val="1"/>
          <w:color w:val="auto"/>
        </w:rPr>
      </w:pPr>
      <w:r>
        <w:rPr>
          <w:rFonts w:ascii="Arial" w:cs="Arial" w:eastAsia="Arial" w:hAnsi="Arial"/>
          <w:sz w:val="13"/>
          <w:szCs w:val="13"/>
          <w:i w:val="1"/>
          <w:iCs w:val="1"/>
          <w:color w:val="auto"/>
        </w:rPr>
        <w:t>Continued pipeline expansion to 16 clinical stage oncology programs in 20 ongoing clinical trials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Conference call and webcast scheduled for May 9, 2022, at 8:00 am ET (2:00 pm CET)</w:t>
      </w:r>
    </w:p>
    <w:p>
      <w:pPr>
        <w:spacing w:after="0" w:line="220" w:lineRule="exact"/>
        <w:rPr>
          <w:sz w:val="20"/>
          <w:szCs w:val="20"/>
          <w:color w:val="auto"/>
        </w:rPr>
      </w:pPr>
    </w:p>
    <w:p>
      <w:pPr>
        <w:jc w:val="both"/>
        <w:spacing w:after="0" w:line="370" w:lineRule="auto"/>
        <w:rPr>
          <w:sz w:val="20"/>
          <w:szCs w:val="20"/>
          <w:color w:val="auto"/>
        </w:rPr>
      </w:pPr>
      <w:r>
        <w:rPr>
          <w:rFonts w:ascii="Arial" w:cs="Arial" w:eastAsia="Arial" w:hAnsi="Arial"/>
          <w:sz w:val="13"/>
          <w:szCs w:val="13"/>
          <w:b w:val="1"/>
          <w:bCs w:val="1"/>
          <w:color w:val="auto"/>
        </w:rPr>
        <w:t xml:space="preserve">MAINZ, Germany, May 9, 2022 (GLOBE NEWSWIRE) </w:t>
      </w:r>
      <w:r>
        <w:rPr>
          <w:rFonts w:ascii="Arial" w:cs="Arial" w:eastAsia="Arial" w:hAnsi="Arial"/>
          <w:sz w:val="13"/>
          <w:szCs w:val="13"/>
          <w:color w:val="auto"/>
        </w:rPr>
        <w:t>-- BioNTech SE (Nasdaq: BNTX, “BioNTech” or the "Company”) today reported financial results for the three months ended March 31,</w:t>
      </w:r>
      <w:r>
        <w:rPr>
          <w:rFonts w:ascii="Arial" w:cs="Arial" w:eastAsia="Arial" w:hAnsi="Arial"/>
          <w:sz w:val="13"/>
          <w:szCs w:val="13"/>
          <w:b w:val="1"/>
          <w:bCs w:val="1"/>
          <w:color w:val="auto"/>
        </w:rPr>
        <w:t xml:space="preserve"> </w:t>
      </w:r>
      <w:r>
        <w:rPr>
          <w:rFonts w:ascii="Arial" w:cs="Arial" w:eastAsia="Arial" w:hAnsi="Arial"/>
          <w:sz w:val="13"/>
          <w:szCs w:val="13"/>
          <w:color w:val="auto"/>
        </w:rPr>
        <w:t>2022 and provided an update on its corporate progress.</w:t>
      </w:r>
    </w:p>
    <w:p>
      <w:pPr>
        <w:spacing w:after="0" w:line="97" w:lineRule="exact"/>
        <w:rPr>
          <w:sz w:val="20"/>
          <w:szCs w:val="20"/>
          <w:color w:val="auto"/>
        </w:rPr>
      </w:pPr>
    </w:p>
    <w:p>
      <w:pPr>
        <w:jc w:val="both"/>
        <w:spacing w:after="0" w:line="351" w:lineRule="auto"/>
        <w:rPr>
          <w:sz w:val="20"/>
          <w:szCs w:val="20"/>
          <w:color w:val="auto"/>
        </w:rPr>
      </w:pPr>
      <w:r>
        <w:rPr>
          <w:rFonts w:ascii="Arial" w:cs="Arial" w:eastAsia="Arial" w:hAnsi="Arial"/>
          <w:sz w:val="13"/>
          <w:szCs w:val="13"/>
          <w:color w:val="auto"/>
        </w:rPr>
        <w:t>“During the first quarter, we demonstrated continued execution across our growth pillars in addressing infectious diseases and oncology," said Ugur Sahin, M.D., CEO and Co-Founder of BioNTech. "We have enhanced our COVID-19 vaccine leadership and reported encouraging data for our first-in-human CAR-T therapy in solid tumors. Driven by our execution in innovation, we believe we are well positioned to achieve multiple product launches in the coming years, which would facilitate significant long-term growth.”</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First Quarter Financial Results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in millions, except per share data</w:t>
            </w:r>
          </w:p>
        </w:tc>
        <w:tc>
          <w:tcPr>
            <w:tcW w:w="1780" w:type="dxa"/>
            <w:vAlign w:val="bottom"/>
            <w:tcBorders>
              <w:top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2"/>
                <w:szCs w:val="12"/>
                <w:b w:val="1"/>
                <w:bCs w:val="1"/>
                <w:color w:val="auto"/>
              </w:rPr>
              <w:t>First Quarter 2022</w:t>
            </w:r>
          </w:p>
        </w:tc>
        <w:tc>
          <w:tcPr>
            <w:tcW w:w="1780" w:type="dxa"/>
            <w:vAlign w:val="bottom"/>
            <w:tcBorders>
              <w:top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2"/>
                <w:szCs w:val="12"/>
                <w:b w:val="1"/>
                <w:bCs w:val="1"/>
                <w:color w:val="auto"/>
              </w:rPr>
              <w:t>First Quarter 2021</w:t>
            </w:r>
          </w:p>
        </w:tc>
      </w:tr>
      <w:tr>
        <w:trPr>
          <w:trHeight w:val="270"/>
        </w:trPr>
        <w:tc>
          <w:tcPr>
            <w:tcW w:w="7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Total Revenues</w:t>
            </w:r>
            <w:r>
              <w:rPr>
                <w:rFonts w:ascii="Arial" w:cs="Arial" w:eastAsia="Arial" w:hAnsi="Arial"/>
                <w:sz w:val="15"/>
                <w:szCs w:val="15"/>
                <w:color w:val="auto"/>
                <w:w w:val="98"/>
                <w:vertAlign w:val="superscript"/>
              </w:rPr>
              <w:t>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€6,374.6</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€2,048.4</w:t>
            </w:r>
          </w:p>
        </w:tc>
      </w:tr>
      <w:tr>
        <w:trPr>
          <w:trHeight w:val="214"/>
        </w:trPr>
        <w:tc>
          <w:tcPr>
            <w:tcW w:w="7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Net Profit</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€3,698.8</w:t>
            </w:r>
          </w:p>
        </w:tc>
        <w:tc>
          <w:tcPr>
            <w:tcW w:w="1780" w:type="dxa"/>
            <w:vAlign w:val="bottom"/>
          </w:tcPr>
          <w:p>
            <w:pPr>
              <w:jc w:val="center"/>
              <w:spacing w:after="0"/>
              <w:rPr>
                <w:sz w:val="20"/>
                <w:szCs w:val="20"/>
                <w:color w:val="auto"/>
              </w:rPr>
            </w:pPr>
            <w:r>
              <w:rPr>
                <w:rFonts w:ascii="Arial" w:cs="Arial" w:eastAsia="Arial" w:hAnsi="Arial"/>
                <w:sz w:val="12"/>
                <w:szCs w:val="12"/>
                <w:color w:val="auto"/>
                <w:w w:val="98"/>
              </w:rPr>
              <w:t>€1,128.1</w:t>
            </w:r>
          </w:p>
        </w:tc>
      </w:tr>
      <w:tr>
        <w:trPr>
          <w:trHeight w:val="70"/>
        </w:trPr>
        <w:tc>
          <w:tcPr>
            <w:tcW w:w="7740" w:type="dxa"/>
            <w:vAlign w:val="bottom"/>
            <w:tcBorders>
              <w:left w:val="single" w:sz="8" w:color="auto"/>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r>
      <w:tr>
        <w:trPr>
          <w:trHeight w:val="207"/>
        </w:trPr>
        <w:tc>
          <w:tcPr>
            <w:tcW w:w="7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Diluted Earnings per Share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€14.24</w:t>
            </w:r>
          </w:p>
        </w:tc>
        <w:tc>
          <w:tcPr>
            <w:tcW w:w="1780" w:type="dxa"/>
            <w:vAlign w:val="bottom"/>
          </w:tcPr>
          <w:p>
            <w:pPr>
              <w:jc w:val="center"/>
              <w:spacing w:after="0"/>
              <w:rPr>
                <w:sz w:val="20"/>
                <w:szCs w:val="20"/>
                <w:color w:val="auto"/>
              </w:rPr>
            </w:pPr>
            <w:r>
              <w:rPr>
                <w:rFonts w:ascii="Arial" w:cs="Arial" w:eastAsia="Arial" w:hAnsi="Arial"/>
                <w:sz w:val="12"/>
                <w:szCs w:val="12"/>
                <w:color w:val="auto"/>
                <w:w w:val="99"/>
              </w:rPr>
              <w:t>€4.39</w:t>
            </w:r>
          </w:p>
        </w:tc>
      </w:tr>
      <w:tr>
        <w:trPr>
          <w:trHeight w:val="70"/>
        </w:trPr>
        <w:tc>
          <w:tcPr>
            <w:tcW w:w="7740" w:type="dxa"/>
            <w:vAlign w:val="bottom"/>
            <w:tcBorders>
              <w:left w:val="single" w:sz="8" w:color="auto"/>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14" w:right="299" w:bottom="1440" w:gutter="0" w:footer="0" w:header="0"/>
        </w:sectPr>
      </w:pPr>
    </w:p>
    <w:bookmarkStart w:id="5" w:name="page6"/>
    <w:bookmarkEnd w:id="5"/>
    <w:p>
      <w:pPr>
        <w:jc w:val="both"/>
        <w:spacing w:after="0" w:line="349" w:lineRule="auto"/>
        <w:rPr>
          <w:sz w:val="20"/>
          <w:szCs w:val="20"/>
          <w:color w:val="auto"/>
        </w:rPr>
      </w:pPr>
      <w:r>
        <w:rPr>
          <w:rFonts w:ascii="Arial" w:cs="Arial" w:eastAsia="Arial" w:hAnsi="Arial"/>
          <w:sz w:val="13"/>
          <w:szCs w:val="13"/>
          <w:color w:val="auto"/>
        </w:rPr>
        <w:t>“We believe the global deployment of our vaccine has likely saved millions of lives and had a significant impact on humanity. As a result of an increased order volume initially placed in late 2021 following the then emerging Omicron variant, we began the year 2022 with strong revenues and earnings, leaving us well-positioned to achieve the 2022 financial guidance we issued a few months ago,” said Jens Holstein, CFO of BioNTech. “This notable financial performance also helps us to invest heavily in research and development in the years to come fueling the potential to drive future waves of innovation and growth."</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Outlook for the 2022 Financial Year Reiterated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The Company reiterates its prior 2022 financial year outlook, which includes the following components:</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BioNTech COVID-19 Vaccine Revenues for the 2022 Financial Year:</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6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Estimated BioNTech COVID-19 vaccine revenues for the full 2022 financial year</w:t>
            </w:r>
          </w:p>
        </w:tc>
        <w:tc>
          <w:tcPr>
            <w:tcW w:w="394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2"/>
                <w:szCs w:val="12"/>
                <w:color w:val="auto"/>
              </w:rPr>
              <w:t>€13 billion - €17 billion</w:t>
            </w:r>
          </w:p>
        </w:tc>
      </w:tr>
      <w:tr>
        <w:trPr>
          <w:trHeight w:val="115"/>
        </w:trPr>
        <w:tc>
          <w:tcPr>
            <w:tcW w:w="6200" w:type="dxa"/>
            <w:vAlign w:val="bottom"/>
            <w:tcBorders>
              <w:left w:val="single" w:sz="8" w:color="auto"/>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r>
    </w:tbl>
    <w:p>
      <w:pPr>
        <w:spacing w:after="0" w:line="166" w:lineRule="exact"/>
        <w:rPr>
          <w:sz w:val="20"/>
          <w:szCs w:val="20"/>
          <w:color w:val="auto"/>
        </w:rPr>
      </w:pPr>
    </w:p>
    <w:p>
      <w:pPr>
        <w:spacing w:after="0" w:line="370" w:lineRule="auto"/>
        <w:rPr>
          <w:sz w:val="20"/>
          <w:szCs w:val="20"/>
          <w:color w:val="auto"/>
        </w:rPr>
      </w:pPr>
      <w:r>
        <w:rPr>
          <w:rFonts w:ascii="Arial" w:cs="Arial" w:eastAsia="Arial" w:hAnsi="Arial"/>
          <w:sz w:val="13"/>
          <w:szCs w:val="13"/>
          <w:color w:val="auto"/>
        </w:rPr>
        <w:t>This revenue estimate reflects expected revenues related to BioNTech's share of gross profit from COVID-19 vaccine sales in the collaboration partners' territories, from direct COVID-19 vaccine sales to customers in BioNTech’s territory and expected revenues generated from products manufactured by BioNTech and sold to collaboration partners.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Planned 2022 Financial Year Expenses and Capex:</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R&amp;D expenses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€1,400 million - €1,500 million</w:t>
            </w:r>
          </w:p>
        </w:tc>
      </w:tr>
      <w:tr>
        <w:trPr>
          <w:trHeight w:val="142"/>
        </w:trPr>
        <w:tc>
          <w:tcPr>
            <w:tcW w:w="6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SG&amp;A expenses</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€450 million - €550 million</w:t>
            </w:r>
          </w:p>
        </w:tc>
      </w:tr>
      <w:tr>
        <w:trPr>
          <w:trHeight w:val="142"/>
        </w:trPr>
        <w:tc>
          <w:tcPr>
            <w:tcW w:w="6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Capital expenditures</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€450 million - €550 million</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ranges reflect current base case projections and do not include potential effects caused by or driven from additional collaborations or potential mergers and acquisitions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Estimated 2022 Financial Year Tax Assumptions: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BioNTech Group estimated annual effective income tax rate</w:t>
            </w:r>
          </w:p>
        </w:tc>
        <w:tc>
          <w:tcPr>
            <w:tcW w:w="3600" w:type="dxa"/>
            <w:vAlign w:val="bottom"/>
            <w:tcBorders>
              <w:top w:val="single" w:sz="8" w:color="auto"/>
              <w:bottom w:val="single" w:sz="8" w:color="auto"/>
              <w:right w:val="single" w:sz="8" w:color="auto"/>
            </w:tcBorders>
          </w:tcPr>
          <w:p>
            <w:pPr>
              <w:jc w:val="right"/>
              <w:ind w:right="1600"/>
              <w:spacing w:after="0"/>
              <w:rPr>
                <w:sz w:val="20"/>
                <w:szCs w:val="20"/>
                <w:color w:val="auto"/>
              </w:rPr>
            </w:pPr>
            <w:r>
              <w:rPr>
                <w:rFonts w:ascii="Arial" w:cs="Arial" w:eastAsia="Arial" w:hAnsi="Arial"/>
                <w:sz w:val="12"/>
                <w:szCs w:val="12"/>
                <w:color w:val="auto"/>
              </w:rPr>
              <w:t>~28%</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Allocation Framework</w:t>
      </w:r>
    </w:p>
    <w:p>
      <w:pPr>
        <w:spacing w:after="0" w:line="130" w:lineRule="exact"/>
        <w:rPr>
          <w:sz w:val="20"/>
          <w:szCs w:val="20"/>
          <w:color w:val="auto"/>
        </w:rPr>
      </w:pPr>
    </w:p>
    <w:p>
      <w:pPr>
        <w:ind w:right="20"/>
        <w:spacing w:after="0" w:line="370" w:lineRule="auto"/>
        <w:rPr>
          <w:sz w:val="20"/>
          <w:szCs w:val="20"/>
          <w:color w:val="auto"/>
        </w:rPr>
      </w:pPr>
      <w:r>
        <w:rPr>
          <w:rFonts w:ascii="Arial" w:cs="Arial" w:eastAsia="Arial" w:hAnsi="Arial"/>
          <w:sz w:val="13"/>
          <w:szCs w:val="13"/>
          <w:color w:val="auto"/>
        </w:rPr>
        <w:t>Given BioNTech's strong financial, scientific and operational accomplishments, BioNTech believes that it has the resources to diligently allocate its current capital to drive a multi-platform strategy and continue to strengthen BioNTech as a fully integrated global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1124" w:right="299" w:bottom="1440" w:gutter="0" w:footer="0" w:header="0"/>
        </w:sectPr>
      </w:pPr>
    </w:p>
    <w:bookmarkStart w:id="6" w:name="page7"/>
    <w:bookmarkEnd w:id="6"/>
    <w:p>
      <w:pPr>
        <w:spacing w:after="0" w:line="385" w:lineRule="auto"/>
        <w:rPr>
          <w:sz w:val="20"/>
          <w:szCs w:val="20"/>
          <w:color w:val="auto"/>
        </w:rPr>
      </w:pPr>
      <w:r>
        <w:rPr>
          <w:rFonts w:ascii="Arial" w:cs="Arial" w:eastAsia="Arial" w:hAnsi="Arial"/>
          <w:sz w:val="13"/>
          <w:szCs w:val="13"/>
          <w:color w:val="auto"/>
        </w:rPr>
        <w:t>biotechnology company, allowing it to invest in research and development activities and its global development organization, mergers and acquisitions and business development opportunities, and enhance its global footprint, including commercial and manufacturing infrastructure.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In addition, BioNTech has undertaken the following steps to return capital to shareholders, as announced in March 2022.</w:t>
      </w:r>
    </w:p>
    <w:p>
      <w:pPr>
        <w:spacing w:after="0" w:line="130" w:lineRule="exact"/>
        <w:rPr>
          <w:sz w:val="20"/>
          <w:szCs w:val="20"/>
          <w:color w:val="auto"/>
        </w:rPr>
      </w:pPr>
    </w:p>
    <w:p>
      <w:pPr>
        <w:ind w:left="420" w:right="20" w:hanging="212"/>
        <w:spacing w:after="0" w:line="370"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has authorized a share repurchase program of American Depositary Shares (ADSs), pursuant to which the Company may repurchase issued and outstanding ADSs in the amount of up to $1.5 billion over the next two years. The first tranche of the share repurchase program, with a value of up to $1.0 billion, commenced on May 2, 2022.</w:t>
      </w:r>
    </w:p>
    <w:p>
      <w:pPr>
        <w:spacing w:after="0" w:line="25" w:lineRule="exact"/>
        <w:rPr>
          <w:rFonts w:ascii="Arial" w:cs="Arial" w:eastAsia="Arial" w:hAnsi="Arial"/>
          <w:sz w:val="13"/>
          <w:szCs w:val="13"/>
          <w:color w:val="auto"/>
        </w:rPr>
      </w:pPr>
    </w:p>
    <w:p>
      <w:pPr>
        <w:jc w:val="both"/>
        <w:ind w:left="420" w:hanging="212"/>
        <w:spacing w:after="0" w:line="358"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Management Board and Supervisory Board have proposed a special cash dividend of €2.00 per ordinary share (including those held in the form of ADSs), which corresponds to an aggregate of approximately €486.0 million, based on the number of ordinary shares and ADSs outstanding as of April 30, 2022, pending approval at the Annual General Meeting to be held in June 2022, which the Company expects to serve as the record date for the dividend.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Detailed First Quarter Financial Results</w:t>
      </w:r>
    </w:p>
    <w:p>
      <w:pPr>
        <w:spacing w:after="0" w:line="130" w:lineRule="exact"/>
        <w:rPr>
          <w:sz w:val="20"/>
          <w:szCs w:val="20"/>
          <w:color w:val="auto"/>
        </w:rPr>
      </w:pPr>
    </w:p>
    <w:p>
      <w:pPr>
        <w:ind w:left="420" w:hanging="212"/>
        <w:spacing w:after="0" w:line="311" w:lineRule="auto"/>
        <w:tabs>
          <w:tab w:leader="none" w:pos="417" w:val="left"/>
        </w:tabs>
        <w:numPr>
          <w:ilvl w:val="0"/>
          <w:numId w:val="3"/>
        </w:numPr>
        <w:rPr>
          <w:rFonts w:ascii="Times New Roman" w:cs="Times New Roman" w:eastAsia="Times New Roman" w:hAnsi="Times New Roman"/>
          <w:sz w:val="12"/>
          <w:szCs w:val="12"/>
          <w:color w:val="auto"/>
        </w:rPr>
      </w:pPr>
      <w:r>
        <w:rPr>
          <w:rFonts w:ascii="Arial" w:cs="Arial" w:eastAsia="Arial" w:hAnsi="Arial"/>
          <w:sz w:val="13"/>
          <w:szCs w:val="13"/>
          <w:i w:val="1"/>
          <w:iCs w:val="1"/>
          <w:color w:val="auto"/>
        </w:rPr>
        <w:t>Revenues</w:t>
      </w:r>
      <w:r>
        <w:rPr>
          <w:rFonts w:ascii="Arial" w:cs="Arial" w:eastAsia="Arial" w:hAnsi="Arial"/>
          <w:sz w:val="13"/>
          <w:szCs w:val="13"/>
          <w:color w:val="auto"/>
        </w:rPr>
        <w:t>: Total revenues reported were €6,374.6 million</w:t>
      </w:r>
      <w:r>
        <w:rPr>
          <w:rFonts w:ascii="Arial" w:cs="Arial" w:eastAsia="Arial" w:hAnsi="Arial"/>
          <w:sz w:val="17"/>
          <w:szCs w:val="17"/>
          <w:color w:val="auto"/>
          <w:vertAlign w:val="superscript"/>
        </w:rPr>
        <w:t>1</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three months ended March 31, 2022, compared to €2,048.4 million</w:t>
      </w:r>
      <w:r>
        <w:rPr>
          <w:rFonts w:ascii="Arial" w:cs="Arial" w:eastAsia="Arial" w:hAnsi="Arial"/>
          <w:sz w:val="17"/>
          <w:szCs w:val="17"/>
          <w:color w:val="auto"/>
          <w:vertAlign w:val="superscript"/>
        </w:rPr>
        <w:t>1</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comparative prior year period. The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was mainly due to increased commercial revenues from the supply and sales of the Company's COVID-19 vaccine worldwide.</w:t>
      </w:r>
    </w:p>
    <w:p>
      <w:pPr>
        <w:spacing w:after="0" w:line="47"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Arial" w:cs="Arial" w:eastAsia="Arial" w:hAnsi="Arial"/>
          <w:sz w:val="13"/>
          <w:szCs w:val="13"/>
          <w:color w:val="auto"/>
        </w:rPr>
        <w:t>Under the collaboration agreements, territories have been allocated between BioNTech, Pfizer and Fosun Pharma based on marketing and distribution rights. During the three months</w:t>
      </w:r>
    </w:p>
    <w:p>
      <w:pPr>
        <w:spacing w:after="0" w:line="58" w:lineRule="exact"/>
        <w:rPr>
          <w:rFonts w:ascii="Times New Roman" w:cs="Times New Roman" w:eastAsia="Times New Roman" w:hAnsi="Times New Roman"/>
          <w:sz w:val="12"/>
          <w:szCs w:val="12"/>
          <w:color w:val="auto"/>
        </w:rPr>
      </w:pPr>
    </w:p>
    <w:p>
      <w:pPr>
        <w:jc w:val="both"/>
        <w:ind w:left="420"/>
        <w:spacing w:after="0" w:line="310" w:lineRule="auto"/>
        <w:rPr>
          <w:rFonts w:ascii="Times New Roman" w:cs="Times New Roman" w:eastAsia="Times New Roman" w:hAnsi="Times New Roman"/>
          <w:sz w:val="12"/>
          <w:szCs w:val="12"/>
          <w:color w:val="auto"/>
        </w:rPr>
      </w:pPr>
      <w:r>
        <w:rPr>
          <w:rFonts w:ascii="Arial" w:cs="Arial" w:eastAsia="Arial" w:hAnsi="Arial"/>
          <w:sz w:val="13"/>
          <w:szCs w:val="13"/>
          <w:color w:val="auto"/>
        </w:rPr>
        <w:t>ended March 31, 2022, BioNTech’s commercial revenues included €4,586.9 million</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gross profit share (€1,504.7 million</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gross profit share and €247.2 million</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sales milestones during the comparative prior year period). BioNTech’s share of the collaboration partners’ gross profit is based on COVID-19 vaccine sales in Pfizer’s and Fosun Pharma’s territories and represents a net figure.</w:t>
      </w:r>
    </w:p>
    <w:p>
      <w:pPr>
        <w:spacing w:after="0" w:line="62" w:lineRule="exact"/>
        <w:rPr>
          <w:rFonts w:ascii="Times New Roman" w:cs="Times New Roman" w:eastAsia="Times New Roman" w:hAnsi="Times New Roman"/>
          <w:sz w:val="12"/>
          <w:szCs w:val="12"/>
          <w:color w:val="auto"/>
        </w:rPr>
      </w:pPr>
    </w:p>
    <w:p>
      <w:pPr>
        <w:jc w:val="both"/>
        <w:ind w:left="420"/>
        <w:spacing w:after="0" w:line="351" w:lineRule="auto"/>
        <w:rPr>
          <w:rFonts w:ascii="Times New Roman" w:cs="Times New Roman" w:eastAsia="Times New Roman" w:hAnsi="Times New Roman"/>
          <w:sz w:val="12"/>
          <w:szCs w:val="12"/>
          <w:color w:val="auto"/>
        </w:rPr>
      </w:pPr>
      <w:r>
        <w:rPr>
          <w:rFonts w:ascii="Arial" w:cs="Arial" w:eastAsia="Arial" w:hAnsi="Arial"/>
          <w:sz w:val="13"/>
          <w:szCs w:val="13"/>
          <w:color w:val="auto"/>
        </w:rPr>
        <w:t>In addition, during the three months ended March 31, 2022, BioNTech recognized €1,163.1 million of direct COVID-19 vaccine sales to customers in BioNTech’s territory, Germany and Turkey, as well as €603.2 million sales of products manufactured by BioNTech for its collaboration partners (€199.8 million and €63.9 million, respectively during the comparative prior year period).</w:t>
      </w:r>
    </w:p>
    <w:p>
      <w:pPr>
        <w:spacing w:after="0" w:line="4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b w:val="1"/>
          <w:bCs w:val="1"/>
          <w:color w:val="auto"/>
        </w:rPr>
      </w:pPr>
      <w:r>
        <w:rPr>
          <w:rFonts w:ascii="Arial" w:cs="Arial" w:eastAsia="Arial" w:hAnsi="Arial"/>
          <w:sz w:val="13"/>
          <w:szCs w:val="13"/>
          <w:i w:val="1"/>
          <w:iCs w:val="1"/>
          <w:color w:val="auto"/>
        </w:rPr>
        <w:t xml:space="preserve">Cost of Sales: </w:t>
      </w:r>
      <w:r>
        <w:rPr>
          <w:rFonts w:ascii="Arial" w:cs="Arial" w:eastAsia="Arial" w:hAnsi="Arial"/>
          <w:sz w:val="13"/>
          <w:szCs w:val="13"/>
          <w:color w:val="auto"/>
        </w:rPr>
        <w:t>Cost of sales was €1,294.1 million for the three months ended March 31, 2022, compared to €233.1 million for the comparative prior year period.</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1124" w:right="299" w:bottom="1440" w:gutter="0" w:footer="0" w:header="0"/>
        </w:sectPr>
      </w:pPr>
    </w:p>
    <w:bookmarkStart w:id="7" w:name="page8"/>
    <w:bookmarkEnd w:id="7"/>
    <w:p>
      <w:pPr>
        <w:jc w:val="both"/>
        <w:ind w:left="220"/>
        <w:spacing w:after="0" w:line="358" w:lineRule="auto"/>
        <w:rPr>
          <w:sz w:val="20"/>
          <w:szCs w:val="20"/>
          <w:color w:val="auto"/>
        </w:rPr>
      </w:pPr>
      <w:r>
        <w:rPr>
          <w:rFonts w:ascii="Arial" w:cs="Arial" w:eastAsia="Arial" w:hAnsi="Arial"/>
          <w:sz w:val="13"/>
          <w:szCs w:val="13"/>
          <w:color w:val="auto"/>
        </w:rPr>
        <w:t>The increase in cost of sales resulted mainly from the recognition of costs related to BioNTech's COVID-19 vaccine revenues which included the share of gross profit owed to its collaboration partner Pfizer. This increase in cost of sales is additionally attributed to expenses arising from inventory write-offs and for production capacities derived from contracts with Contract Manufacturing Organizations.</w:t>
      </w:r>
    </w:p>
    <w:p>
      <w:pPr>
        <w:spacing w:after="0" w:line="33" w:lineRule="exact"/>
        <w:rPr>
          <w:sz w:val="20"/>
          <w:szCs w:val="20"/>
          <w:color w:val="auto"/>
        </w:rPr>
      </w:pPr>
    </w:p>
    <w:p>
      <w:pPr>
        <w:jc w:val="both"/>
        <w:ind w:left="220" w:hanging="212"/>
        <w:spacing w:after="0" w:line="349" w:lineRule="auto"/>
        <w:tabs>
          <w:tab w:leader="none" w:pos="217" w:val="left"/>
        </w:tabs>
        <w:numPr>
          <w:ilvl w:val="0"/>
          <w:numId w:val="4"/>
        </w:numPr>
        <w:rPr>
          <w:rFonts w:ascii="Times New Roman" w:cs="Times New Roman" w:eastAsia="Times New Roman" w:hAnsi="Times New Roman"/>
          <w:sz w:val="12"/>
          <w:szCs w:val="12"/>
          <w:color w:val="auto"/>
        </w:rPr>
      </w:pPr>
      <w:r>
        <w:rPr>
          <w:rFonts w:ascii="Arial" w:cs="Arial" w:eastAsia="Arial" w:hAnsi="Arial"/>
          <w:sz w:val="13"/>
          <w:szCs w:val="13"/>
          <w:i w:val="1"/>
          <w:iCs w:val="1"/>
          <w:color w:val="auto"/>
        </w:rPr>
        <w:t>Research and Development Expenses</w:t>
      </w:r>
      <w:r>
        <w:rPr>
          <w:rFonts w:ascii="Arial" w:cs="Arial" w:eastAsia="Arial" w:hAnsi="Arial"/>
          <w:sz w:val="13"/>
          <w:szCs w:val="13"/>
          <w:color w:val="auto"/>
        </w:rPr>
        <w:t>: Research and development expenses were €285.8 million for the three months ended March 31, 2022, compared to €216.2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comparative prior year period. The increase was mainly due to recognizing costs related to the production of pre-launch Omicron vaccine products as research and development expenses in the period incurred and an increase in headcount. The increase was partly offset by lower research and development expenses related to the Company's COVID-19 vaccine program as compared to the prior year period.</w:t>
      </w:r>
    </w:p>
    <w:p>
      <w:pPr>
        <w:spacing w:after="0" w:line="39" w:lineRule="exact"/>
        <w:rPr>
          <w:rFonts w:ascii="Times New Roman" w:cs="Times New Roman" w:eastAsia="Times New Roman" w:hAnsi="Times New Roman"/>
          <w:sz w:val="12"/>
          <w:szCs w:val="12"/>
          <w:color w:val="auto"/>
        </w:rPr>
      </w:pPr>
    </w:p>
    <w:p>
      <w:pPr>
        <w:ind w:left="220" w:hanging="212"/>
        <w:spacing w:after="0" w:line="370" w:lineRule="auto"/>
        <w:tabs>
          <w:tab w:leader="none" w:pos="217" w:val="left"/>
        </w:tabs>
        <w:numPr>
          <w:ilvl w:val="0"/>
          <w:numId w:val="4"/>
        </w:numPr>
        <w:rPr>
          <w:rFonts w:ascii="Times New Roman" w:cs="Times New Roman" w:eastAsia="Times New Roman" w:hAnsi="Times New Roman"/>
          <w:sz w:val="12"/>
          <w:szCs w:val="12"/>
          <w:color w:val="auto"/>
        </w:rPr>
      </w:pPr>
      <w:r>
        <w:rPr>
          <w:rFonts w:ascii="Arial" w:cs="Arial" w:eastAsia="Arial" w:hAnsi="Arial"/>
          <w:sz w:val="13"/>
          <w:szCs w:val="13"/>
          <w:i w:val="1"/>
          <w:iCs w:val="1"/>
          <w:color w:val="auto"/>
        </w:rPr>
        <w:t>General and Administrative Expenses</w:t>
      </w:r>
      <w:r>
        <w:rPr>
          <w:rFonts w:ascii="Arial" w:cs="Arial" w:eastAsia="Arial" w:hAnsi="Arial"/>
          <w:sz w:val="13"/>
          <w:szCs w:val="13"/>
          <w:color w:val="auto"/>
        </w:rPr>
        <w:t>: General and administrative expenses were €90.8 million for the three months ended March 31, 2022, compared to €38.9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comparative prior year period. The increase was mainly due to increased expenses for purchased management consulting and legal services as well as an increase in headcount.</w:t>
      </w:r>
    </w:p>
    <w:p>
      <w:pPr>
        <w:spacing w:after="0" w:line="25" w:lineRule="exact"/>
        <w:rPr>
          <w:rFonts w:ascii="Times New Roman" w:cs="Times New Roman" w:eastAsia="Times New Roman" w:hAnsi="Times New Roman"/>
          <w:sz w:val="12"/>
          <w:szCs w:val="12"/>
          <w:color w:val="auto"/>
        </w:rPr>
      </w:pPr>
    </w:p>
    <w:p>
      <w:pPr>
        <w:ind w:left="220" w:right="20" w:hanging="212"/>
        <w:spacing w:after="0" w:line="370"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3"/>
          <w:szCs w:val="13"/>
          <w:i w:val="1"/>
          <w:iCs w:val="1"/>
          <w:color w:val="auto"/>
        </w:rPr>
        <w:t>Income Taxes</w:t>
      </w:r>
      <w:r>
        <w:rPr>
          <w:rFonts w:ascii="Arial" w:cs="Arial" w:eastAsia="Arial" w:hAnsi="Arial"/>
          <w:sz w:val="13"/>
          <w:szCs w:val="13"/>
          <w:color w:val="auto"/>
        </w:rPr>
        <w:t>: Income taxes were accrued in an amount to €1,319.3 million of tax expenses for the three months ended March 31, 2022, compared to €514.2 million of tax income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comparative prior year period. The derived effective income tax rate for the three months ended March 31, 2022 was 26.3%.</w:t>
      </w:r>
    </w:p>
    <w:p>
      <w:pPr>
        <w:spacing w:after="0" w:line="25" w:lineRule="exact"/>
        <w:rPr>
          <w:rFonts w:ascii="Arial" w:cs="Arial" w:eastAsia="Arial" w:hAnsi="Arial"/>
          <w:sz w:val="12"/>
          <w:szCs w:val="12"/>
          <w:color w:val="auto"/>
        </w:rPr>
      </w:pPr>
    </w:p>
    <w:p>
      <w:pPr>
        <w:ind w:left="220" w:hanging="212"/>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Net Profit</w:t>
      </w:r>
      <w:r>
        <w:rPr>
          <w:rFonts w:ascii="Arial" w:cs="Arial" w:eastAsia="Arial" w:hAnsi="Arial"/>
          <w:sz w:val="13"/>
          <w:szCs w:val="13"/>
          <w:color w:val="auto"/>
        </w:rPr>
        <w:t>: Net profit was €3,698.8 million for the three months ended March 31, 2022, compared to €1,128.1 million for the comparative prior year period.</w:t>
      </w:r>
    </w:p>
    <w:p>
      <w:pPr>
        <w:spacing w:after="0" w:line="138" w:lineRule="exact"/>
        <w:rPr>
          <w:rFonts w:ascii="Arial" w:cs="Arial" w:eastAsia="Arial" w:hAnsi="Arial"/>
          <w:sz w:val="13"/>
          <w:szCs w:val="13"/>
          <w:color w:val="auto"/>
        </w:rPr>
      </w:pPr>
    </w:p>
    <w:p>
      <w:pPr>
        <w:jc w:val="both"/>
        <w:ind w:left="220" w:hanging="212"/>
        <w:spacing w:after="0" w:line="339" w:lineRule="auto"/>
        <w:tabs>
          <w:tab w:leader="none" w:pos="217" w:val="left"/>
        </w:tabs>
        <w:numPr>
          <w:ilvl w:val="0"/>
          <w:numId w:val="4"/>
        </w:numPr>
        <w:rPr>
          <w:rFonts w:ascii="Times New Roman" w:cs="Times New Roman" w:eastAsia="Times New Roman" w:hAnsi="Times New Roman"/>
          <w:sz w:val="12"/>
          <w:szCs w:val="12"/>
          <w:color w:val="auto"/>
        </w:rPr>
      </w:pPr>
      <w:r>
        <w:rPr>
          <w:rFonts w:ascii="Arial" w:cs="Arial" w:eastAsia="Arial" w:hAnsi="Arial"/>
          <w:sz w:val="13"/>
          <w:szCs w:val="13"/>
          <w:i w:val="1"/>
          <w:iCs w:val="1"/>
          <w:color w:val="auto"/>
        </w:rPr>
        <w:t>Cash, Cash Deposits and Trade Receivables</w:t>
      </w:r>
      <w:r>
        <w:rPr>
          <w:rFonts w:ascii="Arial" w:cs="Arial" w:eastAsia="Arial" w:hAnsi="Arial"/>
          <w:sz w:val="13"/>
          <w:szCs w:val="13"/>
          <w:color w:val="auto"/>
        </w:rPr>
        <w:t>: As of March 31, 2022, cash and cash equivalents were €6,164.1 million. In addition, trade receivables remained outstanding as of March 31,</w:t>
      </w:r>
      <w:r>
        <w:rPr>
          <w:rFonts w:ascii="Arial" w:cs="Arial" w:eastAsia="Arial" w:hAnsi="Arial"/>
          <w:sz w:val="13"/>
          <w:szCs w:val="13"/>
          <w:i w:val="1"/>
          <w:iCs w:val="1"/>
          <w:color w:val="auto"/>
        </w:rPr>
        <w:t xml:space="preserve"> </w:t>
      </w:r>
      <w:r>
        <w:rPr>
          <w:rFonts w:ascii="Arial" w:cs="Arial" w:eastAsia="Arial" w:hAnsi="Arial"/>
          <w:sz w:val="13"/>
          <w:szCs w:val="13"/>
          <w:color w:val="auto"/>
        </w:rPr>
        <w:t>2022, mainly due to the contractual settlement of the gross profit share under the COVID-19 collaboration with Pfizer, which has a temporal offset of more than one calendar quarter. As Pfizer’s fiscal quarter for subsidiaries outside the United States differs from BioNTech’s financial reporting cycle, it creates an additional time lag between the recognition of revenues and the payment receipt. Trade receivables for example include the gross profit share for the fourth quarter of 2021 (as defined by the contract) for which the settlement payment was received subsequent to the end of the reporting period in April 2022. Of the total trade receivables of €12,695.8 million which were outstanding as of March 31, 2022, €5,243.8 million were received in cash by mid-April 2022.</w:t>
      </w:r>
    </w:p>
    <w:p>
      <w:pPr>
        <w:spacing w:after="0" w:line="38" w:lineRule="exact"/>
        <w:rPr>
          <w:rFonts w:ascii="Times New Roman" w:cs="Times New Roman" w:eastAsia="Times New Roman" w:hAnsi="Times New Roman"/>
          <w:sz w:val="12"/>
          <w:szCs w:val="12"/>
          <w:color w:val="auto"/>
        </w:rPr>
      </w:pPr>
    </w:p>
    <w:p>
      <w:pPr>
        <w:ind w:left="220" w:hanging="212"/>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Shares Outstanding</w:t>
      </w:r>
      <w:r>
        <w:rPr>
          <w:rFonts w:ascii="Arial" w:cs="Arial" w:eastAsia="Arial" w:hAnsi="Arial"/>
          <w:sz w:val="13"/>
          <w:szCs w:val="13"/>
          <w:color w:val="auto"/>
        </w:rPr>
        <w:t>: Shares outstanding as of March 31, 2022, were 243,019,216.</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00"/>
          </w:cols>
          <w:pgMar w:left="500" w:top="1124" w:right="299" w:bottom="1440" w:gutter="0" w:footer="0" w:header="0"/>
        </w:sectPr>
      </w:pPr>
    </w:p>
    <w:bookmarkStart w:id="8" w:name="page9"/>
    <w:bookmarkEnd w:id="8"/>
    <w:p>
      <w:pPr>
        <w:spacing w:after="0"/>
        <w:rPr>
          <w:sz w:val="20"/>
          <w:szCs w:val="20"/>
          <w:color w:val="auto"/>
        </w:rPr>
      </w:pPr>
      <w:r>
        <w:rPr>
          <w:rFonts w:ascii="Arial" w:cs="Arial" w:eastAsia="Arial" w:hAnsi="Arial"/>
          <w:sz w:val="10"/>
          <w:szCs w:val="10"/>
          <w:color w:val="auto"/>
        </w:rPr>
        <w:t xml:space="preserve">The full interim unaudited condensed consolidated financial statements can be found in BioNTech’s Report on Form 6-K, filed today with the SEC and available at </w:t>
      </w:r>
      <w:r>
        <w:rPr>
          <w:rFonts w:ascii="Arial" w:cs="Arial" w:eastAsia="Arial" w:hAnsi="Arial"/>
          <w:sz w:val="10"/>
          <w:szCs w:val="10"/>
          <w:u w:val="single" w:color="auto"/>
          <w:color w:val="0000FF"/>
        </w:rPr>
        <w:t>https://www.sec.gov/</w:t>
      </w:r>
      <w:r>
        <w:rPr>
          <w:rFonts w:ascii="Arial" w:cs="Arial" w:eastAsia="Arial" w:hAnsi="Arial"/>
          <w:sz w:val="10"/>
          <w:szCs w:val="10"/>
          <w:color w:val="auto"/>
        </w:rPr>
        <w:t>.</w:t>
      </w:r>
    </w:p>
    <w:p>
      <w:pPr>
        <w:spacing w:after="0" w:line="232" w:lineRule="exact"/>
        <w:rPr>
          <w:sz w:val="20"/>
          <w:szCs w:val="20"/>
          <w:color w:val="auto"/>
        </w:rPr>
      </w:pPr>
    </w:p>
    <w:p>
      <w:pPr>
        <w:jc w:val="both"/>
        <w:spacing w:after="0" w:line="350" w:lineRule="auto"/>
        <w:rPr>
          <w:sz w:val="20"/>
          <w:szCs w:val="20"/>
          <w:color w:val="auto"/>
        </w:rPr>
      </w:pPr>
      <w:r>
        <w:rPr>
          <w:rFonts w:ascii="Arial" w:cs="Arial" w:eastAsia="Arial" w:hAnsi="Arial"/>
          <w:sz w:val="12"/>
          <w:szCs w:val="12"/>
          <w:color w:val="auto"/>
          <w:vertAlign w:val="superscript"/>
        </w:rPr>
        <w:t>1</w:t>
      </w:r>
      <w:r>
        <w:rPr>
          <w:rFonts w:ascii="Arial" w:cs="Arial" w:eastAsia="Arial" w:hAnsi="Arial"/>
          <w:sz w:val="10"/>
          <w:szCs w:val="10"/>
          <w:color w:val="auto"/>
        </w:rPr>
        <w:t>BioNTech's profit share is estimated based on preliminary data shared between Pfizer and BioNTech as further described in BioNTech's Annual Report on Form 20-F for the year ended December 31, 2021 as well as its Quarterly Report as of and for the three months ended March 31, 2022, filed as an exhibit to BioNTech’s Current Report on Form 6-K filed on May 9, 2022. Any changes in the estimated share of the collaboration partner's gross profit will be recognized prospectively.</w:t>
      </w:r>
    </w:p>
    <w:p>
      <w:pPr>
        <w:spacing w:after="0"/>
        <w:rPr>
          <w:sz w:val="20"/>
          <w:szCs w:val="20"/>
          <w:color w:val="auto"/>
        </w:rPr>
      </w:pPr>
      <w:r>
        <w:rPr>
          <w:rFonts w:ascii="Arial" w:cs="Arial" w:eastAsia="Arial" w:hAnsi="Arial"/>
          <w:sz w:val="12"/>
          <w:szCs w:val="12"/>
          <w:color w:val="auto"/>
          <w:vertAlign w:val="superscript"/>
        </w:rPr>
        <w:t>2</w:t>
      </w:r>
      <w:r>
        <w:rPr>
          <w:rFonts w:ascii="Arial" w:cs="Arial" w:eastAsia="Arial" w:hAnsi="Arial"/>
          <w:sz w:val="10"/>
          <w:szCs w:val="10"/>
          <w:color w:val="auto"/>
        </w:rPr>
        <w:t>Calculated applying the average foreign exchange rate for the three months ended March 31, 2022 as published by the German Central Bank (</w:t>
      </w:r>
      <w:r>
        <w:rPr>
          <w:rFonts w:ascii="Arial" w:cs="Arial" w:eastAsia="Arial" w:hAnsi="Arial"/>
          <w:sz w:val="10"/>
          <w:szCs w:val="10"/>
          <w:i w:val="1"/>
          <w:iCs w:val="1"/>
          <w:color w:val="auto"/>
        </w:rPr>
        <w:t>Deutsche Bundesbank</w:t>
      </w:r>
      <w:r>
        <w:rPr>
          <w:rFonts w:ascii="Arial" w:cs="Arial" w:eastAsia="Arial" w:hAnsi="Arial"/>
          <w:sz w:val="10"/>
          <w:szCs w:val="10"/>
          <w:color w:val="auto"/>
        </w:rPr>
        <w:t>).</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First Quarter 2022 and Subsequent Program Updates</w:t>
      </w:r>
    </w:p>
    <w:p>
      <w:pPr>
        <w:spacing w:after="0" w:line="130" w:lineRule="exact"/>
        <w:rPr>
          <w:sz w:val="20"/>
          <w:szCs w:val="20"/>
          <w:color w:val="auto"/>
        </w:rPr>
      </w:pPr>
    </w:p>
    <w:p>
      <w:pPr>
        <w:jc w:val="both"/>
        <w:spacing w:after="0" w:line="358" w:lineRule="auto"/>
        <w:rPr>
          <w:rFonts w:ascii="Arial" w:cs="Arial" w:eastAsia="Arial" w:hAnsi="Arial"/>
          <w:sz w:val="13"/>
          <w:szCs w:val="13"/>
          <w:color w:val="auto"/>
        </w:rPr>
      </w:pPr>
      <w:r>
        <w:rPr>
          <w:rFonts w:ascii="Arial" w:cs="Arial" w:eastAsia="Arial" w:hAnsi="Arial"/>
          <w:sz w:val="13"/>
          <w:szCs w:val="13"/>
          <w:color w:val="auto"/>
        </w:rPr>
        <w:t>On March 30, 2022, BioNTech announced its Full Year 2021 Financial Results and Corporate Update as a part of the Annual Report filed on Form 20-F, also highlighting developments between January 1 and March 30, 2022 (</w:t>
      </w:r>
      <w:hyperlink r:id="rId9">
        <w:r>
          <w:rPr>
            <w:rFonts w:ascii="Arial" w:cs="Arial" w:eastAsia="Arial" w:hAnsi="Arial"/>
            <w:sz w:val="13"/>
            <w:szCs w:val="13"/>
            <w:u w:val="single" w:color="auto"/>
            <w:color w:val="0000FF"/>
          </w:rPr>
          <w:t>Link to press release</w:t>
        </w:r>
      </w:hyperlink>
      <w:r>
        <w:rPr>
          <w:rFonts w:ascii="Arial" w:cs="Arial" w:eastAsia="Arial" w:hAnsi="Arial"/>
          <w:sz w:val="13"/>
          <w:szCs w:val="13"/>
          <w:color w:val="auto"/>
        </w:rPr>
        <w:t>). A summary of these developments as well as details of subsequent developments that occurred after March 30, 2022 is provided in the sections below.</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 Vaccine Program – BNT162</w:t>
      </w:r>
    </w:p>
    <w:p>
      <w:pPr>
        <w:spacing w:after="0" w:line="130" w:lineRule="exact"/>
        <w:rPr>
          <w:sz w:val="20"/>
          <w:szCs w:val="20"/>
          <w:color w:val="auto"/>
        </w:rPr>
      </w:pPr>
    </w:p>
    <w:p>
      <w:pPr>
        <w:jc w:val="both"/>
        <w:spacing w:after="0" w:line="370" w:lineRule="auto"/>
        <w:rPr>
          <w:sz w:val="20"/>
          <w:szCs w:val="20"/>
          <w:color w:val="auto"/>
        </w:rPr>
      </w:pPr>
      <w:r>
        <w:rPr>
          <w:rFonts w:ascii="Arial" w:cs="Arial" w:eastAsia="Arial" w:hAnsi="Arial"/>
          <w:sz w:val="13"/>
          <w:szCs w:val="13"/>
          <w:color w:val="auto"/>
        </w:rPr>
        <w:t>BNT162b2, the first ever approved mRNA-based product, has paved the way for a new class of medicines. BioNTech and Pfizer continue to execute on plans for global COVID-19 vaccine leadership with multiple new product launches, including label expansions, pediatric dosage forms, and development of follow-on and next generation vaccine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Commercial updates</w:t>
      </w:r>
    </w:p>
    <w:p>
      <w:pPr>
        <w:spacing w:after="0" w:line="130" w:lineRule="exact"/>
        <w:rPr>
          <w:sz w:val="20"/>
          <w:szCs w:val="20"/>
          <w:color w:val="auto"/>
        </w:rPr>
      </w:pPr>
    </w:p>
    <w:p>
      <w:pPr>
        <w:jc w:val="both"/>
        <w:spacing w:after="0" w:line="358" w:lineRule="auto"/>
        <w:rPr>
          <w:sz w:val="20"/>
          <w:szCs w:val="20"/>
          <w:color w:val="auto"/>
        </w:rPr>
      </w:pPr>
      <w:r>
        <w:rPr>
          <w:rFonts w:ascii="Arial" w:cs="Arial" w:eastAsia="Arial" w:hAnsi="Arial"/>
          <w:sz w:val="13"/>
          <w:szCs w:val="13"/>
          <w:color w:val="auto"/>
        </w:rPr>
        <w:t>In the first quarter of 2022, BioNTech and Pfizer have invoiced approximately 750 million COVID-19 vaccine doses. As of end-April 2022, the Companies have signed orders for approximately 2.4 billion doses in 2022. As part of BioNTech's pledge to equitable access to medicines, the Companies are on track to deliver a total of more than two billion doses of COVID-19 vaccine to low-and middle-income countries by the end of 2022.</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Manufacturing updates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BioNTech and Pfizer’s global COVID-19 vaccine supply chain and manufacturing network includes 20 manufacturing facilities spanning four continents.</w:t>
      </w:r>
    </w:p>
    <w:p>
      <w:pPr>
        <w:spacing w:after="0" w:line="130" w:lineRule="exact"/>
        <w:rPr>
          <w:sz w:val="20"/>
          <w:szCs w:val="20"/>
          <w:color w:val="auto"/>
        </w:rPr>
      </w:pPr>
    </w:p>
    <w:p>
      <w:pPr>
        <w:ind w:left="420" w:hanging="251"/>
        <w:spacing w:after="0" w:line="370" w:lineRule="auto"/>
        <w:tabs>
          <w:tab w:leader="none" w:pos="418"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February 2022, BioNTech announced its turnkey manufacturing solution, named “BioNTainer,” which is designed to enable scalable mRNA vaccine production in bulk. The novel approach utilizes a modular manufacturing unit made up of state-of-the-art manufacturing containers. BioNTainers are designed and equipped to manufacture 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1314" w:right="299" w:bottom="1440" w:gutter="0" w:footer="0" w:header="0"/>
        </w:sectPr>
      </w:pPr>
    </w:p>
    <w:bookmarkStart w:id="9" w:name="page10"/>
    <w:bookmarkEnd w:id="9"/>
    <w:p>
      <w:pPr>
        <w:ind w:left="420" w:right="20"/>
        <w:spacing w:after="0" w:line="370" w:lineRule="auto"/>
        <w:rPr>
          <w:sz w:val="20"/>
          <w:szCs w:val="20"/>
          <w:color w:val="auto"/>
        </w:rPr>
      </w:pPr>
      <w:r>
        <w:rPr>
          <w:rFonts w:ascii="Arial" w:cs="Arial" w:eastAsia="Arial" w:hAnsi="Arial"/>
          <w:sz w:val="13"/>
          <w:szCs w:val="13"/>
          <w:color w:val="auto"/>
        </w:rPr>
        <w:t>range of mRNA-based vaccines, for example COVID-19 vaccine doses. With their scalable and modular approach, BioNTainers are intended to enable the production of high-quality mRNA vaccine manufacturing worldwide. The establishment of the first modular mRNA manufacturing facility in the African Union is expected to start in the second half of 2022.</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Clinical development and regulatory updates</w:t>
      </w:r>
    </w:p>
    <w:p>
      <w:pPr>
        <w:spacing w:after="0" w:line="130"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BioNTech and Pfizer’s COVID-19 vaccine has received multiple regulatory approvals including expansions of authorizations for booster and pediatric vaccinations, and updated storage conditions.</w:t>
      </w:r>
    </w:p>
    <w:p>
      <w:pPr>
        <w:spacing w:after="0" w:line="296" w:lineRule="exact"/>
        <w:rPr>
          <w:sz w:val="20"/>
          <w:szCs w:val="20"/>
          <w:color w:val="auto"/>
        </w:rPr>
      </w:pPr>
    </w:p>
    <w:p>
      <w:pPr>
        <w:jc w:val="both"/>
        <w:ind w:right="20"/>
        <w:spacing w:after="0" w:line="385" w:lineRule="auto"/>
        <w:rPr>
          <w:sz w:val="20"/>
          <w:szCs w:val="20"/>
          <w:color w:val="auto"/>
        </w:rPr>
      </w:pPr>
      <w:r>
        <w:rPr>
          <w:rFonts w:ascii="Arial" w:cs="Arial" w:eastAsia="Arial" w:hAnsi="Arial"/>
          <w:sz w:val="13"/>
          <w:szCs w:val="13"/>
          <w:color w:val="auto"/>
        </w:rPr>
        <w:t>Label expansions achieved in the first quarter of 2022 include approvals in multiple geographies of a booster dose in individuals 12 years and older, which were supported by real-world vaccine efficacy data.</w:t>
      </w:r>
    </w:p>
    <w:p>
      <w:pPr>
        <w:spacing w:after="0" w:line="15" w:lineRule="exact"/>
        <w:rPr>
          <w:sz w:val="20"/>
          <w:szCs w:val="20"/>
          <w:color w:val="auto"/>
        </w:rPr>
      </w:pPr>
    </w:p>
    <w:p>
      <w:pPr>
        <w:jc w:val="both"/>
        <w:spacing w:after="0" w:line="351" w:lineRule="auto"/>
        <w:rPr>
          <w:sz w:val="20"/>
          <w:szCs w:val="20"/>
          <w:color w:val="auto"/>
        </w:rPr>
      </w:pPr>
      <w:r>
        <w:rPr>
          <w:rFonts w:ascii="Arial" w:cs="Arial" w:eastAsia="Arial" w:hAnsi="Arial"/>
          <w:sz w:val="13"/>
          <w:szCs w:val="13"/>
          <w:color w:val="auto"/>
        </w:rPr>
        <w:t>The U.S. Food and Drug Administration (FDA) also expanded the Emergency Use Authorization (EUA) in the first quarter of 2022 to include a second booster (fourth dose) for both individuals aged 50 years and older and individuals aged 12 years and older with certain kinds of immunocompromised conditions, who have previously received a booster of any authorized or approved COVID-19 vaccine.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are continuing a robust booster development program to address waning efficacy and partial escape variants and to provide continued protection by the vaccine.</w:t>
      </w:r>
    </w:p>
    <w:p>
      <w:pPr>
        <w:spacing w:after="0" w:line="130" w:lineRule="exact"/>
        <w:rPr>
          <w:sz w:val="20"/>
          <w:szCs w:val="20"/>
          <w:color w:val="auto"/>
        </w:rPr>
      </w:pPr>
    </w:p>
    <w:p>
      <w:pPr>
        <w:jc w:val="both"/>
        <w:ind w:right="20"/>
        <w:spacing w:after="0" w:line="385" w:lineRule="auto"/>
        <w:rPr>
          <w:sz w:val="20"/>
          <w:szCs w:val="20"/>
          <w:color w:val="auto"/>
        </w:rPr>
      </w:pPr>
      <w:r>
        <w:rPr>
          <w:rFonts w:ascii="Arial" w:cs="Arial" w:eastAsia="Arial" w:hAnsi="Arial"/>
          <w:sz w:val="13"/>
          <w:szCs w:val="13"/>
          <w:color w:val="auto"/>
        </w:rPr>
        <w:t xml:space="preserve">Additionally, BioNTech and Pfizer continue to monitor protection offered by BNT162b2 against emerging SARS-CoV-2 variants. BNT162b2 offers a high level of protection against variants of concern, including Alpha, Beta, and Delta, and laboratory results published in </w:t>
      </w:r>
      <w:r>
        <w:rPr>
          <w:rFonts w:ascii="Arial" w:cs="Arial" w:eastAsia="Arial" w:hAnsi="Arial"/>
          <w:sz w:val="13"/>
          <w:szCs w:val="13"/>
          <w:i w:val="1"/>
          <w:iCs w:val="1"/>
          <w:color w:val="auto"/>
        </w:rPr>
        <w:t>Science</w:t>
      </w:r>
      <w:r>
        <w:rPr>
          <w:rFonts w:ascii="Arial" w:cs="Arial" w:eastAsia="Arial" w:hAnsi="Arial"/>
          <w:sz w:val="13"/>
          <w:szCs w:val="13"/>
          <w:color w:val="auto"/>
        </w:rPr>
        <w:t xml:space="preserve"> demonstrated three doses of BNT162b2 neutralize the SARS-CoV-2 Omicron variant.</w:t>
      </w:r>
    </w:p>
    <w:p>
      <w:pPr>
        <w:spacing w:after="0" w:line="15" w:lineRule="exact"/>
        <w:rPr>
          <w:sz w:val="20"/>
          <w:szCs w:val="20"/>
          <w:color w:val="auto"/>
        </w:rPr>
      </w:pPr>
    </w:p>
    <w:p>
      <w:pPr>
        <w:jc w:val="both"/>
        <w:ind w:right="20"/>
        <w:spacing w:after="0" w:line="351" w:lineRule="auto"/>
        <w:rPr>
          <w:sz w:val="20"/>
          <w:szCs w:val="20"/>
          <w:color w:val="auto"/>
        </w:rPr>
      </w:pPr>
      <w:r>
        <w:rPr>
          <w:rFonts w:ascii="Arial" w:cs="Arial" w:eastAsia="Arial" w:hAnsi="Arial"/>
          <w:sz w:val="13"/>
          <w:szCs w:val="13"/>
          <w:color w:val="auto"/>
        </w:rPr>
        <w:t>Real-world data from Israel suggest a fourth dose of BNT162b2 increases immunogenicity and lowers rates of confirmed infections and severe illness in the elderly population. A real-world study conducted by the Israeli Ministry of Health showed that in individuals over 60 years of age, confirmed infection and severe disease after a fourth dose was lower compared to individuals who did not receive a fourth dose (Bar-On YM, et al MedRxiv. Protection by 4th dose of BNT162b2 against Omicron in Israel; February 1, 2022).</w:t>
      </w:r>
    </w:p>
    <w:p>
      <w:pPr>
        <w:spacing w:after="0" w:line="37" w:lineRule="exact"/>
        <w:rPr>
          <w:sz w:val="20"/>
          <w:szCs w:val="20"/>
          <w:color w:val="auto"/>
        </w:rPr>
      </w:pPr>
    </w:p>
    <w:p>
      <w:pPr>
        <w:jc w:val="both"/>
        <w:spacing w:after="0" w:line="358" w:lineRule="auto"/>
        <w:rPr>
          <w:sz w:val="20"/>
          <w:szCs w:val="20"/>
          <w:color w:val="auto"/>
        </w:rPr>
      </w:pPr>
      <w:r>
        <w:rPr>
          <w:rFonts w:ascii="Arial" w:cs="Arial" w:eastAsia="Arial" w:hAnsi="Arial"/>
          <w:sz w:val="13"/>
          <w:szCs w:val="13"/>
          <w:color w:val="auto"/>
        </w:rPr>
        <w:t>BioNTech and Pfizer are evaluating follow-on COVID-19 vaccines, including an Omicron-adapted candidate and bivalent vaccines directed against the Omicron and other strains of SARS-CoV-2, as well as novel next generation vaccine concepts. The studies are part of the ongoing effort to develop next generation COVID-19 vaccines designed to provide a broad protection against emerging variants of concern.</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1133" w:right="299" w:bottom="1440" w:gutter="0" w:footer="0" w:header="0"/>
        </w:sectPr>
      </w:pPr>
    </w:p>
    <w:bookmarkStart w:id="10" w:name="page11"/>
    <w:bookmarkEnd w:id="10"/>
    <w:p>
      <w:pPr>
        <w:jc w:val="both"/>
        <w:spacing w:after="0" w:line="342" w:lineRule="auto"/>
        <w:rPr>
          <w:sz w:val="20"/>
          <w:szCs w:val="20"/>
          <w:color w:val="auto"/>
        </w:rPr>
      </w:pPr>
      <w:r>
        <w:rPr>
          <w:rFonts w:ascii="Arial" w:cs="Arial" w:eastAsia="Arial" w:hAnsi="Arial"/>
          <w:sz w:val="13"/>
          <w:szCs w:val="13"/>
          <w:color w:val="auto"/>
        </w:rPr>
        <w:t xml:space="preserve">In a recent preprint publication (bioRxiv. Omicron breakthrough infection drives cross-variant neutralization and memory B cell formation; April 1, 2022) BioNTech showed that Omicron breakthrough infection in BNT162b2 vaccinated individuals results in strong neutralizing activity against both Omicron and previous SARS-CoV-2 variants of concern.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analyses of blood sera samples from individuals double- and triple-vaccinated with BNT162b2 demonstrated that Omicron breakthrough infection mediated a broad B cell recall response, primarily through expanded preformed memory B cells that recognize antigens shared broadly by different variants, rather than inducing new B cells against strictly Omicron-specific antigens. These observations suggest that a vaccine adapted to the Omicron strain spike could similarly reshape the B-cell memory repertoire and be more beneficial than an extended series of boosters with the existing vaccines directed against the ancestral strain.</w:t>
      </w:r>
    </w:p>
    <w:p>
      <w:pPr>
        <w:spacing w:after="0" w:line="54" w:lineRule="exact"/>
        <w:rPr>
          <w:sz w:val="20"/>
          <w:szCs w:val="20"/>
          <w:color w:val="auto"/>
        </w:rPr>
      </w:pPr>
    </w:p>
    <w:p>
      <w:pPr>
        <w:jc w:val="both"/>
        <w:ind w:left="420" w:hanging="212"/>
        <w:spacing w:after="0" w:line="344" w:lineRule="auto"/>
        <w:tabs>
          <w:tab w:leader="none" w:pos="412"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In January 2022, BioNTech and Pfizer announced the initiation of clinical trials to evaluate the safety, tolerability, and immunogenicity of an Omicron-adapted vaccine in healthy adults 18 to less than 56 years of age and adults greater than 55 years of age. The study is evaluating approximately 2,150 participants across multiple cohorts examining different regimens of the current COVID-19 vaccine or an Omicron-adapted vaccine in both vaccine experienced and naive subjects. The study also includes cohorts evaluating a bivalent Omicron-adapted vaccine. A data update is now expected in the coming weeks and will be shared with regulatory agencies.</w:t>
      </w:r>
    </w:p>
    <w:p>
      <w:pPr>
        <w:spacing w:after="0" w:line="60" w:lineRule="exact"/>
        <w:rPr>
          <w:rFonts w:ascii="Times New Roman" w:cs="Times New Roman" w:eastAsia="Times New Roman" w:hAnsi="Times New Roman"/>
          <w:sz w:val="13"/>
          <w:szCs w:val="13"/>
          <w:color w:val="auto"/>
        </w:rPr>
      </w:pPr>
    </w:p>
    <w:p>
      <w:pPr>
        <w:jc w:val="both"/>
        <w:ind w:left="420" w:hanging="212"/>
        <w:spacing w:after="0" w:line="341" w:lineRule="auto"/>
        <w:tabs>
          <w:tab w:leader="none" w:pos="416" w:val="left"/>
        </w:tabs>
        <w:numPr>
          <w:ilvl w:val="0"/>
          <w:numId w:val="6"/>
        </w:numPr>
        <w:rPr>
          <w:rFonts w:ascii="Times New Roman" w:cs="Times New Roman" w:eastAsia="Times New Roman" w:hAnsi="Times New Roman"/>
          <w:sz w:val="14"/>
          <w:szCs w:val="14"/>
          <w:color w:val="auto"/>
        </w:rPr>
      </w:pPr>
      <w:r>
        <w:rPr>
          <w:rFonts w:ascii="Arial" w:cs="Arial" w:eastAsia="Arial" w:hAnsi="Arial"/>
          <w:sz w:val="13"/>
          <w:szCs w:val="13"/>
          <w:color w:val="auto"/>
        </w:rPr>
        <w:t>In February 2022, following a request from the U.S. FDA, BioNTech and Pfizer initiated a rolling submission seeking to amend the EUA to include children six months to less than five years of age in response to the urgent public health need in this population. The Phase 1/2/3 trial for this patient population was designed to evaluate safety, tolerability, and immunogenicity. Following study amendments, BioNTech and Pfizer are evaluating a three-dose regimen of 3 µg per dose in children six months to less than five years of age. The data are now expected in the coming weeks.</w:t>
      </w:r>
    </w:p>
    <w:p>
      <w:pPr>
        <w:spacing w:after="0" w:line="43" w:lineRule="exact"/>
        <w:rPr>
          <w:rFonts w:ascii="Times New Roman" w:cs="Times New Roman" w:eastAsia="Times New Roman" w:hAnsi="Times New Roman"/>
          <w:sz w:val="14"/>
          <w:szCs w:val="14"/>
          <w:color w:val="auto"/>
        </w:rPr>
      </w:pPr>
    </w:p>
    <w:p>
      <w:pPr>
        <w:ind w:left="420" w:right="20" w:hanging="212"/>
        <w:spacing w:after="0" w:line="369" w:lineRule="auto"/>
        <w:tabs>
          <w:tab w:leader="none" w:pos="412"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In April 2022, multiple regulatory agencies, including the EMA and U.S. FDA authorized the extension of the shelf-life of the vaccine from nine months to twelve months when stored at -90°C to -60°C.</w:t>
      </w:r>
    </w:p>
    <w:p>
      <w:pPr>
        <w:spacing w:after="0" w:line="25" w:lineRule="exact"/>
        <w:rPr>
          <w:rFonts w:ascii="Times New Roman" w:cs="Times New Roman" w:eastAsia="Times New Roman" w:hAnsi="Times New Roman"/>
          <w:sz w:val="13"/>
          <w:szCs w:val="13"/>
          <w:color w:val="auto"/>
        </w:rPr>
      </w:pPr>
    </w:p>
    <w:p>
      <w:pPr>
        <w:jc w:val="both"/>
        <w:ind w:left="420" w:hanging="212"/>
        <w:spacing w:after="0" w:line="358" w:lineRule="auto"/>
        <w:tabs>
          <w:tab w:leader="none" w:pos="412"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In April 2022, BioNTech and Pfizer announced data from a Phase 2/3 clinical trial demonstrating high immune response following a booster (third) dose of BNT162b2 in 140 healthy children five through 11 years of age. Data demonstrated that a booster dose given approximately six months after the second dose of the 10 µg primary series increased neutralizing antibodies by six-fold against the SARS-CoV-2 wild-type strain compared to levels seen after two doses. Also, data from a</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1124" w:right="299" w:bottom="1440" w:gutter="0" w:footer="0" w:header="0"/>
        </w:sectPr>
      </w:pPr>
    </w:p>
    <w:bookmarkStart w:id="11" w:name="page12"/>
    <w:bookmarkEnd w:id="11"/>
    <w:p>
      <w:pPr>
        <w:ind w:left="420"/>
        <w:spacing w:after="0" w:line="385" w:lineRule="auto"/>
        <w:rPr>
          <w:sz w:val="20"/>
          <w:szCs w:val="20"/>
          <w:color w:val="auto"/>
        </w:rPr>
      </w:pPr>
      <w:r>
        <w:rPr>
          <w:rFonts w:ascii="Arial" w:cs="Arial" w:eastAsia="Arial" w:hAnsi="Arial"/>
          <w:sz w:val="13"/>
          <w:szCs w:val="13"/>
          <w:color w:val="auto"/>
        </w:rPr>
        <w:t>subanalysis of 30 sera showed a 36-fold increase in SARS-CoV-2 Omicron neutralizing titers following a booster dose. The vaccine was well tolerated with no new safety signals observed. The Companies submitted these data to U.S. FDA at the end of April 2022. Additional submissions to other regulatory agencies worldwide are ongoing.</w:t>
      </w:r>
    </w:p>
    <w:p>
      <w:pPr>
        <w:spacing w:after="0" w:line="15" w:lineRule="exact"/>
        <w:rPr>
          <w:sz w:val="20"/>
          <w:szCs w:val="20"/>
          <w:color w:val="auto"/>
        </w:rPr>
      </w:pPr>
    </w:p>
    <w:p>
      <w:pPr>
        <w:ind w:left="420" w:right="20" w:hanging="212"/>
        <w:spacing w:after="0" w:line="370" w:lineRule="auto"/>
        <w:tabs>
          <w:tab w:leader="none" w:pos="41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May 2022, the European Commission approved the reduction of the interval between the primary course and booster vaccination from six months to three months in individuals 12 years of age and older.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Additional Infectious Disease Programs</w:t>
      </w:r>
    </w:p>
    <w:p>
      <w:pPr>
        <w:spacing w:after="0" w:line="130" w:lineRule="exact"/>
        <w:rPr>
          <w:sz w:val="20"/>
          <w:szCs w:val="20"/>
          <w:color w:val="auto"/>
        </w:rPr>
      </w:pPr>
    </w:p>
    <w:p>
      <w:pPr>
        <w:jc w:val="both"/>
        <w:spacing w:after="0" w:line="358" w:lineRule="auto"/>
        <w:rPr>
          <w:sz w:val="20"/>
          <w:szCs w:val="20"/>
          <w:color w:val="auto"/>
        </w:rPr>
      </w:pPr>
      <w:r>
        <w:rPr>
          <w:rFonts w:ascii="Arial" w:cs="Arial" w:eastAsia="Arial" w:hAnsi="Arial"/>
          <w:sz w:val="13"/>
          <w:szCs w:val="13"/>
          <w:color w:val="auto"/>
        </w:rPr>
        <w:t>Prevention and treatment of infectious diseases is a long-term growth pillar for BioNTech, and the Company’s objective is to be a leader in mRNA vaccines for infectious diseases. With investments in multiple programs to address diseases with major impact on global population health and on people in lower income countries, the Company is advancing its pipeline of mRNA vaccines and therapeutics to address multiple high-need indications.</w:t>
      </w:r>
    </w:p>
    <w:p>
      <w:pPr>
        <w:spacing w:after="0" w:line="33" w:lineRule="exact"/>
        <w:rPr>
          <w:sz w:val="20"/>
          <w:szCs w:val="20"/>
          <w:color w:val="auto"/>
        </w:rPr>
      </w:pPr>
    </w:p>
    <w:p>
      <w:pPr>
        <w:jc w:val="both"/>
        <w:spacing w:after="0" w:line="370" w:lineRule="auto"/>
        <w:rPr>
          <w:sz w:val="20"/>
          <w:szCs w:val="20"/>
          <w:color w:val="auto"/>
        </w:rPr>
      </w:pPr>
      <w:r>
        <w:rPr>
          <w:rFonts w:ascii="Arial" w:cs="Arial" w:eastAsia="Arial" w:hAnsi="Arial"/>
          <w:sz w:val="13"/>
          <w:szCs w:val="13"/>
          <w:color w:val="auto"/>
        </w:rPr>
        <w:t>BioNTech is on track to initiate four first-in-human clinical trials in the second half of 2022 that include mRNA-based product candidates designed to address shingles (in collaboration with Pfizer), malaria, tuberculosis and herpes simplex virus type 2 (HSV 2).</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Influenza Vaccine Program</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BioNTech is collaborating with Pfizer to develop an influenza vaccine based on the Company's suite of mRNA platforms.</w:t>
      </w:r>
    </w:p>
    <w:p>
      <w:pPr>
        <w:spacing w:after="0" w:line="139" w:lineRule="exact"/>
        <w:rPr>
          <w:sz w:val="20"/>
          <w:szCs w:val="20"/>
          <w:color w:val="auto"/>
        </w:rPr>
      </w:pPr>
    </w:p>
    <w:p>
      <w:pPr>
        <w:jc w:val="both"/>
        <w:spacing w:after="0" w:line="370" w:lineRule="auto"/>
        <w:rPr>
          <w:sz w:val="20"/>
          <w:szCs w:val="20"/>
          <w:color w:val="auto"/>
        </w:rPr>
      </w:pPr>
      <w:r>
        <w:rPr>
          <w:rFonts w:ascii="Arial" w:cs="Arial" w:eastAsia="Arial" w:hAnsi="Arial"/>
          <w:sz w:val="13"/>
          <w:szCs w:val="13"/>
          <w:color w:val="auto"/>
        </w:rPr>
        <w:t>A Phase 1 trial to evaluate BNT161, an mRNA vaccine candidate, is ongoing and a dose-finding study for a self-amplifying RNA (saRNA) vaccine candidate is planned. A data update is expected in 2022.</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Oncology</w:t>
      </w:r>
    </w:p>
    <w:p>
      <w:pPr>
        <w:spacing w:after="0" w:line="130" w:lineRule="exact"/>
        <w:rPr>
          <w:sz w:val="20"/>
          <w:szCs w:val="20"/>
          <w:color w:val="auto"/>
        </w:rPr>
      </w:pPr>
    </w:p>
    <w:p>
      <w:pPr>
        <w:jc w:val="both"/>
        <w:spacing w:after="0" w:line="354" w:lineRule="auto"/>
        <w:rPr>
          <w:sz w:val="20"/>
          <w:szCs w:val="20"/>
          <w:color w:val="auto"/>
        </w:rPr>
      </w:pPr>
      <w:r>
        <w:rPr>
          <w:rFonts w:ascii="Arial" w:cs="Arial" w:eastAsia="Arial" w:hAnsi="Arial"/>
          <w:sz w:val="13"/>
          <w:szCs w:val="13"/>
          <w:color w:val="auto"/>
        </w:rPr>
        <w:t>BioNTech’s immuno-oncology strategy is based on pioneering approaches that harness the immune response to treat cancer. BioNTech has multiple clinical stage assets across different therapeutic classes which may have the potential to tackle tumors using complementary strategies, either by targeting tumor cells directly, or by modulating the immune response against the tumor. The Company’s oncology pillars include mRNA therapeutic vaccines, CAR-T immunotherapies, cell therapies, individualized neoantigen specific immunotherapies</w:t>
      </w:r>
      <w:r>
        <w:rPr>
          <w:rFonts w:ascii="Arial" w:cs="Arial" w:eastAsia="Arial" w:hAnsi="Arial"/>
          <w:sz w:val="14"/>
          <w:szCs w:val="14"/>
          <w:i w:val="1"/>
          <w:iCs w:val="1"/>
          <w:color w:val="auto"/>
        </w:rPr>
        <w:t>,</w:t>
      </w:r>
      <w:r>
        <w:rPr>
          <w:rFonts w:ascii="Arial" w:cs="Arial" w:eastAsia="Arial" w:hAnsi="Arial"/>
          <w:sz w:val="13"/>
          <w:szCs w:val="13"/>
          <w:color w:val="auto"/>
        </w:rPr>
        <w:t xml:space="preserve"> RiboMabs, next-generation checkpoint immunomodulators, anti-tumor antibodies and small molecules. Many product candidates have the potential to be combined with other pipeline assets or already approved therapies.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1124" w:right="299" w:bottom="1440" w:gutter="0" w:footer="0" w:header="0"/>
        </w:sectPr>
      </w:pPr>
    </w:p>
    <w:bookmarkStart w:id="12" w:name="page13"/>
    <w:bookmarkEnd w:id="12"/>
    <w:p>
      <w:pPr>
        <w:jc w:val="both"/>
        <w:spacing w:after="0" w:line="358" w:lineRule="auto"/>
        <w:rPr>
          <w:sz w:val="20"/>
          <w:szCs w:val="20"/>
          <w:color w:val="auto"/>
        </w:rPr>
      </w:pPr>
      <w:r>
        <w:rPr>
          <w:rFonts w:ascii="Arial" w:cs="Arial" w:eastAsia="Arial" w:hAnsi="Arial"/>
          <w:sz w:val="13"/>
          <w:szCs w:val="13"/>
          <w:color w:val="auto"/>
        </w:rPr>
        <w:t>This diverse toolkit of different technologies and modes of action has the potential to address a broad range of solid tumors in different disease stages, using both off-the-shelf and individualized approaches. For its antigen-specific immune therapies, BioNTech has assembled libraries of more than 300 proprietary or known shared antigens and has developed predictive algorithms capable of efficiently identifying multiple neoantigens on an individualized basis for any patient.</w:t>
      </w:r>
    </w:p>
    <w:p>
      <w:pPr>
        <w:spacing w:after="0" w:line="33" w:lineRule="exact"/>
        <w:rPr>
          <w:sz w:val="20"/>
          <w:szCs w:val="20"/>
          <w:color w:val="auto"/>
        </w:rPr>
      </w:pPr>
    </w:p>
    <w:p>
      <w:pPr>
        <w:jc w:val="both"/>
        <w:spacing w:after="0" w:line="349" w:lineRule="auto"/>
        <w:rPr>
          <w:sz w:val="20"/>
          <w:szCs w:val="20"/>
          <w:color w:val="auto"/>
        </w:rPr>
      </w:pPr>
      <w:r>
        <w:rPr>
          <w:rFonts w:ascii="Arial" w:cs="Arial" w:eastAsia="Arial" w:hAnsi="Arial"/>
          <w:sz w:val="13"/>
          <w:szCs w:val="13"/>
          <w:color w:val="auto"/>
        </w:rPr>
        <w:t>BioNTech’s clinical stage oncology pipeline includes a total of 16 product candidates in 20 ongoing clinical trials including five now in randomized Phase 2 clinical trials: two FixVac programs (BNT111 and BNT113), two indications for the iNeST product candidate autogene cevumeran (BNT122/RO7198457), and the bispecific antibody checkpoint immunomodulator BNT311 (GEN1046). BioNTech’s first-in-human trial of the Company’s novel CAR-T cell therapy candidate, BNT211, is continuing to show encouraging clinical data, an important proof-point of the Company’s scientific innovation engine.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BioNTech expects continued pipeline advancement and expansion, as well as further data readouts from the ongoing trials, in 2022.</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mRNA programs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FixVac</w:t>
      </w:r>
    </w:p>
    <w:p>
      <w:pPr>
        <w:spacing w:after="0" w:line="130" w:lineRule="exact"/>
        <w:rPr>
          <w:sz w:val="20"/>
          <w:szCs w:val="20"/>
          <w:color w:val="auto"/>
        </w:rPr>
      </w:pPr>
    </w:p>
    <w:p>
      <w:pPr>
        <w:jc w:val="both"/>
        <w:ind w:hanging="1"/>
        <w:spacing w:after="0" w:line="358" w:lineRule="auto"/>
        <w:rPr>
          <w:sz w:val="20"/>
          <w:szCs w:val="20"/>
          <w:color w:val="auto"/>
        </w:rPr>
      </w:pPr>
      <w:r>
        <w:rPr>
          <w:rFonts w:ascii="Arial" w:cs="Arial" w:eastAsia="Arial" w:hAnsi="Arial"/>
          <w:sz w:val="13"/>
          <w:szCs w:val="13"/>
          <w:color w:val="auto"/>
        </w:rPr>
        <w:t>BioNTech’s off-the-shelf cancer immunotherapy approach, FixVac, leverages the Company's proprietary uridine mRNA (uRNA) backbone that encodes cancer-specific shared antigens for intravenous administration using the proprietary RNA-LPX formulation and is optimized for induction of strong antigen-specific immune responses. FixVac product candidates may be of clinical utility in combination with anti-PD1 in patients with a lower mutational burden tumors, including those who have already experienced checkpoint inhibitor (CPI) therapy.</w:t>
      </w:r>
    </w:p>
    <w:p>
      <w:pPr>
        <w:spacing w:after="0" w:line="33" w:lineRule="exact"/>
        <w:rPr>
          <w:sz w:val="20"/>
          <w:szCs w:val="20"/>
          <w:color w:val="auto"/>
        </w:rPr>
      </w:pPr>
    </w:p>
    <w:p>
      <w:pPr>
        <w:jc w:val="both"/>
        <w:ind w:hanging="1"/>
        <w:spacing w:after="0" w:line="370" w:lineRule="auto"/>
        <w:rPr>
          <w:sz w:val="20"/>
          <w:szCs w:val="20"/>
          <w:color w:val="auto"/>
        </w:rPr>
      </w:pPr>
      <w:r>
        <w:rPr>
          <w:rFonts w:ascii="Arial" w:cs="Arial" w:eastAsia="Arial" w:hAnsi="Arial"/>
          <w:sz w:val="13"/>
          <w:szCs w:val="13"/>
          <w:color w:val="auto"/>
        </w:rPr>
        <w:t>Two FixVac programs are in ongoing Phase 2 trials: BNT111 in PD1 inhibitor refractory/relapsed melanoma (in collaboration with Regeneron) and BNT113 in HPV16+ PDL1+ head and neck cancer.</w:t>
      </w:r>
    </w:p>
    <w:p>
      <w:pPr>
        <w:spacing w:after="0" w:line="43"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3"/>
          <w:szCs w:val="13"/>
          <w:color w:val="auto"/>
        </w:rPr>
        <w:t>BNT116 – The first-in-human clinical trial to evaluate the safety, tolerability and preliminary efficacy of BNT116 is expected to be initiated in the second half of 2022.</w:t>
      </w:r>
    </w:p>
    <w:p>
      <w:pPr>
        <w:spacing w:after="0" w:line="118" w:lineRule="exact"/>
        <w:rPr>
          <w:rFonts w:ascii="Times New Roman" w:cs="Times New Roman" w:eastAsia="Times New Roman" w:hAnsi="Times New Roman"/>
          <w:sz w:val="14"/>
          <w:szCs w:val="14"/>
          <w:color w:val="auto"/>
        </w:rPr>
      </w:pPr>
    </w:p>
    <w:p>
      <w:pPr>
        <w:ind w:left="420"/>
        <w:spacing w:after="0" w:line="370" w:lineRule="auto"/>
        <w:rPr>
          <w:rFonts w:ascii="Times New Roman" w:cs="Times New Roman" w:eastAsia="Times New Roman" w:hAnsi="Times New Roman"/>
          <w:sz w:val="14"/>
          <w:szCs w:val="14"/>
          <w:color w:val="auto"/>
        </w:rPr>
      </w:pPr>
      <w:r>
        <w:rPr>
          <w:rFonts w:ascii="Arial" w:cs="Arial" w:eastAsia="Arial" w:hAnsi="Arial"/>
          <w:sz w:val="13"/>
          <w:szCs w:val="13"/>
          <w:color w:val="auto"/>
        </w:rPr>
        <w:t>In March 2022, BioNTech announced the expansion of its strategic collaboration with Regeneron. Under the agreement, the combination of BNT116 and Libtayo is expected to be advanced into clinical development for the treatment of advanced non-small-cell lung cancer (NSCLC).</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Individualized neoantigen specific immunotherapy (iNeST)</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1124" w:right="299" w:bottom="1440" w:gutter="0" w:footer="0" w:header="0"/>
        </w:sectPr>
      </w:pPr>
    </w:p>
    <w:bookmarkStart w:id="13" w:name="page14"/>
    <w:bookmarkEnd w:id="13"/>
    <w:p>
      <w:pPr>
        <w:spacing w:after="0" w:line="385" w:lineRule="auto"/>
        <w:rPr>
          <w:sz w:val="20"/>
          <w:szCs w:val="20"/>
          <w:color w:val="auto"/>
        </w:rPr>
      </w:pPr>
      <w:r>
        <w:rPr>
          <w:rFonts w:ascii="Arial" w:cs="Arial" w:eastAsia="Arial" w:hAnsi="Arial"/>
          <w:sz w:val="13"/>
          <w:szCs w:val="13"/>
          <w:color w:val="auto"/>
        </w:rPr>
        <w:t>BioNTech's individualized cancer immunotherapy approach (iNeST) is also based on pharmacologically optimized uridine mRNA (uRNA) backbone delivered in the Company’s proprietary RNA-LPX formulation.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BioNTech’s lead iNeST product candidate, autogene cevumeran (BNT122), is being developed together with Genentech as part of a co-development and co-commercialization collaboration.</w:t>
      </w:r>
    </w:p>
    <w:p>
      <w:pPr>
        <w:spacing w:after="0" w:line="137" w:lineRule="exact"/>
        <w:rPr>
          <w:sz w:val="20"/>
          <w:szCs w:val="20"/>
          <w:color w:val="auto"/>
        </w:rPr>
      </w:pPr>
    </w:p>
    <w:p>
      <w:pPr>
        <w:spacing w:after="0" w:line="369" w:lineRule="auto"/>
        <w:rPr>
          <w:sz w:val="20"/>
          <w:szCs w:val="20"/>
          <w:color w:val="auto"/>
        </w:rPr>
      </w:pPr>
      <w:r>
        <w:rPr>
          <w:rFonts w:ascii="Arial" w:cs="Arial" w:eastAsia="Arial" w:hAnsi="Arial"/>
          <w:sz w:val="13"/>
          <w:szCs w:val="13"/>
          <w:color w:val="auto"/>
        </w:rPr>
        <w:t xml:space="preserve">Individual mRNA cancer vaccines encode the patient’s own tumor mutations, against which neoantigen specific CD4 and CD8 T cell responses are generated </w:t>
      </w:r>
      <w:r>
        <w:rPr>
          <w:rFonts w:ascii="Arial" w:cs="Arial" w:eastAsia="Arial" w:hAnsi="Arial"/>
          <w:sz w:val="13"/>
          <w:szCs w:val="13"/>
          <w:i w:val="1"/>
          <w:iCs w:val="1"/>
          <w:color w:val="auto"/>
        </w:rPr>
        <w:t>in vivo</w:t>
      </w:r>
      <w:r>
        <w:rPr>
          <w:rFonts w:ascii="Arial" w:cs="Arial" w:eastAsia="Arial" w:hAnsi="Arial"/>
          <w:sz w:val="14"/>
          <w:szCs w:val="14"/>
          <w:i w:val="1"/>
          <w:iCs w:val="1"/>
          <w:color w:val="auto"/>
        </w:rPr>
        <w:t>.</w:t>
      </w:r>
      <w:r>
        <w:rPr>
          <w:rFonts w:ascii="Arial" w:cs="Arial" w:eastAsia="Arial" w:hAnsi="Arial"/>
          <w:sz w:val="13"/>
          <w:szCs w:val="13"/>
          <w:color w:val="auto"/>
        </w:rPr>
        <w:t xml:space="preserve"> BioNTech believes this modality is well-suited for use in early-stage cancers and the adjuvant setting.</w:t>
      </w:r>
    </w:p>
    <w:p>
      <w:pPr>
        <w:spacing w:after="0" w:line="38" w:lineRule="exact"/>
        <w:rPr>
          <w:sz w:val="20"/>
          <w:szCs w:val="20"/>
          <w:color w:val="auto"/>
        </w:rPr>
      </w:pPr>
    </w:p>
    <w:p>
      <w:pPr>
        <w:jc w:val="both"/>
        <w:ind w:left="420" w:hanging="212"/>
        <w:spacing w:after="0" w:line="345" w:lineRule="auto"/>
        <w:tabs>
          <w:tab w:leader="none" w:pos="416" w:val="left"/>
        </w:tabs>
        <w:numPr>
          <w:ilvl w:val="0"/>
          <w:numId w:val="9"/>
        </w:numPr>
        <w:rPr>
          <w:rFonts w:ascii="Arial" w:cs="Arial" w:eastAsia="Arial" w:hAnsi="Arial"/>
          <w:sz w:val="14"/>
          <w:szCs w:val="14"/>
          <w:color w:val="auto"/>
        </w:rPr>
      </w:pPr>
      <w:r>
        <w:rPr>
          <w:rFonts w:ascii="Arial" w:cs="Arial" w:eastAsia="Arial" w:hAnsi="Arial"/>
          <w:sz w:val="13"/>
          <w:szCs w:val="13"/>
          <w:color w:val="auto"/>
        </w:rPr>
        <w:t>A randomized Phase 2 trial of autogene cevumeran in the adjuvant treatment of circulating tumor DNA (ctDNA) positive, surgically resected Stage II (high-risk)/Stage III colorectal cancer is ongoing. The trial is expected to enroll about 200 patients to evaluate the efficacy of autogene cevumeran compared to watchful waiting after surgery and chemotherapy, the current standard of care for these high-risk patients.</w:t>
      </w:r>
    </w:p>
    <w:p>
      <w:pPr>
        <w:spacing w:after="0" w:line="58" w:lineRule="exact"/>
        <w:rPr>
          <w:rFonts w:ascii="Arial" w:cs="Arial" w:eastAsia="Arial" w:hAnsi="Arial"/>
          <w:sz w:val="14"/>
          <w:szCs w:val="14"/>
          <w:color w:val="auto"/>
        </w:rPr>
      </w:pPr>
    </w:p>
    <w:p>
      <w:pPr>
        <w:ind w:left="420" w:right="20" w:hanging="212"/>
        <w:spacing w:after="0" w:line="352" w:lineRule="auto"/>
        <w:tabs>
          <w:tab w:leader="none" w:pos="416" w:val="left"/>
        </w:tabs>
        <w:numPr>
          <w:ilvl w:val="0"/>
          <w:numId w:val="9"/>
        </w:numPr>
        <w:rPr>
          <w:rFonts w:ascii="Arial" w:cs="Arial" w:eastAsia="Arial" w:hAnsi="Arial"/>
          <w:sz w:val="14"/>
          <w:szCs w:val="14"/>
          <w:color w:val="auto"/>
        </w:rPr>
      </w:pPr>
      <w:r>
        <w:rPr>
          <w:rFonts w:ascii="Arial" w:cs="Arial" w:eastAsia="Arial" w:hAnsi="Arial"/>
          <w:sz w:val="13"/>
          <w:szCs w:val="13"/>
          <w:color w:val="auto"/>
        </w:rPr>
        <w:t>A data update from the ongoing randomized Phase 2 trial of autogene cevumeran combined with pembrolizumab in patients with 1L metastatic melanoma is expected in the second half of 2022.</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RiboMabs</w:t>
      </w:r>
    </w:p>
    <w:p>
      <w:pPr>
        <w:spacing w:after="0" w:line="139" w:lineRule="exact"/>
        <w:rPr>
          <w:sz w:val="20"/>
          <w:szCs w:val="20"/>
          <w:color w:val="auto"/>
        </w:rPr>
      </w:pPr>
    </w:p>
    <w:p>
      <w:pPr>
        <w:jc w:val="both"/>
        <w:spacing w:after="0" w:line="351" w:lineRule="auto"/>
        <w:rPr>
          <w:sz w:val="20"/>
          <w:szCs w:val="20"/>
          <w:color w:val="auto"/>
        </w:rPr>
      </w:pPr>
      <w:r>
        <w:rPr>
          <w:rFonts w:ascii="Arial" w:cs="Arial" w:eastAsia="Arial" w:hAnsi="Arial"/>
          <w:sz w:val="13"/>
          <w:szCs w:val="13"/>
          <w:color w:val="auto"/>
        </w:rPr>
        <w:t>BioNTech’s RiboMab product candidates, BNT141 and BNT142, are designed to encode cancer cell targeting antibodies. These product candidates leverage the Company’s proprietary optimized mRNA technology combining nucleoside modifications to minimize immunogenicity with modifications in the mRNA backbone to maximize protein expression. RiboMabs may address the limitations of recombinant antibodies, including avoidance of protein manufacturing challenges and short plasma half-life.</w:t>
      </w:r>
    </w:p>
    <w:p>
      <w:pPr>
        <w:spacing w:after="0" w:line="55"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3"/>
          <w:szCs w:val="13"/>
          <w:color w:val="auto"/>
        </w:rPr>
        <w:t>BNT141 encodes an antibody targeting Claudin-18.2, expressed in high unmet medical need tumors, including multiple epithelial solid tumors, such as gastric and pancreatic cancers.</w:t>
      </w:r>
    </w:p>
    <w:p>
      <w:pPr>
        <w:spacing w:after="0" w:line="118" w:lineRule="exact"/>
        <w:rPr>
          <w:rFonts w:ascii="Arial" w:cs="Arial" w:eastAsia="Arial" w:hAnsi="Arial"/>
          <w:sz w:val="14"/>
          <w:szCs w:val="14"/>
          <w:color w:val="auto"/>
        </w:rPr>
      </w:pPr>
    </w:p>
    <w:p>
      <w:pPr>
        <w:ind w:left="420"/>
        <w:spacing w:after="0" w:line="385" w:lineRule="auto"/>
        <w:rPr>
          <w:rFonts w:ascii="Arial" w:cs="Arial" w:eastAsia="Arial" w:hAnsi="Arial"/>
          <w:sz w:val="14"/>
          <w:szCs w:val="14"/>
          <w:color w:val="auto"/>
        </w:rPr>
      </w:pPr>
      <w:r>
        <w:rPr>
          <w:rFonts w:ascii="Arial" w:cs="Arial" w:eastAsia="Arial" w:hAnsi="Arial"/>
          <w:sz w:val="13"/>
          <w:szCs w:val="13"/>
          <w:color w:val="auto"/>
        </w:rPr>
        <w:t>In January 2022, the first participant was dosed in an open-label, multi-site Phase 1/2 dose escalation, safety, and pharmacokinetic trial of BNT141 followed by expansion cohorts in patients with Claudin (CLDN)-18.2-positive tumors.</w:t>
      </w:r>
    </w:p>
    <w:p>
      <w:pPr>
        <w:spacing w:after="0" w:line="33" w:lineRule="exact"/>
        <w:rPr>
          <w:rFonts w:ascii="Arial" w:cs="Arial" w:eastAsia="Arial" w:hAnsi="Arial"/>
          <w:sz w:val="14"/>
          <w:szCs w:val="14"/>
          <w:color w:val="auto"/>
        </w:rPr>
      </w:pPr>
    </w:p>
    <w:p>
      <w:pPr>
        <w:ind w:left="420" w:right="300" w:hanging="212"/>
        <w:spacing w:after="0" w:line="467" w:lineRule="auto"/>
        <w:tabs>
          <w:tab w:leader="none" w:pos="416" w:val="left"/>
        </w:tabs>
        <w:numPr>
          <w:ilvl w:val="0"/>
          <w:numId w:val="10"/>
        </w:numPr>
        <w:rPr>
          <w:rFonts w:ascii="Arial" w:cs="Arial" w:eastAsia="Arial" w:hAnsi="Arial"/>
          <w:sz w:val="14"/>
          <w:szCs w:val="14"/>
          <w:color w:val="auto"/>
        </w:rPr>
      </w:pPr>
      <w:r>
        <w:rPr>
          <w:rFonts w:ascii="Arial" w:cs="Arial" w:eastAsia="Arial" w:hAnsi="Arial"/>
          <w:sz w:val="13"/>
          <w:szCs w:val="13"/>
          <w:color w:val="auto"/>
        </w:rPr>
        <w:t>BNT142 encodes a bispecific T cell engaging antibody that targets CD3, a T cell receptor component, and Claudin-6 (CLDN6), an oncofetal cell surface antigen found in solid tumors. BioNTech plans to start a Phase 1 clinical trial for BNT142 in the first half of 2022.</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1124" w:right="29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Cell therapies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CAR-T cell immunotherapy</w:t>
      </w:r>
    </w:p>
    <w:p>
      <w:pPr>
        <w:spacing w:after="0" w:line="148" w:lineRule="exact"/>
        <w:rPr>
          <w:sz w:val="20"/>
          <w:szCs w:val="20"/>
          <w:color w:val="auto"/>
        </w:rPr>
      </w:pPr>
    </w:p>
    <w:p>
      <w:pPr>
        <w:jc w:val="both"/>
        <w:spacing w:after="0" w:line="345" w:lineRule="auto"/>
        <w:rPr>
          <w:sz w:val="20"/>
          <w:szCs w:val="20"/>
          <w:color w:val="auto"/>
        </w:rPr>
      </w:pPr>
      <w:r>
        <w:rPr>
          <w:rFonts w:ascii="Arial" w:cs="Arial" w:eastAsia="Arial" w:hAnsi="Arial"/>
          <w:sz w:val="13"/>
          <w:szCs w:val="13"/>
          <w:color w:val="auto"/>
        </w:rPr>
        <w:t xml:space="preserve">BNT211, BioNTech’s first chimeric antigen receptor, or CAR-T cell product candidate, targets CLDN6-positive solid tumors in combination with a CAR-T cell-amplifying RNA-vaccine, or CARVac, encoding CLDN6. CARVac is also based on pharmacologically optimized uridine mRNA (uRNA) backbone delivered in the Company’s proprietary RNA-LPX formulation. CLDN-6 CAR-T cells are equipped with a second-generation CAR of high sensitivity and specificity for the tumor-specific carcino-embryonic antigen CLDN6. CARVac drives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expansion of transferred CAR-T cells, increasing their persistence and efficacy. BNT211 is designed to overcome CAR-T cell therapy limitations in patients with solid tumors.</w:t>
      </w:r>
    </w:p>
    <w:p>
      <w:pPr>
        <w:spacing w:after="0" w:line="67"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3"/>
          <w:szCs w:val="13"/>
          <w:color w:val="auto"/>
        </w:rPr>
        <w:t>BNT211 – A Phase 1/2 open-label dose escalation and dose expansion trial evaluating BNT211 in patients with CLDN6-positive solid tumors is ongoing.</w:t>
      </w:r>
    </w:p>
    <w:p>
      <w:pPr>
        <w:spacing w:after="0" w:line="123" w:lineRule="exact"/>
        <w:rPr>
          <w:rFonts w:ascii="Arial" w:cs="Arial" w:eastAsia="Arial" w:hAnsi="Arial"/>
          <w:sz w:val="14"/>
          <w:szCs w:val="14"/>
          <w:color w:val="auto"/>
        </w:rPr>
      </w:pPr>
    </w:p>
    <w:p>
      <w:pPr>
        <w:jc w:val="both"/>
        <w:ind w:left="420"/>
        <w:spacing w:after="0" w:line="347" w:lineRule="auto"/>
        <w:rPr>
          <w:rFonts w:ascii="Arial" w:cs="Arial" w:eastAsia="Arial" w:hAnsi="Arial"/>
          <w:sz w:val="14"/>
          <w:szCs w:val="14"/>
          <w:color w:val="auto"/>
        </w:rPr>
      </w:pPr>
      <w:r>
        <w:rPr>
          <w:rFonts w:ascii="Arial" w:cs="Arial" w:eastAsia="Arial" w:hAnsi="Arial"/>
          <w:sz w:val="13"/>
          <w:szCs w:val="13"/>
          <w:color w:val="auto"/>
        </w:rPr>
        <w:t>Data from the ongoing trial were presented at the American Association for Cancer Research (AACR) Conference 2022</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The presentation included data from 16 patients who received CLDN6 CAR-T cells at two dose levels alone or combined with CARVac. Tumor indications included testicular cancer (eight patients), ovarian cancer (four patients), endometrial cancer, fallopian tube cancer, sarcoma, and gastric cancer (one patient each).</w:t>
      </w:r>
    </w:p>
    <w:p>
      <w:pPr>
        <w:spacing w:after="0" w:line="39"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3"/>
          <w:szCs w:val="13"/>
          <w:color w:val="auto"/>
        </w:rPr>
        <w:t>The preliminary efficacy data showed encouraging signs of clinical activity with a disease control rate of 86% and an overall response rate of 43%. All 16 patients showed robust CAR-T</w:t>
      </w:r>
    </w:p>
    <w:p>
      <w:pPr>
        <w:spacing w:after="0" w:line="66" w:lineRule="exact"/>
        <w:rPr>
          <w:rFonts w:ascii="Arial" w:cs="Arial" w:eastAsia="Arial" w:hAnsi="Arial"/>
          <w:sz w:val="14"/>
          <w:szCs w:val="14"/>
          <w:color w:val="auto"/>
        </w:rPr>
      </w:pPr>
    </w:p>
    <w:p>
      <w:pPr>
        <w:jc w:val="both"/>
        <w:ind w:left="420"/>
        <w:spacing w:after="0" w:line="323" w:lineRule="auto"/>
        <w:rPr>
          <w:rFonts w:ascii="Arial" w:cs="Arial" w:eastAsia="Arial" w:hAnsi="Arial"/>
          <w:sz w:val="14"/>
          <w:szCs w:val="14"/>
          <w:color w:val="auto"/>
        </w:rPr>
      </w:pPr>
      <w:r>
        <w:rPr>
          <w:rFonts w:ascii="Arial" w:cs="Arial" w:eastAsia="Arial" w:hAnsi="Arial"/>
          <w:sz w:val="13"/>
          <w:szCs w:val="13"/>
          <w:color w:val="auto"/>
        </w:rPr>
        <w:t>cell engraftment with peak expansion 10 to 17 days after infusion reaching cell frequencies of 10</w:t>
      </w:r>
      <w:r>
        <w:rPr>
          <w:rFonts w:ascii="Arial" w:cs="Arial" w:eastAsia="Arial" w:hAnsi="Arial"/>
          <w:sz w:val="17"/>
          <w:szCs w:val="17"/>
          <w:color w:val="auto"/>
          <w:vertAlign w:val="superscript"/>
        </w:rPr>
        <w:t>9</w:t>
      </w:r>
      <w:r>
        <w:rPr>
          <w:rFonts w:ascii="Arial" w:cs="Arial" w:eastAsia="Arial" w:hAnsi="Arial"/>
          <w:sz w:val="13"/>
          <w:szCs w:val="13"/>
          <w:color w:val="auto"/>
        </w:rPr>
        <w:t xml:space="preserve"> total cell counts or above at the higher dose level. At the first efficacy assessment six weeks post infusion, six of 14 evaluable patients showed a partial response, or PR, and five patients had stable disease, or SD, with shrinkage of target lesions. Responses were seen in four testicular and two ovarian cancer patients. At 12 weeks, four of the six patients with a PR showed deepening and durability of responses with one patient reaching a complete response 18 weeks after infusion. All four testicular cancer patients in the higher dose level had disease control and three of these patients showed objective responses. In addition, one testicular cancer patient showed partial response after infusion of the lowest CAR-T dose level in combination with CARVac. Antitumor activity tended to be higher at the higher CAR-T dose and when combined with the vaccine, with four of five patients in the CARVac combination group showing a partial response.</w:t>
      </w:r>
    </w:p>
    <w:p>
      <w:pPr>
        <w:spacing w:after="0" w:line="53" w:lineRule="exact"/>
        <w:rPr>
          <w:rFonts w:ascii="Arial" w:cs="Arial" w:eastAsia="Arial" w:hAnsi="Arial"/>
          <w:sz w:val="14"/>
          <w:szCs w:val="14"/>
          <w:color w:val="auto"/>
        </w:rPr>
      </w:pPr>
    </w:p>
    <w:p>
      <w:pPr>
        <w:ind w:left="420" w:right="3580"/>
        <w:spacing w:after="0" w:line="486" w:lineRule="auto"/>
        <w:rPr>
          <w:rFonts w:ascii="Arial" w:cs="Arial" w:eastAsia="Arial" w:hAnsi="Arial"/>
          <w:sz w:val="14"/>
          <w:szCs w:val="14"/>
          <w:color w:val="auto"/>
        </w:rPr>
      </w:pPr>
      <w:r>
        <w:rPr>
          <w:rFonts w:ascii="Arial" w:cs="Arial" w:eastAsia="Arial" w:hAnsi="Arial"/>
          <w:sz w:val="13"/>
          <w:szCs w:val="13"/>
          <w:color w:val="auto"/>
        </w:rPr>
        <w:t>The results also demonstrated an encouraging safety profile as adverse events and dose limiting toxicities were manageable. Another data update from the ongoing Phase 1/2 trial is expected in the second half of 2022.</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1124" w:right="29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Corporate Updates</w:t>
      </w:r>
    </w:p>
    <w:p>
      <w:pPr>
        <w:spacing w:after="0" w:line="139" w:lineRule="exact"/>
        <w:rPr>
          <w:sz w:val="20"/>
          <w:szCs w:val="20"/>
          <w:color w:val="auto"/>
        </w:rPr>
      </w:pPr>
    </w:p>
    <w:p>
      <w:pPr>
        <w:jc w:val="both"/>
        <w:spacing w:after="0" w:line="345" w:lineRule="auto"/>
        <w:rPr>
          <w:sz w:val="20"/>
          <w:szCs w:val="20"/>
          <w:color w:val="auto"/>
        </w:rPr>
      </w:pPr>
      <w:r>
        <w:rPr>
          <w:rFonts w:ascii="Arial" w:cs="Arial" w:eastAsia="Arial" w:hAnsi="Arial"/>
          <w:sz w:val="13"/>
          <w:szCs w:val="13"/>
          <w:color w:val="auto"/>
        </w:rPr>
        <w:t>A key component of BioNTech’s corporate strategy is strengthening the Company’s technology platforms, digital capabilities and infrastructure through select strategic partnerships and acquisitions. In the first quarter of 2022, BioNTech entered into several new collaborations and research agreements. These included a collaboration with InstaDeep Ltd. to develop an early warning system for new SARS-CoV-2 variants, a multi-target discovery collaboration with Crescendo Biologics Ltd., and an asset purchase and option agreement with MediGene AG to develop novel T cell receptor-based immunotherapies against cancer.</w:t>
      </w:r>
    </w:p>
    <w:p>
      <w:pPr>
        <w:spacing w:after="0" w:line="40" w:lineRule="exact"/>
        <w:rPr>
          <w:sz w:val="20"/>
          <w:szCs w:val="20"/>
          <w:color w:val="auto"/>
        </w:rPr>
      </w:pPr>
    </w:p>
    <w:p>
      <w:pPr>
        <w:jc w:val="both"/>
        <w:ind w:left="420" w:hanging="212"/>
        <w:spacing w:after="0" w:line="358" w:lineRule="auto"/>
        <w:tabs>
          <w:tab w:leader="none" w:pos="412"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April 2022, BioNTech was granted a pandemic preparedness contract by the Federal Republic of Germany. The framework agreement is aimed at pandemic preparedness including manufacturing and supply of mRNA vaccines in emergency situations in Germany. Under the preparedness agreement, which has an initial term of five years, BioNTech will reserve and maintain manufacturing capabilities to produce at least 80 million mRNA-based vaccine doses per year.</w:t>
      </w:r>
    </w:p>
    <w:p>
      <w:pPr>
        <w:spacing w:after="0" w:line="33" w:lineRule="exact"/>
        <w:rPr>
          <w:rFonts w:ascii="Arial" w:cs="Arial" w:eastAsia="Arial" w:hAnsi="Arial"/>
          <w:sz w:val="13"/>
          <w:szCs w:val="13"/>
          <w:color w:val="auto"/>
        </w:rPr>
      </w:pPr>
    </w:p>
    <w:p>
      <w:pPr>
        <w:ind w:left="420" w:hanging="212"/>
        <w:spacing w:after="0" w:line="370" w:lineRule="auto"/>
        <w:tabs>
          <w:tab w:leader="none" w:pos="412"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April 2022, BioNTech entered into an exclusive research collaboration with Matinas Biopharma to evaluate the combination of mRNA formats and Matinas’ proprietary Lipid Nanocrystal, or LNC, platform technology, including a potential formulation for oral vaccines.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Social, and Governance (ESG)</w:t>
      </w:r>
    </w:p>
    <w:p>
      <w:pPr>
        <w:spacing w:after="0" w:line="130" w:lineRule="exact"/>
        <w:rPr>
          <w:sz w:val="20"/>
          <w:szCs w:val="20"/>
          <w:color w:val="auto"/>
        </w:rPr>
      </w:pPr>
    </w:p>
    <w:p>
      <w:pPr>
        <w:jc w:val="both"/>
        <w:spacing w:after="0" w:line="358" w:lineRule="auto"/>
        <w:rPr>
          <w:sz w:val="20"/>
          <w:szCs w:val="20"/>
          <w:color w:val="auto"/>
        </w:rPr>
      </w:pPr>
      <w:r>
        <w:rPr>
          <w:rFonts w:ascii="Arial" w:cs="Arial" w:eastAsia="Arial" w:hAnsi="Arial"/>
          <w:sz w:val="13"/>
          <w:szCs w:val="13"/>
          <w:color w:val="auto"/>
        </w:rPr>
        <w:t>BioNTech’s commitment to social responsibility, responsible governance, environmental and climate protection, respecting human rights, and providing equitable access to medicines is intrinsic to the vision of the Company. This commitment is best demonstrated through the Company's efforts to democratize access to innovative medicines. In addition to the COVID-19 vaccine pledge to low and middle income countries, the Company is also addressing high medical need diseases such as malaria and tuberculosis that are prevalent on the African continent.</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At the beginning of April 2022, BioNTech published its second ESG report (Sustainability Report 2021), which can be found in the Investor Relations section of BioNTech's website.</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Upcoming Investor and Analyst Events</w:t>
      </w:r>
    </w:p>
    <w:p>
      <w:pPr>
        <w:spacing w:after="0" w:line="130"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Annual General Meeting will take place on June 1, 2022.</w:t>
      </w:r>
    </w:p>
    <w:p>
      <w:pPr>
        <w:spacing w:after="0" w:line="129" w:lineRule="exact"/>
        <w:rPr>
          <w:rFonts w:ascii="Arial" w:cs="Arial" w:eastAsia="Arial" w:hAnsi="Arial"/>
          <w:sz w:val="13"/>
          <w:szCs w:val="13"/>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BioNTech plans to host a Virtual Capital Markets Day, for analysts and investors on June 29, 2022.</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and Webcast Information</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1124" w:right="299" w:bottom="1440" w:gutter="0" w:footer="0" w:header="0"/>
        </w:sectPr>
      </w:pPr>
    </w:p>
    <w:bookmarkStart w:id="16" w:name="page17"/>
    <w:bookmarkEnd w:id="16"/>
    <w:p>
      <w:pPr>
        <w:jc w:val="both"/>
        <w:spacing w:after="0" w:line="385" w:lineRule="auto"/>
        <w:rPr>
          <w:sz w:val="20"/>
          <w:szCs w:val="20"/>
          <w:color w:val="auto"/>
        </w:rPr>
      </w:pPr>
      <w:r>
        <w:rPr>
          <w:rFonts w:ascii="Arial" w:cs="Arial" w:eastAsia="Arial" w:hAnsi="Arial"/>
          <w:sz w:val="13"/>
          <w:szCs w:val="13"/>
          <w:color w:val="auto"/>
        </w:rPr>
        <w:t>BioNTech invites investors and the general public to join a conference call and webcast with investment analysts on the same day at 8.00 a.m. EDT (2.00 p.m. CEST) to report its financial results and provide a corporate update for the first quarter of 2022.</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slide presentation and audio of the webcast will be available via this </w:t>
      </w:r>
      <w:r>
        <w:rPr>
          <w:rFonts w:ascii="Arial" w:cs="Arial" w:eastAsia="Arial" w:hAnsi="Arial"/>
          <w:sz w:val="13"/>
          <w:szCs w:val="13"/>
          <w:u w:val="single" w:color="auto"/>
          <w:color w:val="0000FF"/>
        </w:rPr>
        <w:t>link</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To participate in the conference call, please dial the following numbers ten minutes prior to the start and provide the Conference ID: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920" w:type="dxa"/>
            <w:vAlign w:val="bottom"/>
            <w:tcBorders>
              <w:top w:val="single" w:sz="8" w:color="DDDDDD"/>
              <w:left w:val="single" w:sz="8" w:color="DDDDDD"/>
              <w:bottom w:val="single" w:sz="8" w:color="DDDDDD"/>
              <w:right w:val="single" w:sz="8" w:color="DDDDDD"/>
            </w:tcBorders>
          </w:tcPr>
          <w:p>
            <w:pPr>
              <w:ind w:left="20"/>
              <w:spacing w:after="0"/>
              <w:rPr>
                <w:sz w:val="20"/>
                <w:szCs w:val="20"/>
                <w:color w:val="auto"/>
              </w:rPr>
            </w:pPr>
            <w:r>
              <w:rPr>
                <w:rFonts w:ascii="Arial" w:cs="Arial" w:eastAsia="Arial" w:hAnsi="Arial"/>
                <w:sz w:val="13"/>
                <w:szCs w:val="13"/>
                <w:color w:val="707070"/>
              </w:rPr>
              <w:t>United States international:</w:t>
            </w:r>
          </w:p>
        </w:tc>
        <w:tc>
          <w:tcPr>
            <w:tcW w:w="6400" w:type="dxa"/>
            <w:vAlign w:val="bottom"/>
            <w:tcBorders>
              <w:top w:val="single" w:sz="8" w:color="DDDDDD"/>
              <w:bottom w:val="single" w:sz="8" w:color="DDDDDD"/>
              <w:right w:val="single" w:sz="8" w:color="DDDDDD"/>
            </w:tcBorders>
          </w:tcPr>
          <w:p>
            <w:pPr>
              <w:spacing w:after="0"/>
              <w:rPr>
                <w:sz w:val="20"/>
                <w:szCs w:val="20"/>
                <w:color w:val="auto"/>
              </w:rPr>
            </w:pPr>
            <w:r>
              <w:rPr>
                <w:rFonts w:ascii="Arial" w:cs="Arial" w:eastAsia="Arial" w:hAnsi="Arial"/>
                <w:sz w:val="13"/>
                <w:szCs w:val="13"/>
                <w:color w:val="707070"/>
              </w:rPr>
              <w:t>+1 646 741 3167</w:t>
            </w:r>
          </w:p>
        </w:tc>
      </w:tr>
      <w:tr>
        <w:trPr>
          <w:trHeight w:val="160"/>
        </w:trPr>
        <w:tc>
          <w:tcPr>
            <w:tcW w:w="4920" w:type="dxa"/>
            <w:vAlign w:val="bottom"/>
            <w:tcBorders>
              <w:left w:val="single" w:sz="8" w:color="DDDDDD"/>
              <w:bottom w:val="single" w:sz="8" w:color="DDDDDD"/>
              <w:right w:val="single" w:sz="8" w:color="DDDDDD"/>
            </w:tcBorders>
          </w:tcPr>
          <w:p>
            <w:pPr>
              <w:ind w:left="20"/>
              <w:spacing w:after="0"/>
              <w:rPr>
                <w:sz w:val="20"/>
                <w:szCs w:val="20"/>
                <w:color w:val="auto"/>
              </w:rPr>
            </w:pPr>
            <w:r>
              <w:rPr>
                <w:rFonts w:ascii="Arial" w:cs="Arial" w:eastAsia="Arial" w:hAnsi="Arial"/>
                <w:sz w:val="13"/>
                <w:szCs w:val="13"/>
                <w:color w:val="707070"/>
              </w:rPr>
              <w:t>United States domestic (toll-free):</w:t>
            </w:r>
          </w:p>
        </w:tc>
        <w:tc>
          <w:tcPr>
            <w:tcW w:w="6400" w:type="dxa"/>
            <w:vAlign w:val="bottom"/>
            <w:tcBorders>
              <w:bottom w:val="single" w:sz="8" w:color="DDDDDD"/>
              <w:right w:val="single" w:sz="8" w:color="DDDDDD"/>
            </w:tcBorders>
          </w:tcPr>
          <w:p>
            <w:pPr>
              <w:spacing w:after="0"/>
              <w:rPr>
                <w:sz w:val="20"/>
                <w:szCs w:val="20"/>
                <w:color w:val="auto"/>
              </w:rPr>
            </w:pPr>
            <w:r>
              <w:rPr>
                <w:rFonts w:ascii="Arial" w:cs="Arial" w:eastAsia="Arial" w:hAnsi="Arial"/>
                <w:sz w:val="13"/>
                <w:szCs w:val="13"/>
                <w:color w:val="707070"/>
              </w:rPr>
              <w:t>+1 877 870 9135</w:t>
            </w:r>
          </w:p>
        </w:tc>
      </w:tr>
      <w:tr>
        <w:trPr>
          <w:trHeight w:val="160"/>
        </w:trPr>
        <w:tc>
          <w:tcPr>
            <w:tcW w:w="4920" w:type="dxa"/>
            <w:vAlign w:val="bottom"/>
            <w:tcBorders>
              <w:left w:val="single" w:sz="8" w:color="DDDDDD"/>
              <w:bottom w:val="single" w:sz="8" w:color="DDDDDD"/>
              <w:right w:val="single" w:sz="8" w:color="DDDDDD"/>
            </w:tcBorders>
          </w:tcPr>
          <w:p>
            <w:pPr>
              <w:ind w:left="20"/>
              <w:spacing w:after="0"/>
              <w:rPr>
                <w:sz w:val="20"/>
                <w:szCs w:val="20"/>
                <w:color w:val="auto"/>
              </w:rPr>
            </w:pPr>
            <w:r>
              <w:rPr>
                <w:rFonts w:ascii="Arial" w:cs="Arial" w:eastAsia="Arial" w:hAnsi="Arial"/>
                <w:sz w:val="13"/>
                <w:szCs w:val="13"/>
                <w:color w:val="707070"/>
              </w:rPr>
              <w:t>Germany:</w:t>
            </w:r>
          </w:p>
        </w:tc>
        <w:tc>
          <w:tcPr>
            <w:tcW w:w="6400" w:type="dxa"/>
            <w:vAlign w:val="bottom"/>
            <w:tcBorders>
              <w:bottom w:val="single" w:sz="8" w:color="DDDDDD"/>
              <w:right w:val="single" w:sz="8" w:color="DDDDDD"/>
            </w:tcBorders>
          </w:tcPr>
          <w:p>
            <w:pPr>
              <w:spacing w:after="0"/>
              <w:rPr>
                <w:sz w:val="20"/>
                <w:szCs w:val="20"/>
                <w:color w:val="auto"/>
              </w:rPr>
            </w:pPr>
            <w:r>
              <w:rPr>
                <w:rFonts w:ascii="Arial" w:cs="Arial" w:eastAsia="Arial" w:hAnsi="Arial"/>
                <w:sz w:val="13"/>
                <w:szCs w:val="13"/>
                <w:color w:val="707070"/>
              </w:rPr>
              <w:t>+49 (0) 692 2222 625</w:t>
            </w:r>
          </w:p>
        </w:tc>
      </w:tr>
      <w:tr>
        <w:trPr>
          <w:trHeight w:val="160"/>
        </w:trPr>
        <w:tc>
          <w:tcPr>
            <w:tcW w:w="4920" w:type="dxa"/>
            <w:vAlign w:val="bottom"/>
            <w:tcBorders>
              <w:left w:val="single" w:sz="8" w:color="DDDDDD"/>
              <w:bottom w:val="single" w:sz="8" w:color="DDDDDD"/>
              <w:right w:val="single" w:sz="8" w:color="DDDDDD"/>
            </w:tcBorders>
          </w:tcPr>
          <w:p>
            <w:pPr>
              <w:ind w:left="20"/>
              <w:spacing w:after="0"/>
              <w:rPr>
                <w:sz w:val="20"/>
                <w:szCs w:val="20"/>
                <w:color w:val="auto"/>
              </w:rPr>
            </w:pPr>
            <w:r>
              <w:rPr>
                <w:rFonts w:ascii="Arial" w:cs="Arial" w:eastAsia="Arial" w:hAnsi="Arial"/>
                <w:sz w:val="13"/>
                <w:szCs w:val="13"/>
                <w:color w:val="707070"/>
              </w:rPr>
              <w:t>Conference ID:</w:t>
            </w:r>
          </w:p>
        </w:tc>
        <w:tc>
          <w:tcPr>
            <w:tcW w:w="6400" w:type="dxa"/>
            <w:vAlign w:val="bottom"/>
            <w:tcBorders>
              <w:bottom w:val="single" w:sz="8" w:color="DDDDDD"/>
              <w:right w:val="single" w:sz="8" w:color="DDDDDD"/>
            </w:tcBorders>
          </w:tcPr>
          <w:p>
            <w:pPr>
              <w:spacing w:after="0"/>
              <w:rPr>
                <w:sz w:val="20"/>
                <w:szCs w:val="20"/>
                <w:color w:val="auto"/>
              </w:rPr>
            </w:pPr>
            <w:r>
              <w:rPr>
                <w:rFonts w:ascii="Arial" w:cs="Arial" w:eastAsia="Arial" w:hAnsi="Arial"/>
                <w:sz w:val="13"/>
                <w:szCs w:val="13"/>
                <w:color w:val="707070"/>
              </w:rPr>
              <w:t>3698083</w:t>
            </w:r>
          </w:p>
        </w:tc>
      </w:tr>
    </w:tbl>
    <w:p>
      <w:pPr>
        <w:spacing w:after="0" w:line="148" w:lineRule="exact"/>
        <w:rPr>
          <w:sz w:val="20"/>
          <w:szCs w:val="20"/>
          <w:color w:val="auto"/>
        </w:rPr>
      </w:pPr>
    </w:p>
    <w:p>
      <w:pPr>
        <w:jc w:val="both"/>
        <w:spacing w:after="0" w:line="370" w:lineRule="auto"/>
        <w:rPr>
          <w:sz w:val="20"/>
          <w:szCs w:val="20"/>
          <w:color w:val="auto"/>
        </w:rPr>
      </w:pPr>
      <w:r>
        <w:rPr>
          <w:rFonts w:ascii="Arial" w:cs="Arial" w:eastAsia="Arial" w:hAnsi="Arial"/>
          <w:sz w:val="13"/>
          <w:szCs w:val="13"/>
          <w:color w:val="auto"/>
        </w:rPr>
        <w:t xml:space="preserve">Participants may also access the slides and the webcast of the conference call via the “Events &amp; Presentations” page of the Investor Relations section of the Company’s website at </w:t>
      </w:r>
      <w:r>
        <w:rPr>
          <w:rFonts w:ascii="Arial" w:cs="Arial" w:eastAsia="Arial" w:hAnsi="Arial"/>
          <w:sz w:val="13"/>
          <w:szCs w:val="13"/>
          <w:u w:val="single" w:color="auto"/>
          <w:color w:val="0000FF"/>
        </w:rPr>
        <w:t>https://biontech.de/</w:t>
      </w:r>
      <w:r>
        <w:rPr>
          <w:rFonts w:ascii="Arial" w:cs="Arial" w:eastAsia="Arial" w:hAnsi="Arial"/>
          <w:sz w:val="13"/>
          <w:szCs w:val="13"/>
          <w:color w:val="000000"/>
        </w:rPr>
        <w:t>. A replay of the webcast will be available shortly after the conclusion of the call and archived on the Company’s website for 30 days following the call.</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BioNTech</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3"/>
          <w:szCs w:val="13"/>
          <w:color w:val="auto"/>
        </w:rPr>
        <w:t>Biopharmaceutical New Technologies (BioNTech)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Genentech, a member of the Roche Group, Regeneron, Genevant, Fosun Pharma and Pfizer.</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more information, please visit </w:t>
      </w:r>
      <w:r>
        <w:rPr>
          <w:rFonts w:ascii="Arial" w:cs="Arial" w:eastAsia="Arial" w:hAnsi="Arial"/>
          <w:sz w:val="13"/>
          <w:szCs w:val="13"/>
          <w:u w:val="single" w:color="auto"/>
          <w:color w:val="auto"/>
        </w:rPr>
        <w:t>www.BioNTech.de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1124" w:right="29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color w:val="auto"/>
        </w:rPr>
        <w:t>Forward-Looking Statements</w:t>
      </w:r>
    </w:p>
    <w:p>
      <w:pPr>
        <w:spacing w:after="0" w:line="139" w:lineRule="exact"/>
        <w:rPr>
          <w:sz w:val="20"/>
          <w:szCs w:val="20"/>
          <w:color w:val="auto"/>
        </w:rPr>
      </w:pPr>
    </w:p>
    <w:p>
      <w:pPr>
        <w:jc w:val="both"/>
        <w:spacing w:after="0" w:line="331"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as amended, including, but not limited to, statements concerning: BioNTech's expected revenues and net profit related to sales of BioNTech's COVID-19 vaccine, referred to as COMIRNATY</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where approved for use under full or conditional marketing authorization, in territories controlled by BioNTech's collaboration partners, particularly for those figures that are derived from preliminary estimates provided by BioNTech's partners; BioNTech's pricing and coverage negotiations with governmental authorities, private health insurers and other third-party payors after BioNTech's initial sales to national governments; the future commercial demand and medical need for initial or booster doses of a COVID-19 vaccine;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rate and degree of market acceptance of BioNTech's COVID-19 vaccine and, if approved, BioNTech's investigational medicines; the initiation, timing, progress, results, and cost of BioNTech's research and development programs and BioNTech's current and future preclinical studies and clinical trials, including statements regarding the timing of initiation and completion of studies or trials and related preparatory work, the period during which the results of the trials will become available and BioNTech's research and development programs; the timing of and BioNTech's ability to obtain and maintain regulatory approval for BioNTech's product candidates; the collaboration between BioNTech and Pfizer to develop and market a COVID-19 vaccine (including a potential booster dose of BNT162b2 and/or a potential booster dose of a variation of BNT162b2 having a modified mRNA sequence); the ability of BNT162b2 to prevent COVID-19 caused by emerging virus variants;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the COVID-19 pandemic on BioNTech's development programs, supply chain, collaborators and financial performance; unforeseen safety issues and claims for personal injury or death arising from the use of BioNTech's COVID-19 vaccine and other products and product candidates developed or manufactured by us; BioNTech's ability to progress BioNTech's Malaria, Tuberculosis and HIV programs, including timing for selecting clinical candidates for these programs and the commencement of a clinical trial, as well as any data readouts; the development of sustainable vaccine production and supply solutions on the African continent and the nature and feasibility of these solutions; BioNTech's estimates of vaccine revenues, and projections of estimated research and development expenses, selling, general and administrative expenses, capital expenditures, and income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1124" w:right="299" w:bottom="1440" w:gutter="0" w:footer="0" w:header="0"/>
        </w:sectPr>
      </w:pPr>
    </w:p>
    <w:bookmarkStart w:id="18" w:name="page19"/>
    <w:bookmarkEnd w:id="18"/>
    <w:p>
      <w:pPr>
        <w:jc w:val="both"/>
        <w:spacing w:after="0" w:line="339" w:lineRule="auto"/>
        <w:rPr>
          <w:sz w:val="20"/>
          <w:szCs w:val="20"/>
          <w:color w:val="auto"/>
        </w:rPr>
      </w:pPr>
      <w:r>
        <w:rPr>
          <w:rFonts w:ascii="Arial" w:cs="Arial" w:eastAsia="Arial" w:hAnsi="Arial"/>
          <w:sz w:val="13"/>
          <w:szCs w:val="13"/>
          <w:color w:val="auto"/>
        </w:rPr>
        <w:t>taxes; BioNTech's ability and that of BioNTech's collaborators to commercialize and market BioNTech's product candidates, if approved, including BioNTech's COVID-19 vaccine; BioNTech's ability to manage BioNTech's development and expansion; regulatory developments in the United States and foreign countries; BioNTech's ability to effectively scale BioNTech's production capabilities and manufacture BioNTech's products, including BioNTech's target COVID-19 vaccine production levels, and BioNTech's product candidates; and other factors not known to BioNTech at this time.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You should review the risks and uncertainties described under the heading “Risk Factors” in BioNTech's quarterly report on Form 6-K for the quarter ended March 31, 2022 and in subsequent filings made by BioNTech with the SEC, which are available on the SEC’s website at https://www.sec.gov/. Except as required by law, BioNTech disclaims any intention or responsibility for updating or revising any forward-looking statements contained in this press release in the event of new information, future developments or otherwise. These forward-looking statements are based on BioNTech’s current expectations and speak only as of the date hereof.</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Relations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Sylke Maas, Ph.D.</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VP Investor Relations &amp; Strategy</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Tel: +49 (0)6131 9084 1074</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Investors@biontech.de</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Relations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Jasmina Alatovic</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Senior Director Global External Communications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Tel: +49 (0)6131 9084 1513 or +49 (0)151 1978 1385</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Media@biontech.de</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1124" w:right="29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4"/>
          <w:szCs w:val="14"/>
          <w:b w:val="1"/>
          <w:bCs w:val="1"/>
          <w:color w:val="auto"/>
        </w:rPr>
        <w:t>Interim Consolidated Statements of Profit or Loss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0" w:type="dxa"/>
            <w:vAlign w:val="bottom"/>
          </w:tcPr>
          <w:p>
            <w:pPr>
              <w:spacing w:after="0"/>
              <w:rPr>
                <w:sz w:val="10"/>
                <w:szCs w:val="10"/>
                <w:color w:val="auto"/>
              </w:rPr>
            </w:pPr>
          </w:p>
        </w:tc>
        <w:tc>
          <w:tcPr>
            <w:tcW w:w="26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0" w:type="dxa"/>
            <w:vAlign w:val="bottom"/>
          </w:tcPr>
          <w:p>
            <w:pPr>
              <w:spacing w:after="0"/>
              <w:rPr>
                <w:sz w:val="1"/>
                <w:szCs w:val="1"/>
                <w:color w:val="auto"/>
              </w:rPr>
            </w:pPr>
          </w:p>
        </w:tc>
      </w:tr>
      <w:tr>
        <w:trPr>
          <w:trHeight w:val="124"/>
        </w:trPr>
        <w:tc>
          <w:tcPr>
            <w:tcW w:w="8600" w:type="dxa"/>
            <w:vAlign w:val="bottom"/>
          </w:tcPr>
          <w:p>
            <w:pPr>
              <w:spacing w:after="0"/>
              <w:rPr>
                <w:sz w:val="10"/>
                <w:szCs w:val="10"/>
                <w:color w:val="auto"/>
              </w:rPr>
            </w:pPr>
          </w:p>
        </w:tc>
        <w:tc>
          <w:tcPr>
            <w:tcW w:w="1660" w:type="dxa"/>
            <w:vAlign w:val="bottom"/>
            <w:gridSpan w:val="2"/>
          </w:tcPr>
          <w:p>
            <w:pPr>
              <w:jc w:val="center"/>
              <w:ind w:left="972"/>
              <w:spacing w:after="0"/>
              <w:rPr>
                <w:sz w:val="20"/>
                <w:szCs w:val="20"/>
                <w:color w:val="auto"/>
              </w:rPr>
            </w:pPr>
            <w:r>
              <w:rPr>
                <w:rFonts w:ascii="Arial" w:cs="Arial" w:eastAsia="Arial" w:hAnsi="Arial"/>
                <w:sz w:val="10"/>
                <w:szCs w:val="10"/>
                <w:b w:val="1"/>
                <w:bCs w:val="1"/>
                <w:color w:val="auto"/>
                <w:w w:val="95"/>
              </w:rPr>
              <w:t>March 31,</w:t>
            </w:r>
          </w:p>
        </w:tc>
        <w:tc>
          <w:tcPr>
            <w:tcW w:w="10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35"/>
        </w:trPr>
        <w:tc>
          <w:tcPr>
            <w:tcW w:w="8600" w:type="dxa"/>
            <w:vAlign w:val="bottom"/>
            <w:tcBorders>
              <w:right w:val="single" w:sz="8" w:color="70AD47"/>
            </w:tcBorders>
          </w:tcPr>
          <w:p>
            <w:pPr>
              <w:spacing w:after="0"/>
              <w:rPr>
                <w:sz w:val="11"/>
                <w:szCs w:val="11"/>
                <w:color w:val="auto"/>
              </w:rPr>
            </w:pPr>
          </w:p>
        </w:tc>
        <w:tc>
          <w:tcPr>
            <w:tcW w:w="134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2022</w:t>
            </w: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10"/>
                <w:szCs w:val="10"/>
                <w:i w:val="1"/>
                <w:iCs w:val="1"/>
                <w:color w:val="auto"/>
              </w:rPr>
              <w:t>(in millions, except per share data)</w:t>
            </w:r>
          </w:p>
        </w:tc>
        <w:tc>
          <w:tcPr>
            <w:tcW w:w="1340" w:type="dxa"/>
            <w:vAlign w:val="bottom"/>
            <w:tcBorders>
              <w:bottom w:val="single" w:sz="8" w:color="70AD47"/>
              <w:right w:val="single" w:sz="8" w:color="70AD47"/>
            </w:tcBorders>
            <w:shd w:val="clear" w:color="auto" w:fill="C6E0B4"/>
          </w:tcPr>
          <w:p>
            <w:pPr>
              <w:jc w:val="right"/>
              <w:ind w:right="392"/>
              <w:spacing w:after="0"/>
              <w:rPr>
                <w:sz w:val="20"/>
                <w:szCs w:val="20"/>
                <w:color w:val="auto"/>
              </w:rPr>
            </w:pPr>
            <w:r>
              <w:rPr>
                <w:rFonts w:ascii="Arial" w:cs="Arial" w:eastAsia="Arial" w:hAnsi="Arial"/>
                <w:sz w:val="10"/>
                <w:szCs w:val="10"/>
                <w:i w:val="1"/>
                <w:iCs w:val="1"/>
                <w:color w:val="auto"/>
              </w:rPr>
              <w:t>(unaudited)</w:t>
            </w:r>
          </w:p>
        </w:tc>
        <w:tc>
          <w:tcPr>
            <w:tcW w:w="320" w:type="dxa"/>
            <w:vAlign w:val="bottom"/>
            <w:tcBorders>
              <w:bottom w:val="single" w:sz="8" w:color="70AD47"/>
            </w:tcBorders>
          </w:tcPr>
          <w:p>
            <w:pPr>
              <w:spacing w:after="0"/>
              <w:rPr>
                <w:sz w:val="11"/>
                <w:szCs w:val="11"/>
                <w:color w:val="auto"/>
              </w:rPr>
            </w:pPr>
          </w:p>
        </w:tc>
        <w:tc>
          <w:tcPr>
            <w:tcW w:w="1020" w:type="dxa"/>
            <w:vAlign w:val="bottom"/>
            <w:tcBorders>
              <w:bottom w:val="single" w:sz="8" w:color="70AD47"/>
            </w:tcBorders>
          </w:tcPr>
          <w:p>
            <w:pPr>
              <w:jc w:val="right"/>
              <w:ind w:right="372"/>
              <w:spacing w:after="0"/>
              <w:rPr>
                <w:sz w:val="20"/>
                <w:szCs w:val="20"/>
                <w:color w:val="auto"/>
              </w:rPr>
            </w:pPr>
            <w:r>
              <w:rPr>
                <w:rFonts w:ascii="Arial" w:cs="Arial" w:eastAsia="Arial" w:hAnsi="Arial"/>
                <w:sz w:val="10"/>
                <w:szCs w:val="10"/>
                <w:i w:val="1"/>
                <w:iCs w:val="1"/>
                <w:color w:val="auto"/>
              </w:rPr>
              <w:t>(unaudited)</w:t>
            </w:r>
          </w:p>
        </w:tc>
        <w:tc>
          <w:tcPr>
            <w:tcW w:w="0" w:type="dxa"/>
            <w:vAlign w:val="bottom"/>
          </w:tcPr>
          <w:p>
            <w:pPr>
              <w:spacing w:after="0"/>
              <w:rPr>
                <w:sz w:val="1"/>
                <w:szCs w:val="1"/>
                <w:color w:val="auto"/>
              </w:rPr>
            </w:pPr>
          </w:p>
        </w:tc>
      </w:tr>
      <w:tr>
        <w:trPr>
          <w:trHeight w:val="292"/>
        </w:trPr>
        <w:tc>
          <w:tcPr>
            <w:tcW w:w="8600" w:type="dxa"/>
            <w:vAlign w:val="bottom"/>
            <w:tcBorders>
              <w:right w:val="single" w:sz="8" w:color="70AD47"/>
            </w:tcBorders>
          </w:tcPr>
          <w:p>
            <w:pPr>
              <w:ind w:left="20"/>
              <w:spacing w:after="0"/>
              <w:rPr>
                <w:sz w:val="20"/>
                <w:szCs w:val="20"/>
                <w:color w:val="auto"/>
              </w:rPr>
            </w:pPr>
            <w:r>
              <w:rPr>
                <w:rFonts w:ascii="Arial" w:cs="Arial" w:eastAsia="Arial" w:hAnsi="Arial"/>
                <w:sz w:val="10"/>
                <w:szCs w:val="10"/>
                <w:color w:val="auto"/>
              </w:rPr>
              <w:t>Revenues</w:t>
            </w:r>
          </w:p>
        </w:tc>
        <w:tc>
          <w:tcPr>
            <w:tcW w:w="1340" w:type="dxa"/>
            <w:vAlign w:val="bottom"/>
            <w:tcBorders>
              <w:right w:val="single" w:sz="8" w:color="70AD47"/>
            </w:tcBorders>
            <w:shd w:val="clear" w:color="auto" w:fill="C6E0B4"/>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600" w:type="dxa"/>
            <w:vAlign w:val="bottom"/>
            <w:tcBorders>
              <w:right w:val="single" w:sz="8" w:color="70AD47"/>
            </w:tcBorders>
          </w:tcPr>
          <w:p>
            <w:pPr>
              <w:ind w:left="80"/>
              <w:spacing w:after="0"/>
              <w:rPr>
                <w:sz w:val="20"/>
                <w:szCs w:val="20"/>
                <w:color w:val="auto"/>
              </w:rPr>
            </w:pPr>
            <w:r>
              <w:rPr>
                <w:rFonts w:ascii="Arial" w:cs="Arial" w:eastAsia="Arial" w:hAnsi="Arial"/>
                <w:sz w:val="10"/>
                <w:szCs w:val="10"/>
                <w:color w:val="auto"/>
              </w:rPr>
              <w:t>Research &amp; development revenues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12.4</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20.9</w:t>
            </w:r>
          </w:p>
        </w:tc>
        <w:tc>
          <w:tcPr>
            <w:tcW w:w="0" w:type="dxa"/>
            <w:vAlign w:val="bottom"/>
          </w:tcPr>
          <w:p>
            <w:pPr>
              <w:spacing w:after="0"/>
              <w:rPr>
                <w:sz w:val="1"/>
                <w:szCs w:val="1"/>
                <w:color w:val="auto"/>
              </w:rPr>
            </w:pPr>
          </w:p>
        </w:tc>
      </w:tr>
      <w:tr>
        <w:trPr>
          <w:trHeight w:val="138"/>
        </w:trPr>
        <w:tc>
          <w:tcPr>
            <w:tcW w:w="8600" w:type="dxa"/>
            <w:vAlign w:val="bottom"/>
            <w:tcBorders>
              <w:bottom w:val="single" w:sz="8" w:color="70AD47"/>
              <w:right w:val="single" w:sz="8" w:color="70AD47"/>
            </w:tcBorders>
          </w:tcPr>
          <w:p>
            <w:pPr>
              <w:ind w:left="80"/>
              <w:spacing w:after="0"/>
              <w:rPr>
                <w:sz w:val="20"/>
                <w:szCs w:val="20"/>
                <w:color w:val="auto"/>
              </w:rPr>
            </w:pPr>
            <w:r>
              <w:rPr>
                <w:rFonts w:ascii="Arial" w:cs="Arial" w:eastAsia="Arial" w:hAnsi="Arial"/>
                <w:sz w:val="10"/>
                <w:szCs w:val="10"/>
                <w:color w:val="auto"/>
              </w:rPr>
              <w:t>Commercial revenues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6,362.2</w:t>
            </w:r>
          </w:p>
        </w:tc>
        <w:tc>
          <w:tcPr>
            <w:tcW w:w="320" w:type="dxa"/>
            <w:vAlign w:val="bottom"/>
            <w:tcBorders>
              <w:bottom w:val="single" w:sz="8" w:color="70AD47"/>
            </w:tcBorders>
          </w:tcPr>
          <w:p>
            <w:pPr>
              <w:spacing w:after="0"/>
              <w:rPr>
                <w:sz w:val="12"/>
                <w:szCs w:val="12"/>
                <w:color w:val="auto"/>
              </w:rPr>
            </w:pPr>
          </w:p>
        </w:tc>
        <w:tc>
          <w:tcPr>
            <w:tcW w:w="1020" w:type="dxa"/>
            <w:vAlign w:val="bottom"/>
            <w:tcBorders>
              <w:bottom w:val="single" w:sz="8" w:color="70AD47"/>
            </w:tcBorders>
          </w:tcPr>
          <w:p>
            <w:pPr>
              <w:jc w:val="right"/>
              <w:spacing w:after="0"/>
              <w:rPr>
                <w:sz w:val="20"/>
                <w:szCs w:val="20"/>
                <w:color w:val="auto"/>
              </w:rPr>
            </w:pPr>
            <w:r>
              <w:rPr>
                <w:rFonts w:ascii="Arial" w:cs="Arial" w:eastAsia="Arial" w:hAnsi="Arial"/>
                <w:sz w:val="10"/>
                <w:szCs w:val="10"/>
                <w:color w:val="auto"/>
              </w:rPr>
              <w:t>2,027.5</w:t>
            </w:r>
          </w:p>
        </w:tc>
        <w:tc>
          <w:tcPr>
            <w:tcW w:w="0" w:type="dxa"/>
            <w:vAlign w:val="bottom"/>
          </w:tcPr>
          <w:p>
            <w:pPr>
              <w:spacing w:after="0"/>
              <w:rPr>
                <w:sz w:val="1"/>
                <w:szCs w:val="1"/>
                <w:color w:val="auto"/>
              </w:rPr>
            </w:pPr>
          </w:p>
        </w:tc>
      </w:tr>
      <w:tr>
        <w:trPr>
          <w:trHeight w:val="126"/>
        </w:trPr>
        <w:tc>
          <w:tcPr>
            <w:tcW w:w="86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10"/>
                <w:szCs w:val="10"/>
                <w:b w:val="1"/>
                <w:bCs w:val="1"/>
                <w:color w:val="auto"/>
              </w:rPr>
              <w:t>Total revenues</w:t>
            </w:r>
          </w:p>
        </w:tc>
        <w:tc>
          <w:tcPr>
            <w:tcW w:w="13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€6,374.6</w:t>
            </w:r>
          </w:p>
        </w:tc>
        <w:tc>
          <w:tcPr>
            <w:tcW w:w="320" w:type="dxa"/>
            <w:vAlign w:val="bottom"/>
            <w:tcBorders>
              <w:bottom w:val="single" w:sz="8" w:color="70AD47"/>
            </w:tcBorders>
          </w:tcPr>
          <w:p>
            <w:pPr>
              <w:spacing w:after="0"/>
              <w:rPr>
                <w:sz w:val="10"/>
                <w:szCs w:val="10"/>
                <w:color w:val="auto"/>
              </w:rPr>
            </w:pPr>
          </w:p>
        </w:tc>
        <w:tc>
          <w:tcPr>
            <w:tcW w:w="1020" w:type="dxa"/>
            <w:vAlign w:val="bottom"/>
            <w:tcBorders>
              <w:bottom w:val="single" w:sz="8" w:color="70AD47"/>
            </w:tcBorders>
          </w:tcPr>
          <w:p>
            <w:pPr>
              <w:jc w:val="right"/>
              <w:spacing w:after="0"/>
              <w:rPr>
                <w:sz w:val="20"/>
                <w:szCs w:val="20"/>
                <w:color w:val="auto"/>
              </w:rPr>
            </w:pPr>
            <w:r>
              <w:rPr>
                <w:rFonts w:ascii="Arial" w:cs="Arial" w:eastAsia="Arial" w:hAnsi="Arial"/>
                <w:sz w:val="10"/>
                <w:szCs w:val="10"/>
                <w:b w:val="1"/>
                <w:bCs w:val="1"/>
                <w:color w:val="auto"/>
              </w:rPr>
              <w:t>€2,048.4</w:t>
            </w:r>
          </w:p>
        </w:tc>
        <w:tc>
          <w:tcPr>
            <w:tcW w:w="0" w:type="dxa"/>
            <w:vAlign w:val="bottom"/>
          </w:tcPr>
          <w:p>
            <w:pPr>
              <w:spacing w:after="0"/>
              <w:rPr>
                <w:sz w:val="1"/>
                <w:szCs w:val="1"/>
                <w:color w:val="auto"/>
              </w:rPr>
            </w:pPr>
          </w:p>
        </w:tc>
      </w:tr>
      <w:tr>
        <w:trPr>
          <w:trHeight w:val="290"/>
        </w:trPr>
        <w:tc>
          <w:tcPr>
            <w:tcW w:w="8600" w:type="dxa"/>
            <w:vAlign w:val="bottom"/>
            <w:tcBorders>
              <w:right w:val="single" w:sz="8" w:color="70AD47"/>
            </w:tcBorders>
          </w:tcPr>
          <w:p>
            <w:pPr>
              <w:ind w:left="20"/>
              <w:spacing w:after="0"/>
              <w:rPr>
                <w:sz w:val="20"/>
                <w:szCs w:val="20"/>
                <w:color w:val="auto"/>
              </w:rPr>
            </w:pPr>
            <w:r>
              <w:rPr>
                <w:rFonts w:ascii="Arial" w:cs="Arial" w:eastAsia="Arial" w:hAnsi="Arial"/>
                <w:sz w:val="10"/>
                <w:szCs w:val="10"/>
                <w:color w:val="auto"/>
              </w:rPr>
              <w:t>Cost of sales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(1,294.1)</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(233.1)</w:t>
            </w:r>
          </w:p>
        </w:tc>
        <w:tc>
          <w:tcPr>
            <w:tcW w:w="0" w:type="dxa"/>
            <w:vAlign w:val="bottom"/>
          </w:tcPr>
          <w:p>
            <w:pPr>
              <w:spacing w:after="0"/>
              <w:rPr>
                <w:sz w:val="1"/>
                <w:szCs w:val="1"/>
                <w:color w:val="auto"/>
              </w:rPr>
            </w:pPr>
          </w:p>
        </w:tc>
      </w:tr>
      <w:tr>
        <w:trPr>
          <w:trHeight w:val="135"/>
        </w:trPr>
        <w:tc>
          <w:tcPr>
            <w:tcW w:w="8600" w:type="dxa"/>
            <w:vAlign w:val="bottom"/>
            <w:tcBorders>
              <w:right w:val="single" w:sz="8" w:color="70AD47"/>
            </w:tcBorders>
          </w:tcPr>
          <w:p>
            <w:pPr>
              <w:ind w:left="20"/>
              <w:spacing w:after="0"/>
              <w:rPr>
                <w:sz w:val="20"/>
                <w:szCs w:val="20"/>
                <w:color w:val="auto"/>
              </w:rPr>
            </w:pPr>
            <w:r>
              <w:rPr>
                <w:rFonts w:ascii="Arial" w:cs="Arial" w:eastAsia="Arial" w:hAnsi="Arial"/>
                <w:sz w:val="10"/>
                <w:szCs w:val="10"/>
                <w:color w:val="auto"/>
              </w:rPr>
              <w:t>Research and development expenses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(285.8)</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(216.2)</w:t>
            </w:r>
          </w:p>
        </w:tc>
        <w:tc>
          <w:tcPr>
            <w:tcW w:w="0" w:type="dxa"/>
            <w:vAlign w:val="bottom"/>
          </w:tcPr>
          <w:p>
            <w:pPr>
              <w:spacing w:after="0"/>
              <w:rPr>
                <w:sz w:val="1"/>
                <w:szCs w:val="1"/>
                <w:color w:val="auto"/>
              </w:rPr>
            </w:pPr>
          </w:p>
        </w:tc>
      </w:tr>
      <w:tr>
        <w:trPr>
          <w:trHeight w:val="135"/>
        </w:trPr>
        <w:tc>
          <w:tcPr>
            <w:tcW w:w="8600" w:type="dxa"/>
            <w:vAlign w:val="bottom"/>
            <w:tcBorders>
              <w:right w:val="single" w:sz="8" w:color="70AD47"/>
            </w:tcBorders>
          </w:tcPr>
          <w:p>
            <w:pPr>
              <w:ind w:left="20"/>
              <w:spacing w:after="0"/>
              <w:rPr>
                <w:sz w:val="20"/>
                <w:szCs w:val="20"/>
                <w:color w:val="auto"/>
              </w:rPr>
            </w:pPr>
            <w:r>
              <w:rPr>
                <w:rFonts w:ascii="Arial" w:cs="Arial" w:eastAsia="Arial" w:hAnsi="Arial"/>
                <w:sz w:val="10"/>
                <w:szCs w:val="10"/>
                <w:color w:val="auto"/>
              </w:rPr>
              <w:t>Sales and marketing expenses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(14.3)</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(8.7)</w:t>
            </w:r>
          </w:p>
        </w:tc>
        <w:tc>
          <w:tcPr>
            <w:tcW w:w="0" w:type="dxa"/>
            <w:vAlign w:val="bottom"/>
          </w:tcPr>
          <w:p>
            <w:pPr>
              <w:spacing w:after="0"/>
              <w:rPr>
                <w:sz w:val="1"/>
                <w:szCs w:val="1"/>
                <w:color w:val="auto"/>
              </w:rPr>
            </w:pPr>
          </w:p>
        </w:tc>
      </w:tr>
      <w:tr>
        <w:trPr>
          <w:trHeight w:val="135"/>
        </w:trPr>
        <w:tc>
          <w:tcPr>
            <w:tcW w:w="8600" w:type="dxa"/>
            <w:vAlign w:val="bottom"/>
            <w:tcBorders>
              <w:right w:val="single" w:sz="8" w:color="70AD47"/>
            </w:tcBorders>
          </w:tcPr>
          <w:p>
            <w:pPr>
              <w:ind w:left="20"/>
              <w:spacing w:after="0"/>
              <w:rPr>
                <w:sz w:val="20"/>
                <w:szCs w:val="20"/>
                <w:color w:val="auto"/>
              </w:rPr>
            </w:pPr>
            <w:r>
              <w:rPr>
                <w:rFonts w:ascii="Arial" w:cs="Arial" w:eastAsia="Arial" w:hAnsi="Arial"/>
                <w:sz w:val="10"/>
                <w:szCs w:val="10"/>
                <w:color w:val="auto"/>
              </w:rPr>
              <w:t>General and administrative expenses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(90.8)</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(38.9)</w:t>
            </w:r>
          </w:p>
        </w:tc>
        <w:tc>
          <w:tcPr>
            <w:tcW w:w="0" w:type="dxa"/>
            <w:vAlign w:val="bottom"/>
          </w:tcPr>
          <w:p>
            <w:pPr>
              <w:spacing w:after="0"/>
              <w:rPr>
                <w:sz w:val="1"/>
                <w:szCs w:val="1"/>
                <w:color w:val="auto"/>
              </w:rPr>
            </w:pPr>
          </w:p>
        </w:tc>
      </w:tr>
      <w:tr>
        <w:trPr>
          <w:trHeight w:val="135"/>
        </w:trPr>
        <w:tc>
          <w:tcPr>
            <w:tcW w:w="8600" w:type="dxa"/>
            <w:vAlign w:val="bottom"/>
            <w:tcBorders>
              <w:right w:val="single" w:sz="8" w:color="70AD47"/>
            </w:tcBorders>
          </w:tcPr>
          <w:p>
            <w:pPr>
              <w:ind w:left="20"/>
              <w:spacing w:after="0"/>
              <w:rPr>
                <w:sz w:val="20"/>
                <w:szCs w:val="20"/>
                <w:color w:val="auto"/>
              </w:rPr>
            </w:pPr>
            <w:r>
              <w:rPr>
                <w:rFonts w:ascii="Arial" w:cs="Arial" w:eastAsia="Arial" w:hAnsi="Arial"/>
                <w:sz w:val="10"/>
                <w:szCs w:val="10"/>
                <w:color w:val="auto"/>
              </w:rPr>
              <w:t>Other operating expenses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(71.6)</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(0.6)</w:t>
            </w:r>
          </w:p>
        </w:tc>
        <w:tc>
          <w:tcPr>
            <w:tcW w:w="0" w:type="dxa"/>
            <w:vAlign w:val="bottom"/>
          </w:tcPr>
          <w:p>
            <w:pPr>
              <w:spacing w:after="0"/>
              <w:rPr>
                <w:sz w:val="1"/>
                <w:szCs w:val="1"/>
                <w:color w:val="auto"/>
              </w:rPr>
            </w:pPr>
          </w:p>
        </w:tc>
      </w:tr>
      <w:tr>
        <w:trPr>
          <w:trHeight w:val="138"/>
        </w:trPr>
        <w:tc>
          <w:tcPr>
            <w:tcW w:w="86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10"/>
                <w:szCs w:val="10"/>
                <w:color w:val="auto"/>
              </w:rPr>
              <w:t>Other operating income</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134.7</w:t>
            </w:r>
          </w:p>
        </w:tc>
        <w:tc>
          <w:tcPr>
            <w:tcW w:w="320" w:type="dxa"/>
            <w:vAlign w:val="bottom"/>
            <w:tcBorders>
              <w:bottom w:val="single" w:sz="8" w:color="70AD47"/>
            </w:tcBorders>
          </w:tcPr>
          <w:p>
            <w:pPr>
              <w:spacing w:after="0"/>
              <w:rPr>
                <w:sz w:val="12"/>
                <w:szCs w:val="12"/>
                <w:color w:val="auto"/>
              </w:rPr>
            </w:pPr>
          </w:p>
        </w:tc>
        <w:tc>
          <w:tcPr>
            <w:tcW w:w="1020" w:type="dxa"/>
            <w:vAlign w:val="bottom"/>
            <w:tcBorders>
              <w:bottom w:val="single" w:sz="8" w:color="70AD47"/>
            </w:tcBorders>
          </w:tcPr>
          <w:p>
            <w:pPr>
              <w:jc w:val="right"/>
              <w:spacing w:after="0"/>
              <w:rPr>
                <w:sz w:val="20"/>
                <w:szCs w:val="20"/>
                <w:color w:val="auto"/>
              </w:rPr>
            </w:pPr>
            <w:r>
              <w:rPr>
                <w:rFonts w:ascii="Arial" w:cs="Arial" w:eastAsia="Arial" w:hAnsi="Arial"/>
                <w:sz w:val="10"/>
                <w:szCs w:val="10"/>
                <w:color w:val="auto"/>
              </w:rPr>
              <w:t>111.3</w:t>
            </w:r>
          </w:p>
        </w:tc>
        <w:tc>
          <w:tcPr>
            <w:tcW w:w="0" w:type="dxa"/>
            <w:vAlign w:val="bottom"/>
          </w:tcPr>
          <w:p>
            <w:pPr>
              <w:spacing w:after="0"/>
              <w:rPr>
                <w:sz w:val="1"/>
                <w:szCs w:val="1"/>
                <w:color w:val="auto"/>
              </w:rPr>
            </w:pPr>
          </w:p>
        </w:tc>
      </w:tr>
      <w:tr>
        <w:trPr>
          <w:trHeight w:val="126"/>
        </w:trPr>
        <w:tc>
          <w:tcPr>
            <w:tcW w:w="86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10"/>
                <w:szCs w:val="10"/>
                <w:b w:val="1"/>
                <w:bCs w:val="1"/>
                <w:color w:val="auto"/>
              </w:rPr>
              <w:t>Operating income</w:t>
            </w:r>
          </w:p>
        </w:tc>
        <w:tc>
          <w:tcPr>
            <w:tcW w:w="13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€4,752.7</w:t>
            </w:r>
          </w:p>
        </w:tc>
        <w:tc>
          <w:tcPr>
            <w:tcW w:w="320" w:type="dxa"/>
            <w:vAlign w:val="bottom"/>
            <w:tcBorders>
              <w:bottom w:val="single" w:sz="8" w:color="70AD47"/>
            </w:tcBorders>
          </w:tcPr>
          <w:p>
            <w:pPr>
              <w:spacing w:after="0"/>
              <w:rPr>
                <w:sz w:val="10"/>
                <w:szCs w:val="10"/>
                <w:color w:val="auto"/>
              </w:rPr>
            </w:pPr>
          </w:p>
        </w:tc>
        <w:tc>
          <w:tcPr>
            <w:tcW w:w="1020" w:type="dxa"/>
            <w:vAlign w:val="bottom"/>
            <w:tcBorders>
              <w:bottom w:val="single" w:sz="8" w:color="70AD47"/>
            </w:tcBorders>
          </w:tcPr>
          <w:p>
            <w:pPr>
              <w:jc w:val="right"/>
              <w:spacing w:after="0"/>
              <w:rPr>
                <w:sz w:val="20"/>
                <w:szCs w:val="20"/>
                <w:color w:val="auto"/>
              </w:rPr>
            </w:pPr>
            <w:r>
              <w:rPr>
                <w:rFonts w:ascii="Arial" w:cs="Arial" w:eastAsia="Arial" w:hAnsi="Arial"/>
                <w:sz w:val="10"/>
                <w:szCs w:val="10"/>
                <w:b w:val="1"/>
                <w:bCs w:val="1"/>
                <w:color w:val="auto"/>
              </w:rPr>
              <w:t>€1,662.2</w:t>
            </w:r>
          </w:p>
        </w:tc>
        <w:tc>
          <w:tcPr>
            <w:tcW w:w="0" w:type="dxa"/>
            <w:vAlign w:val="bottom"/>
          </w:tcPr>
          <w:p>
            <w:pPr>
              <w:spacing w:after="0"/>
              <w:rPr>
                <w:sz w:val="1"/>
                <w:szCs w:val="1"/>
                <w:color w:val="auto"/>
              </w:rPr>
            </w:pPr>
          </w:p>
        </w:tc>
      </w:tr>
      <w:tr>
        <w:trPr>
          <w:trHeight w:val="161"/>
        </w:trPr>
        <w:tc>
          <w:tcPr>
            <w:tcW w:w="8600" w:type="dxa"/>
            <w:vAlign w:val="bottom"/>
            <w:tcBorders>
              <w:right w:val="single" w:sz="8" w:color="70AD47"/>
            </w:tcBorders>
            <w:vMerge w:val="restart"/>
          </w:tcPr>
          <w:p>
            <w:pPr>
              <w:ind w:left="20"/>
              <w:spacing w:after="0"/>
              <w:rPr>
                <w:sz w:val="20"/>
                <w:szCs w:val="20"/>
                <w:color w:val="auto"/>
              </w:rPr>
            </w:pPr>
            <w:r>
              <w:rPr>
                <w:rFonts w:ascii="Arial" w:cs="Arial" w:eastAsia="Arial" w:hAnsi="Arial"/>
                <w:sz w:val="10"/>
                <w:szCs w:val="10"/>
                <w:color w:val="auto"/>
              </w:rPr>
              <w:t>Finance income</w:t>
            </w:r>
          </w:p>
        </w:tc>
        <w:tc>
          <w:tcPr>
            <w:tcW w:w="1340" w:type="dxa"/>
            <w:vAlign w:val="bottom"/>
            <w:tcBorders>
              <w:right w:val="single" w:sz="8" w:color="70AD47"/>
            </w:tcBorders>
            <w:shd w:val="clear" w:color="auto" w:fill="C5E0B4"/>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0"/>
                <w:szCs w:val="10"/>
                <w:color w:val="auto"/>
              </w:rPr>
              <w:t>24.8</w:t>
            </w:r>
          </w:p>
        </w:tc>
        <w:tc>
          <w:tcPr>
            <w:tcW w:w="0" w:type="dxa"/>
            <w:vAlign w:val="bottom"/>
          </w:tcPr>
          <w:p>
            <w:pPr>
              <w:spacing w:after="0"/>
              <w:rPr>
                <w:sz w:val="1"/>
                <w:szCs w:val="1"/>
                <w:color w:val="auto"/>
              </w:rPr>
            </w:pPr>
          </w:p>
        </w:tc>
      </w:tr>
      <w:tr>
        <w:trPr>
          <w:trHeight w:val="129"/>
        </w:trPr>
        <w:tc>
          <w:tcPr>
            <w:tcW w:w="8600" w:type="dxa"/>
            <w:vAlign w:val="bottom"/>
            <w:tcBorders>
              <w:right w:val="single" w:sz="8" w:color="70AD47"/>
            </w:tcBorders>
            <w:vMerge w:val="continue"/>
          </w:tcPr>
          <w:p>
            <w:pPr>
              <w:spacing w:after="0"/>
              <w:rPr>
                <w:sz w:val="11"/>
                <w:szCs w:val="11"/>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272.1</w:t>
            </w: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6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10"/>
                <w:szCs w:val="10"/>
                <w:color w:val="auto"/>
              </w:rPr>
              <w:t>Finance expenses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(6.7)</w:t>
            </w:r>
          </w:p>
        </w:tc>
        <w:tc>
          <w:tcPr>
            <w:tcW w:w="320" w:type="dxa"/>
            <w:vAlign w:val="bottom"/>
            <w:tcBorders>
              <w:bottom w:val="single" w:sz="8" w:color="70AD47"/>
            </w:tcBorders>
          </w:tcPr>
          <w:p>
            <w:pPr>
              <w:spacing w:after="0"/>
              <w:rPr>
                <w:sz w:val="12"/>
                <w:szCs w:val="12"/>
                <w:color w:val="auto"/>
              </w:rPr>
            </w:pPr>
          </w:p>
        </w:tc>
        <w:tc>
          <w:tcPr>
            <w:tcW w:w="1020" w:type="dxa"/>
            <w:vAlign w:val="bottom"/>
            <w:tcBorders>
              <w:bottom w:val="single" w:sz="8" w:color="70AD47"/>
            </w:tcBorders>
          </w:tcPr>
          <w:p>
            <w:pPr>
              <w:jc w:val="right"/>
              <w:spacing w:after="0"/>
              <w:rPr>
                <w:sz w:val="20"/>
                <w:szCs w:val="20"/>
                <w:color w:val="auto"/>
              </w:rPr>
            </w:pPr>
            <w:r>
              <w:rPr>
                <w:rFonts w:ascii="Arial" w:cs="Arial" w:eastAsia="Arial" w:hAnsi="Arial"/>
                <w:sz w:val="10"/>
                <w:szCs w:val="10"/>
                <w:color w:val="auto"/>
              </w:rPr>
              <w:t>(44.7)</w:t>
            </w:r>
          </w:p>
        </w:tc>
        <w:tc>
          <w:tcPr>
            <w:tcW w:w="0" w:type="dxa"/>
            <w:vAlign w:val="bottom"/>
          </w:tcPr>
          <w:p>
            <w:pPr>
              <w:spacing w:after="0"/>
              <w:rPr>
                <w:sz w:val="1"/>
                <w:szCs w:val="1"/>
                <w:color w:val="auto"/>
              </w:rPr>
            </w:pPr>
          </w:p>
        </w:tc>
      </w:tr>
      <w:tr>
        <w:trPr>
          <w:trHeight w:val="126"/>
        </w:trPr>
        <w:tc>
          <w:tcPr>
            <w:tcW w:w="86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10"/>
                <w:szCs w:val="10"/>
                <w:b w:val="1"/>
                <w:bCs w:val="1"/>
                <w:color w:val="auto"/>
              </w:rPr>
              <w:t>Profit before tax</w:t>
            </w:r>
          </w:p>
        </w:tc>
        <w:tc>
          <w:tcPr>
            <w:tcW w:w="13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€5,018.1</w:t>
            </w:r>
          </w:p>
        </w:tc>
        <w:tc>
          <w:tcPr>
            <w:tcW w:w="320" w:type="dxa"/>
            <w:vAlign w:val="bottom"/>
            <w:tcBorders>
              <w:bottom w:val="single" w:sz="8" w:color="70AD47"/>
            </w:tcBorders>
          </w:tcPr>
          <w:p>
            <w:pPr>
              <w:spacing w:after="0"/>
              <w:rPr>
                <w:sz w:val="10"/>
                <w:szCs w:val="10"/>
                <w:color w:val="auto"/>
              </w:rPr>
            </w:pPr>
          </w:p>
        </w:tc>
        <w:tc>
          <w:tcPr>
            <w:tcW w:w="1020" w:type="dxa"/>
            <w:vAlign w:val="bottom"/>
            <w:tcBorders>
              <w:bottom w:val="single" w:sz="8" w:color="70AD47"/>
            </w:tcBorders>
          </w:tcPr>
          <w:p>
            <w:pPr>
              <w:jc w:val="right"/>
              <w:spacing w:after="0"/>
              <w:rPr>
                <w:sz w:val="20"/>
                <w:szCs w:val="20"/>
                <w:color w:val="auto"/>
              </w:rPr>
            </w:pPr>
            <w:r>
              <w:rPr>
                <w:rFonts w:ascii="Arial" w:cs="Arial" w:eastAsia="Arial" w:hAnsi="Arial"/>
                <w:sz w:val="10"/>
                <w:szCs w:val="10"/>
                <w:b w:val="1"/>
                <w:bCs w:val="1"/>
                <w:color w:val="auto"/>
              </w:rPr>
              <w:t>€1,642.3</w:t>
            </w:r>
          </w:p>
        </w:tc>
        <w:tc>
          <w:tcPr>
            <w:tcW w:w="0" w:type="dxa"/>
            <w:vAlign w:val="bottom"/>
          </w:tcPr>
          <w:p>
            <w:pPr>
              <w:spacing w:after="0"/>
              <w:rPr>
                <w:sz w:val="1"/>
                <w:szCs w:val="1"/>
                <w:color w:val="auto"/>
              </w:rPr>
            </w:pPr>
          </w:p>
        </w:tc>
      </w:tr>
      <w:tr>
        <w:trPr>
          <w:trHeight w:val="161"/>
        </w:trPr>
        <w:tc>
          <w:tcPr>
            <w:tcW w:w="8600" w:type="dxa"/>
            <w:vAlign w:val="bottom"/>
            <w:tcBorders>
              <w:right w:val="single" w:sz="8" w:color="70AD47"/>
            </w:tcBorders>
            <w:vMerge w:val="restart"/>
          </w:tcPr>
          <w:p>
            <w:pPr>
              <w:ind w:left="20"/>
              <w:spacing w:after="0"/>
              <w:rPr>
                <w:sz w:val="20"/>
                <w:szCs w:val="20"/>
                <w:color w:val="auto"/>
              </w:rPr>
            </w:pPr>
            <w:r>
              <w:rPr>
                <w:rFonts w:ascii="Arial" w:cs="Arial" w:eastAsia="Arial" w:hAnsi="Arial"/>
                <w:sz w:val="10"/>
                <w:szCs w:val="10"/>
                <w:color w:val="auto"/>
              </w:rPr>
              <w:t>Income taxes</w:t>
            </w:r>
          </w:p>
        </w:tc>
        <w:tc>
          <w:tcPr>
            <w:tcW w:w="1340" w:type="dxa"/>
            <w:vAlign w:val="bottom"/>
            <w:tcBorders>
              <w:right w:val="single" w:sz="8" w:color="70AD47"/>
            </w:tcBorders>
            <w:shd w:val="clear" w:color="auto" w:fill="C5E0B4"/>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0"/>
                <w:szCs w:val="10"/>
                <w:color w:val="auto"/>
              </w:rPr>
              <w:t>(514.2)</w:t>
            </w:r>
          </w:p>
        </w:tc>
        <w:tc>
          <w:tcPr>
            <w:tcW w:w="0" w:type="dxa"/>
            <w:vAlign w:val="bottom"/>
          </w:tcPr>
          <w:p>
            <w:pPr>
              <w:spacing w:after="0"/>
              <w:rPr>
                <w:sz w:val="1"/>
                <w:szCs w:val="1"/>
                <w:color w:val="auto"/>
              </w:rPr>
            </w:pPr>
          </w:p>
        </w:tc>
      </w:tr>
      <w:tr>
        <w:trPr>
          <w:trHeight w:val="132"/>
        </w:trPr>
        <w:tc>
          <w:tcPr>
            <w:tcW w:w="8600" w:type="dxa"/>
            <w:vAlign w:val="bottom"/>
            <w:tcBorders>
              <w:bottom w:val="single" w:sz="8" w:color="70AD47"/>
              <w:right w:val="single" w:sz="8" w:color="70AD47"/>
            </w:tcBorders>
            <w:vMerge w:val="continue"/>
          </w:tcPr>
          <w:p>
            <w:pPr>
              <w:spacing w:after="0"/>
              <w:rPr>
                <w:sz w:val="11"/>
                <w:szCs w:val="11"/>
                <w:color w:val="auto"/>
              </w:rPr>
            </w:pP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(1,319.3)</w:t>
            </w:r>
          </w:p>
        </w:tc>
        <w:tc>
          <w:tcPr>
            <w:tcW w:w="320" w:type="dxa"/>
            <w:vAlign w:val="bottom"/>
            <w:tcBorders>
              <w:bottom w:val="single" w:sz="8" w:color="70AD47"/>
            </w:tcBorders>
          </w:tcPr>
          <w:p>
            <w:pPr>
              <w:spacing w:after="0"/>
              <w:rPr>
                <w:sz w:val="11"/>
                <w:szCs w:val="11"/>
                <w:color w:val="auto"/>
              </w:rPr>
            </w:pPr>
          </w:p>
        </w:tc>
        <w:tc>
          <w:tcPr>
            <w:tcW w:w="1020" w:type="dxa"/>
            <w:vAlign w:val="bottom"/>
            <w:tcBorders>
              <w:bottom w:val="single" w:sz="8" w:color="70AD47"/>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6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10"/>
                <w:szCs w:val="10"/>
                <w:b w:val="1"/>
                <w:bCs w:val="1"/>
                <w:color w:val="auto"/>
              </w:rPr>
              <w:t>Profit for the period</w:t>
            </w:r>
          </w:p>
        </w:tc>
        <w:tc>
          <w:tcPr>
            <w:tcW w:w="13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€3,698.8</w:t>
            </w:r>
          </w:p>
        </w:tc>
        <w:tc>
          <w:tcPr>
            <w:tcW w:w="320" w:type="dxa"/>
            <w:vAlign w:val="bottom"/>
            <w:tcBorders>
              <w:bottom w:val="single" w:sz="8" w:color="70AD47"/>
            </w:tcBorders>
          </w:tcPr>
          <w:p>
            <w:pPr>
              <w:spacing w:after="0"/>
              <w:rPr>
                <w:sz w:val="10"/>
                <w:szCs w:val="10"/>
                <w:color w:val="auto"/>
              </w:rPr>
            </w:pPr>
          </w:p>
        </w:tc>
        <w:tc>
          <w:tcPr>
            <w:tcW w:w="1020" w:type="dxa"/>
            <w:vAlign w:val="bottom"/>
            <w:tcBorders>
              <w:bottom w:val="single" w:sz="8" w:color="70AD47"/>
            </w:tcBorders>
          </w:tcPr>
          <w:p>
            <w:pPr>
              <w:jc w:val="right"/>
              <w:spacing w:after="0"/>
              <w:rPr>
                <w:sz w:val="20"/>
                <w:szCs w:val="20"/>
                <w:color w:val="auto"/>
              </w:rPr>
            </w:pPr>
            <w:r>
              <w:rPr>
                <w:rFonts w:ascii="Arial" w:cs="Arial" w:eastAsia="Arial" w:hAnsi="Arial"/>
                <w:sz w:val="10"/>
                <w:szCs w:val="10"/>
                <w:b w:val="1"/>
                <w:bCs w:val="1"/>
                <w:color w:val="auto"/>
              </w:rPr>
              <w:t>€1,128.1</w:t>
            </w:r>
          </w:p>
        </w:tc>
        <w:tc>
          <w:tcPr>
            <w:tcW w:w="0" w:type="dxa"/>
            <w:vAlign w:val="bottom"/>
          </w:tcPr>
          <w:p>
            <w:pPr>
              <w:spacing w:after="0"/>
              <w:rPr>
                <w:sz w:val="1"/>
                <w:szCs w:val="1"/>
                <w:color w:val="auto"/>
              </w:rPr>
            </w:pPr>
          </w:p>
        </w:tc>
      </w:tr>
      <w:tr>
        <w:trPr>
          <w:trHeight w:val="314"/>
        </w:trPr>
        <w:tc>
          <w:tcPr>
            <w:tcW w:w="86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per share</w:t>
            </w:r>
          </w:p>
        </w:tc>
        <w:tc>
          <w:tcPr>
            <w:tcW w:w="1340" w:type="dxa"/>
            <w:vAlign w:val="bottom"/>
            <w:tcBorders>
              <w:right w:val="single" w:sz="8" w:color="70AD47"/>
            </w:tcBorders>
            <w:shd w:val="clear" w:color="auto" w:fill="C5E0B4"/>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0" w:type="dxa"/>
            <w:vAlign w:val="bottom"/>
            <w:tcBorders>
              <w:right w:val="single" w:sz="8" w:color="70AD47"/>
            </w:tcBorders>
          </w:tcPr>
          <w:p>
            <w:pPr>
              <w:ind w:left="20"/>
              <w:spacing w:after="0"/>
              <w:rPr>
                <w:sz w:val="20"/>
                <w:szCs w:val="20"/>
                <w:color w:val="auto"/>
              </w:rPr>
            </w:pPr>
            <w:r>
              <w:rPr>
                <w:rFonts w:ascii="Arial" w:cs="Arial" w:eastAsia="Arial" w:hAnsi="Arial"/>
                <w:sz w:val="10"/>
                <w:szCs w:val="10"/>
                <w:color w:val="auto"/>
              </w:rPr>
              <w:t>Basic profit for the period per share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€15.13</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€4.64</w:t>
            </w:r>
          </w:p>
        </w:tc>
        <w:tc>
          <w:tcPr>
            <w:tcW w:w="0" w:type="dxa"/>
            <w:vAlign w:val="bottom"/>
          </w:tcPr>
          <w:p>
            <w:pPr>
              <w:spacing w:after="0"/>
              <w:rPr>
                <w:sz w:val="1"/>
                <w:szCs w:val="1"/>
                <w:color w:val="auto"/>
              </w:rPr>
            </w:pPr>
          </w:p>
        </w:tc>
      </w:tr>
      <w:tr>
        <w:trPr>
          <w:trHeight w:val="138"/>
        </w:trPr>
        <w:tc>
          <w:tcPr>
            <w:tcW w:w="86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10"/>
                <w:szCs w:val="10"/>
                <w:color w:val="auto"/>
              </w:rPr>
              <w:t>Diluted profit for the period per share</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€14.24</w:t>
            </w:r>
          </w:p>
        </w:tc>
        <w:tc>
          <w:tcPr>
            <w:tcW w:w="320" w:type="dxa"/>
            <w:vAlign w:val="bottom"/>
            <w:tcBorders>
              <w:bottom w:val="single" w:sz="8" w:color="70AD47"/>
            </w:tcBorders>
          </w:tcPr>
          <w:p>
            <w:pPr>
              <w:spacing w:after="0"/>
              <w:rPr>
                <w:sz w:val="12"/>
                <w:szCs w:val="12"/>
                <w:color w:val="auto"/>
              </w:rPr>
            </w:pPr>
          </w:p>
        </w:tc>
        <w:tc>
          <w:tcPr>
            <w:tcW w:w="1020" w:type="dxa"/>
            <w:vAlign w:val="bottom"/>
            <w:tcBorders>
              <w:bottom w:val="single" w:sz="8" w:color="70AD47"/>
            </w:tcBorders>
          </w:tcPr>
          <w:p>
            <w:pPr>
              <w:jc w:val="right"/>
              <w:spacing w:after="0"/>
              <w:rPr>
                <w:sz w:val="20"/>
                <w:szCs w:val="20"/>
                <w:color w:val="auto"/>
              </w:rPr>
            </w:pPr>
            <w:r>
              <w:rPr>
                <w:rFonts w:ascii="Arial" w:cs="Arial" w:eastAsia="Arial" w:hAnsi="Arial"/>
                <w:sz w:val="10"/>
                <w:szCs w:val="10"/>
                <w:color w:val="auto"/>
              </w:rPr>
              <w:t>€4.39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1102" w:right="29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4"/>
          <w:szCs w:val="14"/>
          <w:b w:val="1"/>
          <w:bCs w:val="1"/>
          <w:color w:val="auto"/>
        </w:rPr>
        <w:t>Interim Consolidated Statements of Financial Position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right w:val="single" w:sz="8" w:color="70AD47"/>
            </w:tcBorders>
          </w:tcPr>
          <w:p>
            <w:pPr>
              <w:spacing w:after="0"/>
              <w:rPr>
                <w:sz w:val="11"/>
                <w:szCs w:val="11"/>
                <w:color w:val="auto"/>
              </w:rPr>
            </w:pP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b w:val="1"/>
                <w:bCs w:val="1"/>
                <w:color w:val="auto"/>
              </w:rPr>
              <w:t>March 31,</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b w:val="1"/>
                <w:bCs w:val="1"/>
                <w:color w:val="auto"/>
              </w:rPr>
              <w:t>December 31,</w:t>
            </w:r>
          </w:p>
        </w:tc>
      </w:tr>
      <w:tr>
        <w:trPr>
          <w:trHeight w:val="131"/>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i w:val="1"/>
                <w:iCs w:val="1"/>
                <w:color w:val="auto"/>
              </w:rPr>
              <w:t>(in millions)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b w:val="1"/>
                <w:bCs w:val="1"/>
                <w:color w:val="auto"/>
              </w:rPr>
              <w:t>2022</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b w:val="1"/>
                <w:bCs w:val="1"/>
                <w:color w:val="auto"/>
              </w:rPr>
              <w:t>2021</w:t>
            </w:r>
          </w:p>
        </w:tc>
      </w:tr>
      <w:tr>
        <w:trPr>
          <w:trHeight w:val="136"/>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Assets</w:t>
            </w:r>
          </w:p>
        </w:tc>
        <w:tc>
          <w:tcPr>
            <w:tcW w:w="17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i w:val="1"/>
                <w:iCs w:val="1"/>
                <w:color w:val="auto"/>
              </w:rPr>
              <w:t>(unaudited)</w:t>
            </w:r>
          </w:p>
        </w:tc>
        <w:tc>
          <w:tcPr>
            <w:tcW w:w="1780" w:type="dxa"/>
            <w:vAlign w:val="bottom"/>
            <w:tcBorders>
              <w:bottom w:val="single" w:sz="8" w:color="70AD47"/>
              <w:right w:val="single" w:sz="8" w:color="70AD47"/>
            </w:tcBorders>
          </w:tcPr>
          <w:p>
            <w:pPr>
              <w:spacing w:after="0"/>
              <w:rPr>
                <w:sz w:val="11"/>
                <w:szCs w:val="11"/>
                <w:color w:val="auto"/>
              </w:rPr>
            </w:pPr>
          </w:p>
        </w:tc>
      </w:tr>
      <w:tr>
        <w:trPr>
          <w:trHeight w:val="123"/>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Non-current assets</w:t>
            </w:r>
          </w:p>
        </w:tc>
        <w:tc>
          <w:tcPr>
            <w:tcW w:w="1780" w:type="dxa"/>
            <w:vAlign w:val="bottom"/>
            <w:tcBorders>
              <w:right w:val="single" w:sz="8" w:color="70AD47"/>
            </w:tcBorders>
            <w:shd w:val="clear" w:color="auto" w:fill="C6E0B4"/>
          </w:tcPr>
          <w:p>
            <w:pPr>
              <w:spacing w:after="0"/>
              <w:rPr>
                <w:sz w:val="10"/>
                <w:szCs w:val="10"/>
                <w:color w:val="auto"/>
              </w:rPr>
            </w:pPr>
          </w:p>
        </w:tc>
        <w:tc>
          <w:tcPr>
            <w:tcW w:w="1780" w:type="dxa"/>
            <w:vAlign w:val="bottom"/>
            <w:tcBorders>
              <w:right w:val="single" w:sz="8" w:color="70AD47"/>
            </w:tcBorders>
          </w:tcPr>
          <w:p>
            <w:pPr>
              <w:spacing w:after="0"/>
              <w:rPr>
                <w:sz w:val="10"/>
                <w:szCs w:val="10"/>
                <w:color w:val="auto"/>
              </w:rPr>
            </w:pPr>
          </w:p>
        </w:tc>
      </w:tr>
      <w:tr>
        <w:trPr>
          <w:trHeight w:val="131"/>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Intangible assets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€216.0</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€202.4</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Property, plant and equipment</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358.3</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322.5</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Right-of-use assets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198.6</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197.9</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Other financial assets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48.4</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21.3</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Other assets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0.8</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0.8</w:t>
            </w:r>
          </w:p>
        </w:tc>
      </w:tr>
      <w:tr>
        <w:trPr>
          <w:trHeight w:val="138"/>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color w:val="auto"/>
              </w:rPr>
              <w:t>Deferred expenses</w:t>
            </w:r>
          </w:p>
        </w:tc>
        <w:tc>
          <w:tcPr>
            <w:tcW w:w="17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11.4</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color w:val="auto"/>
              </w:rPr>
              <w:t>13.6</w:t>
            </w:r>
          </w:p>
        </w:tc>
      </w:tr>
      <w:tr>
        <w:trPr>
          <w:trHeight w:val="126"/>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Total non-current assets</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€833.5</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b w:val="1"/>
                <w:bCs w:val="1"/>
                <w:color w:val="auto"/>
              </w:rPr>
              <w:t>€758.5</w:t>
            </w:r>
          </w:p>
        </w:tc>
      </w:tr>
      <w:tr>
        <w:trPr>
          <w:trHeight w:val="123"/>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Current assets</w:t>
            </w:r>
          </w:p>
        </w:tc>
        <w:tc>
          <w:tcPr>
            <w:tcW w:w="1780" w:type="dxa"/>
            <w:vAlign w:val="bottom"/>
            <w:tcBorders>
              <w:right w:val="single" w:sz="8" w:color="70AD47"/>
            </w:tcBorders>
            <w:shd w:val="clear" w:color="auto" w:fill="C6E0B4"/>
          </w:tcPr>
          <w:p>
            <w:pPr>
              <w:spacing w:after="0"/>
              <w:rPr>
                <w:sz w:val="10"/>
                <w:szCs w:val="10"/>
                <w:color w:val="auto"/>
              </w:rPr>
            </w:pPr>
          </w:p>
        </w:tc>
        <w:tc>
          <w:tcPr>
            <w:tcW w:w="1780" w:type="dxa"/>
            <w:vAlign w:val="bottom"/>
            <w:tcBorders>
              <w:right w:val="single" w:sz="8" w:color="70AD47"/>
            </w:tcBorders>
          </w:tcPr>
          <w:p>
            <w:pPr>
              <w:spacing w:after="0"/>
              <w:rPr>
                <w:sz w:val="10"/>
                <w:szCs w:val="10"/>
                <w:color w:val="auto"/>
              </w:rPr>
            </w:pPr>
          </w:p>
        </w:tc>
      </w:tr>
      <w:tr>
        <w:trPr>
          <w:trHeight w:val="131"/>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Inventories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459.3</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502.5</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Trade and other receivables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12,695.8</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12,381.7</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Other financial assets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0.9</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381.6</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Other assets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64.9</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64.9</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Income tax assets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0.4</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0.4</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Deferred expenses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80.7</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48.5</w:t>
            </w:r>
          </w:p>
        </w:tc>
      </w:tr>
      <w:tr>
        <w:trPr>
          <w:trHeight w:val="138"/>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color w:val="auto"/>
              </w:rPr>
              <w:t>Cash and cash equivalents</w:t>
            </w:r>
          </w:p>
        </w:tc>
        <w:tc>
          <w:tcPr>
            <w:tcW w:w="17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6,164.1</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color w:val="auto"/>
              </w:rPr>
              <w:t>1,692.7</w:t>
            </w:r>
          </w:p>
        </w:tc>
      </w:tr>
      <w:tr>
        <w:trPr>
          <w:trHeight w:val="126"/>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Total current assets</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€19,466.1</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b w:val="1"/>
                <w:bCs w:val="1"/>
                <w:color w:val="auto"/>
              </w:rPr>
              <w:t>€15,072.3</w:t>
            </w:r>
          </w:p>
        </w:tc>
      </w:tr>
      <w:tr>
        <w:trPr>
          <w:trHeight w:val="124"/>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Total assets</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€20,299.6</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b w:val="1"/>
                <w:bCs w:val="1"/>
                <w:color w:val="auto"/>
              </w:rPr>
              <w:t>€15,830.8</w:t>
            </w:r>
          </w:p>
        </w:tc>
      </w:tr>
      <w:tr>
        <w:trPr>
          <w:trHeight w:val="124"/>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Equity and liabilities</w:t>
            </w:r>
          </w:p>
        </w:tc>
        <w:tc>
          <w:tcPr>
            <w:tcW w:w="1780" w:type="dxa"/>
            <w:vAlign w:val="bottom"/>
            <w:tcBorders>
              <w:bottom w:val="single" w:sz="8" w:color="70AD47"/>
              <w:right w:val="single" w:sz="8" w:color="70AD47"/>
            </w:tcBorders>
            <w:shd w:val="clear" w:color="auto" w:fill="C6E0B4"/>
          </w:tcPr>
          <w:p>
            <w:pPr>
              <w:spacing w:after="0"/>
              <w:rPr>
                <w:sz w:val="10"/>
                <w:szCs w:val="10"/>
                <w:color w:val="auto"/>
              </w:rPr>
            </w:pPr>
          </w:p>
        </w:tc>
        <w:tc>
          <w:tcPr>
            <w:tcW w:w="1780" w:type="dxa"/>
            <w:vAlign w:val="bottom"/>
            <w:tcBorders>
              <w:bottom w:val="single" w:sz="8" w:color="70AD47"/>
              <w:right w:val="single" w:sz="8" w:color="70AD47"/>
            </w:tcBorders>
          </w:tcPr>
          <w:p>
            <w:pPr>
              <w:spacing w:after="0"/>
              <w:rPr>
                <w:sz w:val="10"/>
                <w:szCs w:val="10"/>
                <w:color w:val="auto"/>
              </w:rPr>
            </w:pPr>
          </w:p>
        </w:tc>
      </w:tr>
      <w:tr>
        <w:trPr>
          <w:trHeight w:val="123"/>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Equity</w:t>
            </w:r>
          </w:p>
        </w:tc>
        <w:tc>
          <w:tcPr>
            <w:tcW w:w="1780" w:type="dxa"/>
            <w:vAlign w:val="bottom"/>
            <w:tcBorders>
              <w:right w:val="single" w:sz="8" w:color="70AD47"/>
            </w:tcBorders>
            <w:shd w:val="clear" w:color="auto" w:fill="C6E0B4"/>
          </w:tcPr>
          <w:p>
            <w:pPr>
              <w:spacing w:after="0"/>
              <w:rPr>
                <w:sz w:val="10"/>
                <w:szCs w:val="10"/>
                <w:color w:val="auto"/>
              </w:rPr>
            </w:pPr>
          </w:p>
        </w:tc>
        <w:tc>
          <w:tcPr>
            <w:tcW w:w="1780" w:type="dxa"/>
            <w:vAlign w:val="bottom"/>
            <w:tcBorders>
              <w:right w:val="single" w:sz="8" w:color="70AD47"/>
            </w:tcBorders>
          </w:tcPr>
          <w:p>
            <w:pPr>
              <w:spacing w:after="0"/>
              <w:rPr>
                <w:sz w:val="10"/>
                <w:szCs w:val="10"/>
                <w:color w:val="auto"/>
              </w:rPr>
            </w:pPr>
          </w:p>
        </w:tc>
      </w:tr>
      <w:tr>
        <w:trPr>
          <w:trHeight w:val="131"/>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Share capital</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246.8</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246.3</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Capital reserve</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1,976.3</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1,674.4</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Treasury shares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(3.8)</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(3.8)</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Retained earnings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13,581.7</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9,882.9</w:t>
            </w:r>
          </w:p>
        </w:tc>
      </w:tr>
      <w:tr>
        <w:trPr>
          <w:trHeight w:val="138"/>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color w:val="auto"/>
              </w:rPr>
              <w:t>Other reserves</w:t>
            </w:r>
          </w:p>
        </w:tc>
        <w:tc>
          <w:tcPr>
            <w:tcW w:w="17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109.7</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color w:val="auto"/>
              </w:rPr>
              <w:t>93.9</w:t>
            </w:r>
          </w:p>
        </w:tc>
      </w:tr>
      <w:tr>
        <w:trPr>
          <w:trHeight w:val="126"/>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Total equity</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€15,910.7</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b w:val="1"/>
                <w:bCs w:val="1"/>
                <w:color w:val="auto"/>
              </w:rPr>
              <w:t>€11,893.7</w:t>
            </w:r>
          </w:p>
        </w:tc>
      </w:tr>
      <w:tr>
        <w:trPr>
          <w:trHeight w:val="123"/>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Non-current liabilities</w:t>
            </w:r>
          </w:p>
        </w:tc>
        <w:tc>
          <w:tcPr>
            <w:tcW w:w="1780" w:type="dxa"/>
            <w:vAlign w:val="bottom"/>
            <w:tcBorders>
              <w:right w:val="single" w:sz="8" w:color="70AD47"/>
            </w:tcBorders>
            <w:shd w:val="clear" w:color="auto" w:fill="C6E0B4"/>
          </w:tcPr>
          <w:p>
            <w:pPr>
              <w:spacing w:after="0"/>
              <w:rPr>
                <w:sz w:val="10"/>
                <w:szCs w:val="10"/>
                <w:color w:val="auto"/>
              </w:rPr>
            </w:pPr>
          </w:p>
        </w:tc>
        <w:tc>
          <w:tcPr>
            <w:tcW w:w="1780" w:type="dxa"/>
            <w:vAlign w:val="bottom"/>
            <w:tcBorders>
              <w:right w:val="single" w:sz="8" w:color="70AD47"/>
            </w:tcBorders>
          </w:tcPr>
          <w:p>
            <w:pPr>
              <w:spacing w:after="0"/>
              <w:rPr>
                <w:sz w:val="10"/>
                <w:szCs w:val="10"/>
                <w:color w:val="auto"/>
              </w:rPr>
            </w:pPr>
          </w:p>
        </w:tc>
      </w:tr>
      <w:tr>
        <w:trPr>
          <w:trHeight w:val="131"/>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Loans and borrowings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155.4</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171.6</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Other financial liabilities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6.1</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6.1</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Income tax liabilities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4.4</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4.4</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Provisions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240.0</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184.9</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Contract liabilities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66.4</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9.0</w:t>
            </w:r>
          </w:p>
        </w:tc>
      </w:tr>
      <w:tr>
        <w:trPr>
          <w:trHeight w:val="138"/>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Other liabilities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11.2</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12.8</w:t>
            </w:r>
          </w:p>
        </w:tc>
      </w:tr>
      <w:tr>
        <w:trPr>
          <w:trHeight w:val="115"/>
        </w:trPr>
        <w:tc>
          <w:tcPr>
            <w:tcW w:w="6440" w:type="dxa"/>
            <w:vAlign w:val="bottom"/>
            <w:tcBorders>
              <w:bottom w:val="single" w:sz="8" w:color="70AD47"/>
            </w:tcBorders>
          </w:tcPr>
          <w:p>
            <w:pPr>
              <w:spacing w:after="0" w:line="112" w:lineRule="exact"/>
              <w:rPr>
                <w:sz w:val="20"/>
                <w:szCs w:val="20"/>
                <w:color w:val="auto"/>
              </w:rPr>
            </w:pPr>
            <w:r>
              <w:rPr>
                <w:rFonts w:ascii="Arial" w:cs="Arial" w:eastAsia="Arial" w:hAnsi="Arial"/>
                <w:sz w:val="10"/>
                <w:szCs w:val="10"/>
                <w:color w:val="auto"/>
              </w:rPr>
              <w:t>Deferred tax liabilities</w:t>
            </w:r>
          </w:p>
        </w:tc>
        <w:tc>
          <w:tcPr>
            <w:tcW w:w="180" w:type="dxa"/>
            <w:vAlign w:val="bottom"/>
            <w:tcBorders>
              <w:top w:val="single" w:sz="8" w:color="70AD47"/>
              <w:bottom w:val="single" w:sz="8" w:color="70AD47"/>
            </w:tcBorders>
          </w:tcPr>
          <w:p>
            <w:pPr>
              <w:spacing w:after="0"/>
              <w:rPr>
                <w:sz w:val="10"/>
                <w:szCs w:val="10"/>
                <w:color w:val="auto"/>
              </w:rPr>
            </w:pPr>
          </w:p>
        </w:tc>
        <w:tc>
          <w:tcPr>
            <w:tcW w:w="1140" w:type="dxa"/>
            <w:vAlign w:val="bottom"/>
            <w:tcBorders>
              <w:bottom w:val="single" w:sz="8" w:color="70AD47"/>
              <w:right w:val="single" w:sz="8" w:color="70AD47"/>
            </w:tcBorders>
          </w:tcPr>
          <w:p>
            <w:pPr>
              <w:spacing w:after="0"/>
              <w:rPr>
                <w:sz w:val="10"/>
                <w:szCs w:val="10"/>
                <w:color w:val="auto"/>
              </w:rPr>
            </w:pPr>
          </w:p>
        </w:tc>
        <w:tc>
          <w:tcPr>
            <w:tcW w:w="1780" w:type="dxa"/>
            <w:vAlign w:val="bottom"/>
            <w:tcBorders>
              <w:top w:val="single" w:sz="8" w:color="C6E0B4"/>
              <w:bottom w:val="single" w:sz="8" w:color="70AD47"/>
              <w:right w:val="single" w:sz="8" w:color="70AD47"/>
            </w:tcBorders>
            <w:shd w:val="clear" w:color="auto" w:fill="C6E0B4"/>
          </w:tcPr>
          <w:p>
            <w:pPr>
              <w:jc w:val="right"/>
              <w:spacing w:after="0" w:line="112" w:lineRule="exact"/>
              <w:rPr>
                <w:sz w:val="20"/>
                <w:szCs w:val="20"/>
                <w:color w:val="auto"/>
              </w:rPr>
            </w:pPr>
            <w:r>
              <w:rPr>
                <w:rFonts w:ascii="Arial" w:cs="Arial" w:eastAsia="Arial" w:hAnsi="Arial"/>
                <w:sz w:val="10"/>
                <w:szCs w:val="10"/>
                <w:color w:val="auto"/>
              </w:rPr>
              <w:t>50.9</w:t>
            </w:r>
          </w:p>
        </w:tc>
        <w:tc>
          <w:tcPr>
            <w:tcW w:w="1780" w:type="dxa"/>
            <w:vAlign w:val="bottom"/>
            <w:tcBorders>
              <w:bottom w:val="single" w:sz="8" w:color="70AD47"/>
              <w:right w:val="single" w:sz="8" w:color="70AD47"/>
            </w:tcBorders>
          </w:tcPr>
          <w:p>
            <w:pPr>
              <w:jc w:val="right"/>
              <w:spacing w:after="0" w:line="112" w:lineRule="exact"/>
              <w:rPr>
                <w:sz w:val="20"/>
                <w:szCs w:val="20"/>
                <w:color w:val="auto"/>
              </w:rPr>
            </w:pPr>
            <w:r>
              <w:rPr>
                <w:rFonts w:ascii="Arial" w:cs="Arial" w:eastAsia="Arial" w:hAnsi="Arial"/>
                <w:sz w:val="10"/>
                <w:szCs w:val="10"/>
                <w:color w:val="auto"/>
              </w:rPr>
              <w:t>66.7</w:t>
            </w:r>
          </w:p>
        </w:tc>
      </w:tr>
      <w:tr>
        <w:trPr>
          <w:trHeight w:val="126"/>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Total non-current liabilities</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€534.4</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b w:val="1"/>
                <w:bCs w:val="1"/>
                <w:color w:val="auto"/>
              </w:rPr>
              <w:t>€455.5</w:t>
            </w:r>
          </w:p>
        </w:tc>
      </w:tr>
      <w:tr>
        <w:trPr>
          <w:trHeight w:val="123"/>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Current liabilities</w:t>
            </w:r>
          </w:p>
        </w:tc>
        <w:tc>
          <w:tcPr>
            <w:tcW w:w="1780" w:type="dxa"/>
            <w:vAlign w:val="bottom"/>
            <w:tcBorders>
              <w:right w:val="single" w:sz="8" w:color="70AD47"/>
            </w:tcBorders>
            <w:shd w:val="clear" w:color="auto" w:fill="C6E0B4"/>
          </w:tcPr>
          <w:p>
            <w:pPr>
              <w:spacing w:after="0"/>
              <w:rPr>
                <w:sz w:val="10"/>
                <w:szCs w:val="10"/>
                <w:color w:val="auto"/>
              </w:rPr>
            </w:pPr>
          </w:p>
        </w:tc>
        <w:tc>
          <w:tcPr>
            <w:tcW w:w="1780" w:type="dxa"/>
            <w:vAlign w:val="bottom"/>
            <w:tcBorders>
              <w:right w:val="single" w:sz="8" w:color="70AD47"/>
            </w:tcBorders>
          </w:tcPr>
          <w:p>
            <w:pPr>
              <w:spacing w:after="0"/>
              <w:rPr>
                <w:sz w:val="10"/>
                <w:szCs w:val="10"/>
                <w:color w:val="auto"/>
              </w:rPr>
            </w:pPr>
          </w:p>
        </w:tc>
      </w:tr>
      <w:tr>
        <w:trPr>
          <w:trHeight w:val="131"/>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Loans and borrowings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30.6</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129.9</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Trade payables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123.7</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160.0</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Other financial liabilities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1,381.9</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1,190.4</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Government grants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3.0</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3.0</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Refund liabilities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90.0</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90.0</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Income tax liabilities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1,614.0</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1,568.9</w:t>
            </w:r>
          </w:p>
        </w:tc>
      </w:tr>
      <w:tr>
        <w:trPr>
          <w:trHeight w:val="135"/>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Provisions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339.2</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110.2</w:t>
            </w:r>
          </w:p>
        </w:tc>
      </w:tr>
      <w:tr>
        <w:trPr>
          <w:trHeight w:val="138"/>
        </w:trPr>
        <w:tc>
          <w:tcPr>
            <w:tcW w:w="7760" w:type="dxa"/>
            <w:vAlign w:val="bottom"/>
            <w:tcBorders>
              <w:right w:val="single" w:sz="8" w:color="70AD47"/>
            </w:tcBorders>
            <w:gridSpan w:val="3"/>
          </w:tcPr>
          <w:p>
            <w:pPr>
              <w:spacing w:after="0"/>
              <w:rPr>
                <w:sz w:val="20"/>
                <w:szCs w:val="20"/>
                <w:color w:val="auto"/>
              </w:rPr>
            </w:pPr>
            <w:r>
              <w:rPr>
                <w:rFonts w:ascii="Arial" w:cs="Arial" w:eastAsia="Arial" w:hAnsi="Arial"/>
                <w:sz w:val="10"/>
                <w:szCs w:val="10"/>
                <w:color w:val="auto"/>
              </w:rPr>
              <w:t>Contract liabilities</w:t>
            </w:r>
          </w:p>
        </w:tc>
        <w:tc>
          <w:tcPr>
            <w:tcW w:w="17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0"/>
                <w:szCs w:val="10"/>
                <w:color w:val="auto"/>
              </w:rPr>
              <w:t>192.0</w:t>
            </w:r>
          </w:p>
        </w:tc>
        <w:tc>
          <w:tcPr>
            <w:tcW w:w="1780" w:type="dxa"/>
            <w:vAlign w:val="bottom"/>
            <w:tcBorders>
              <w:right w:val="single" w:sz="8" w:color="70AD47"/>
            </w:tcBorders>
          </w:tcPr>
          <w:p>
            <w:pPr>
              <w:jc w:val="right"/>
              <w:spacing w:after="0"/>
              <w:rPr>
                <w:sz w:val="20"/>
                <w:szCs w:val="20"/>
                <w:color w:val="auto"/>
              </w:rPr>
            </w:pPr>
            <w:r>
              <w:rPr>
                <w:rFonts w:ascii="Arial" w:cs="Arial" w:eastAsia="Arial" w:hAnsi="Arial"/>
                <w:sz w:val="10"/>
                <w:szCs w:val="10"/>
                <w:color w:val="auto"/>
              </w:rPr>
              <w:t>186.1</w:t>
            </w:r>
          </w:p>
        </w:tc>
      </w:tr>
      <w:tr>
        <w:trPr>
          <w:trHeight w:val="115"/>
        </w:trPr>
        <w:tc>
          <w:tcPr>
            <w:tcW w:w="6440" w:type="dxa"/>
            <w:vAlign w:val="bottom"/>
            <w:tcBorders>
              <w:bottom w:val="single" w:sz="8" w:color="70AD47"/>
            </w:tcBorders>
          </w:tcPr>
          <w:p>
            <w:pPr>
              <w:spacing w:after="0" w:line="112" w:lineRule="exact"/>
              <w:rPr>
                <w:sz w:val="20"/>
                <w:szCs w:val="20"/>
                <w:color w:val="auto"/>
              </w:rPr>
            </w:pPr>
            <w:r>
              <w:rPr>
                <w:rFonts w:ascii="Arial" w:cs="Arial" w:eastAsia="Arial" w:hAnsi="Arial"/>
                <w:sz w:val="10"/>
                <w:szCs w:val="10"/>
                <w:color w:val="auto"/>
              </w:rPr>
              <w:t>Other liabilities</w:t>
            </w:r>
          </w:p>
        </w:tc>
        <w:tc>
          <w:tcPr>
            <w:tcW w:w="180" w:type="dxa"/>
            <w:vAlign w:val="bottom"/>
            <w:tcBorders>
              <w:top w:val="single" w:sz="8" w:color="70AD47"/>
              <w:bottom w:val="single" w:sz="8" w:color="70AD47"/>
            </w:tcBorders>
          </w:tcPr>
          <w:p>
            <w:pPr>
              <w:spacing w:after="0"/>
              <w:rPr>
                <w:sz w:val="10"/>
                <w:szCs w:val="10"/>
                <w:color w:val="auto"/>
              </w:rPr>
            </w:pPr>
          </w:p>
        </w:tc>
        <w:tc>
          <w:tcPr>
            <w:tcW w:w="1140" w:type="dxa"/>
            <w:vAlign w:val="bottom"/>
            <w:tcBorders>
              <w:bottom w:val="single" w:sz="8" w:color="70AD47"/>
              <w:right w:val="single" w:sz="8" w:color="70AD47"/>
            </w:tcBorders>
          </w:tcPr>
          <w:p>
            <w:pPr>
              <w:spacing w:after="0"/>
              <w:rPr>
                <w:sz w:val="10"/>
                <w:szCs w:val="10"/>
                <w:color w:val="auto"/>
              </w:rPr>
            </w:pPr>
          </w:p>
        </w:tc>
        <w:tc>
          <w:tcPr>
            <w:tcW w:w="1780" w:type="dxa"/>
            <w:vAlign w:val="bottom"/>
            <w:tcBorders>
              <w:top w:val="single" w:sz="8" w:color="C6E0B4"/>
              <w:bottom w:val="single" w:sz="8" w:color="70AD47"/>
              <w:right w:val="single" w:sz="8" w:color="70AD47"/>
            </w:tcBorders>
            <w:shd w:val="clear" w:color="auto" w:fill="C6E0B4"/>
          </w:tcPr>
          <w:p>
            <w:pPr>
              <w:jc w:val="right"/>
              <w:spacing w:after="0" w:line="112" w:lineRule="exact"/>
              <w:rPr>
                <w:sz w:val="20"/>
                <w:szCs w:val="20"/>
                <w:color w:val="auto"/>
              </w:rPr>
            </w:pPr>
            <w:r>
              <w:rPr>
                <w:rFonts w:ascii="Arial" w:cs="Arial" w:eastAsia="Arial" w:hAnsi="Arial"/>
                <w:sz w:val="10"/>
                <w:szCs w:val="10"/>
                <w:color w:val="auto"/>
              </w:rPr>
              <w:t>80.1</w:t>
            </w:r>
          </w:p>
        </w:tc>
        <w:tc>
          <w:tcPr>
            <w:tcW w:w="1780" w:type="dxa"/>
            <w:vAlign w:val="bottom"/>
            <w:tcBorders>
              <w:bottom w:val="single" w:sz="8" w:color="70AD47"/>
              <w:right w:val="single" w:sz="8" w:color="70AD47"/>
            </w:tcBorders>
          </w:tcPr>
          <w:p>
            <w:pPr>
              <w:jc w:val="right"/>
              <w:spacing w:after="0" w:line="112" w:lineRule="exact"/>
              <w:rPr>
                <w:sz w:val="20"/>
                <w:szCs w:val="20"/>
                <w:color w:val="auto"/>
              </w:rPr>
            </w:pPr>
            <w:r>
              <w:rPr>
                <w:rFonts w:ascii="Arial" w:cs="Arial" w:eastAsia="Arial" w:hAnsi="Arial"/>
                <w:sz w:val="10"/>
                <w:szCs w:val="10"/>
                <w:color w:val="auto"/>
              </w:rPr>
              <w:t>43.1</w:t>
            </w:r>
          </w:p>
        </w:tc>
      </w:tr>
      <w:tr>
        <w:trPr>
          <w:trHeight w:val="126"/>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Total current liabilities</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€3,854.5</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b w:val="1"/>
                <w:bCs w:val="1"/>
                <w:color w:val="auto"/>
              </w:rPr>
              <w:t>€3,481.6</w:t>
            </w:r>
          </w:p>
        </w:tc>
      </w:tr>
      <w:tr>
        <w:trPr>
          <w:trHeight w:val="124"/>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Total liabilities</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€4,388.9</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b w:val="1"/>
                <w:bCs w:val="1"/>
                <w:color w:val="auto"/>
              </w:rPr>
              <w:t>€3,937.1</w:t>
            </w:r>
          </w:p>
        </w:tc>
      </w:tr>
      <w:tr>
        <w:trPr>
          <w:trHeight w:val="124"/>
        </w:trPr>
        <w:tc>
          <w:tcPr>
            <w:tcW w:w="7760" w:type="dxa"/>
            <w:vAlign w:val="bottom"/>
            <w:tcBorders>
              <w:bottom w:val="single" w:sz="8" w:color="70AD47"/>
              <w:right w:val="single" w:sz="8" w:color="70AD47"/>
            </w:tcBorders>
            <w:gridSpan w:val="3"/>
          </w:tcPr>
          <w:p>
            <w:pPr>
              <w:spacing w:after="0"/>
              <w:rPr>
                <w:sz w:val="20"/>
                <w:szCs w:val="20"/>
                <w:color w:val="auto"/>
              </w:rPr>
            </w:pPr>
            <w:r>
              <w:rPr>
                <w:rFonts w:ascii="Arial" w:cs="Arial" w:eastAsia="Arial" w:hAnsi="Arial"/>
                <w:sz w:val="10"/>
                <w:szCs w:val="10"/>
                <w:b w:val="1"/>
                <w:bCs w:val="1"/>
                <w:color w:val="auto"/>
              </w:rPr>
              <w:t>Total equity and liabilities</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Arial" w:cs="Arial" w:eastAsia="Arial" w:hAnsi="Arial"/>
                <w:sz w:val="10"/>
                <w:szCs w:val="10"/>
                <w:b w:val="1"/>
                <w:bCs w:val="1"/>
                <w:color w:val="auto"/>
              </w:rPr>
              <w:t>€20,299.6</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0"/>
                <w:szCs w:val="10"/>
                <w:b w:val="1"/>
                <w:bCs w:val="1"/>
                <w:color w:val="auto"/>
              </w:rPr>
              <w:t>€15,830.8</w:t>
            </w:r>
          </w:p>
        </w:tc>
      </w:tr>
    </w:tbl>
    <w:p>
      <w:pPr>
        <w:spacing w:after="0" w:line="200" w:lineRule="exact"/>
        <w:rPr>
          <w:sz w:val="20"/>
          <w:szCs w:val="20"/>
          <w:color w:val="auto"/>
        </w:rPr>
      </w:pPr>
    </w:p>
    <w:p>
      <w:pPr>
        <w:spacing w:after="0" w:line="317" w:lineRule="exact"/>
        <w:rPr>
          <w:sz w:val="20"/>
          <w:szCs w:val="20"/>
          <w:color w:val="auto"/>
        </w:rPr>
      </w:pPr>
    </w:p>
    <w:p>
      <w:pPr>
        <w:ind w:left="1114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1102" w:right="29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4"/>
          <w:szCs w:val="14"/>
          <w:b w:val="1"/>
          <w:bCs w:val="1"/>
          <w:color w:val="auto"/>
        </w:rPr>
        <w:t>Interim Consolidated Statements of Cash Flows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5460" w:type="dxa"/>
            <w:vAlign w:val="bottom"/>
          </w:tcPr>
          <w:p>
            <w:pPr>
              <w:jc w:val="right"/>
              <w:ind w:right="52"/>
              <w:spacing w:after="0"/>
              <w:rPr>
                <w:sz w:val="20"/>
                <w:szCs w:val="20"/>
                <w:color w:val="auto"/>
              </w:rPr>
            </w:pPr>
            <w:r>
              <w:rPr>
                <w:rFonts w:ascii="Arial" w:cs="Arial" w:eastAsia="Arial" w:hAnsi="Arial"/>
                <w:sz w:val="10"/>
                <w:szCs w:val="10"/>
                <w:b w:val="1"/>
                <w:bCs w:val="1"/>
                <w:color w:val="auto"/>
              </w:rPr>
              <w:t>Three months ended</w:t>
            </w:r>
          </w:p>
        </w:tc>
        <w:tc>
          <w:tcPr>
            <w:tcW w:w="500" w:type="dxa"/>
            <w:vAlign w:val="bottom"/>
          </w:tcPr>
          <w:p>
            <w:pPr>
              <w:spacing w:after="0"/>
              <w:rPr>
                <w:sz w:val="10"/>
                <w:szCs w:val="10"/>
                <w:color w:val="auto"/>
              </w:rPr>
            </w:pPr>
          </w:p>
        </w:tc>
      </w:tr>
      <w:tr>
        <w:trPr>
          <w:trHeight w:val="126"/>
        </w:trPr>
        <w:tc>
          <w:tcPr>
            <w:tcW w:w="5300" w:type="dxa"/>
            <w:vAlign w:val="bottom"/>
          </w:tcPr>
          <w:p>
            <w:pPr>
              <w:spacing w:after="0"/>
              <w:rPr>
                <w:sz w:val="10"/>
                <w:szCs w:val="10"/>
                <w:color w:val="auto"/>
              </w:rPr>
            </w:pPr>
          </w:p>
        </w:tc>
        <w:tc>
          <w:tcPr>
            <w:tcW w:w="5460" w:type="dxa"/>
            <w:vAlign w:val="bottom"/>
          </w:tcPr>
          <w:p>
            <w:pPr>
              <w:jc w:val="right"/>
              <w:ind w:right="292"/>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0"/>
                <w:szCs w:val="10"/>
                <w:color w:val="auto"/>
              </w:rPr>
            </w:pPr>
          </w:p>
        </w:tc>
      </w:tr>
      <w:tr>
        <w:trPr>
          <w:trHeight w:val="131"/>
        </w:trPr>
        <w:tc>
          <w:tcPr>
            <w:tcW w:w="5300" w:type="dxa"/>
            <w:vAlign w:val="bottom"/>
          </w:tcPr>
          <w:p>
            <w:pPr>
              <w:spacing w:after="0"/>
              <w:rPr>
                <w:sz w:val="11"/>
                <w:szCs w:val="11"/>
                <w:color w:val="auto"/>
              </w:rPr>
            </w:pPr>
          </w:p>
        </w:tc>
        <w:tc>
          <w:tcPr>
            <w:tcW w:w="5460" w:type="dxa"/>
            <w:vAlign w:val="bottom"/>
          </w:tcPr>
          <w:p>
            <w:pPr>
              <w:jc w:val="right"/>
              <w:ind w:right="532"/>
              <w:spacing w:after="0"/>
              <w:rPr>
                <w:sz w:val="20"/>
                <w:szCs w:val="20"/>
                <w:color w:val="auto"/>
              </w:rPr>
            </w:pPr>
            <w:r>
              <w:rPr>
                <w:rFonts w:ascii="Arial" w:cs="Arial" w:eastAsia="Arial" w:hAnsi="Arial"/>
                <w:sz w:val="10"/>
                <w:szCs w:val="10"/>
                <w:b w:val="1"/>
                <w:bCs w:val="1"/>
                <w:color w:val="auto"/>
              </w:rPr>
              <w:t>2022</w:t>
            </w: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r>
      <w:tr>
        <w:trPr>
          <w:trHeight w:val="131"/>
        </w:trPr>
        <w:tc>
          <w:tcPr>
            <w:tcW w:w="5300" w:type="dxa"/>
            <w:vAlign w:val="bottom"/>
          </w:tcPr>
          <w:p>
            <w:pPr>
              <w:spacing w:after="0"/>
              <w:rPr>
                <w:sz w:val="20"/>
                <w:szCs w:val="20"/>
                <w:color w:val="auto"/>
              </w:rPr>
            </w:pPr>
            <w:r>
              <w:rPr>
                <w:rFonts w:ascii="Arial" w:cs="Arial" w:eastAsia="Arial" w:hAnsi="Arial"/>
                <w:sz w:val="10"/>
                <w:szCs w:val="10"/>
                <w:i w:val="1"/>
                <w:iCs w:val="1"/>
                <w:color w:val="auto"/>
              </w:rPr>
              <w:t>(in millions)</w:t>
            </w:r>
          </w:p>
        </w:tc>
        <w:tc>
          <w:tcPr>
            <w:tcW w:w="546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9"/>
        </w:trPr>
        <w:tc>
          <w:tcPr>
            <w:tcW w:w="5300" w:type="dxa"/>
            <w:vAlign w:val="bottom"/>
          </w:tcPr>
          <w:p>
            <w:pPr>
              <w:spacing w:after="0"/>
              <w:rPr>
                <w:sz w:val="20"/>
                <w:szCs w:val="20"/>
                <w:color w:val="auto"/>
              </w:rPr>
            </w:pPr>
            <w:r>
              <w:rPr>
                <w:rFonts w:ascii="Arial" w:cs="Arial" w:eastAsia="Arial" w:hAnsi="Arial"/>
                <w:sz w:val="10"/>
                <w:szCs w:val="10"/>
                <w:b w:val="1"/>
                <w:bCs w:val="1"/>
                <w:color w:val="auto"/>
              </w:rPr>
              <w:t>Operating activities</w:t>
            </w:r>
          </w:p>
        </w:tc>
        <w:tc>
          <w:tcPr>
            <w:tcW w:w="54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1"/>
        </w:trPr>
        <w:tc>
          <w:tcPr>
            <w:tcW w:w="5300" w:type="dxa"/>
            <w:vAlign w:val="bottom"/>
          </w:tcPr>
          <w:p>
            <w:pPr>
              <w:spacing w:after="0"/>
              <w:rPr>
                <w:sz w:val="20"/>
                <w:szCs w:val="20"/>
                <w:color w:val="auto"/>
              </w:rPr>
            </w:pPr>
            <w:r>
              <w:rPr>
                <w:rFonts w:ascii="Arial" w:cs="Arial" w:eastAsia="Arial" w:hAnsi="Arial"/>
                <w:sz w:val="10"/>
                <w:szCs w:val="10"/>
                <w:color w:val="auto"/>
              </w:rPr>
              <w:t>Profit for the period</w:t>
            </w:r>
          </w:p>
        </w:tc>
        <w:tc>
          <w:tcPr>
            <w:tcW w:w="5460" w:type="dxa"/>
            <w:vAlign w:val="bottom"/>
          </w:tcPr>
          <w:p>
            <w:pPr>
              <w:jc w:val="right"/>
              <w:ind w:right="532"/>
              <w:spacing w:after="0"/>
              <w:rPr>
                <w:sz w:val="20"/>
                <w:szCs w:val="20"/>
                <w:color w:val="auto"/>
              </w:rPr>
            </w:pPr>
            <w:r>
              <w:rPr>
                <w:rFonts w:ascii="Arial" w:cs="Arial" w:eastAsia="Arial" w:hAnsi="Arial"/>
                <w:sz w:val="10"/>
                <w:szCs w:val="10"/>
                <w:color w:val="auto"/>
              </w:rPr>
              <w:t>€3,698.8</w:t>
            </w:r>
          </w:p>
        </w:tc>
        <w:tc>
          <w:tcPr>
            <w:tcW w:w="500" w:type="dxa"/>
            <w:vAlign w:val="bottom"/>
          </w:tcPr>
          <w:p>
            <w:pPr>
              <w:jc w:val="right"/>
              <w:spacing w:after="0"/>
              <w:rPr>
                <w:sz w:val="20"/>
                <w:szCs w:val="20"/>
                <w:color w:val="auto"/>
              </w:rPr>
            </w:pPr>
            <w:r>
              <w:rPr>
                <w:rFonts w:ascii="Arial" w:cs="Arial" w:eastAsia="Arial" w:hAnsi="Arial"/>
                <w:sz w:val="10"/>
                <w:szCs w:val="10"/>
                <w:color w:val="auto"/>
              </w:rPr>
              <w:t>€1,128.1</w:t>
            </w:r>
          </w:p>
        </w:tc>
      </w:tr>
      <w:tr>
        <w:trPr>
          <w:trHeight w:val="135"/>
        </w:trPr>
        <w:tc>
          <w:tcPr>
            <w:tcW w:w="5300" w:type="dxa"/>
            <w:vAlign w:val="bottom"/>
          </w:tcPr>
          <w:p>
            <w:pPr>
              <w:spacing w:after="0"/>
              <w:rPr>
                <w:sz w:val="20"/>
                <w:szCs w:val="20"/>
                <w:color w:val="auto"/>
              </w:rPr>
            </w:pPr>
            <w:r>
              <w:rPr>
                <w:rFonts w:ascii="Arial" w:cs="Arial" w:eastAsia="Arial" w:hAnsi="Arial"/>
                <w:sz w:val="10"/>
                <w:szCs w:val="10"/>
                <w:color w:val="auto"/>
              </w:rPr>
              <w:t>Income taxes</w:t>
            </w:r>
          </w:p>
        </w:tc>
        <w:tc>
          <w:tcPr>
            <w:tcW w:w="5460" w:type="dxa"/>
            <w:vAlign w:val="bottom"/>
          </w:tcPr>
          <w:p>
            <w:pPr>
              <w:jc w:val="right"/>
              <w:ind w:right="532"/>
              <w:spacing w:after="0"/>
              <w:rPr>
                <w:sz w:val="20"/>
                <w:szCs w:val="20"/>
                <w:color w:val="auto"/>
              </w:rPr>
            </w:pPr>
            <w:r>
              <w:rPr>
                <w:rFonts w:ascii="Arial" w:cs="Arial" w:eastAsia="Arial" w:hAnsi="Arial"/>
                <w:sz w:val="10"/>
                <w:szCs w:val="10"/>
                <w:color w:val="auto"/>
              </w:rPr>
              <w:t>1,319.3</w:t>
            </w:r>
          </w:p>
        </w:tc>
        <w:tc>
          <w:tcPr>
            <w:tcW w:w="500" w:type="dxa"/>
            <w:vAlign w:val="bottom"/>
          </w:tcPr>
          <w:p>
            <w:pPr>
              <w:jc w:val="right"/>
              <w:spacing w:after="0"/>
              <w:rPr>
                <w:sz w:val="20"/>
                <w:szCs w:val="20"/>
                <w:color w:val="auto"/>
              </w:rPr>
            </w:pPr>
            <w:r>
              <w:rPr>
                <w:rFonts w:ascii="Arial" w:cs="Arial" w:eastAsia="Arial" w:hAnsi="Arial"/>
                <w:sz w:val="10"/>
                <w:szCs w:val="10"/>
                <w:color w:val="auto"/>
              </w:rPr>
              <w:t>514.2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-424180</wp:posOffset>
            </wp:positionV>
            <wp:extent cx="7166610" cy="3594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66610" cy="3594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2"/>
        </w:trPr>
        <w:tc>
          <w:tcPr>
            <w:tcW w:w="8980" w:type="dxa"/>
            <w:vAlign w:val="bottom"/>
            <w:tcBorders>
              <w:bottom w:val="single" w:sz="8" w:color="70AD47"/>
            </w:tcBorders>
          </w:tcPr>
          <w:p>
            <w:pPr>
              <w:ind w:left="20"/>
              <w:spacing w:after="0"/>
              <w:rPr>
                <w:sz w:val="20"/>
                <w:szCs w:val="20"/>
                <w:color w:val="auto"/>
              </w:rPr>
            </w:pPr>
            <w:r>
              <w:rPr>
                <w:rFonts w:ascii="Arial" w:cs="Arial" w:eastAsia="Arial" w:hAnsi="Arial"/>
                <w:sz w:val="10"/>
                <w:szCs w:val="10"/>
                <w:b w:val="1"/>
                <w:bCs w:val="1"/>
                <w:color w:val="auto"/>
              </w:rPr>
              <w:t>Profit before tax</w:t>
            </w:r>
          </w:p>
        </w:tc>
        <w:tc>
          <w:tcPr>
            <w:tcW w:w="180" w:type="dxa"/>
            <w:vAlign w:val="bottom"/>
            <w:tcBorders>
              <w:bottom w:val="single" w:sz="8" w:color="70AD47"/>
            </w:tcBorders>
          </w:tcPr>
          <w:p>
            <w:pPr>
              <w:spacing w:after="0"/>
              <w:rPr>
                <w:sz w:val="11"/>
                <w:szCs w:val="11"/>
                <w:color w:val="auto"/>
              </w:rPr>
            </w:pPr>
          </w:p>
        </w:tc>
        <w:tc>
          <w:tcPr>
            <w:tcW w:w="1380" w:type="dxa"/>
            <w:vAlign w:val="bottom"/>
            <w:tcBorders>
              <w:bottom w:val="single" w:sz="8" w:color="70AD47"/>
            </w:tcBorders>
          </w:tcPr>
          <w:p>
            <w:pPr>
              <w:jc w:val="right"/>
              <w:ind w:right="292"/>
              <w:spacing w:after="0"/>
              <w:rPr>
                <w:sz w:val="20"/>
                <w:szCs w:val="20"/>
                <w:color w:val="auto"/>
              </w:rPr>
            </w:pPr>
            <w:r>
              <w:rPr>
                <w:rFonts w:ascii="Arial" w:cs="Arial" w:eastAsia="Arial" w:hAnsi="Arial"/>
                <w:sz w:val="10"/>
                <w:szCs w:val="10"/>
                <w:b w:val="1"/>
                <w:bCs w:val="1"/>
                <w:color w:val="auto"/>
              </w:rPr>
              <w:t>€5,018.1</w:t>
            </w: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0"/>
                <w:szCs w:val="10"/>
                <w:b w:val="1"/>
                <w:bCs w:val="1"/>
                <w:color w:val="auto"/>
              </w:rPr>
              <w:t>€1,642.3</w:t>
            </w:r>
          </w:p>
        </w:tc>
      </w:tr>
      <w:tr>
        <w:trPr>
          <w:trHeight w:val="119"/>
        </w:trPr>
        <w:tc>
          <w:tcPr>
            <w:tcW w:w="8980" w:type="dxa"/>
            <w:vAlign w:val="bottom"/>
          </w:tcPr>
          <w:p>
            <w:pPr>
              <w:ind w:left="20"/>
              <w:spacing w:after="0"/>
              <w:rPr>
                <w:sz w:val="20"/>
                <w:szCs w:val="20"/>
                <w:color w:val="auto"/>
              </w:rPr>
            </w:pPr>
            <w:r>
              <w:rPr>
                <w:rFonts w:ascii="Arial" w:cs="Arial" w:eastAsia="Arial" w:hAnsi="Arial"/>
                <w:sz w:val="10"/>
                <w:szCs w:val="10"/>
                <w:color w:val="auto"/>
              </w:rPr>
              <w:t>Adjustments to reconcile profit before tax to net cash flows:</w:t>
            </w: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Depreciation and amortization of property, plant, equipment, intangible assets and right-of-use assets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27.6</w:t>
            </w:r>
          </w:p>
        </w:tc>
        <w:tc>
          <w:tcPr>
            <w:tcW w:w="740" w:type="dxa"/>
            <w:vAlign w:val="bottom"/>
          </w:tcPr>
          <w:p>
            <w:pPr>
              <w:jc w:val="right"/>
              <w:spacing w:after="0"/>
              <w:rPr>
                <w:sz w:val="20"/>
                <w:szCs w:val="20"/>
                <w:color w:val="auto"/>
              </w:rPr>
            </w:pPr>
            <w:r>
              <w:rPr>
                <w:rFonts w:ascii="Arial" w:cs="Arial" w:eastAsia="Arial" w:hAnsi="Arial"/>
                <w:sz w:val="10"/>
                <w:szCs w:val="10"/>
                <w:color w:val="auto"/>
              </w:rPr>
              <w:t>13.0</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Share-based payment expense</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9.4</w:t>
            </w:r>
          </w:p>
        </w:tc>
        <w:tc>
          <w:tcPr>
            <w:tcW w:w="740" w:type="dxa"/>
            <w:vAlign w:val="bottom"/>
          </w:tcPr>
          <w:p>
            <w:pPr>
              <w:jc w:val="right"/>
              <w:spacing w:after="0"/>
              <w:rPr>
                <w:sz w:val="20"/>
                <w:szCs w:val="20"/>
                <w:color w:val="auto"/>
              </w:rPr>
            </w:pPr>
            <w:r>
              <w:rPr>
                <w:rFonts w:ascii="Arial" w:cs="Arial" w:eastAsia="Arial" w:hAnsi="Arial"/>
                <w:sz w:val="10"/>
                <w:szCs w:val="10"/>
                <w:color w:val="auto"/>
              </w:rPr>
              <w:t>17.3</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Net foreign exchange differences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6.1</w:t>
            </w:r>
          </w:p>
        </w:tc>
        <w:tc>
          <w:tcPr>
            <w:tcW w:w="740" w:type="dxa"/>
            <w:vAlign w:val="bottom"/>
          </w:tcPr>
          <w:p>
            <w:pPr>
              <w:jc w:val="right"/>
              <w:spacing w:after="0"/>
              <w:rPr>
                <w:sz w:val="20"/>
                <w:szCs w:val="20"/>
                <w:color w:val="auto"/>
              </w:rPr>
            </w:pPr>
            <w:r>
              <w:rPr>
                <w:rFonts w:ascii="Arial" w:cs="Arial" w:eastAsia="Arial" w:hAnsi="Arial"/>
                <w:sz w:val="10"/>
                <w:szCs w:val="10"/>
                <w:color w:val="auto"/>
              </w:rPr>
              <w:t>(31.2)</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Gain on disposal of property, plant and equipment</w:t>
            </w:r>
          </w:p>
        </w:tc>
        <w:tc>
          <w:tcPr>
            <w:tcW w:w="180" w:type="dxa"/>
            <w:vAlign w:val="bottom"/>
          </w:tcPr>
          <w:p>
            <w:pPr>
              <w:spacing w:after="0"/>
              <w:rPr>
                <w:sz w:val="11"/>
                <w:szCs w:val="11"/>
                <w:color w:val="auto"/>
              </w:rPr>
            </w:pP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Finance income</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(217.3)</w:t>
            </w:r>
          </w:p>
        </w:tc>
        <w:tc>
          <w:tcPr>
            <w:tcW w:w="740" w:type="dxa"/>
            <w:vAlign w:val="bottom"/>
          </w:tcPr>
          <w:p>
            <w:pPr>
              <w:jc w:val="right"/>
              <w:spacing w:after="0"/>
              <w:rPr>
                <w:sz w:val="20"/>
                <w:szCs w:val="20"/>
                <w:color w:val="auto"/>
              </w:rPr>
            </w:pPr>
            <w:r>
              <w:rPr>
                <w:rFonts w:ascii="Arial" w:cs="Arial" w:eastAsia="Arial" w:hAnsi="Arial"/>
                <w:sz w:val="10"/>
                <w:szCs w:val="10"/>
                <w:color w:val="auto"/>
              </w:rPr>
              <w:t>(0.3)</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Finance expense</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6.7</w:t>
            </w:r>
          </w:p>
        </w:tc>
        <w:tc>
          <w:tcPr>
            <w:tcW w:w="740" w:type="dxa"/>
            <w:vAlign w:val="bottom"/>
          </w:tcPr>
          <w:p>
            <w:pPr>
              <w:jc w:val="right"/>
              <w:spacing w:after="0"/>
              <w:rPr>
                <w:sz w:val="20"/>
                <w:szCs w:val="20"/>
                <w:color w:val="auto"/>
              </w:rPr>
            </w:pPr>
            <w:r>
              <w:rPr>
                <w:rFonts w:ascii="Arial" w:cs="Arial" w:eastAsia="Arial" w:hAnsi="Arial"/>
                <w:sz w:val="10"/>
                <w:szCs w:val="10"/>
                <w:color w:val="auto"/>
              </w:rPr>
              <w:t>44.7</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Movements in government grants</w:t>
            </w:r>
          </w:p>
        </w:tc>
        <w:tc>
          <w:tcPr>
            <w:tcW w:w="180" w:type="dxa"/>
            <w:vAlign w:val="bottom"/>
          </w:tcPr>
          <w:p>
            <w:pPr>
              <w:spacing w:after="0"/>
              <w:rPr>
                <w:sz w:val="11"/>
                <w:szCs w:val="11"/>
                <w:color w:val="auto"/>
              </w:rPr>
            </w:pP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(67.9)</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Net loss on derivative instruments at fair value through profit or loss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(1.9)</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5"/>
        </w:trPr>
        <w:tc>
          <w:tcPr>
            <w:tcW w:w="8980" w:type="dxa"/>
            <w:vAlign w:val="bottom"/>
          </w:tcPr>
          <w:p>
            <w:pPr>
              <w:ind w:left="20"/>
              <w:spacing w:after="0"/>
              <w:rPr>
                <w:sz w:val="20"/>
                <w:szCs w:val="20"/>
                <w:color w:val="auto"/>
              </w:rPr>
            </w:pPr>
            <w:r>
              <w:rPr>
                <w:rFonts w:ascii="Arial" w:cs="Arial" w:eastAsia="Arial" w:hAnsi="Arial"/>
                <w:sz w:val="10"/>
                <w:szCs w:val="10"/>
                <w:color w:val="auto"/>
              </w:rPr>
              <w:t>Working capital adjustments:</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Increase in trade and other receivables, contract assets and other assets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(403.5)</w:t>
            </w:r>
          </w:p>
        </w:tc>
        <w:tc>
          <w:tcPr>
            <w:tcW w:w="740" w:type="dxa"/>
            <w:vAlign w:val="bottom"/>
          </w:tcPr>
          <w:p>
            <w:pPr>
              <w:jc w:val="right"/>
              <w:spacing w:after="0"/>
              <w:rPr>
                <w:sz w:val="20"/>
                <w:szCs w:val="20"/>
                <w:color w:val="auto"/>
              </w:rPr>
            </w:pPr>
            <w:r>
              <w:rPr>
                <w:rFonts w:ascii="Arial" w:cs="Arial" w:eastAsia="Arial" w:hAnsi="Arial"/>
                <w:sz w:val="10"/>
                <w:szCs w:val="10"/>
                <w:color w:val="auto"/>
              </w:rPr>
              <w:t>(2,100.5)</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Decrease / (increase) in inventories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43.2</w:t>
            </w:r>
          </w:p>
        </w:tc>
        <w:tc>
          <w:tcPr>
            <w:tcW w:w="740" w:type="dxa"/>
            <w:vAlign w:val="bottom"/>
          </w:tcPr>
          <w:p>
            <w:pPr>
              <w:jc w:val="right"/>
              <w:spacing w:after="0"/>
              <w:rPr>
                <w:sz w:val="20"/>
                <w:szCs w:val="20"/>
                <w:color w:val="auto"/>
              </w:rPr>
            </w:pPr>
            <w:r>
              <w:rPr>
                <w:rFonts w:ascii="Arial" w:cs="Arial" w:eastAsia="Arial" w:hAnsi="Arial"/>
                <w:sz w:val="10"/>
                <w:szCs w:val="10"/>
                <w:color w:val="auto"/>
              </w:rPr>
              <w:t>(82.8)</w:t>
            </w:r>
          </w:p>
        </w:tc>
      </w:tr>
      <w:tr>
        <w:trPr>
          <w:trHeight w:val="135"/>
        </w:trPr>
        <w:tc>
          <w:tcPr>
            <w:tcW w:w="8980" w:type="dxa"/>
            <w:vAlign w:val="bottom"/>
          </w:tcPr>
          <w:p>
            <w:pPr>
              <w:ind w:left="80"/>
              <w:spacing w:after="0"/>
              <w:rPr>
                <w:sz w:val="20"/>
                <w:szCs w:val="20"/>
                <w:color w:val="auto"/>
              </w:rPr>
            </w:pPr>
            <w:r>
              <w:rPr>
                <w:rFonts w:ascii="Arial" w:cs="Arial" w:eastAsia="Arial" w:hAnsi="Arial"/>
                <w:sz w:val="10"/>
                <w:szCs w:val="10"/>
                <w:color w:val="auto"/>
              </w:rPr>
              <w:t>Increase in trade payables, other financial liabilities, other liabilities, contract liabilities, refund liabilities and provisions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857.5</w:t>
            </w:r>
          </w:p>
        </w:tc>
        <w:tc>
          <w:tcPr>
            <w:tcW w:w="740" w:type="dxa"/>
            <w:vAlign w:val="bottom"/>
          </w:tcPr>
          <w:p>
            <w:pPr>
              <w:jc w:val="right"/>
              <w:spacing w:after="0"/>
              <w:rPr>
                <w:sz w:val="20"/>
                <w:szCs w:val="20"/>
                <w:color w:val="auto"/>
              </w:rPr>
            </w:pPr>
            <w:r>
              <w:rPr>
                <w:rFonts w:ascii="Arial" w:cs="Arial" w:eastAsia="Arial" w:hAnsi="Arial"/>
                <w:sz w:val="10"/>
                <w:szCs w:val="10"/>
                <w:color w:val="auto"/>
              </w:rPr>
              <w:t>255.5</w:t>
            </w:r>
          </w:p>
        </w:tc>
      </w:tr>
      <w:tr>
        <w:trPr>
          <w:trHeight w:val="135"/>
        </w:trPr>
        <w:tc>
          <w:tcPr>
            <w:tcW w:w="8980" w:type="dxa"/>
            <w:vAlign w:val="bottom"/>
          </w:tcPr>
          <w:p>
            <w:pPr>
              <w:ind w:left="20"/>
              <w:spacing w:after="0"/>
              <w:rPr>
                <w:sz w:val="20"/>
                <w:szCs w:val="20"/>
                <w:color w:val="auto"/>
              </w:rPr>
            </w:pPr>
            <w:r>
              <w:rPr>
                <w:rFonts w:ascii="Arial" w:cs="Arial" w:eastAsia="Arial" w:hAnsi="Arial"/>
                <w:sz w:val="10"/>
                <w:szCs w:val="10"/>
                <w:color w:val="auto"/>
              </w:rPr>
              <w:t>Interest received</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0.7</w:t>
            </w:r>
          </w:p>
        </w:tc>
        <w:tc>
          <w:tcPr>
            <w:tcW w:w="740" w:type="dxa"/>
            <w:vAlign w:val="bottom"/>
          </w:tcPr>
          <w:p>
            <w:pPr>
              <w:jc w:val="right"/>
              <w:spacing w:after="0"/>
              <w:rPr>
                <w:sz w:val="20"/>
                <w:szCs w:val="20"/>
                <w:color w:val="auto"/>
              </w:rPr>
            </w:pPr>
            <w:r>
              <w:rPr>
                <w:rFonts w:ascii="Arial" w:cs="Arial" w:eastAsia="Arial" w:hAnsi="Arial"/>
                <w:sz w:val="10"/>
                <w:szCs w:val="10"/>
                <w:color w:val="auto"/>
              </w:rPr>
              <w:t>0.3</w:t>
            </w:r>
          </w:p>
        </w:tc>
      </w:tr>
      <w:tr>
        <w:trPr>
          <w:trHeight w:val="135"/>
        </w:trPr>
        <w:tc>
          <w:tcPr>
            <w:tcW w:w="8980" w:type="dxa"/>
            <w:vAlign w:val="bottom"/>
          </w:tcPr>
          <w:p>
            <w:pPr>
              <w:ind w:left="20"/>
              <w:spacing w:after="0"/>
              <w:rPr>
                <w:sz w:val="20"/>
                <w:szCs w:val="20"/>
                <w:color w:val="auto"/>
              </w:rPr>
            </w:pPr>
            <w:r>
              <w:rPr>
                <w:rFonts w:ascii="Arial" w:cs="Arial" w:eastAsia="Arial" w:hAnsi="Arial"/>
                <w:sz w:val="10"/>
                <w:szCs w:val="10"/>
                <w:color w:val="auto"/>
              </w:rPr>
              <w:t>Interest paid</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(6.4)</w:t>
            </w:r>
          </w:p>
        </w:tc>
        <w:tc>
          <w:tcPr>
            <w:tcW w:w="74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38"/>
        </w:trPr>
        <w:tc>
          <w:tcPr>
            <w:tcW w:w="8980" w:type="dxa"/>
            <w:vAlign w:val="bottom"/>
            <w:tcBorders>
              <w:bottom w:val="single" w:sz="8" w:color="70AD47"/>
            </w:tcBorders>
          </w:tcPr>
          <w:p>
            <w:pPr>
              <w:ind w:left="20"/>
              <w:spacing w:after="0"/>
              <w:rPr>
                <w:sz w:val="20"/>
                <w:szCs w:val="20"/>
                <w:color w:val="auto"/>
              </w:rPr>
            </w:pPr>
            <w:r>
              <w:rPr>
                <w:rFonts w:ascii="Arial" w:cs="Arial" w:eastAsia="Arial" w:hAnsi="Arial"/>
                <w:sz w:val="10"/>
                <w:szCs w:val="10"/>
                <w:color w:val="auto"/>
              </w:rPr>
              <w:t>Income tax paid</w:t>
            </w:r>
          </w:p>
        </w:tc>
        <w:tc>
          <w:tcPr>
            <w:tcW w:w="1560" w:type="dxa"/>
            <w:vAlign w:val="bottom"/>
            <w:tcBorders>
              <w:bottom w:val="single" w:sz="8" w:color="70AD47"/>
            </w:tcBorders>
            <w:gridSpan w:val="2"/>
          </w:tcPr>
          <w:p>
            <w:pPr>
              <w:jc w:val="right"/>
              <w:ind w:right="292"/>
              <w:spacing w:after="0"/>
              <w:rPr>
                <w:sz w:val="20"/>
                <w:szCs w:val="20"/>
                <w:color w:val="auto"/>
              </w:rPr>
            </w:pPr>
            <w:r>
              <w:rPr>
                <w:rFonts w:ascii="Arial" w:cs="Arial" w:eastAsia="Arial" w:hAnsi="Arial"/>
                <w:sz w:val="10"/>
                <w:szCs w:val="10"/>
                <w:color w:val="auto"/>
              </w:rPr>
              <w:t>(1,290.0)</w:t>
            </w: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0"/>
                <w:szCs w:val="10"/>
                <w:color w:val="auto"/>
              </w:rPr>
              <w:t>(0.1)</w:t>
            </w:r>
          </w:p>
        </w:tc>
      </w:tr>
      <w:tr>
        <w:trPr>
          <w:trHeight w:val="126"/>
        </w:trPr>
        <w:tc>
          <w:tcPr>
            <w:tcW w:w="8980" w:type="dxa"/>
            <w:vAlign w:val="bottom"/>
            <w:tcBorders>
              <w:bottom w:val="single" w:sz="8" w:color="70AD47"/>
            </w:tcBorders>
          </w:tcPr>
          <w:p>
            <w:pPr>
              <w:ind w:left="20"/>
              <w:spacing w:after="0"/>
              <w:rPr>
                <w:sz w:val="20"/>
                <w:szCs w:val="20"/>
                <w:color w:val="auto"/>
              </w:rPr>
            </w:pPr>
            <w:r>
              <w:rPr>
                <w:rFonts w:ascii="Arial" w:cs="Arial" w:eastAsia="Arial" w:hAnsi="Arial"/>
                <w:sz w:val="10"/>
                <w:szCs w:val="10"/>
                <w:b w:val="1"/>
                <w:bCs w:val="1"/>
                <w:color w:val="auto"/>
              </w:rPr>
              <w:t>Net cash flows from / (used in) operating activities</w:t>
            </w:r>
          </w:p>
        </w:tc>
        <w:tc>
          <w:tcPr>
            <w:tcW w:w="180" w:type="dxa"/>
            <w:vAlign w:val="bottom"/>
            <w:tcBorders>
              <w:bottom w:val="single" w:sz="8" w:color="70AD47"/>
            </w:tcBorders>
          </w:tcPr>
          <w:p>
            <w:pPr>
              <w:spacing w:after="0"/>
              <w:rPr>
                <w:sz w:val="10"/>
                <w:szCs w:val="10"/>
                <w:color w:val="auto"/>
              </w:rPr>
            </w:pPr>
          </w:p>
        </w:tc>
        <w:tc>
          <w:tcPr>
            <w:tcW w:w="1380" w:type="dxa"/>
            <w:vAlign w:val="bottom"/>
            <w:tcBorders>
              <w:bottom w:val="single" w:sz="8" w:color="70AD47"/>
            </w:tcBorders>
          </w:tcPr>
          <w:p>
            <w:pPr>
              <w:jc w:val="right"/>
              <w:ind w:right="292"/>
              <w:spacing w:after="0"/>
              <w:rPr>
                <w:sz w:val="20"/>
                <w:szCs w:val="20"/>
                <w:color w:val="auto"/>
              </w:rPr>
            </w:pPr>
            <w:r>
              <w:rPr>
                <w:rFonts w:ascii="Arial" w:cs="Arial" w:eastAsia="Arial" w:hAnsi="Arial"/>
                <w:sz w:val="10"/>
                <w:szCs w:val="10"/>
                <w:b w:val="1"/>
                <w:bCs w:val="1"/>
                <w:color w:val="auto"/>
              </w:rPr>
              <w:t>€4,050.2</w:t>
            </w: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0"/>
                <w:szCs w:val="10"/>
                <w:b w:val="1"/>
                <w:bCs w:val="1"/>
                <w:color w:val="auto"/>
              </w:rPr>
              <w:t>€(311.3)</w:t>
            </w:r>
          </w:p>
        </w:tc>
      </w:tr>
      <w:tr>
        <w:trPr>
          <w:trHeight w:val="222"/>
        </w:trPr>
        <w:tc>
          <w:tcPr>
            <w:tcW w:w="8980" w:type="dxa"/>
            <w:vAlign w:val="bottom"/>
          </w:tcPr>
          <w:p>
            <w:pPr>
              <w:ind w:left="20"/>
              <w:spacing w:after="0"/>
              <w:rPr>
                <w:sz w:val="20"/>
                <w:szCs w:val="20"/>
                <w:color w:val="auto"/>
              </w:rPr>
            </w:pPr>
            <w:r>
              <w:rPr>
                <w:rFonts w:ascii="Arial" w:cs="Arial" w:eastAsia="Arial" w:hAnsi="Arial"/>
                <w:sz w:val="10"/>
                <w:szCs w:val="10"/>
                <w:b w:val="1"/>
                <w:bCs w:val="1"/>
                <w:color w:val="auto"/>
              </w:rPr>
              <w:t>Investing activities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31"/>
        </w:trPr>
        <w:tc>
          <w:tcPr>
            <w:tcW w:w="8980" w:type="dxa"/>
            <w:vAlign w:val="bottom"/>
          </w:tcPr>
          <w:p>
            <w:pPr>
              <w:ind w:left="20"/>
              <w:spacing w:after="0"/>
              <w:rPr>
                <w:sz w:val="20"/>
                <w:szCs w:val="20"/>
                <w:color w:val="auto"/>
              </w:rPr>
            </w:pPr>
            <w:r>
              <w:rPr>
                <w:rFonts w:ascii="Arial" w:cs="Arial" w:eastAsia="Arial" w:hAnsi="Arial"/>
                <w:sz w:val="10"/>
                <w:szCs w:val="10"/>
                <w:color w:val="auto"/>
              </w:rPr>
              <w:t>Purchase of property, plant and equipment</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(44.1)</w:t>
            </w:r>
          </w:p>
        </w:tc>
        <w:tc>
          <w:tcPr>
            <w:tcW w:w="740" w:type="dxa"/>
            <w:vAlign w:val="bottom"/>
          </w:tcPr>
          <w:p>
            <w:pPr>
              <w:jc w:val="right"/>
              <w:spacing w:after="0"/>
              <w:rPr>
                <w:sz w:val="20"/>
                <w:szCs w:val="20"/>
                <w:color w:val="auto"/>
              </w:rPr>
            </w:pPr>
            <w:r>
              <w:rPr>
                <w:rFonts w:ascii="Arial" w:cs="Arial" w:eastAsia="Arial" w:hAnsi="Arial"/>
                <w:sz w:val="10"/>
                <w:szCs w:val="10"/>
                <w:color w:val="auto"/>
              </w:rPr>
              <w:t>(21.7)</w:t>
            </w:r>
          </w:p>
        </w:tc>
      </w:tr>
      <w:tr>
        <w:trPr>
          <w:trHeight w:val="135"/>
        </w:trPr>
        <w:tc>
          <w:tcPr>
            <w:tcW w:w="8980" w:type="dxa"/>
            <w:vAlign w:val="bottom"/>
          </w:tcPr>
          <w:p>
            <w:pPr>
              <w:ind w:left="20"/>
              <w:spacing w:after="0"/>
              <w:rPr>
                <w:sz w:val="20"/>
                <w:szCs w:val="20"/>
                <w:color w:val="auto"/>
              </w:rPr>
            </w:pPr>
            <w:r>
              <w:rPr>
                <w:rFonts w:ascii="Arial" w:cs="Arial" w:eastAsia="Arial" w:hAnsi="Arial"/>
                <w:sz w:val="10"/>
                <w:szCs w:val="10"/>
                <w:color w:val="auto"/>
              </w:rPr>
              <w:t>Proceeds from sale of property, plant and equipment</w:t>
            </w:r>
          </w:p>
        </w:tc>
        <w:tc>
          <w:tcPr>
            <w:tcW w:w="180" w:type="dxa"/>
            <w:vAlign w:val="bottom"/>
          </w:tcPr>
          <w:p>
            <w:pPr>
              <w:spacing w:after="0"/>
              <w:rPr>
                <w:sz w:val="11"/>
                <w:szCs w:val="11"/>
                <w:color w:val="auto"/>
              </w:rPr>
            </w:pP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0.9</w:t>
            </w:r>
          </w:p>
        </w:tc>
      </w:tr>
      <w:tr>
        <w:trPr>
          <w:trHeight w:val="135"/>
        </w:trPr>
        <w:tc>
          <w:tcPr>
            <w:tcW w:w="8980" w:type="dxa"/>
            <w:vAlign w:val="bottom"/>
          </w:tcPr>
          <w:p>
            <w:pPr>
              <w:ind w:left="20"/>
              <w:spacing w:after="0"/>
              <w:rPr>
                <w:sz w:val="20"/>
                <w:szCs w:val="20"/>
                <w:color w:val="auto"/>
              </w:rPr>
            </w:pPr>
            <w:r>
              <w:rPr>
                <w:rFonts w:ascii="Arial" w:cs="Arial" w:eastAsia="Arial" w:hAnsi="Arial"/>
                <w:sz w:val="10"/>
                <w:szCs w:val="10"/>
                <w:color w:val="auto"/>
              </w:rPr>
              <w:t>Purchase of intangible assets and right-of-use assets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(16.7)</w:t>
            </w:r>
          </w:p>
        </w:tc>
        <w:tc>
          <w:tcPr>
            <w:tcW w:w="740" w:type="dxa"/>
            <w:vAlign w:val="bottom"/>
          </w:tcPr>
          <w:p>
            <w:pPr>
              <w:jc w:val="right"/>
              <w:spacing w:after="0"/>
              <w:rPr>
                <w:sz w:val="20"/>
                <w:szCs w:val="20"/>
                <w:color w:val="auto"/>
              </w:rPr>
            </w:pPr>
            <w:r>
              <w:rPr>
                <w:rFonts w:ascii="Arial" w:cs="Arial" w:eastAsia="Arial" w:hAnsi="Arial"/>
                <w:sz w:val="10"/>
                <w:szCs w:val="10"/>
                <w:color w:val="auto"/>
              </w:rPr>
              <w:t>(7.5)</w:t>
            </w:r>
          </w:p>
        </w:tc>
      </w:tr>
      <w:tr>
        <w:trPr>
          <w:trHeight w:val="135"/>
        </w:trPr>
        <w:tc>
          <w:tcPr>
            <w:tcW w:w="8980" w:type="dxa"/>
            <w:vAlign w:val="bottom"/>
          </w:tcPr>
          <w:p>
            <w:pPr>
              <w:ind w:left="20"/>
              <w:spacing w:after="0"/>
              <w:rPr>
                <w:sz w:val="20"/>
                <w:szCs w:val="20"/>
                <w:color w:val="auto"/>
              </w:rPr>
            </w:pPr>
            <w:r>
              <w:rPr>
                <w:rFonts w:ascii="Arial" w:cs="Arial" w:eastAsia="Arial" w:hAnsi="Arial"/>
                <w:sz w:val="10"/>
                <w:szCs w:val="10"/>
                <w:color w:val="auto"/>
              </w:rPr>
              <w:t>Investment into equity instruments designated at fair value through OCI</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(27.0)</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8980" w:type="dxa"/>
            <w:vAlign w:val="bottom"/>
            <w:tcBorders>
              <w:bottom w:val="single" w:sz="8" w:color="70AD47"/>
            </w:tcBorders>
          </w:tcPr>
          <w:p>
            <w:pPr>
              <w:ind w:left="20"/>
              <w:spacing w:after="0"/>
              <w:rPr>
                <w:sz w:val="20"/>
                <w:szCs w:val="20"/>
                <w:color w:val="auto"/>
              </w:rPr>
            </w:pPr>
            <w:r>
              <w:rPr>
                <w:rFonts w:ascii="Arial" w:cs="Arial" w:eastAsia="Arial" w:hAnsi="Arial"/>
                <w:sz w:val="10"/>
                <w:szCs w:val="10"/>
                <w:color w:val="auto"/>
              </w:rPr>
              <w:t>Proceeds from maturity of other financial assets</w:t>
            </w:r>
          </w:p>
        </w:tc>
        <w:tc>
          <w:tcPr>
            <w:tcW w:w="1560" w:type="dxa"/>
            <w:vAlign w:val="bottom"/>
            <w:tcBorders>
              <w:bottom w:val="single" w:sz="8" w:color="70AD47"/>
            </w:tcBorders>
            <w:gridSpan w:val="2"/>
          </w:tcPr>
          <w:p>
            <w:pPr>
              <w:jc w:val="right"/>
              <w:ind w:right="292"/>
              <w:spacing w:after="0"/>
              <w:rPr>
                <w:sz w:val="20"/>
                <w:szCs w:val="20"/>
                <w:color w:val="auto"/>
              </w:rPr>
            </w:pPr>
            <w:r>
              <w:rPr>
                <w:rFonts w:ascii="Arial" w:cs="Arial" w:eastAsia="Arial" w:hAnsi="Arial"/>
                <w:sz w:val="10"/>
                <w:szCs w:val="10"/>
                <w:color w:val="auto"/>
              </w:rPr>
              <w:t>375.2</w:t>
            </w: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8980" w:type="dxa"/>
            <w:vAlign w:val="bottom"/>
            <w:tcBorders>
              <w:bottom w:val="single" w:sz="8" w:color="70AD47"/>
            </w:tcBorders>
          </w:tcPr>
          <w:p>
            <w:pPr>
              <w:ind w:left="20"/>
              <w:spacing w:after="0"/>
              <w:rPr>
                <w:sz w:val="20"/>
                <w:szCs w:val="20"/>
                <w:color w:val="auto"/>
              </w:rPr>
            </w:pPr>
            <w:r>
              <w:rPr>
                <w:rFonts w:ascii="Arial" w:cs="Arial" w:eastAsia="Arial" w:hAnsi="Arial"/>
                <w:sz w:val="10"/>
                <w:szCs w:val="10"/>
                <w:b w:val="1"/>
                <w:bCs w:val="1"/>
                <w:color w:val="auto"/>
              </w:rPr>
              <w:t>Net cash flows from / (used in) investing activities</w:t>
            </w:r>
          </w:p>
        </w:tc>
        <w:tc>
          <w:tcPr>
            <w:tcW w:w="180" w:type="dxa"/>
            <w:vAlign w:val="bottom"/>
            <w:tcBorders>
              <w:bottom w:val="single" w:sz="8" w:color="70AD47"/>
            </w:tcBorders>
          </w:tcPr>
          <w:p>
            <w:pPr>
              <w:spacing w:after="0"/>
              <w:rPr>
                <w:sz w:val="10"/>
                <w:szCs w:val="10"/>
                <w:color w:val="auto"/>
              </w:rPr>
            </w:pPr>
          </w:p>
        </w:tc>
        <w:tc>
          <w:tcPr>
            <w:tcW w:w="1380" w:type="dxa"/>
            <w:vAlign w:val="bottom"/>
            <w:tcBorders>
              <w:bottom w:val="single" w:sz="8" w:color="70AD47"/>
            </w:tcBorders>
          </w:tcPr>
          <w:p>
            <w:pPr>
              <w:jc w:val="right"/>
              <w:ind w:right="292"/>
              <w:spacing w:after="0"/>
              <w:rPr>
                <w:sz w:val="20"/>
                <w:szCs w:val="20"/>
                <w:color w:val="auto"/>
              </w:rPr>
            </w:pPr>
            <w:r>
              <w:rPr>
                <w:rFonts w:ascii="Arial" w:cs="Arial" w:eastAsia="Arial" w:hAnsi="Arial"/>
                <w:sz w:val="10"/>
                <w:szCs w:val="10"/>
                <w:b w:val="1"/>
                <w:bCs w:val="1"/>
                <w:color w:val="auto"/>
              </w:rPr>
              <w:t>€287.4</w:t>
            </w: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0"/>
                <w:szCs w:val="10"/>
                <w:b w:val="1"/>
                <w:bCs w:val="1"/>
                <w:color w:val="auto"/>
              </w:rPr>
              <w:t>€(28.3)</w:t>
            </w:r>
          </w:p>
        </w:tc>
      </w:tr>
      <w:tr>
        <w:trPr>
          <w:trHeight w:val="222"/>
        </w:trPr>
        <w:tc>
          <w:tcPr>
            <w:tcW w:w="8980" w:type="dxa"/>
            <w:vAlign w:val="bottom"/>
          </w:tcPr>
          <w:p>
            <w:pPr>
              <w:ind w:left="20"/>
              <w:spacing w:after="0"/>
              <w:rPr>
                <w:sz w:val="20"/>
                <w:szCs w:val="20"/>
                <w:color w:val="auto"/>
              </w:rPr>
            </w:pPr>
            <w:r>
              <w:rPr>
                <w:rFonts w:ascii="Arial" w:cs="Arial" w:eastAsia="Arial" w:hAnsi="Arial"/>
                <w:sz w:val="10"/>
                <w:szCs w:val="10"/>
                <w:b w:val="1"/>
                <w:bCs w:val="1"/>
                <w:color w:val="auto"/>
              </w:rPr>
              <w:t>Financing activities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31"/>
        </w:trPr>
        <w:tc>
          <w:tcPr>
            <w:tcW w:w="8980" w:type="dxa"/>
            <w:vAlign w:val="bottom"/>
          </w:tcPr>
          <w:p>
            <w:pPr>
              <w:ind w:left="20"/>
              <w:spacing w:after="0"/>
              <w:rPr>
                <w:sz w:val="20"/>
                <w:szCs w:val="20"/>
                <w:color w:val="auto"/>
              </w:rPr>
            </w:pPr>
            <w:r>
              <w:rPr>
                <w:rFonts w:ascii="Arial" w:cs="Arial" w:eastAsia="Arial" w:hAnsi="Arial"/>
                <w:sz w:val="10"/>
                <w:szCs w:val="10"/>
                <w:color w:val="auto"/>
              </w:rPr>
              <w:t>Proceeds from issuance of share capital and treasury shares, net of costs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110.5</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8980" w:type="dxa"/>
            <w:vAlign w:val="bottom"/>
          </w:tcPr>
          <w:p>
            <w:pPr>
              <w:ind w:left="20"/>
              <w:spacing w:after="0"/>
              <w:rPr>
                <w:sz w:val="20"/>
                <w:szCs w:val="20"/>
                <w:color w:val="auto"/>
              </w:rPr>
            </w:pPr>
            <w:r>
              <w:rPr>
                <w:rFonts w:ascii="Arial" w:cs="Arial" w:eastAsia="Arial" w:hAnsi="Arial"/>
                <w:sz w:val="10"/>
                <w:szCs w:val="10"/>
                <w:color w:val="auto"/>
              </w:rPr>
              <w:t>Repayment of loans and borrowings</w:t>
            </w:r>
          </w:p>
        </w:tc>
        <w:tc>
          <w:tcPr>
            <w:tcW w:w="180" w:type="dxa"/>
            <w:vAlign w:val="bottom"/>
            <w:tcBorders>
              <w:top w:val="single" w:sz="8" w:color="70AD47"/>
            </w:tcBorders>
          </w:tcPr>
          <w:p>
            <w:pPr>
              <w:spacing w:after="0"/>
              <w:rPr>
                <w:sz w:val="10"/>
                <w:szCs w:val="10"/>
                <w:color w:val="auto"/>
              </w:rPr>
            </w:pP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(18.8)</w:t>
            </w:r>
          </w:p>
        </w:tc>
        <w:tc>
          <w:tcPr>
            <w:tcW w:w="740" w:type="dxa"/>
            <w:vAlign w:val="bottom"/>
          </w:tcPr>
          <w:p>
            <w:pPr>
              <w:jc w:val="right"/>
              <w:spacing w:after="0"/>
              <w:rPr>
                <w:sz w:val="20"/>
                <w:szCs w:val="20"/>
                <w:color w:val="auto"/>
              </w:rPr>
            </w:pPr>
            <w:r>
              <w:rPr>
                <w:rFonts w:ascii="Arial" w:cs="Arial" w:eastAsia="Arial" w:hAnsi="Arial"/>
                <w:sz w:val="10"/>
                <w:szCs w:val="10"/>
                <w:color w:val="auto"/>
              </w:rPr>
              <w:t>(0.7)</w:t>
            </w:r>
          </w:p>
        </w:tc>
      </w:tr>
      <w:tr>
        <w:trPr>
          <w:trHeight w:val="138"/>
        </w:trPr>
        <w:tc>
          <w:tcPr>
            <w:tcW w:w="8980" w:type="dxa"/>
            <w:vAlign w:val="bottom"/>
            <w:tcBorders>
              <w:bottom w:val="single" w:sz="8" w:color="70AD47"/>
            </w:tcBorders>
          </w:tcPr>
          <w:p>
            <w:pPr>
              <w:ind w:left="20"/>
              <w:spacing w:after="0"/>
              <w:rPr>
                <w:sz w:val="20"/>
                <w:szCs w:val="20"/>
                <w:color w:val="auto"/>
              </w:rPr>
            </w:pPr>
            <w:r>
              <w:rPr>
                <w:rFonts w:ascii="Arial" w:cs="Arial" w:eastAsia="Arial" w:hAnsi="Arial"/>
                <w:sz w:val="10"/>
                <w:szCs w:val="10"/>
                <w:color w:val="auto"/>
              </w:rPr>
              <w:t>Payments related to lease liabilities</w:t>
            </w:r>
          </w:p>
        </w:tc>
        <w:tc>
          <w:tcPr>
            <w:tcW w:w="1560" w:type="dxa"/>
            <w:vAlign w:val="bottom"/>
            <w:tcBorders>
              <w:bottom w:val="single" w:sz="8" w:color="70AD47"/>
            </w:tcBorders>
            <w:gridSpan w:val="2"/>
          </w:tcPr>
          <w:p>
            <w:pPr>
              <w:jc w:val="right"/>
              <w:ind w:right="292"/>
              <w:spacing w:after="0"/>
              <w:rPr>
                <w:sz w:val="20"/>
                <w:szCs w:val="20"/>
                <w:color w:val="auto"/>
              </w:rPr>
            </w:pPr>
            <w:r>
              <w:rPr>
                <w:rFonts w:ascii="Arial" w:cs="Arial" w:eastAsia="Arial" w:hAnsi="Arial"/>
                <w:sz w:val="10"/>
                <w:szCs w:val="10"/>
                <w:color w:val="auto"/>
              </w:rPr>
              <w:t>(11.4)</w:t>
            </w: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0"/>
                <w:szCs w:val="10"/>
                <w:color w:val="auto"/>
              </w:rPr>
              <w:t>(3.8)</w:t>
            </w:r>
          </w:p>
        </w:tc>
      </w:tr>
      <w:tr>
        <w:trPr>
          <w:trHeight w:val="126"/>
        </w:trPr>
        <w:tc>
          <w:tcPr>
            <w:tcW w:w="8980" w:type="dxa"/>
            <w:vAlign w:val="bottom"/>
            <w:tcBorders>
              <w:bottom w:val="single" w:sz="8" w:color="70AD47"/>
            </w:tcBorders>
          </w:tcPr>
          <w:p>
            <w:pPr>
              <w:ind w:left="20"/>
              <w:spacing w:after="0"/>
              <w:rPr>
                <w:sz w:val="20"/>
                <w:szCs w:val="20"/>
                <w:color w:val="auto"/>
              </w:rPr>
            </w:pPr>
            <w:r>
              <w:rPr>
                <w:rFonts w:ascii="Arial" w:cs="Arial" w:eastAsia="Arial" w:hAnsi="Arial"/>
                <w:sz w:val="10"/>
                <w:szCs w:val="10"/>
                <w:b w:val="1"/>
                <w:bCs w:val="1"/>
                <w:color w:val="auto"/>
              </w:rPr>
              <w:t>Net cash flows from / (used in) financing activities</w:t>
            </w:r>
          </w:p>
        </w:tc>
        <w:tc>
          <w:tcPr>
            <w:tcW w:w="180" w:type="dxa"/>
            <w:vAlign w:val="bottom"/>
            <w:tcBorders>
              <w:bottom w:val="single" w:sz="8" w:color="70AD47"/>
            </w:tcBorders>
          </w:tcPr>
          <w:p>
            <w:pPr>
              <w:spacing w:after="0"/>
              <w:rPr>
                <w:sz w:val="10"/>
                <w:szCs w:val="10"/>
                <w:color w:val="auto"/>
              </w:rPr>
            </w:pPr>
          </w:p>
        </w:tc>
        <w:tc>
          <w:tcPr>
            <w:tcW w:w="1380" w:type="dxa"/>
            <w:vAlign w:val="bottom"/>
            <w:tcBorders>
              <w:bottom w:val="single" w:sz="8" w:color="70AD47"/>
            </w:tcBorders>
          </w:tcPr>
          <w:p>
            <w:pPr>
              <w:jc w:val="right"/>
              <w:ind w:right="292"/>
              <w:spacing w:after="0"/>
              <w:rPr>
                <w:sz w:val="20"/>
                <w:szCs w:val="20"/>
                <w:color w:val="auto"/>
              </w:rPr>
            </w:pPr>
            <w:r>
              <w:rPr>
                <w:rFonts w:ascii="Arial" w:cs="Arial" w:eastAsia="Arial" w:hAnsi="Arial"/>
                <w:sz w:val="10"/>
                <w:szCs w:val="10"/>
                <w:b w:val="1"/>
                <w:bCs w:val="1"/>
                <w:color w:val="auto"/>
              </w:rPr>
              <w:t>€80.3</w:t>
            </w: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0"/>
                <w:szCs w:val="10"/>
                <w:b w:val="1"/>
                <w:bCs w:val="1"/>
                <w:color w:val="auto"/>
              </w:rPr>
              <w:t>€(4.5)</w:t>
            </w:r>
          </w:p>
        </w:tc>
      </w:tr>
      <w:tr>
        <w:trPr>
          <w:trHeight w:val="218"/>
        </w:trPr>
        <w:tc>
          <w:tcPr>
            <w:tcW w:w="8980" w:type="dxa"/>
            <w:vAlign w:val="bottom"/>
          </w:tcPr>
          <w:p>
            <w:pPr>
              <w:ind w:left="20"/>
              <w:spacing w:after="0"/>
              <w:rPr>
                <w:sz w:val="20"/>
                <w:szCs w:val="20"/>
                <w:color w:val="auto"/>
              </w:rPr>
            </w:pPr>
            <w:r>
              <w:rPr>
                <w:rFonts w:ascii="Arial" w:cs="Arial" w:eastAsia="Arial" w:hAnsi="Arial"/>
                <w:sz w:val="10"/>
                <w:szCs w:val="10"/>
                <w:color w:val="auto"/>
              </w:rPr>
              <w:t>Net increase / (decrease) in cash and cash equivalents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4,417.9</w:t>
            </w:r>
          </w:p>
        </w:tc>
        <w:tc>
          <w:tcPr>
            <w:tcW w:w="740" w:type="dxa"/>
            <w:vAlign w:val="bottom"/>
          </w:tcPr>
          <w:p>
            <w:pPr>
              <w:jc w:val="right"/>
              <w:spacing w:after="0"/>
              <w:rPr>
                <w:sz w:val="20"/>
                <w:szCs w:val="20"/>
                <w:color w:val="auto"/>
              </w:rPr>
            </w:pPr>
            <w:r>
              <w:rPr>
                <w:rFonts w:ascii="Arial" w:cs="Arial" w:eastAsia="Arial" w:hAnsi="Arial"/>
                <w:sz w:val="10"/>
                <w:szCs w:val="10"/>
                <w:color w:val="auto"/>
              </w:rPr>
              <w:t>(344.1)</w:t>
            </w:r>
          </w:p>
        </w:tc>
      </w:tr>
      <w:tr>
        <w:trPr>
          <w:trHeight w:val="135"/>
        </w:trPr>
        <w:tc>
          <w:tcPr>
            <w:tcW w:w="8980" w:type="dxa"/>
            <w:vAlign w:val="bottom"/>
          </w:tcPr>
          <w:p>
            <w:pPr>
              <w:ind w:left="20"/>
              <w:spacing w:after="0"/>
              <w:rPr>
                <w:sz w:val="20"/>
                <w:szCs w:val="20"/>
                <w:color w:val="auto"/>
              </w:rPr>
            </w:pPr>
            <w:r>
              <w:rPr>
                <w:rFonts w:ascii="Arial" w:cs="Arial" w:eastAsia="Arial" w:hAnsi="Arial"/>
                <w:sz w:val="10"/>
                <w:szCs w:val="10"/>
                <w:color w:val="auto"/>
              </w:rPr>
              <w:t>Change in cash and cash equivalents resulting from exchange rate differences</w:t>
            </w:r>
          </w:p>
        </w:tc>
        <w:tc>
          <w:tcPr>
            <w:tcW w:w="1560" w:type="dxa"/>
            <w:vAlign w:val="bottom"/>
            <w:gridSpan w:val="2"/>
          </w:tcPr>
          <w:p>
            <w:pPr>
              <w:jc w:val="right"/>
              <w:ind w:right="292"/>
              <w:spacing w:after="0"/>
              <w:rPr>
                <w:sz w:val="20"/>
                <w:szCs w:val="20"/>
                <w:color w:val="auto"/>
              </w:rPr>
            </w:pPr>
            <w:r>
              <w:rPr>
                <w:rFonts w:ascii="Arial" w:cs="Arial" w:eastAsia="Arial" w:hAnsi="Arial"/>
                <w:sz w:val="10"/>
                <w:szCs w:val="10"/>
                <w:color w:val="auto"/>
              </w:rPr>
              <w:t>53.5</w:t>
            </w:r>
          </w:p>
        </w:tc>
        <w:tc>
          <w:tcPr>
            <w:tcW w:w="740" w:type="dxa"/>
            <w:vAlign w:val="bottom"/>
          </w:tcPr>
          <w:p>
            <w:pPr>
              <w:jc w:val="right"/>
              <w:spacing w:after="0"/>
              <w:rPr>
                <w:sz w:val="20"/>
                <w:szCs w:val="20"/>
                <w:color w:val="auto"/>
              </w:rPr>
            </w:pPr>
            <w:r>
              <w:rPr>
                <w:rFonts w:ascii="Arial" w:cs="Arial" w:eastAsia="Arial" w:hAnsi="Arial"/>
                <w:sz w:val="10"/>
                <w:szCs w:val="10"/>
                <w:color w:val="auto"/>
              </w:rPr>
              <w:t>25.4</w:t>
            </w:r>
          </w:p>
        </w:tc>
      </w:tr>
      <w:tr>
        <w:trPr>
          <w:trHeight w:val="118"/>
        </w:trPr>
        <w:tc>
          <w:tcPr>
            <w:tcW w:w="8980" w:type="dxa"/>
            <w:vAlign w:val="bottom"/>
            <w:tcBorders>
              <w:bottom w:val="single" w:sz="8" w:color="70AD47"/>
            </w:tcBorders>
          </w:tcPr>
          <w:p>
            <w:pPr>
              <w:ind w:left="20"/>
              <w:spacing w:after="0"/>
              <w:rPr>
                <w:sz w:val="20"/>
                <w:szCs w:val="20"/>
                <w:color w:val="auto"/>
              </w:rPr>
            </w:pPr>
            <w:r>
              <w:rPr>
                <w:rFonts w:ascii="Arial" w:cs="Arial" w:eastAsia="Arial" w:hAnsi="Arial"/>
                <w:sz w:val="10"/>
                <w:szCs w:val="10"/>
                <w:color w:val="auto"/>
              </w:rPr>
              <w:t>Cash and cash equivalents at the beginning of the period</w:t>
            </w:r>
          </w:p>
        </w:tc>
        <w:tc>
          <w:tcPr>
            <w:tcW w:w="180" w:type="dxa"/>
            <w:vAlign w:val="bottom"/>
            <w:tcBorders>
              <w:top w:val="single" w:sz="8" w:color="70AD47"/>
              <w:bottom w:val="single" w:sz="8" w:color="70AD47"/>
            </w:tcBorders>
          </w:tcPr>
          <w:p>
            <w:pPr>
              <w:spacing w:after="0"/>
              <w:rPr>
                <w:sz w:val="10"/>
                <w:szCs w:val="10"/>
                <w:color w:val="auto"/>
              </w:rPr>
            </w:pPr>
          </w:p>
        </w:tc>
        <w:tc>
          <w:tcPr>
            <w:tcW w:w="1380" w:type="dxa"/>
            <w:vAlign w:val="bottom"/>
            <w:tcBorders>
              <w:bottom w:val="single" w:sz="8" w:color="70AD47"/>
            </w:tcBorders>
          </w:tcPr>
          <w:p>
            <w:pPr>
              <w:jc w:val="right"/>
              <w:ind w:right="292"/>
              <w:spacing w:after="0"/>
              <w:rPr>
                <w:sz w:val="20"/>
                <w:szCs w:val="20"/>
                <w:color w:val="auto"/>
              </w:rPr>
            </w:pPr>
            <w:r>
              <w:rPr>
                <w:rFonts w:ascii="Arial" w:cs="Arial" w:eastAsia="Arial" w:hAnsi="Arial"/>
                <w:sz w:val="10"/>
                <w:szCs w:val="10"/>
                <w:color w:val="auto"/>
              </w:rPr>
              <w:t>1,692.7</w:t>
            </w: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0"/>
                <w:szCs w:val="10"/>
                <w:color w:val="auto"/>
              </w:rPr>
              <w:t>1,210.2</w:t>
            </w:r>
          </w:p>
        </w:tc>
      </w:tr>
      <w:tr>
        <w:trPr>
          <w:trHeight w:val="125"/>
        </w:trPr>
        <w:tc>
          <w:tcPr>
            <w:tcW w:w="898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 at March 31</w:t>
            </w:r>
          </w:p>
        </w:tc>
        <w:tc>
          <w:tcPr>
            <w:tcW w:w="180" w:type="dxa"/>
            <w:vAlign w:val="bottom"/>
          </w:tcPr>
          <w:p>
            <w:pPr>
              <w:spacing w:after="0"/>
              <w:rPr>
                <w:sz w:val="10"/>
                <w:szCs w:val="10"/>
                <w:color w:val="auto"/>
              </w:rPr>
            </w:pPr>
          </w:p>
        </w:tc>
        <w:tc>
          <w:tcPr>
            <w:tcW w:w="1380" w:type="dxa"/>
            <w:vAlign w:val="bottom"/>
          </w:tcPr>
          <w:p>
            <w:pPr>
              <w:jc w:val="right"/>
              <w:ind w:right="292"/>
              <w:spacing w:after="0"/>
              <w:rPr>
                <w:sz w:val="20"/>
                <w:szCs w:val="20"/>
                <w:color w:val="auto"/>
              </w:rPr>
            </w:pPr>
            <w:r>
              <w:rPr>
                <w:rFonts w:ascii="Arial" w:cs="Arial" w:eastAsia="Arial" w:hAnsi="Arial"/>
                <w:sz w:val="10"/>
                <w:szCs w:val="10"/>
                <w:b w:val="1"/>
                <w:bCs w:val="1"/>
                <w:color w:val="auto"/>
              </w:rPr>
              <w:t>€6,164.1</w:t>
            </w: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€891.5</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1102" w:right="299" w:bottom="1440"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9" Type="http://schemas.openxmlformats.org/officeDocument/2006/relationships/hyperlink" Target="https://www.sec.gov/Archives/edgar/data/0001776985/000177698522000018/bntxq42021pressrelea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2022-05-09T06:44:46Z</dcterms:created>
  <dcterms:modified xsi:type="dcterms:W3CDTF">2022-05-09T06:44:46Z</dcterms:modified>
</cp:coreProperties>
</file>